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5"/>
        <w:gridCol w:w="4427"/>
      </w:tblGrid>
      <w:tr w:rsidR="00262EF8" w:rsidRPr="00262EF8" w14:paraId="193B1626" w14:textId="77777777" w:rsidTr="00886332">
        <w:tc>
          <w:tcPr>
            <w:tcW w:w="4405" w:type="dxa"/>
          </w:tcPr>
          <w:p w14:paraId="3A75BEE7" w14:textId="77777777" w:rsidR="00262EF8" w:rsidRPr="008F5C15" w:rsidRDefault="003342BC" w:rsidP="005C0901">
            <w:pPr>
              <w:pStyle w:val="CABEZA"/>
              <w:spacing w:line="276" w:lineRule="auto"/>
              <w:rPr>
                <w:rFonts w:ascii="Verdana" w:hAnsi="Verdana"/>
                <w:sz w:val="16"/>
                <w:szCs w:val="16"/>
                <w:lang w:val="es-MX"/>
              </w:rPr>
            </w:pPr>
            <w:r w:rsidRPr="008F5C15">
              <w:rPr>
                <w:rFonts w:ascii="Verdana" w:hAnsi="Verdana"/>
                <w:sz w:val="16"/>
                <w:szCs w:val="16"/>
                <w:lang w:val="es-MX"/>
              </w:rPr>
              <w:t>SECRETARÍA DE SALUD</w:t>
            </w:r>
          </w:p>
        </w:tc>
        <w:tc>
          <w:tcPr>
            <w:tcW w:w="4427" w:type="dxa"/>
          </w:tcPr>
          <w:p w14:paraId="52296601" w14:textId="77777777" w:rsidR="00262EF8" w:rsidRPr="008F5C15" w:rsidRDefault="003342BC" w:rsidP="005C0901">
            <w:pPr>
              <w:pStyle w:val="CABEZA"/>
              <w:spacing w:line="276" w:lineRule="auto"/>
              <w:rPr>
                <w:rFonts w:ascii="Verdana" w:hAnsi="Verdana"/>
                <w:sz w:val="16"/>
                <w:szCs w:val="16"/>
                <w:lang w:val="en-US"/>
              </w:rPr>
            </w:pPr>
            <w:r w:rsidRPr="008F5C15">
              <w:rPr>
                <w:rFonts w:ascii="Verdana" w:hAnsi="Verdana"/>
                <w:sz w:val="16"/>
                <w:szCs w:val="16"/>
                <w:lang w:val="en-US"/>
              </w:rPr>
              <w:t>SECRETARY OF HEALTH</w:t>
            </w:r>
          </w:p>
        </w:tc>
      </w:tr>
      <w:tr w:rsidR="00262EF8" w:rsidRPr="00906F5C" w14:paraId="79E2581B" w14:textId="77777777" w:rsidTr="00886332">
        <w:tc>
          <w:tcPr>
            <w:tcW w:w="4405" w:type="dxa"/>
          </w:tcPr>
          <w:p w14:paraId="0ACD64DC" w14:textId="77777777" w:rsidR="00262EF8" w:rsidRPr="008F5C15" w:rsidRDefault="00262EF8" w:rsidP="005C0901">
            <w:pPr>
              <w:pStyle w:val="Titulo1"/>
              <w:pBdr>
                <w:bottom w:val="none" w:sz="0" w:space="0" w:color="auto"/>
              </w:pBdr>
              <w:spacing w:line="276" w:lineRule="auto"/>
              <w:rPr>
                <w:rFonts w:ascii="Verdana" w:hAnsi="Verdana" w:cs="Times New Roman"/>
                <w:sz w:val="16"/>
                <w:szCs w:val="16"/>
              </w:rPr>
            </w:pPr>
            <w:r w:rsidRPr="008F5C15">
              <w:rPr>
                <w:rFonts w:ascii="Verdana" w:hAnsi="Verdana" w:cs="Times New Roman"/>
                <w:sz w:val="16"/>
                <w:szCs w:val="16"/>
              </w:rPr>
              <w:t>NORMA Oficial Mexicana NOM-059-SSA1-2015, Buenas prácticas de fabricación de medicamentos.</w:t>
            </w:r>
          </w:p>
        </w:tc>
        <w:tc>
          <w:tcPr>
            <w:tcW w:w="4427" w:type="dxa"/>
          </w:tcPr>
          <w:p w14:paraId="04A2F01E" w14:textId="77777777" w:rsidR="00262EF8" w:rsidRPr="008F5C15" w:rsidRDefault="00EB6C69" w:rsidP="005C0901">
            <w:pPr>
              <w:pStyle w:val="Titulo1"/>
              <w:pBdr>
                <w:bottom w:val="none" w:sz="0" w:space="0" w:color="auto"/>
              </w:pBdr>
              <w:spacing w:line="276" w:lineRule="auto"/>
              <w:rPr>
                <w:rFonts w:ascii="Verdana" w:hAnsi="Verdana" w:cs="Times New Roman"/>
                <w:sz w:val="16"/>
                <w:szCs w:val="16"/>
                <w:lang w:val="en-US"/>
              </w:rPr>
            </w:pPr>
            <w:r w:rsidRPr="008F5C15">
              <w:rPr>
                <w:rFonts w:ascii="Verdana" w:hAnsi="Verdana" w:cs="Times New Roman"/>
                <w:sz w:val="16"/>
                <w:szCs w:val="16"/>
                <w:lang w:val="en-US"/>
              </w:rPr>
              <w:t xml:space="preserve">Official Mexican Standard NOM-059-SSA1-2015, Good Manufacturing Practices of Drug Products.  </w:t>
            </w:r>
          </w:p>
        </w:tc>
      </w:tr>
      <w:tr w:rsidR="00262EF8" w:rsidRPr="00262EF8" w14:paraId="65C01BA4" w14:textId="77777777" w:rsidTr="00886332">
        <w:tc>
          <w:tcPr>
            <w:tcW w:w="4405" w:type="dxa"/>
          </w:tcPr>
          <w:p w14:paraId="7B5B0043" w14:textId="77777777" w:rsidR="00262EF8" w:rsidRPr="008F5C15" w:rsidRDefault="00262EF8" w:rsidP="005C0901">
            <w:pPr>
              <w:pStyle w:val="Titulo2"/>
              <w:pBdr>
                <w:top w:val="none" w:sz="0" w:space="0" w:color="auto"/>
              </w:pBdr>
              <w:spacing w:line="276" w:lineRule="auto"/>
              <w:rPr>
                <w:rFonts w:ascii="Verdana" w:hAnsi="Verdana"/>
                <w:sz w:val="16"/>
                <w:szCs w:val="16"/>
              </w:rPr>
            </w:pPr>
            <w:r w:rsidRPr="008F5C15">
              <w:rPr>
                <w:rFonts w:ascii="Verdana" w:hAnsi="Verdana"/>
                <w:sz w:val="16"/>
                <w:szCs w:val="16"/>
              </w:rPr>
              <w:t xml:space="preserve">Al margen un sello con el Escudo Nacional, que dice: Estados Unidos </w:t>
            </w:r>
            <w:r w:rsidR="0024170C" w:rsidRPr="008F5C15">
              <w:rPr>
                <w:rFonts w:ascii="Verdana" w:hAnsi="Verdana"/>
                <w:sz w:val="16"/>
                <w:szCs w:val="16"/>
              </w:rPr>
              <w:t>Mexicanos. -</w:t>
            </w:r>
            <w:r w:rsidRPr="008F5C15">
              <w:rPr>
                <w:rFonts w:ascii="Verdana" w:hAnsi="Verdana"/>
                <w:sz w:val="16"/>
                <w:szCs w:val="16"/>
              </w:rPr>
              <w:t xml:space="preserve"> Secretaría de Salud.</w:t>
            </w:r>
          </w:p>
        </w:tc>
        <w:tc>
          <w:tcPr>
            <w:tcW w:w="4427" w:type="dxa"/>
          </w:tcPr>
          <w:p w14:paraId="6D25FF4D" w14:textId="77777777" w:rsidR="00262EF8" w:rsidRPr="008F5C15" w:rsidRDefault="009C18BC" w:rsidP="005C0901">
            <w:pPr>
              <w:pStyle w:val="Titulo2"/>
              <w:pBdr>
                <w:top w:val="none" w:sz="0" w:space="0" w:color="auto"/>
              </w:pBdr>
              <w:spacing w:line="276" w:lineRule="auto"/>
              <w:rPr>
                <w:rFonts w:ascii="Verdana" w:hAnsi="Verdana"/>
                <w:sz w:val="16"/>
                <w:szCs w:val="16"/>
                <w:lang w:val="en-US"/>
              </w:rPr>
            </w:pPr>
            <w:r w:rsidRPr="008F5C15">
              <w:rPr>
                <w:rFonts w:ascii="Verdana" w:hAnsi="Verdana"/>
                <w:sz w:val="16"/>
                <w:szCs w:val="16"/>
                <w:lang w:val="en-US"/>
              </w:rPr>
              <w:t>In the margin a stamp with the National Seal, that says: United Mexican States. Secretary of Health.</w:t>
            </w:r>
            <w:r w:rsidR="009774A8" w:rsidRPr="008F5C15">
              <w:rPr>
                <w:rFonts w:ascii="Verdana" w:hAnsi="Verdana"/>
                <w:sz w:val="16"/>
                <w:szCs w:val="16"/>
                <w:lang w:val="en-US"/>
              </w:rPr>
              <w:t xml:space="preserve">  </w:t>
            </w:r>
          </w:p>
        </w:tc>
      </w:tr>
      <w:tr w:rsidR="00262EF8" w:rsidRPr="00906F5C" w14:paraId="38D55FEC" w14:textId="77777777" w:rsidTr="00886332">
        <w:tc>
          <w:tcPr>
            <w:tcW w:w="4405" w:type="dxa"/>
          </w:tcPr>
          <w:p w14:paraId="15F1475C" w14:textId="77777777" w:rsidR="00262EF8" w:rsidRPr="008F5C15" w:rsidRDefault="00262EF8" w:rsidP="005C0901">
            <w:pPr>
              <w:pStyle w:val="Texto"/>
              <w:spacing w:line="276" w:lineRule="auto"/>
              <w:ind w:firstLine="0"/>
              <w:rPr>
                <w:rFonts w:ascii="Verdana" w:hAnsi="Verdana"/>
                <w:sz w:val="16"/>
                <w:szCs w:val="16"/>
                <w:lang w:val="es-MX"/>
              </w:rPr>
            </w:pPr>
            <w:r w:rsidRPr="008F5C15">
              <w:rPr>
                <w:rFonts w:ascii="Verdana" w:hAnsi="Verdana"/>
                <w:b/>
                <w:sz w:val="16"/>
                <w:szCs w:val="16"/>
                <w:lang w:val="es-MX"/>
              </w:rPr>
              <w:t>MIKEL ANDONI ARRIOLA PEÑALOSA,</w:t>
            </w:r>
            <w:r w:rsidRPr="008F5C15">
              <w:rPr>
                <w:rFonts w:ascii="Verdana" w:hAnsi="Verdana"/>
                <w:sz w:val="16"/>
                <w:szCs w:val="16"/>
                <w:lang w:val="es-MX"/>
              </w:rPr>
              <w:t xml:space="preserve"> Comisionado Federal para la Protección contra Riesgos Sanitarios y Presidente del Comité Consultivo Nacional de Normalización de Regulación y Fomento Sanitario, con fundamento en los artículos 39, de la Ley Orgánica de la Administración Pública Federal; 4, de la Ley Federal de Procedimiento Administrativo; 3o, fracciones XXII y XXIV, 13, apartado A, fracción I, 17 bis, fracción III, 194, 194 Bis, 195, primer párrafo, 197, 198, fracción l, 201, 210, 212, 213, 214, 221, 222, 225, 226, 227, 257, 258, 259, 260, 261 y 282 Bis de la Ley General de Salud; 38, fracción II, 39, fracción V, 40, fracciones I, V, XI y XII, 41, 43, 47, fracción IV, de la Ley Federal sobre Metrología y Normalización; 9, 10, 11, 15, 100, 102, 109 y 111, del Reglamento de Insumos para la Salud; 28, del Reglamento de la Ley Federal sobre Metrología y Normalización, y 3, fracciones I, literal b) y II y 10, fracciones IV y VIII, del Reglamento de la Comisión Federal para Protección contra Riesgos Sanitarios, y</w:t>
            </w:r>
          </w:p>
        </w:tc>
        <w:tc>
          <w:tcPr>
            <w:tcW w:w="4427" w:type="dxa"/>
          </w:tcPr>
          <w:p w14:paraId="644B53A9" w14:textId="77777777" w:rsidR="00262EF8" w:rsidRPr="008F5C15" w:rsidRDefault="009C18BC" w:rsidP="005C0901">
            <w:pPr>
              <w:pStyle w:val="Texto"/>
              <w:spacing w:line="276" w:lineRule="auto"/>
              <w:ind w:firstLine="0"/>
              <w:rPr>
                <w:rFonts w:ascii="Verdana" w:hAnsi="Verdana"/>
                <w:sz w:val="16"/>
                <w:szCs w:val="16"/>
                <w:lang w:val="en-US"/>
              </w:rPr>
            </w:pPr>
            <w:r w:rsidRPr="008F5C15">
              <w:rPr>
                <w:rFonts w:ascii="Verdana" w:hAnsi="Verdana"/>
                <w:b/>
                <w:sz w:val="16"/>
                <w:szCs w:val="16"/>
                <w:lang w:val="en-US"/>
              </w:rPr>
              <w:t>MIKEL ANDONI ARRIOLA PEÑALOSA,</w:t>
            </w:r>
            <w:r w:rsidRPr="008F5C15">
              <w:rPr>
                <w:rFonts w:ascii="Verdana" w:hAnsi="Verdana"/>
                <w:sz w:val="16"/>
                <w:szCs w:val="16"/>
                <w:lang w:val="en-US"/>
              </w:rPr>
              <w:t xml:space="preserve"> Federal Commissioner for the Protection from Sanitary Risks and President of the National Consultative Committee of Standardization of Regulation and Sanitary Development, based on the provision in articles 39 of the Organic Law of the Federal Public Administration; 4 of the Federal Law of Administrative Procedure, 13 part A section I, 17 Bis section III, 194, 194 Bis, 195, first paragraph, 197, 198 section I, 201, 210, 212, 213, 214, 221, 222, 225, 226, 227, 257, 258, 259, 260, 261 and 282 bis of the General Law of Health; 38, section II,</w:t>
            </w:r>
            <w:r w:rsidR="00323325" w:rsidRPr="008F5C15">
              <w:rPr>
                <w:rFonts w:ascii="Verdana" w:hAnsi="Verdana"/>
                <w:sz w:val="16"/>
                <w:szCs w:val="16"/>
                <w:lang w:val="en-US"/>
              </w:rPr>
              <w:t xml:space="preserve"> 39, section V,</w:t>
            </w:r>
            <w:r w:rsidRPr="008F5C15">
              <w:rPr>
                <w:rFonts w:ascii="Verdana" w:hAnsi="Verdana"/>
                <w:sz w:val="16"/>
                <w:szCs w:val="16"/>
                <w:lang w:val="en-US"/>
              </w:rPr>
              <w:t xml:space="preserve"> 40 sections I, V, XI and XII; 41, 43, 47 section IV of the Federal Law on Metrology and Standardization; 9, 10, 11, 15, 100, 102, 109 and 111 of the Regulation of Materials for Health; </w:t>
            </w:r>
            <w:r w:rsidR="00323325" w:rsidRPr="008F5C15">
              <w:rPr>
                <w:rFonts w:ascii="Verdana" w:hAnsi="Verdana"/>
                <w:sz w:val="16"/>
                <w:szCs w:val="16"/>
                <w:lang w:val="en-US"/>
              </w:rPr>
              <w:t xml:space="preserve">28, of the Regulation for the Federal Law of Metrology and Standardization </w:t>
            </w:r>
            <w:r w:rsidRPr="008F5C15">
              <w:rPr>
                <w:rFonts w:ascii="Verdana" w:hAnsi="Verdana"/>
                <w:sz w:val="16"/>
                <w:szCs w:val="16"/>
                <w:lang w:val="en-US"/>
              </w:rPr>
              <w:t>and 3, section I line b and II</w:t>
            </w:r>
            <w:r w:rsidR="00323325" w:rsidRPr="008F5C15">
              <w:rPr>
                <w:rFonts w:ascii="Verdana" w:hAnsi="Verdana"/>
                <w:sz w:val="16"/>
                <w:szCs w:val="16"/>
                <w:lang w:val="en-US"/>
              </w:rPr>
              <w:t xml:space="preserve"> and</w:t>
            </w:r>
            <w:r w:rsidRPr="008F5C15">
              <w:rPr>
                <w:rFonts w:ascii="Verdana" w:hAnsi="Verdana"/>
                <w:sz w:val="16"/>
                <w:szCs w:val="16"/>
                <w:lang w:val="en-US"/>
              </w:rPr>
              <w:t xml:space="preserve"> 10 sections IV and VIII of the Regulation of the Federal Commission for Protection from Sanitary Risks, and</w:t>
            </w:r>
          </w:p>
        </w:tc>
      </w:tr>
      <w:tr w:rsidR="00262EF8" w:rsidRPr="00262EF8" w14:paraId="5C1BA07A" w14:textId="77777777" w:rsidTr="00886332">
        <w:tc>
          <w:tcPr>
            <w:tcW w:w="4405" w:type="dxa"/>
          </w:tcPr>
          <w:p w14:paraId="6CCDBF4B" w14:textId="77777777" w:rsidR="00262EF8" w:rsidRPr="008F5C15" w:rsidRDefault="00262EF8" w:rsidP="005C0901">
            <w:pPr>
              <w:pStyle w:val="ANOTACION"/>
              <w:spacing w:line="276" w:lineRule="auto"/>
              <w:rPr>
                <w:rFonts w:ascii="Verdana" w:hAnsi="Verdana"/>
                <w:sz w:val="16"/>
                <w:szCs w:val="16"/>
                <w:lang w:val="es-MX"/>
              </w:rPr>
            </w:pPr>
            <w:r w:rsidRPr="008F5C15">
              <w:rPr>
                <w:rFonts w:ascii="Verdana" w:hAnsi="Verdana"/>
                <w:sz w:val="16"/>
                <w:szCs w:val="16"/>
                <w:lang w:val="es-MX"/>
              </w:rPr>
              <w:t>CONSIDERANDO</w:t>
            </w:r>
          </w:p>
        </w:tc>
        <w:tc>
          <w:tcPr>
            <w:tcW w:w="4427" w:type="dxa"/>
          </w:tcPr>
          <w:p w14:paraId="2C3082EE" w14:textId="77777777" w:rsidR="00262EF8" w:rsidRPr="008F5C15" w:rsidRDefault="00323325" w:rsidP="005C0901">
            <w:pPr>
              <w:pStyle w:val="ANOTACION"/>
              <w:spacing w:line="276" w:lineRule="auto"/>
              <w:rPr>
                <w:rFonts w:ascii="Verdana" w:hAnsi="Verdana"/>
                <w:sz w:val="16"/>
                <w:szCs w:val="16"/>
                <w:lang w:val="en-US"/>
              </w:rPr>
            </w:pPr>
            <w:r w:rsidRPr="008F5C15">
              <w:rPr>
                <w:rFonts w:ascii="Verdana" w:hAnsi="Verdana"/>
                <w:sz w:val="16"/>
                <w:szCs w:val="16"/>
                <w:lang w:val="en-US"/>
              </w:rPr>
              <w:t>CONSIDERING</w:t>
            </w:r>
          </w:p>
        </w:tc>
      </w:tr>
      <w:tr w:rsidR="00262EF8" w:rsidRPr="00906F5C" w14:paraId="24366A68" w14:textId="77777777" w:rsidTr="00886332">
        <w:tc>
          <w:tcPr>
            <w:tcW w:w="4405" w:type="dxa"/>
          </w:tcPr>
          <w:p w14:paraId="2AE8551E" w14:textId="77777777" w:rsidR="00262EF8" w:rsidRPr="008F5C15" w:rsidRDefault="00262EF8"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Que en cumplimiento a lo previsto en el artículo 46, fracción I, de la Ley Federal sobre Metrología y Normalización, el 30 de junio de 2015, se aprobó por el Comité Consultivo Nacional de Normalización de Regulación y Fomento Sanitario, el anteproyecto de la presente Norma;</w:t>
            </w:r>
          </w:p>
        </w:tc>
        <w:tc>
          <w:tcPr>
            <w:tcW w:w="4427" w:type="dxa"/>
          </w:tcPr>
          <w:p w14:paraId="2E162FD9" w14:textId="77777777" w:rsidR="00262EF8"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That in compliance with that detailed in article 46, section I of the Federal Law of Metrology and Standardization, on the 30th of June of 2015 the National Consultative Committee of Standardization and Regulation and Sanitary Promotion approved the Pre-Project of this Standard;</w:t>
            </w:r>
          </w:p>
        </w:tc>
      </w:tr>
      <w:tr w:rsidR="00262EF8" w:rsidRPr="00906F5C" w14:paraId="14E5704B" w14:textId="77777777" w:rsidTr="00886332">
        <w:tc>
          <w:tcPr>
            <w:tcW w:w="4405" w:type="dxa"/>
          </w:tcPr>
          <w:p w14:paraId="569CD1B3" w14:textId="77777777" w:rsidR="00262EF8" w:rsidRPr="008F5C15" w:rsidRDefault="00262EF8"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Que con fecha 9 de septiembre de 2015, en cumplimiento del acuerdo del Comité Consultivo Nacional de Normalización de Regulación y Fomento Sanitario y de lo previsto en el artículo 47, fracción I de la Ley Federal sobre Metrología y Normalización, se publicó en el Diario Oficial de la Federación, el Proyecto de la presente Norma, a efecto de que dentro de los siguientes sesenta días naturales posteriores a dicha publicación, los interesados presentaran sus comentarios al Comité antes señalado;</w:t>
            </w:r>
          </w:p>
        </w:tc>
        <w:tc>
          <w:tcPr>
            <w:tcW w:w="4427" w:type="dxa"/>
          </w:tcPr>
          <w:p w14:paraId="5925A986" w14:textId="77777777" w:rsidR="00262EF8"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That on the 9th of September of 2015, in compliance to the agreement of the National Consultative Committee of Standardization of Regulation and Sanitary Development and of the provision in article 47, section I of the Federal Law on Metrology and Standardization, the project of this Official Mexican Standard  was published in the Official Daily of the Federation, so that within the following sixty calendar days after said publication, the interested parties might present their comments to the aforementioned Committee; </w:t>
            </w:r>
          </w:p>
        </w:tc>
      </w:tr>
      <w:tr w:rsidR="00262EF8" w:rsidRPr="00906F5C" w14:paraId="6CFF130F" w14:textId="77777777" w:rsidTr="00886332">
        <w:tc>
          <w:tcPr>
            <w:tcW w:w="4405" w:type="dxa"/>
          </w:tcPr>
          <w:p w14:paraId="4111B554" w14:textId="77777777" w:rsidR="00262EF8" w:rsidRPr="008F5C15" w:rsidRDefault="00262EF8"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Que con fecha previa, fue publicada en el Diario Oficial de la Federación, la respuesta a los comentarios recibidos por el mencionado Comité, en los términos del artículo 47, fracción III de la Ley Federal sobre Metrología y Normalización, y</w:t>
            </w:r>
          </w:p>
        </w:tc>
        <w:tc>
          <w:tcPr>
            <w:tcW w:w="4427" w:type="dxa"/>
          </w:tcPr>
          <w:p w14:paraId="5F662750" w14:textId="77777777" w:rsidR="00262EF8"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That previously, the responses to the comments received by the aforementioned Committee were published in the Official Daily of the Federation under the terms of article 47, section III of the Federal Law on Metrology and Standardization, and</w:t>
            </w:r>
          </w:p>
        </w:tc>
      </w:tr>
      <w:tr w:rsidR="00262EF8" w:rsidRPr="00906F5C" w14:paraId="09505B6B" w14:textId="77777777" w:rsidTr="00886332">
        <w:tc>
          <w:tcPr>
            <w:tcW w:w="4405" w:type="dxa"/>
          </w:tcPr>
          <w:p w14:paraId="108B0EFA" w14:textId="77777777" w:rsidR="00262EF8" w:rsidRPr="008F5C15" w:rsidRDefault="00262EF8"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 xml:space="preserve">Que en atención a las anteriores consideraciones, contando con la aprobación del Comité Consultivo Nacional de Normalización de Regulación y Fomento Sanitario, he tenido a bien expedir y ordenar la </w:t>
            </w:r>
            <w:r w:rsidRPr="008F5C15">
              <w:rPr>
                <w:rFonts w:ascii="Verdana" w:hAnsi="Verdana"/>
                <w:sz w:val="16"/>
                <w:szCs w:val="16"/>
                <w:lang w:val="es-MX"/>
              </w:rPr>
              <w:lastRenderedPageBreak/>
              <w:t>publicación en el Diario Oficial de la Federación de la:</w:t>
            </w:r>
          </w:p>
        </w:tc>
        <w:tc>
          <w:tcPr>
            <w:tcW w:w="4427" w:type="dxa"/>
          </w:tcPr>
          <w:p w14:paraId="41CA4F48" w14:textId="77777777" w:rsidR="00262EF8"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lastRenderedPageBreak/>
              <w:t xml:space="preserve">That in attention to the preceding considerations, and with the approval of the National Consultative Committee of Standardization of Sanitary Regulation and Development, I have deemed fit to issue and </w:t>
            </w:r>
            <w:r w:rsidRPr="008F5C15">
              <w:rPr>
                <w:rFonts w:ascii="Verdana" w:hAnsi="Verdana"/>
                <w:sz w:val="16"/>
                <w:szCs w:val="16"/>
                <w:lang w:val="en-US"/>
              </w:rPr>
              <w:lastRenderedPageBreak/>
              <w:t xml:space="preserve">order the publication in the Official Daily of the Federation the:  </w:t>
            </w:r>
          </w:p>
        </w:tc>
      </w:tr>
      <w:tr w:rsidR="00262EF8" w:rsidRPr="00906F5C" w14:paraId="3379A28B" w14:textId="77777777" w:rsidTr="00886332">
        <w:tc>
          <w:tcPr>
            <w:tcW w:w="4405" w:type="dxa"/>
          </w:tcPr>
          <w:p w14:paraId="6ACFDEAD" w14:textId="77777777" w:rsidR="00262EF8" w:rsidRPr="008F5C15" w:rsidRDefault="00262EF8" w:rsidP="005C0901">
            <w:pPr>
              <w:pStyle w:val="ANOTACION"/>
              <w:spacing w:line="276" w:lineRule="auto"/>
              <w:rPr>
                <w:rFonts w:ascii="Verdana" w:hAnsi="Verdana"/>
                <w:sz w:val="16"/>
                <w:szCs w:val="16"/>
                <w:lang w:val="es-MX"/>
              </w:rPr>
            </w:pPr>
            <w:r w:rsidRPr="008F5C15">
              <w:rPr>
                <w:rFonts w:ascii="Verdana" w:hAnsi="Verdana"/>
                <w:sz w:val="16"/>
                <w:szCs w:val="16"/>
                <w:lang w:val="es-MX"/>
              </w:rPr>
              <w:lastRenderedPageBreak/>
              <w:t>NORMA OFICIAL MEXICANA NOM-059-SSA1-2015, BUENAS PRÁCTICAS DE FABRICACIÓN DE MEDICAMENTOS</w:t>
            </w:r>
          </w:p>
        </w:tc>
        <w:tc>
          <w:tcPr>
            <w:tcW w:w="4427" w:type="dxa"/>
          </w:tcPr>
          <w:p w14:paraId="439E85A3" w14:textId="77777777" w:rsidR="00262EF8" w:rsidRPr="008F5C15" w:rsidRDefault="00323325" w:rsidP="005C0901">
            <w:pPr>
              <w:pStyle w:val="ANOTACION"/>
              <w:spacing w:line="276" w:lineRule="auto"/>
              <w:rPr>
                <w:rFonts w:ascii="Verdana" w:hAnsi="Verdana"/>
                <w:sz w:val="16"/>
                <w:szCs w:val="16"/>
                <w:lang w:val="en-US"/>
              </w:rPr>
            </w:pPr>
            <w:r w:rsidRPr="008F5C15">
              <w:rPr>
                <w:rFonts w:ascii="Verdana" w:hAnsi="Verdana"/>
                <w:sz w:val="16"/>
                <w:szCs w:val="16"/>
                <w:lang w:val="en-US"/>
              </w:rPr>
              <w:t>OFFICIAL MEXICAN STANDARD NOM-059-SSA1-201</w:t>
            </w:r>
            <w:r w:rsidR="00EB6C69" w:rsidRPr="008F5C15">
              <w:rPr>
                <w:rFonts w:ascii="Verdana" w:hAnsi="Verdana"/>
                <w:sz w:val="16"/>
                <w:szCs w:val="16"/>
                <w:lang w:val="en-US"/>
              </w:rPr>
              <w:t>5</w:t>
            </w:r>
            <w:r w:rsidRPr="008F5C15">
              <w:rPr>
                <w:rFonts w:ascii="Verdana" w:hAnsi="Verdana"/>
                <w:sz w:val="16"/>
                <w:szCs w:val="16"/>
                <w:lang w:val="en-US"/>
              </w:rPr>
              <w:t>, GOOD MANUFACTURING PRACTICES OF DRUG PRODUCTS.</w:t>
            </w:r>
          </w:p>
        </w:tc>
      </w:tr>
      <w:tr w:rsidR="00323325" w:rsidRPr="00262EF8" w14:paraId="1F9E0043" w14:textId="77777777" w:rsidTr="00886332">
        <w:tc>
          <w:tcPr>
            <w:tcW w:w="4405" w:type="dxa"/>
          </w:tcPr>
          <w:p w14:paraId="5C5D90A7" w14:textId="77777777" w:rsidR="00323325" w:rsidRPr="008F5C15" w:rsidRDefault="00323325" w:rsidP="005C0901">
            <w:pPr>
              <w:pStyle w:val="ANOTACION"/>
              <w:spacing w:line="276" w:lineRule="auto"/>
              <w:rPr>
                <w:rFonts w:ascii="Verdana" w:hAnsi="Verdana"/>
                <w:sz w:val="16"/>
                <w:szCs w:val="16"/>
                <w:lang w:val="es-MX"/>
              </w:rPr>
            </w:pPr>
            <w:r w:rsidRPr="008F5C15">
              <w:rPr>
                <w:rFonts w:ascii="Verdana" w:hAnsi="Verdana"/>
                <w:sz w:val="16"/>
                <w:szCs w:val="16"/>
                <w:lang w:val="es-MX"/>
              </w:rPr>
              <w:t>PREFACIO</w:t>
            </w:r>
          </w:p>
        </w:tc>
        <w:tc>
          <w:tcPr>
            <w:tcW w:w="4427" w:type="dxa"/>
            <w:shd w:val="clear" w:color="auto" w:fill="auto"/>
          </w:tcPr>
          <w:p w14:paraId="0C832E90" w14:textId="77777777" w:rsidR="00323325" w:rsidRPr="008F5C15" w:rsidRDefault="00323325" w:rsidP="005C0901">
            <w:pPr>
              <w:pStyle w:val="ANOTACION"/>
              <w:spacing w:line="276" w:lineRule="auto"/>
              <w:rPr>
                <w:rFonts w:ascii="Verdana" w:hAnsi="Verdana"/>
                <w:sz w:val="16"/>
                <w:szCs w:val="16"/>
                <w:lang w:val="en-US"/>
              </w:rPr>
            </w:pPr>
            <w:r w:rsidRPr="008F5C15">
              <w:rPr>
                <w:rFonts w:ascii="Verdana" w:hAnsi="Verdana"/>
                <w:sz w:val="16"/>
                <w:szCs w:val="16"/>
                <w:lang w:val="en-US"/>
              </w:rPr>
              <w:t>PREFACE</w:t>
            </w:r>
          </w:p>
        </w:tc>
      </w:tr>
      <w:tr w:rsidR="00323325" w:rsidRPr="00906F5C" w14:paraId="74DD573C" w14:textId="77777777" w:rsidTr="00886332">
        <w:tc>
          <w:tcPr>
            <w:tcW w:w="4405" w:type="dxa"/>
          </w:tcPr>
          <w:p w14:paraId="0B7CDBCA"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En la elaboración de esta Norma participaron las siguientes instituciones y organismos:</w:t>
            </w:r>
          </w:p>
        </w:tc>
        <w:tc>
          <w:tcPr>
            <w:tcW w:w="4427" w:type="dxa"/>
            <w:shd w:val="clear" w:color="auto" w:fill="auto"/>
          </w:tcPr>
          <w:p w14:paraId="500898DE"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In the preparation of this Official Mexican Standard</w:t>
            </w:r>
            <w:r w:rsidR="00EB6C69" w:rsidRPr="008F5C15">
              <w:rPr>
                <w:rFonts w:ascii="Verdana" w:hAnsi="Verdana"/>
                <w:sz w:val="16"/>
                <w:szCs w:val="16"/>
                <w:lang w:val="en-US"/>
              </w:rPr>
              <w:t>,</w:t>
            </w:r>
            <w:r w:rsidRPr="008F5C15">
              <w:rPr>
                <w:rFonts w:ascii="Verdana" w:hAnsi="Verdana"/>
                <w:sz w:val="16"/>
                <w:szCs w:val="16"/>
                <w:lang w:val="en-US"/>
              </w:rPr>
              <w:t xml:space="preserve"> the following institutions and entities participated:</w:t>
            </w:r>
          </w:p>
        </w:tc>
      </w:tr>
      <w:tr w:rsidR="00323325" w:rsidRPr="00262EF8" w14:paraId="5013B612" w14:textId="77777777" w:rsidTr="00886332">
        <w:tc>
          <w:tcPr>
            <w:tcW w:w="4405" w:type="dxa"/>
          </w:tcPr>
          <w:p w14:paraId="6A6889C9" w14:textId="77777777" w:rsidR="00323325" w:rsidRPr="008F5C15" w:rsidRDefault="00323325" w:rsidP="005C0901">
            <w:pPr>
              <w:pStyle w:val="Texto"/>
              <w:spacing w:after="0" w:line="276" w:lineRule="auto"/>
              <w:ind w:firstLine="0"/>
              <w:rPr>
                <w:rFonts w:ascii="Verdana" w:hAnsi="Verdana"/>
                <w:sz w:val="16"/>
                <w:szCs w:val="16"/>
                <w:lang w:val="es-MX"/>
              </w:rPr>
            </w:pPr>
            <w:r w:rsidRPr="008F5C15">
              <w:rPr>
                <w:rFonts w:ascii="Verdana" w:hAnsi="Verdana"/>
                <w:sz w:val="16"/>
                <w:szCs w:val="16"/>
                <w:lang w:val="es-MX"/>
              </w:rPr>
              <w:t>SECRETARÍA DE SALUD.</w:t>
            </w:r>
          </w:p>
        </w:tc>
        <w:tc>
          <w:tcPr>
            <w:tcW w:w="4427" w:type="dxa"/>
            <w:shd w:val="clear" w:color="auto" w:fill="auto"/>
          </w:tcPr>
          <w:p w14:paraId="477AE0ED"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SECRETARY OF HEALTH.</w:t>
            </w:r>
          </w:p>
        </w:tc>
      </w:tr>
      <w:tr w:rsidR="00323325" w:rsidRPr="00906F5C" w14:paraId="45768BFF" w14:textId="77777777" w:rsidTr="00886332">
        <w:tc>
          <w:tcPr>
            <w:tcW w:w="4405" w:type="dxa"/>
          </w:tcPr>
          <w:p w14:paraId="1F3C9F71" w14:textId="77777777" w:rsidR="00323325" w:rsidRPr="008F5C15" w:rsidRDefault="00323325" w:rsidP="005C0901">
            <w:pPr>
              <w:pStyle w:val="Texto"/>
              <w:spacing w:after="0" w:line="276" w:lineRule="auto"/>
              <w:ind w:firstLine="0"/>
              <w:rPr>
                <w:rFonts w:ascii="Verdana" w:hAnsi="Verdana"/>
                <w:sz w:val="16"/>
                <w:szCs w:val="16"/>
                <w:lang w:val="es-MX"/>
              </w:rPr>
            </w:pPr>
            <w:r w:rsidRPr="008F5C15">
              <w:rPr>
                <w:rFonts w:ascii="Verdana" w:hAnsi="Verdana"/>
                <w:sz w:val="16"/>
                <w:szCs w:val="16"/>
                <w:lang w:val="es-MX"/>
              </w:rPr>
              <w:t>Comisión Federal para la Protección contra Riesgos Sanitarios.</w:t>
            </w:r>
          </w:p>
        </w:tc>
        <w:tc>
          <w:tcPr>
            <w:tcW w:w="4427" w:type="dxa"/>
            <w:shd w:val="clear" w:color="auto" w:fill="auto"/>
          </w:tcPr>
          <w:p w14:paraId="73BD6FCA"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Federal Commission for the Protection from Sanitary Risks.</w:t>
            </w:r>
          </w:p>
        </w:tc>
      </w:tr>
      <w:tr w:rsidR="00323325" w:rsidRPr="00906F5C" w14:paraId="68872E81" w14:textId="77777777" w:rsidTr="00886332">
        <w:tc>
          <w:tcPr>
            <w:tcW w:w="4405" w:type="dxa"/>
          </w:tcPr>
          <w:p w14:paraId="6FE599F7"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Comisión Permanente de la Farmacopea de los Estados Unidos Mexicanos.</w:t>
            </w:r>
          </w:p>
        </w:tc>
        <w:tc>
          <w:tcPr>
            <w:tcW w:w="4427" w:type="dxa"/>
            <w:shd w:val="clear" w:color="auto" w:fill="auto"/>
          </w:tcPr>
          <w:p w14:paraId="56507AE3"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Permanent Commission of the Pharmacopeia of the United Mexican States</w:t>
            </w:r>
          </w:p>
        </w:tc>
      </w:tr>
      <w:tr w:rsidR="00323325" w:rsidRPr="00323325" w14:paraId="27B09842" w14:textId="77777777" w:rsidTr="00886332">
        <w:tc>
          <w:tcPr>
            <w:tcW w:w="4405" w:type="dxa"/>
          </w:tcPr>
          <w:p w14:paraId="250FF51D" w14:textId="77777777" w:rsidR="00323325" w:rsidRPr="008F5C15" w:rsidRDefault="00323325" w:rsidP="005C0901">
            <w:pPr>
              <w:pStyle w:val="Texto"/>
              <w:spacing w:after="0" w:line="276" w:lineRule="auto"/>
              <w:ind w:firstLine="0"/>
              <w:rPr>
                <w:rFonts w:ascii="Verdana" w:hAnsi="Verdana"/>
                <w:sz w:val="16"/>
                <w:szCs w:val="16"/>
                <w:lang w:val="es-MX"/>
              </w:rPr>
            </w:pPr>
            <w:r w:rsidRPr="008F5C15">
              <w:rPr>
                <w:rFonts w:ascii="Verdana" w:hAnsi="Verdana"/>
                <w:sz w:val="16"/>
                <w:szCs w:val="16"/>
                <w:lang w:val="es-MX"/>
              </w:rPr>
              <w:t>CONSEJO DE SALUBRIDAD GENERAL.</w:t>
            </w:r>
          </w:p>
        </w:tc>
        <w:tc>
          <w:tcPr>
            <w:tcW w:w="4427" w:type="dxa"/>
            <w:shd w:val="clear" w:color="auto" w:fill="auto"/>
          </w:tcPr>
          <w:p w14:paraId="703B22BD"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COUNCIL OF GENERAL HEALTH.</w:t>
            </w:r>
          </w:p>
        </w:tc>
      </w:tr>
      <w:tr w:rsidR="00323325" w:rsidRPr="00906F5C" w14:paraId="6EDA1C27" w14:textId="77777777" w:rsidTr="00886332">
        <w:tc>
          <w:tcPr>
            <w:tcW w:w="4405" w:type="dxa"/>
          </w:tcPr>
          <w:p w14:paraId="3CCDEF86"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Comisión Interinstitucional del Cuadro Básico de Insumos del Sector Salud.</w:t>
            </w:r>
          </w:p>
        </w:tc>
        <w:tc>
          <w:tcPr>
            <w:tcW w:w="4427" w:type="dxa"/>
            <w:shd w:val="clear" w:color="auto" w:fill="auto"/>
          </w:tcPr>
          <w:p w14:paraId="436AAF76"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Inter-institutional Commission of the Basic Table of Materials of the Health Sector</w:t>
            </w:r>
          </w:p>
        </w:tc>
      </w:tr>
      <w:tr w:rsidR="00323325" w:rsidRPr="00906F5C" w14:paraId="4C0E0F5A" w14:textId="77777777" w:rsidTr="00886332">
        <w:tc>
          <w:tcPr>
            <w:tcW w:w="4405" w:type="dxa"/>
          </w:tcPr>
          <w:p w14:paraId="4076FFA6" w14:textId="77777777" w:rsidR="00323325" w:rsidRPr="008F5C15" w:rsidRDefault="00323325" w:rsidP="005C0901">
            <w:pPr>
              <w:pStyle w:val="Texto"/>
              <w:spacing w:after="0" w:line="276" w:lineRule="auto"/>
              <w:ind w:firstLine="0"/>
              <w:rPr>
                <w:rFonts w:ascii="Verdana" w:hAnsi="Verdana"/>
                <w:sz w:val="16"/>
                <w:szCs w:val="16"/>
                <w:lang w:val="es-MX"/>
              </w:rPr>
            </w:pPr>
            <w:r w:rsidRPr="008F5C15">
              <w:rPr>
                <w:rFonts w:ascii="Verdana" w:hAnsi="Verdana"/>
                <w:sz w:val="16"/>
                <w:szCs w:val="16"/>
                <w:lang w:val="es-MX"/>
              </w:rPr>
              <w:t>INSTITUTO MEXICANO DEL SEGURO SOCIAL.</w:t>
            </w:r>
          </w:p>
        </w:tc>
        <w:tc>
          <w:tcPr>
            <w:tcW w:w="4427" w:type="dxa"/>
            <w:shd w:val="clear" w:color="auto" w:fill="auto"/>
          </w:tcPr>
          <w:p w14:paraId="303A6A55"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MEXICAN INSTITUTE OF SOCIAL SECURITY.</w:t>
            </w:r>
          </w:p>
        </w:tc>
      </w:tr>
      <w:tr w:rsidR="00323325" w:rsidRPr="00906F5C" w14:paraId="39284DD9" w14:textId="77777777" w:rsidTr="00886332">
        <w:tc>
          <w:tcPr>
            <w:tcW w:w="4405" w:type="dxa"/>
          </w:tcPr>
          <w:p w14:paraId="526FCCAE"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División Institucional de Cuadros Básicos de Insumos para la Salud.</w:t>
            </w:r>
          </w:p>
        </w:tc>
        <w:tc>
          <w:tcPr>
            <w:tcW w:w="4427" w:type="dxa"/>
            <w:shd w:val="clear" w:color="auto" w:fill="auto"/>
          </w:tcPr>
          <w:p w14:paraId="260C1903"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Institutional Division of the Basic Table of Materials of the Health Sector.</w:t>
            </w:r>
          </w:p>
        </w:tc>
      </w:tr>
      <w:tr w:rsidR="00323325" w:rsidRPr="00906F5C" w14:paraId="6BBF1EE8" w14:textId="77777777" w:rsidTr="00886332">
        <w:tc>
          <w:tcPr>
            <w:tcW w:w="4405" w:type="dxa"/>
          </w:tcPr>
          <w:p w14:paraId="5A3F5BCA"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INSTITUTO DE SEGURIDAD Y SERVICIOS SOCIALES DE LOS TRABAJADORES DEL ESTADO.</w:t>
            </w:r>
          </w:p>
        </w:tc>
        <w:tc>
          <w:tcPr>
            <w:tcW w:w="4427" w:type="dxa"/>
            <w:shd w:val="clear" w:color="auto" w:fill="auto"/>
          </w:tcPr>
          <w:p w14:paraId="4BB14C0B"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INSTITUTE OF SOCIAL SECURITY AND SERVICES OF THE WORKERS OF THE STATE.</w:t>
            </w:r>
          </w:p>
        </w:tc>
      </w:tr>
      <w:tr w:rsidR="00323325" w:rsidRPr="00906F5C" w14:paraId="3F45AEF7" w14:textId="77777777" w:rsidTr="00886332">
        <w:tc>
          <w:tcPr>
            <w:tcW w:w="4405" w:type="dxa"/>
          </w:tcPr>
          <w:p w14:paraId="1E118D1D" w14:textId="77777777" w:rsidR="00323325" w:rsidRPr="008F5C15" w:rsidRDefault="00323325" w:rsidP="005C0901">
            <w:pPr>
              <w:pStyle w:val="Texto"/>
              <w:spacing w:after="0" w:line="276" w:lineRule="auto"/>
              <w:ind w:firstLine="0"/>
              <w:rPr>
                <w:rFonts w:ascii="Verdana" w:hAnsi="Verdana"/>
                <w:sz w:val="16"/>
                <w:szCs w:val="16"/>
                <w:lang w:val="es-MX"/>
              </w:rPr>
            </w:pPr>
            <w:r w:rsidRPr="008F5C15">
              <w:rPr>
                <w:rFonts w:ascii="Verdana" w:hAnsi="Verdana"/>
                <w:sz w:val="16"/>
                <w:szCs w:val="16"/>
                <w:lang w:val="es-MX"/>
              </w:rPr>
              <w:t>UNIVERSIDAD NACIONAL AUTÓNOMA DE MÉXICO.</w:t>
            </w:r>
          </w:p>
        </w:tc>
        <w:tc>
          <w:tcPr>
            <w:tcW w:w="4427" w:type="dxa"/>
            <w:shd w:val="clear" w:color="auto" w:fill="auto"/>
          </w:tcPr>
          <w:p w14:paraId="225F5B7E"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NATIONAL AUTONOMOUS UNIVERSITY OF MEXICO.</w:t>
            </w:r>
          </w:p>
        </w:tc>
      </w:tr>
      <w:tr w:rsidR="00323325" w:rsidRPr="00262EF8" w14:paraId="333C3DD9" w14:textId="77777777" w:rsidTr="00886332">
        <w:tc>
          <w:tcPr>
            <w:tcW w:w="4405" w:type="dxa"/>
          </w:tcPr>
          <w:p w14:paraId="6F560A6D"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Facultad de Química.</w:t>
            </w:r>
          </w:p>
        </w:tc>
        <w:tc>
          <w:tcPr>
            <w:tcW w:w="4427" w:type="dxa"/>
            <w:shd w:val="clear" w:color="auto" w:fill="auto"/>
          </w:tcPr>
          <w:p w14:paraId="52DAE97D"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Chemistry Faculty.</w:t>
            </w:r>
          </w:p>
        </w:tc>
      </w:tr>
      <w:tr w:rsidR="00323325" w:rsidRPr="00323325" w14:paraId="04EB6896" w14:textId="77777777" w:rsidTr="00886332">
        <w:tc>
          <w:tcPr>
            <w:tcW w:w="4405" w:type="dxa"/>
          </w:tcPr>
          <w:p w14:paraId="291D74B7" w14:textId="77777777" w:rsidR="00323325" w:rsidRPr="008F5C15" w:rsidRDefault="00323325" w:rsidP="005C0901">
            <w:pPr>
              <w:pStyle w:val="Texto"/>
              <w:spacing w:after="0" w:line="276" w:lineRule="auto"/>
              <w:ind w:firstLine="0"/>
              <w:rPr>
                <w:rFonts w:ascii="Verdana" w:hAnsi="Verdana"/>
                <w:sz w:val="16"/>
                <w:szCs w:val="16"/>
                <w:lang w:val="es-MX"/>
              </w:rPr>
            </w:pPr>
            <w:r w:rsidRPr="008F5C15">
              <w:rPr>
                <w:rFonts w:ascii="Verdana" w:hAnsi="Verdana"/>
                <w:sz w:val="16"/>
                <w:szCs w:val="16"/>
                <w:lang w:val="es-MX"/>
              </w:rPr>
              <w:t>INSTITUTO POLITÉCNICO NACIONAL.</w:t>
            </w:r>
            <w:r w:rsidRPr="008F5C15">
              <w:rPr>
                <w:rFonts w:ascii="Verdana" w:hAnsi="Verdana"/>
                <w:sz w:val="16"/>
                <w:szCs w:val="16"/>
                <w:lang w:val="es-MX"/>
              </w:rPr>
              <w:tab/>
            </w:r>
          </w:p>
        </w:tc>
        <w:tc>
          <w:tcPr>
            <w:tcW w:w="4427" w:type="dxa"/>
            <w:shd w:val="clear" w:color="auto" w:fill="auto"/>
          </w:tcPr>
          <w:p w14:paraId="6A1363E0"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NATIONAL POLYTECHNICAL INSTITUTE.</w:t>
            </w:r>
          </w:p>
        </w:tc>
      </w:tr>
      <w:tr w:rsidR="00323325" w:rsidRPr="00906F5C" w14:paraId="732CBFE8" w14:textId="77777777" w:rsidTr="00886332">
        <w:tc>
          <w:tcPr>
            <w:tcW w:w="4405" w:type="dxa"/>
          </w:tcPr>
          <w:p w14:paraId="5617FEA9"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Escuela Nacional de Ciencias Biológicas.</w:t>
            </w:r>
          </w:p>
        </w:tc>
        <w:tc>
          <w:tcPr>
            <w:tcW w:w="4427" w:type="dxa"/>
            <w:shd w:val="clear" w:color="auto" w:fill="auto"/>
          </w:tcPr>
          <w:p w14:paraId="71916DC3"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National School of Biological Sciences.</w:t>
            </w:r>
          </w:p>
        </w:tc>
      </w:tr>
      <w:tr w:rsidR="00323325" w:rsidRPr="00906F5C" w14:paraId="0D5C6683" w14:textId="77777777" w:rsidTr="00886332">
        <w:tc>
          <w:tcPr>
            <w:tcW w:w="4405" w:type="dxa"/>
          </w:tcPr>
          <w:p w14:paraId="16CB210B"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CÁMARA NACIONAL DE LA INDUSTRIA FARMACÉUTICA.</w:t>
            </w:r>
          </w:p>
        </w:tc>
        <w:tc>
          <w:tcPr>
            <w:tcW w:w="4427" w:type="dxa"/>
            <w:shd w:val="clear" w:color="auto" w:fill="auto"/>
          </w:tcPr>
          <w:p w14:paraId="09BF5CEB"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NATIONAL CHAMBER OF THE PHARMACEUTICAL INDUSTRY.</w:t>
            </w:r>
          </w:p>
        </w:tc>
      </w:tr>
      <w:tr w:rsidR="00323325" w:rsidRPr="00906F5C" w14:paraId="2EFCF038" w14:textId="77777777" w:rsidTr="00886332">
        <w:tc>
          <w:tcPr>
            <w:tcW w:w="4405" w:type="dxa"/>
          </w:tcPr>
          <w:p w14:paraId="2CD5597A" w14:textId="77777777" w:rsidR="00323325" w:rsidRPr="008F5C15" w:rsidRDefault="00323325" w:rsidP="005C0901">
            <w:pPr>
              <w:pStyle w:val="Texto"/>
              <w:spacing w:after="0" w:line="276" w:lineRule="auto"/>
              <w:ind w:firstLine="0"/>
              <w:rPr>
                <w:rFonts w:ascii="Verdana" w:hAnsi="Verdana"/>
                <w:sz w:val="16"/>
                <w:szCs w:val="16"/>
                <w:lang w:val="es-MX"/>
              </w:rPr>
            </w:pPr>
            <w:r w:rsidRPr="008F5C15">
              <w:rPr>
                <w:rFonts w:ascii="Verdana" w:hAnsi="Verdana"/>
                <w:sz w:val="16"/>
                <w:szCs w:val="16"/>
                <w:lang w:val="es-MX"/>
              </w:rPr>
              <w:t>CÁMARA NACIONAL DE LA INDUSTRIA DE LA TRANSFORMACIÓN.</w:t>
            </w:r>
          </w:p>
        </w:tc>
        <w:tc>
          <w:tcPr>
            <w:tcW w:w="4427" w:type="dxa"/>
            <w:shd w:val="clear" w:color="auto" w:fill="auto"/>
          </w:tcPr>
          <w:p w14:paraId="0FD66568"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NATIONAL CHAMBER OF THE TRANSFORMATION INDUSTRY.</w:t>
            </w:r>
          </w:p>
        </w:tc>
      </w:tr>
      <w:tr w:rsidR="00323325" w:rsidRPr="00323325" w14:paraId="0715B3B9" w14:textId="77777777" w:rsidTr="00886332">
        <w:tc>
          <w:tcPr>
            <w:tcW w:w="4405" w:type="dxa"/>
          </w:tcPr>
          <w:p w14:paraId="389858FB"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Sector médico.</w:t>
            </w:r>
          </w:p>
        </w:tc>
        <w:tc>
          <w:tcPr>
            <w:tcW w:w="4427" w:type="dxa"/>
            <w:shd w:val="clear" w:color="auto" w:fill="auto"/>
          </w:tcPr>
          <w:p w14:paraId="479A5758"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Medical sector.</w:t>
            </w:r>
          </w:p>
        </w:tc>
      </w:tr>
      <w:tr w:rsidR="00323325" w:rsidRPr="00906F5C" w14:paraId="7D4A83FD" w14:textId="77777777" w:rsidTr="00886332">
        <w:tc>
          <w:tcPr>
            <w:tcW w:w="4405" w:type="dxa"/>
          </w:tcPr>
          <w:p w14:paraId="669C7122"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ACADEMIA NACIONAL DE CIENCIAS FARMACÉUTICAS. A. C.</w:t>
            </w:r>
          </w:p>
        </w:tc>
        <w:tc>
          <w:tcPr>
            <w:tcW w:w="4427" w:type="dxa"/>
            <w:shd w:val="clear" w:color="auto" w:fill="auto"/>
          </w:tcPr>
          <w:p w14:paraId="1AAD16A5"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NATIONAL ACADEMY OF PHARMACEUTICAL SCIENCES, ASSOC.</w:t>
            </w:r>
          </w:p>
        </w:tc>
      </w:tr>
      <w:tr w:rsidR="00323325" w:rsidRPr="00323325" w14:paraId="338A6EF1" w14:textId="77777777" w:rsidTr="00886332">
        <w:tc>
          <w:tcPr>
            <w:tcW w:w="4405" w:type="dxa"/>
          </w:tcPr>
          <w:p w14:paraId="2EB68F20"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ASOCIACIÓN FARMACÉUTICA MEXICANA. A. C.</w:t>
            </w:r>
          </w:p>
        </w:tc>
        <w:tc>
          <w:tcPr>
            <w:tcW w:w="4427" w:type="dxa"/>
            <w:shd w:val="clear" w:color="auto" w:fill="auto"/>
          </w:tcPr>
          <w:p w14:paraId="2C9D8F2D"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MEXICAN PHARMACEUTICAL ASSOCIATION, ASSOC.</w:t>
            </w:r>
          </w:p>
        </w:tc>
      </w:tr>
      <w:tr w:rsidR="00323325" w:rsidRPr="00906F5C" w14:paraId="31CD5719" w14:textId="77777777" w:rsidTr="00886332">
        <w:tc>
          <w:tcPr>
            <w:tcW w:w="4405" w:type="dxa"/>
          </w:tcPr>
          <w:p w14:paraId="60CED2DD"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COLEGIO NACIONAL DE QUÍMICOS FARMACÉUTICOS BIÓLOGOS MÉXICO. A. C.</w:t>
            </w:r>
          </w:p>
        </w:tc>
        <w:tc>
          <w:tcPr>
            <w:tcW w:w="4427" w:type="dxa"/>
            <w:shd w:val="clear" w:color="auto" w:fill="auto"/>
          </w:tcPr>
          <w:p w14:paraId="797C54C7"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NATIONAL COLLEGE OF BIOLOGICAL PHARMACEUTICAL CHEMICALS, MEXICO, ASSOC.</w:t>
            </w:r>
          </w:p>
        </w:tc>
      </w:tr>
      <w:tr w:rsidR="00323325" w:rsidRPr="00323325" w14:paraId="02190F99" w14:textId="77777777" w:rsidTr="00886332">
        <w:tc>
          <w:tcPr>
            <w:tcW w:w="4405" w:type="dxa"/>
          </w:tcPr>
          <w:p w14:paraId="2D9316DA"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PRODUCCIÓN QUÍMICO FARMACÉUTICA. A. C.</w:t>
            </w:r>
          </w:p>
        </w:tc>
        <w:tc>
          <w:tcPr>
            <w:tcW w:w="4427" w:type="dxa"/>
            <w:shd w:val="clear" w:color="auto" w:fill="auto"/>
          </w:tcPr>
          <w:p w14:paraId="7EE06895"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PHARMACEUTICAL CHEMICAL PRODUCTION, ASSOC.</w:t>
            </w:r>
          </w:p>
        </w:tc>
      </w:tr>
      <w:tr w:rsidR="00323325" w:rsidRPr="00906F5C" w14:paraId="12756FB0" w14:textId="77777777" w:rsidTr="00886332">
        <w:tc>
          <w:tcPr>
            <w:tcW w:w="4405" w:type="dxa"/>
          </w:tcPr>
          <w:p w14:paraId="1678109D"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ASOCIACIÓN MEXICANA DE LABORATORIOS FARMACÉUTICOS. A. C.</w:t>
            </w:r>
          </w:p>
        </w:tc>
        <w:tc>
          <w:tcPr>
            <w:tcW w:w="4427" w:type="dxa"/>
            <w:shd w:val="clear" w:color="auto" w:fill="auto"/>
          </w:tcPr>
          <w:p w14:paraId="17221B13"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MEXICAN ASSOCIATION OF PHARMACEUTICAL LABORATORIES, ASSOC.</w:t>
            </w:r>
          </w:p>
        </w:tc>
      </w:tr>
      <w:tr w:rsidR="00323325" w:rsidRPr="00906F5C" w14:paraId="3C97B372" w14:textId="77777777" w:rsidTr="00886332">
        <w:tc>
          <w:tcPr>
            <w:tcW w:w="4405" w:type="dxa"/>
          </w:tcPr>
          <w:p w14:paraId="3E4A66DD"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ASOCIACIÓN MEXICANA DE INDUSTRIAS DE INVESTIGACIÓN FARMACÉUTICA. A. C.</w:t>
            </w:r>
          </w:p>
        </w:tc>
        <w:tc>
          <w:tcPr>
            <w:tcW w:w="4427" w:type="dxa"/>
            <w:shd w:val="clear" w:color="auto" w:fill="auto"/>
          </w:tcPr>
          <w:p w14:paraId="47590167"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MEXICAN ASSOCIATION OF PHARMACEUTICAL RESEARCH INDUSTRIES, ASSOC.</w:t>
            </w:r>
          </w:p>
        </w:tc>
      </w:tr>
      <w:tr w:rsidR="00323325" w:rsidRPr="00906F5C" w14:paraId="63E42E93" w14:textId="77777777" w:rsidTr="00886332">
        <w:tc>
          <w:tcPr>
            <w:tcW w:w="4405" w:type="dxa"/>
          </w:tcPr>
          <w:p w14:paraId="22CBECE4"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ASOCIACIÓN NACIONAL DE FABRICANTES DE MEDICAMENTOS. A. C.</w:t>
            </w:r>
          </w:p>
        </w:tc>
        <w:tc>
          <w:tcPr>
            <w:tcW w:w="4427" w:type="dxa"/>
            <w:shd w:val="clear" w:color="auto" w:fill="auto"/>
          </w:tcPr>
          <w:p w14:paraId="044B9D74"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NATIONAL ASSOCIATION OF PHARMACEUTICAL MANUFACTURERS OF DRUGS, ASSOC.</w:t>
            </w:r>
          </w:p>
        </w:tc>
      </w:tr>
      <w:tr w:rsidR="00323325" w:rsidRPr="00906F5C" w14:paraId="6445FFE0" w14:textId="77777777" w:rsidTr="00886332">
        <w:tc>
          <w:tcPr>
            <w:tcW w:w="4405" w:type="dxa"/>
          </w:tcPr>
          <w:p w14:paraId="43DBA986"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ASOCIACIÓN NACIONAL DE LA INDUSTRIA FARMACÉUTICA HOMEOPÁTICA. A. C.</w:t>
            </w:r>
          </w:p>
        </w:tc>
        <w:tc>
          <w:tcPr>
            <w:tcW w:w="4427" w:type="dxa"/>
          </w:tcPr>
          <w:p w14:paraId="5D0357A3"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NATIONAL ASSOCIATION OF THE HOMEOPATHIC PHARMACEUTICAL INDUSTRY, ASSOC. </w:t>
            </w:r>
          </w:p>
        </w:tc>
      </w:tr>
      <w:tr w:rsidR="00323325" w:rsidRPr="00262EF8" w14:paraId="7E5446A5" w14:textId="77777777" w:rsidTr="00886332">
        <w:tc>
          <w:tcPr>
            <w:tcW w:w="4405" w:type="dxa"/>
          </w:tcPr>
          <w:p w14:paraId="6C761149" w14:textId="77777777" w:rsidR="00323325" w:rsidRPr="008F5C15" w:rsidRDefault="00323325" w:rsidP="005C0901">
            <w:pPr>
              <w:pStyle w:val="ANOTACION"/>
              <w:spacing w:before="0" w:line="276" w:lineRule="auto"/>
              <w:rPr>
                <w:rFonts w:ascii="Verdana" w:hAnsi="Verdana"/>
                <w:sz w:val="16"/>
                <w:szCs w:val="16"/>
                <w:lang w:val="es-MX"/>
              </w:rPr>
            </w:pPr>
            <w:r w:rsidRPr="008F5C15">
              <w:rPr>
                <w:rFonts w:ascii="Verdana" w:hAnsi="Verdana"/>
                <w:sz w:val="16"/>
                <w:szCs w:val="16"/>
                <w:lang w:val="es-MX"/>
              </w:rPr>
              <w:lastRenderedPageBreak/>
              <w:t>ÍNDICE</w:t>
            </w:r>
          </w:p>
        </w:tc>
        <w:tc>
          <w:tcPr>
            <w:tcW w:w="4427" w:type="dxa"/>
          </w:tcPr>
          <w:p w14:paraId="0882005B" w14:textId="77777777" w:rsidR="00323325" w:rsidRPr="008F5C15" w:rsidRDefault="00323325" w:rsidP="005C0901">
            <w:pPr>
              <w:pStyle w:val="Texto"/>
              <w:spacing w:line="276" w:lineRule="auto"/>
              <w:ind w:firstLine="0"/>
              <w:jc w:val="center"/>
              <w:rPr>
                <w:rFonts w:ascii="Verdana" w:hAnsi="Verdana"/>
                <w:b/>
                <w:sz w:val="16"/>
                <w:szCs w:val="16"/>
                <w:lang w:val="en-US"/>
              </w:rPr>
            </w:pPr>
            <w:r w:rsidRPr="008F5C15">
              <w:rPr>
                <w:rFonts w:ascii="Verdana" w:hAnsi="Verdana"/>
                <w:b/>
                <w:sz w:val="16"/>
                <w:szCs w:val="16"/>
                <w:lang w:val="en-US"/>
              </w:rPr>
              <w:t>INDEX</w:t>
            </w:r>
          </w:p>
        </w:tc>
      </w:tr>
      <w:tr w:rsidR="00323325" w:rsidRPr="00906F5C" w14:paraId="352C4909" w14:textId="77777777" w:rsidTr="00886332">
        <w:tc>
          <w:tcPr>
            <w:tcW w:w="4405" w:type="dxa"/>
          </w:tcPr>
          <w:p w14:paraId="022732DD"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1.</w:t>
            </w:r>
            <w:r w:rsidRPr="008F5C15">
              <w:rPr>
                <w:rFonts w:ascii="Verdana" w:hAnsi="Verdana"/>
                <w:b/>
                <w:sz w:val="16"/>
                <w:szCs w:val="16"/>
                <w:lang w:val="es-MX"/>
              </w:rPr>
              <w:tab/>
            </w:r>
            <w:r w:rsidRPr="008F5C15">
              <w:rPr>
                <w:rFonts w:ascii="Verdana" w:hAnsi="Verdana"/>
                <w:sz w:val="16"/>
                <w:szCs w:val="16"/>
                <w:lang w:val="es-MX"/>
              </w:rPr>
              <w:t>Objetivo y campo de aplicación.</w:t>
            </w:r>
          </w:p>
        </w:tc>
        <w:tc>
          <w:tcPr>
            <w:tcW w:w="4427" w:type="dxa"/>
            <w:shd w:val="clear" w:color="auto" w:fill="auto"/>
          </w:tcPr>
          <w:p w14:paraId="34D6F2C5"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b/>
                <w:sz w:val="16"/>
                <w:szCs w:val="16"/>
                <w:lang w:val="en-US"/>
              </w:rPr>
              <w:t>1.</w:t>
            </w:r>
            <w:r w:rsidRPr="008F5C15">
              <w:rPr>
                <w:rFonts w:ascii="Verdana" w:hAnsi="Verdana"/>
                <w:b/>
                <w:sz w:val="16"/>
                <w:szCs w:val="16"/>
                <w:lang w:val="en-US"/>
              </w:rPr>
              <w:tab/>
            </w:r>
            <w:r w:rsidRPr="008F5C15">
              <w:rPr>
                <w:rFonts w:ascii="Verdana" w:hAnsi="Verdana"/>
                <w:sz w:val="16"/>
                <w:szCs w:val="16"/>
                <w:lang w:val="en-US"/>
              </w:rPr>
              <w:t>Objective and field of application.</w:t>
            </w:r>
          </w:p>
        </w:tc>
      </w:tr>
      <w:tr w:rsidR="00323325" w:rsidRPr="00262EF8" w14:paraId="080F5621" w14:textId="77777777" w:rsidTr="00886332">
        <w:tc>
          <w:tcPr>
            <w:tcW w:w="4405" w:type="dxa"/>
          </w:tcPr>
          <w:p w14:paraId="7EFAA419"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2.</w:t>
            </w:r>
            <w:r w:rsidRPr="008F5C15">
              <w:rPr>
                <w:rFonts w:ascii="Verdana" w:hAnsi="Verdana"/>
                <w:b/>
                <w:sz w:val="16"/>
                <w:szCs w:val="16"/>
                <w:lang w:val="es-MX"/>
              </w:rPr>
              <w:tab/>
            </w:r>
            <w:r w:rsidRPr="008F5C15">
              <w:rPr>
                <w:rFonts w:ascii="Verdana" w:hAnsi="Verdana"/>
                <w:sz w:val="16"/>
                <w:szCs w:val="16"/>
                <w:lang w:val="es-MX"/>
              </w:rPr>
              <w:t>Referencias.</w:t>
            </w:r>
          </w:p>
        </w:tc>
        <w:tc>
          <w:tcPr>
            <w:tcW w:w="4427" w:type="dxa"/>
            <w:shd w:val="clear" w:color="auto" w:fill="auto"/>
          </w:tcPr>
          <w:p w14:paraId="70765E5F"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2. </w:t>
            </w:r>
            <w:r w:rsidRPr="008F5C15">
              <w:rPr>
                <w:rFonts w:ascii="Verdana" w:hAnsi="Verdana"/>
                <w:b/>
                <w:sz w:val="16"/>
                <w:szCs w:val="16"/>
                <w:lang w:val="en-US"/>
              </w:rPr>
              <w:tab/>
            </w:r>
            <w:r w:rsidRPr="008F5C15">
              <w:rPr>
                <w:rFonts w:ascii="Verdana" w:hAnsi="Verdana"/>
                <w:sz w:val="16"/>
                <w:szCs w:val="16"/>
                <w:lang w:val="en-US"/>
              </w:rPr>
              <w:t>References.</w:t>
            </w:r>
          </w:p>
        </w:tc>
      </w:tr>
      <w:tr w:rsidR="00323325" w:rsidRPr="00262EF8" w14:paraId="389FE900" w14:textId="77777777" w:rsidTr="00886332">
        <w:tc>
          <w:tcPr>
            <w:tcW w:w="4405" w:type="dxa"/>
          </w:tcPr>
          <w:p w14:paraId="4F67EDF4"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3.</w:t>
            </w:r>
            <w:r w:rsidRPr="008F5C15">
              <w:rPr>
                <w:rFonts w:ascii="Verdana" w:hAnsi="Verdana"/>
                <w:b/>
                <w:sz w:val="16"/>
                <w:szCs w:val="16"/>
                <w:lang w:val="es-MX"/>
              </w:rPr>
              <w:tab/>
            </w:r>
            <w:r w:rsidRPr="008F5C15">
              <w:rPr>
                <w:rFonts w:ascii="Verdana" w:hAnsi="Verdana"/>
                <w:sz w:val="16"/>
                <w:szCs w:val="16"/>
                <w:lang w:val="es-MX"/>
              </w:rPr>
              <w:t>Definiciones.</w:t>
            </w:r>
          </w:p>
        </w:tc>
        <w:tc>
          <w:tcPr>
            <w:tcW w:w="4427" w:type="dxa"/>
            <w:shd w:val="clear" w:color="auto" w:fill="auto"/>
          </w:tcPr>
          <w:p w14:paraId="61208BCC"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 </w:t>
            </w:r>
            <w:r w:rsidRPr="008F5C15">
              <w:rPr>
                <w:rFonts w:ascii="Verdana" w:hAnsi="Verdana"/>
                <w:b/>
                <w:sz w:val="16"/>
                <w:szCs w:val="16"/>
                <w:lang w:val="en-US"/>
              </w:rPr>
              <w:tab/>
            </w:r>
            <w:r w:rsidRPr="008F5C15">
              <w:rPr>
                <w:rFonts w:ascii="Verdana" w:hAnsi="Verdana"/>
                <w:sz w:val="16"/>
                <w:szCs w:val="16"/>
                <w:lang w:val="en-US"/>
              </w:rPr>
              <w:t>Definitions.</w:t>
            </w:r>
          </w:p>
        </w:tc>
      </w:tr>
      <w:tr w:rsidR="00323325" w:rsidRPr="00262EF8" w14:paraId="15638514" w14:textId="77777777" w:rsidTr="00886332">
        <w:tc>
          <w:tcPr>
            <w:tcW w:w="4405" w:type="dxa"/>
          </w:tcPr>
          <w:p w14:paraId="69BA814F"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4.</w:t>
            </w:r>
            <w:r w:rsidRPr="008F5C15">
              <w:rPr>
                <w:rFonts w:ascii="Verdana" w:hAnsi="Verdana"/>
                <w:b/>
                <w:sz w:val="16"/>
                <w:szCs w:val="16"/>
                <w:lang w:val="es-MX"/>
              </w:rPr>
              <w:tab/>
            </w:r>
            <w:r w:rsidRPr="008F5C15">
              <w:rPr>
                <w:rFonts w:ascii="Verdana" w:hAnsi="Verdana"/>
                <w:sz w:val="16"/>
                <w:szCs w:val="16"/>
                <w:lang w:val="es-MX"/>
              </w:rPr>
              <w:t>Símbolos y abreviaturas.</w:t>
            </w:r>
          </w:p>
        </w:tc>
        <w:tc>
          <w:tcPr>
            <w:tcW w:w="4427" w:type="dxa"/>
            <w:shd w:val="clear" w:color="auto" w:fill="auto"/>
          </w:tcPr>
          <w:p w14:paraId="32FFAB83"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4. </w:t>
            </w:r>
            <w:r w:rsidRPr="008F5C15">
              <w:rPr>
                <w:rFonts w:ascii="Verdana" w:hAnsi="Verdana"/>
                <w:b/>
                <w:sz w:val="16"/>
                <w:szCs w:val="16"/>
                <w:lang w:val="en-US"/>
              </w:rPr>
              <w:tab/>
            </w:r>
            <w:r w:rsidRPr="008F5C15">
              <w:rPr>
                <w:rFonts w:ascii="Verdana" w:hAnsi="Verdana"/>
                <w:sz w:val="16"/>
                <w:szCs w:val="16"/>
                <w:lang w:val="en-US"/>
              </w:rPr>
              <w:t>Symbols and abbreviations.</w:t>
            </w:r>
          </w:p>
        </w:tc>
      </w:tr>
      <w:tr w:rsidR="00323325" w:rsidRPr="00262EF8" w14:paraId="5679E5F6" w14:textId="77777777" w:rsidTr="00886332">
        <w:tc>
          <w:tcPr>
            <w:tcW w:w="4405" w:type="dxa"/>
          </w:tcPr>
          <w:p w14:paraId="25F5047E"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5.</w:t>
            </w:r>
            <w:r w:rsidRPr="008F5C15">
              <w:rPr>
                <w:rFonts w:ascii="Verdana" w:hAnsi="Verdana"/>
                <w:b/>
                <w:sz w:val="16"/>
                <w:szCs w:val="16"/>
                <w:lang w:val="es-MX"/>
              </w:rPr>
              <w:tab/>
            </w:r>
            <w:r w:rsidRPr="008F5C15">
              <w:rPr>
                <w:rFonts w:ascii="Verdana" w:hAnsi="Verdana"/>
                <w:sz w:val="16"/>
                <w:szCs w:val="16"/>
                <w:lang w:val="es-MX"/>
              </w:rPr>
              <w:t>Sistema de Gestión de Calidad.</w:t>
            </w:r>
          </w:p>
        </w:tc>
        <w:tc>
          <w:tcPr>
            <w:tcW w:w="4427" w:type="dxa"/>
            <w:shd w:val="clear" w:color="auto" w:fill="auto"/>
          </w:tcPr>
          <w:p w14:paraId="43BA2067"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 </w:t>
            </w:r>
            <w:r w:rsidRPr="008F5C15">
              <w:rPr>
                <w:rFonts w:ascii="Verdana" w:hAnsi="Verdana"/>
                <w:b/>
                <w:sz w:val="16"/>
                <w:szCs w:val="16"/>
                <w:lang w:val="en-US"/>
              </w:rPr>
              <w:tab/>
            </w:r>
            <w:r w:rsidRPr="008F5C15">
              <w:rPr>
                <w:rFonts w:ascii="Verdana" w:hAnsi="Verdana"/>
                <w:sz w:val="16"/>
                <w:szCs w:val="16"/>
                <w:lang w:val="en-US"/>
              </w:rPr>
              <w:t>Documentation.</w:t>
            </w:r>
          </w:p>
        </w:tc>
      </w:tr>
      <w:tr w:rsidR="00323325" w:rsidRPr="00262EF8" w14:paraId="0D1290F9" w14:textId="77777777" w:rsidTr="00886332">
        <w:tc>
          <w:tcPr>
            <w:tcW w:w="4405" w:type="dxa"/>
          </w:tcPr>
          <w:p w14:paraId="1D77E057"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6.</w:t>
            </w:r>
            <w:r w:rsidRPr="008F5C15">
              <w:rPr>
                <w:rFonts w:ascii="Verdana" w:hAnsi="Verdana"/>
                <w:b/>
                <w:sz w:val="16"/>
                <w:szCs w:val="16"/>
                <w:lang w:val="es-MX"/>
              </w:rPr>
              <w:tab/>
            </w:r>
            <w:r w:rsidRPr="008F5C15">
              <w:rPr>
                <w:rFonts w:ascii="Verdana" w:hAnsi="Verdana"/>
                <w:sz w:val="16"/>
                <w:szCs w:val="16"/>
                <w:lang w:val="es-MX"/>
              </w:rPr>
              <w:t>Gestión de Riesgos de Calidad.</w:t>
            </w:r>
          </w:p>
        </w:tc>
        <w:tc>
          <w:tcPr>
            <w:tcW w:w="4427" w:type="dxa"/>
            <w:shd w:val="clear" w:color="auto" w:fill="auto"/>
          </w:tcPr>
          <w:p w14:paraId="1AE63882"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6. </w:t>
            </w:r>
            <w:r w:rsidRPr="008F5C15">
              <w:rPr>
                <w:rFonts w:ascii="Verdana" w:hAnsi="Verdana"/>
                <w:sz w:val="16"/>
                <w:szCs w:val="16"/>
                <w:lang w:val="en-US"/>
              </w:rPr>
              <w:tab/>
              <w:t>Quality management system.</w:t>
            </w:r>
          </w:p>
        </w:tc>
      </w:tr>
      <w:tr w:rsidR="00323325" w:rsidRPr="00262EF8" w14:paraId="4AF968E5" w14:textId="77777777" w:rsidTr="00886332">
        <w:tc>
          <w:tcPr>
            <w:tcW w:w="4405" w:type="dxa"/>
          </w:tcPr>
          <w:p w14:paraId="1C504759"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7.</w:t>
            </w:r>
            <w:r w:rsidRPr="008F5C15">
              <w:rPr>
                <w:rFonts w:ascii="Verdana" w:hAnsi="Verdana"/>
                <w:b/>
                <w:sz w:val="16"/>
                <w:szCs w:val="16"/>
                <w:lang w:val="es-MX"/>
              </w:rPr>
              <w:tab/>
            </w:r>
            <w:r w:rsidRPr="008F5C15">
              <w:rPr>
                <w:rFonts w:ascii="Verdana" w:hAnsi="Verdana"/>
                <w:sz w:val="16"/>
                <w:szCs w:val="16"/>
                <w:lang w:val="es-MX"/>
              </w:rPr>
              <w:t>Personal.</w:t>
            </w:r>
          </w:p>
        </w:tc>
        <w:tc>
          <w:tcPr>
            <w:tcW w:w="4427" w:type="dxa"/>
            <w:shd w:val="clear" w:color="auto" w:fill="auto"/>
          </w:tcPr>
          <w:p w14:paraId="4ECDDF39"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 </w:t>
            </w:r>
            <w:r w:rsidRPr="008F5C15">
              <w:rPr>
                <w:rFonts w:ascii="Verdana" w:hAnsi="Verdana"/>
                <w:b/>
                <w:sz w:val="16"/>
                <w:szCs w:val="16"/>
                <w:lang w:val="en-US"/>
              </w:rPr>
              <w:tab/>
            </w:r>
            <w:r w:rsidRPr="008F5C15">
              <w:rPr>
                <w:rFonts w:ascii="Verdana" w:hAnsi="Verdana"/>
                <w:sz w:val="16"/>
                <w:szCs w:val="16"/>
                <w:lang w:val="en-US"/>
              </w:rPr>
              <w:t>Personnel.</w:t>
            </w:r>
          </w:p>
        </w:tc>
      </w:tr>
      <w:tr w:rsidR="00323325" w:rsidRPr="00262EF8" w14:paraId="49B344FC" w14:textId="77777777" w:rsidTr="00886332">
        <w:tc>
          <w:tcPr>
            <w:tcW w:w="4405" w:type="dxa"/>
          </w:tcPr>
          <w:p w14:paraId="5D39F534"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8.</w:t>
            </w:r>
            <w:r w:rsidRPr="008F5C15">
              <w:rPr>
                <w:rFonts w:ascii="Verdana" w:hAnsi="Verdana"/>
                <w:b/>
                <w:sz w:val="16"/>
                <w:szCs w:val="16"/>
                <w:lang w:val="es-MX"/>
              </w:rPr>
              <w:tab/>
            </w:r>
            <w:r w:rsidRPr="008F5C15">
              <w:rPr>
                <w:rFonts w:ascii="Verdana" w:hAnsi="Verdana"/>
                <w:sz w:val="16"/>
                <w:szCs w:val="16"/>
                <w:lang w:val="es-MX"/>
              </w:rPr>
              <w:t>Instalaciones y equipo.</w:t>
            </w:r>
          </w:p>
        </w:tc>
        <w:tc>
          <w:tcPr>
            <w:tcW w:w="4427" w:type="dxa"/>
            <w:shd w:val="clear" w:color="auto" w:fill="auto"/>
          </w:tcPr>
          <w:p w14:paraId="1380A7D5" w14:textId="77777777" w:rsidR="00323325" w:rsidRPr="008F5C15" w:rsidRDefault="00323325" w:rsidP="005C0901">
            <w:pPr>
              <w:pStyle w:val="ROMANOS"/>
              <w:spacing w:after="72" w:line="276" w:lineRule="auto"/>
              <w:ind w:left="0" w:firstLine="0"/>
              <w:rPr>
                <w:rFonts w:ascii="Verdana" w:hAnsi="Verdana"/>
                <w:b/>
                <w:sz w:val="16"/>
                <w:szCs w:val="16"/>
                <w:lang w:val="en-US"/>
              </w:rPr>
            </w:pPr>
            <w:r w:rsidRPr="008F5C15">
              <w:rPr>
                <w:rFonts w:ascii="Verdana" w:hAnsi="Verdana"/>
                <w:b/>
                <w:sz w:val="16"/>
                <w:szCs w:val="16"/>
                <w:lang w:val="en-US"/>
              </w:rPr>
              <w:t>8.</w:t>
            </w:r>
            <w:r w:rsidRPr="008F5C15">
              <w:rPr>
                <w:rFonts w:ascii="Verdana" w:hAnsi="Verdana"/>
                <w:b/>
                <w:sz w:val="16"/>
                <w:szCs w:val="16"/>
                <w:lang w:val="en-US"/>
              </w:rPr>
              <w:tab/>
            </w:r>
            <w:r w:rsidRPr="008F5C15">
              <w:rPr>
                <w:rFonts w:ascii="Verdana" w:hAnsi="Verdana"/>
                <w:sz w:val="16"/>
                <w:szCs w:val="16"/>
                <w:lang w:val="en-US"/>
              </w:rPr>
              <w:t>Installations and equipment.</w:t>
            </w:r>
          </w:p>
        </w:tc>
      </w:tr>
      <w:tr w:rsidR="00323325" w:rsidRPr="00262EF8" w14:paraId="258167B3" w14:textId="77777777" w:rsidTr="00886332">
        <w:tc>
          <w:tcPr>
            <w:tcW w:w="4405" w:type="dxa"/>
          </w:tcPr>
          <w:p w14:paraId="7D6A50A2"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9.</w:t>
            </w:r>
            <w:r w:rsidRPr="008F5C15">
              <w:rPr>
                <w:rFonts w:ascii="Verdana" w:hAnsi="Verdana"/>
                <w:b/>
                <w:sz w:val="16"/>
                <w:szCs w:val="16"/>
                <w:lang w:val="es-MX"/>
              </w:rPr>
              <w:tab/>
            </w:r>
            <w:r w:rsidRPr="008F5C15">
              <w:rPr>
                <w:rFonts w:ascii="Verdana" w:hAnsi="Verdana"/>
                <w:sz w:val="16"/>
                <w:szCs w:val="16"/>
                <w:lang w:val="es-MX"/>
              </w:rPr>
              <w:t>Calificación y validación.</w:t>
            </w:r>
          </w:p>
        </w:tc>
        <w:tc>
          <w:tcPr>
            <w:tcW w:w="4427" w:type="dxa"/>
            <w:shd w:val="clear" w:color="auto" w:fill="auto"/>
          </w:tcPr>
          <w:p w14:paraId="72A455ED" w14:textId="77777777" w:rsidR="00323325" w:rsidRPr="008F5C15" w:rsidRDefault="00323325" w:rsidP="005C0901">
            <w:pPr>
              <w:pStyle w:val="ROMANOS"/>
              <w:spacing w:after="72" w:line="276" w:lineRule="auto"/>
              <w:ind w:left="0" w:firstLine="0"/>
              <w:rPr>
                <w:rFonts w:ascii="Verdana" w:hAnsi="Verdana"/>
                <w:b/>
                <w:sz w:val="16"/>
                <w:szCs w:val="16"/>
                <w:lang w:val="en-US"/>
              </w:rPr>
            </w:pPr>
            <w:r w:rsidRPr="008F5C15">
              <w:rPr>
                <w:rFonts w:ascii="Verdana" w:hAnsi="Verdana"/>
                <w:b/>
                <w:sz w:val="16"/>
                <w:szCs w:val="16"/>
                <w:lang w:val="en-US"/>
              </w:rPr>
              <w:t>9.</w:t>
            </w:r>
            <w:r w:rsidRPr="008F5C15">
              <w:rPr>
                <w:rFonts w:ascii="Verdana" w:hAnsi="Verdana"/>
                <w:b/>
                <w:sz w:val="16"/>
                <w:szCs w:val="16"/>
                <w:lang w:val="en-US"/>
              </w:rPr>
              <w:tab/>
            </w:r>
            <w:r w:rsidRPr="008F5C15">
              <w:rPr>
                <w:rFonts w:ascii="Verdana" w:hAnsi="Verdana"/>
                <w:sz w:val="16"/>
                <w:szCs w:val="16"/>
                <w:lang w:val="en-US"/>
              </w:rPr>
              <w:t>Validation and qualification.</w:t>
            </w:r>
          </w:p>
        </w:tc>
      </w:tr>
      <w:tr w:rsidR="00323325" w:rsidRPr="00262EF8" w14:paraId="1B1FCEA3" w14:textId="77777777" w:rsidTr="00886332">
        <w:tc>
          <w:tcPr>
            <w:tcW w:w="4405" w:type="dxa"/>
          </w:tcPr>
          <w:p w14:paraId="70740894"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10.</w:t>
            </w:r>
            <w:r w:rsidRPr="008F5C15">
              <w:rPr>
                <w:rFonts w:ascii="Verdana" w:hAnsi="Verdana"/>
                <w:b/>
                <w:sz w:val="16"/>
                <w:szCs w:val="16"/>
                <w:lang w:val="es-MX"/>
              </w:rPr>
              <w:tab/>
            </w:r>
            <w:r w:rsidRPr="008F5C15">
              <w:rPr>
                <w:rFonts w:ascii="Verdana" w:hAnsi="Verdana"/>
                <w:sz w:val="16"/>
                <w:szCs w:val="16"/>
                <w:lang w:val="es-MX"/>
              </w:rPr>
              <w:t>Sistemas de fabricación.</w:t>
            </w:r>
          </w:p>
        </w:tc>
        <w:tc>
          <w:tcPr>
            <w:tcW w:w="4427" w:type="dxa"/>
            <w:shd w:val="clear" w:color="auto" w:fill="auto"/>
          </w:tcPr>
          <w:p w14:paraId="2E7A0BB4" w14:textId="77777777" w:rsidR="00323325" w:rsidRPr="008F5C15" w:rsidRDefault="00323325" w:rsidP="005C0901">
            <w:pPr>
              <w:pStyle w:val="ROMANOS"/>
              <w:spacing w:after="72" w:line="276" w:lineRule="auto"/>
              <w:ind w:left="0" w:firstLine="0"/>
              <w:rPr>
                <w:rFonts w:ascii="Verdana" w:hAnsi="Verdana"/>
                <w:b/>
                <w:sz w:val="16"/>
                <w:szCs w:val="16"/>
                <w:lang w:val="en-US"/>
              </w:rPr>
            </w:pPr>
            <w:r w:rsidRPr="008F5C15">
              <w:rPr>
                <w:rFonts w:ascii="Verdana" w:hAnsi="Verdana"/>
                <w:b/>
                <w:sz w:val="16"/>
                <w:szCs w:val="16"/>
                <w:lang w:val="en-US"/>
              </w:rPr>
              <w:t>10.</w:t>
            </w:r>
            <w:r w:rsidRPr="008F5C15">
              <w:rPr>
                <w:rFonts w:ascii="Verdana" w:hAnsi="Verdana"/>
                <w:b/>
                <w:sz w:val="16"/>
                <w:szCs w:val="16"/>
                <w:lang w:val="en-US"/>
              </w:rPr>
              <w:tab/>
            </w:r>
            <w:r w:rsidRPr="008F5C15">
              <w:rPr>
                <w:rFonts w:ascii="Verdana" w:hAnsi="Verdana"/>
                <w:sz w:val="16"/>
                <w:szCs w:val="16"/>
                <w:lang w:val="en-US"/>
              </w:rPr>
              <w:t>Manufacturing systems.</w:t>
            </w:r>
          </w:p>
        </w:tc>
      </w:tr>
      <w:tr w:rsidR="00323325" w:rsidRPr="00262EF8" w14:paraId="265C6506" w14:textId="77777777" w:rsidTr="00886332">
        <w:tc>
          <w:tcPr>
            <w:tcW w:w="4405" w:type="dxa"/>
          </w:tcPr>
          <w:p w14:paraId="2E46F951"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11.</w:t>
            </w:r>
            <w:r w:rsidRPr="008F5C15">
              <w:rPr>
                <w:rFonts w:ascii="Verdana" w:hAnsi="Verdana"/>
                <w:b/>
                <w:sz w:val="16"/>
                <w:szCs w:val="16"/>
                <w:lang w:val="es-MX"/>
              </w:rPr>
              <w:tab/>
            </w:r>
            <w:r w:rsidRPr="008F5C15">
              <w:rPr>
                <w:rFonts w:ascii="Verdana" w:hAnsi="Verdana"/>
                <w:sz w:val="16"/>
                <w:szCs w:val="16"/>
                <w:lang w:val="es-MX"/>
              </w:rPr>
              <w:t>Laboratorio de Control de Calidad.</w:t>
            </w:r>
          </w:p>
        </w:tc>
        <w:tc>
          <w:tcPr>
            <w:tcW w:w="4427" w:type="dxa"/>
            <w:shd w:val="clear" w:color="auto" w:fill="auto"/>
          </w:tcPr>
          <w:p w14:paraId="73D75172" w14:textId="77777777" w:rsidR="00323325" w:rsidRPr="008F5C15" w:rsidRDefault="00323325" w:rsidP="005C0901">
            <w:pPr>
              <w:pStyle w:val="ROMANOS"/>
              <w:spacing w:after="72" w:line="276" w:lineRule="auto"/>
              <w:ind w:left="0" w:firstLine="0"/>
              <w:rPr>
                <w:rFonts w:ascii="Verdana" w:hAnsi="Verdana"/>
                <w:b/>
                <w:sz w:val="16"/>
                <w:szCs w:val="16"/>
                <w:lang w:val="en-US"/>
              </w:rPr>
            </w:pPr>
            <w:r w:rsidRPr="008F5C15">
              <w:rPr>
                <w:rFonts w:ascii="Verdana" w:hAnsi="Verdana"/>
                <w:b/>
                <w:sz w:val="16"/>
                <w:szCs w:val="16"/>
                <w:lang w:val="en-US"/>
              </w:rPr>
              <w:t>11.</w:t>
            </w:r>
            <w:r w:rsidRPr="008F5C15">
              <w:rPr>
                <w:rFonts w:ascii="Verdana" w:hAnsi="Verdana"/>
                <w:b/>
                <w:sz w:val="16"/>
                <w:szCs w:val="16"/>
                <w:lang w:val="en-US"/>
              </w:rPr>
              <w:tab/>
            </w:r>
            <w:r w:rsidRPr="008F5C15">
              <w:rPr>
                <w:rFonts w:ascii="Verdana" w:hAnsi="Verdana"/>
                <w:sz w:val="16"/>
                <w:szCs w:val="16"/>
                <w:lang w:val="en-US"/>
              </w:rPr>
              <w:t>Quality Control Laboratory</w:t>
            </w:r>
          </w:p>
        </w:tc>
      </w:tr>
      <w:tr w:rsidR="00323325" w:rsidRPr="00906F5C" w14:paraId="55817898" w14:textId="77777777" w:rsidTr="00886332">
        <w:tc>
          <w:tcPr>
            <w:tcW w:w="4405" w:type="dxa"/>
          </w:tcPr>
          <w:p w14:paraId="419C4C27"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12.</w:t>
            </w:r>
            <w:r w:rsidRPr="008F5C15">
              <w:rPr>
                <w:rFonts w:ascii="Verdana" w:hAnsi="Verdana"/>
                <w:b/>
                <w:sz w:val="16"/>
                <w:szCs w:val="16"/>
                <w:lang w:val="es-MX"/>
              </w:rPr>
              <w:tab/>
            </w:r>
            <w:r w:rsidRPr="008F5C15">
              <w:rPr>
                <w:rFonts w:ascii="Verdana" w:hAnsi="Verdana"/>
                <w:sz w:val="16"/>
                <w:szCs w:val="16"/>
                <w:lang w:val="es-MX"/>
              </w:rPr>
              <w:t>Liberación de producto terminado.</w:t>
            </w:r>
          </w:p>
        </w:tc>
        <w:tc>
          <w:tcPr>
            <w:tcW w:w="4427" w:type="dxa"/>
            <w:shd w:val="clear" w:color="auto" w:fill="auto"/>
          </w:tcPr>
          <w:p w14:paraId="24225E1E" w14:textId="77777777" w:rsidR="00323325" w:rsidRPr="008F5C15" w:rsidRDefault="00323325" w:rsidP="005C0901">
            <w:pPr>
              <w:pStyle w:val="ROMANOS"/>
              <w:spacing w:after="72" w:line="276" w:lineRule="auto"/>
              <w:ind w:left="0" w:firstLine="0"/>
              <w:rPr>
                <w:rFonts w:ascii="Verdana" w:hAnsi="Verdana"/>
                <w:b/>
                <w:sz w:val="16"/>
                <w:szCs w:val="16"/>
                <w:lang w:val="en-US"/>
              </w:rPr>
            </w:pPr>
            <w:r w:rsidRPr="008F5C15">
              <w:rPr>
                <w:rFonts w:ascii="Verdana" w:hAnsi="Verdana"/>
                <w:b/>
                <w:sz w:val="16"/>
                <w:szCs w:val="16"/>
                <w:lang w:val="en-US"/>
              </w:rPr>
              <w:t>12.</w:t>
            </w:r>
            <w:r w:rsidRPr="008F5C15">
              <w:rPr>
                <w:rFonts w:ascii="Verdana" w:hAnsi="Verdana"/>
                <w:b/>
                <w:sz w:val="16"/>
                <w:szCs w:val="16"/>
                <w:lang w:val="en-US"/>
              </w:rPr>
              <w:tab/>
            </w:r>
            <w:r w:rsidRPr="008F5C15">
              <w:rPr>
                <w:rFonts w:ascii="Verdana" w:hAnsi="Verdana"/>
                <w:sz w:val="16"/>
                <w:szCs w:val="16"/>
                <w:lang w:val="en-US"/>
              </w:rPr>
              <w:t>Release of a finished product.</w:t>
            </w:r>
          </w:p>
        </w:tc>
      </w:tr>
      <w:tr w:rsidR="00323325" w:rsidRPr="00906F5C" w14:paraId="700DACA9" w14:textId="77777777" w:rsidTr="00886332">
        <w:tc>
          <w:tcPr>
            <w:tcW w:w="4405" w:type="dxa"/>
          </w:tcPr>
          <w:p w14:paraId="62FC34EF"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13.</w:t>
            </w:r>
            <w:r w:rsidRPr="008F5C15">
              <w:rPr>
                <w:rFonts w:ascii="Verdana" w:hAnsi="Verdana"/>
                <w:b/>
                <w:sz w:val="16"/>
                <w:szCs w:val="16"/>
                <w:lang w:val="es-MX"/>
              </w:rPr>
              <w:tab/>
            </w:r>
            <w:r w:rsidRPr="008F5C15">
              <w:rPr>
                <w:rFonts w:ascii="Verdana" w:hAnsi="Verdana"/>
                <w:sz w:val="16"/>
                <w:szCs w:val="16"/>
                <w:lang w:val="es-MX"/>
              </w:rPr>
              <w:t>Retiro de Producto del Mercado.</w:t>
            </w:r>
          </w:p>
        </w:tc>
        <w:tc>
          <w:tcPr>
            <w:tcW w:w="4427" w:type="dxa"/>
            <w:shd w:val="clear" w:color="auto" w:fill="auto"/>
          </w:tcPr>
          <w:p w14:paraId="0087AD3D" w14:textId="77777777" w:rsidR="00323325" w:rsidRPr="008F5C15" w:rsidRDefault="00323325" w:rsidP="005C0901">
            <w:pPr>
              <w:pStyle w:val="ROMANOS"/>
              <w:spacing w:after="72" w:line="276" w:lineRule="auto"/>
              <w:ind w:left="0" w:firstLine="0"/>
              <w:rPr>
                <w:rFonts w:ascii="Verdana" w:hAnsi="Verdana"/>
                <w:b/>
                <w:sz w:val="16"/>
                <w:szCs w:val="16"/>
                <w:lang w:val="en-US"/>
              </w:rPr>
            </w:pPr>
            <w:r w:rsidRPr="008F5C15">
              <w:rPr>
                <w:rFonts w:ascii="Verdana" w:hAnsi="Verdana"/>
                <w:b/>
                <w:sz w:val="16"/>
                <w:szCs w:val="16"/>
                <w:lang w:val="en-US"/>
              </w:rPr>
              <w:t>13.</w:t>
            </w:r>
            <w:r w:rsidRPr="008F5C15">
              <w:rPr>
                <w:rFonts w:ascii="Verdana" w:hAnsi="Verdana"/>
                <w:b/>
                <w:sz w:val="16"/>
                <w:szCs w:val="16"/>
                <w:lang w:val="en-US"/>
              </w:rPr>
              <w:tab/>
            </w:r>
            <w:r w:rsidRPr="008F5C15">
              <w:rPr>
                <w:rFonts w:ascii="Verdana" w:hAnsi="Verdana"/>
                <w:sz w:val="16"/>
                <w:szCs w:val="16"/>
                <w:lang w:val="en-US"/>
              </w:rPr>
              <w:t>Withdrawal of a product for the market.</w:t>
            </w:r>
          </w:p>
        </w:tc>
      </w:tr>
      <w:tr w:rsidR="00323325" w:rsidRPr="009C18BC" w14:paraId="45BAF7FE" w14:textId="77777777" w:rsidTr="00886332">
        <w:tc>
          <w:tcPr>
            <w:tcW w:w="4405" w:type="dxa"/>
          </w:tcPr>
          <w:p w14:paraId="57A5D5BE"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14.</w:t>
            </w:r>
            <w:r w:rsidRPr="008F5C15">
              <w:rPr>
                <w:rFonts w:ascii="Verdana" w:hAnsi="Verdana"/>
                <w:b/>
                <w:sz w:val="16"/>
                <w:szCs w:val="16"/>
                <w:lang w:val="es-MX"/>
              </w:rPr>
              <w:tab/>
            </w:r>
            <w:r w:rsidRPr="008F5C15">
              <w:rPr>
                <w:rFonts w:ascii="Verdana" w:hAnsi="Verdana"/>
                <w:sz w:val="16"/>
                <w:szCs w:val="16"/>
                <w:lang w:val="es-MX"/>
              </w:rPr>
              <w:t>Actividades subcontratadas.</w:t>
            </w:r>
          </w:p>
        </w:tc>
        <w:tc>
          <w:tcPr>
            <w:tcW w:w="4427" w:type="dxa"/>
            <w:shd w:val="clear" w:color="auto" w:fill="auto"/>
          </w:tcPr>
          <w:p w14:paraId="1005B344" w14:textId="77777777" w:rsidR="00323325" w:rsidRPr="008F5C15" w:rsidRDefault="00323325" w:rsidP="005C0901">
            <w:pPr>
              <w:pStyle w:val="ROMANOS"/>
              <w:spacing w:after="72" w:line="276" w:lineRule="auto"/>
              <w:ind w:left="0" w:firstLine="0"/>
              <w:rPr>
                <w:rFonts w:ascii="Verdana" w:hAnsi="Verdana"/>
                <w:sz w:val="16"/>
                <w:szCs w:val="16"/>
                <w:lang w:val="en-US"/>
              </w:rPr>
            </w:pPr>
            <w:r w:rsidRPr="008F5C15">
              <w:rPr>
                <w:rFonts w:ascii="Verdana" w:hAnsi="Verdana"/>
                <w:b/>
                <w:sz w:val="16"/>
                <w:szCs w:val="16"/>
                <w:lang w:val="en-US"/>
              </w:rPr>
              <w:t xml:space="preserve">14. </w:t>
            </w:r>
            <w:r w:rsidRPr="008F5C15">
              <w:rPr>
                <w:rFonts w:ascii="Verdana" w:hAnsi="Verdana"/>
                <w:b/>
                <w:sz w:val="16"/>
                <w:szCs w:val="16"/>
                <w:lang w:val="en-US"/>
              </w:rPr>
              <w:tab/>
            </w:r>
            <w:r w:rsidRPr="008F5C15">
              <w:rPr>
                <w:rFonts w:ascii="Verdana" w:hAnsi="Verdana"/>
                <w:sz w:val="16"/>
                <w:szCs w:val="16"/>
                <w:lang w:val="en-US"/>
              </w:rPr>
              <w:t>Subcontracted activities.</w:t>
            </w:r>
          </w:p>
        </w:tc>
      </w:tr>
      <w:tr w:rsidR="00323325" w:rsidRPr="00262EF8" w14:paraId="6D73562B" w14:textId="77777777" w:rsidTr="00886332">
        <w:tc>
          <w:tcPr>
            <w:tcW w:w="4405" w:type="dxa"/>
          </w:tcPr>
          <w:p w14:paraId="30C89F45"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15.</w:t>
            </w:r>
            <w:r w:rsidRPr="008F5C15">
              <w:rPr>
                <w:rFonts w:ascii="Verdana" w:hAnsi="Verdana"/>
                <w:b/>
                <w:sz w:val="16"/>
                <w:szCs w:val="16"/>
                <w:lang w:val="es-MX"/>
              </w:rPr>
              <w:tab/>
            </w:r>
            <w:r w:rsidRPr="008F5C15">
              <w:rPr>
                <w:rFonts w:ascii="Verdana" w:hAnsi="Verdana"/>
                <w:sz w:val="16"/>
                <w:szCs w:val="16"/>
                <w:lang w:val="es-MX"/>
              </w:rPr>
              <w:t>Destino Final de residuos.</w:t>
            </w:r>
          </w:p>
        </w:tc>
        <w:tc>
          <w:tcPr>
            <w:tcW w:w="4427" w:type="dxa"/>
            <w:shd w:val="clear" w:color="auto" w:fill="auto"/>
          </w:tcPr>
          <w:p w14:paraId="1B92E54C" w14:textId="77777777" w:rsidR="00323325" w:rsidRPr="008F5C15" w:rsidRDefault="00323325" w:rsidP="005C0901">
            <w:pPr>
              <w:pStyle w:val="ROMANOS"/>
              <w:spacing w:after="72" w:line="276" w:lineRule="auto"/>
              <w:ind w:left="0" w:firstLine="0"/>
              <w:rPr>
                <w:rFonts w:ascii="Verdana" w:hAnsi="Verdana"/>
                <w:b/>
                <w:sz w:val="16"/>
                <w:szCs w:val="16"/>
                <w:lang w:val="en-US"/>
              </w:rPr>
            </w:pPr>
            <w:r w:rsidRPr="008F5C15">
              <w:rPr>
                <w:rFonts w:ascii="Verdana" w:hAnsi="Verdana"/>
                <w:b/>
                <w:sz w:val="16"/>
                <w:szCs w:val="16"/>
                <w:lang w:val="en-US"/>
              </w:rPr>
              <w:t xml:space="preserve">15. </w:t>
            </w:r>
            <w:r w:rsidRPr="008F5C15">
              <w:rPr>
                <w:rFonts w:ascii="Verdana" w:hAnsi="Verdana"/>
                <w:b/>
                <w:sz w:val="16"/>
                <w:szCs w:val="16"/>
                <w:lang w:val="en-US"/>
              </w:rPr>
              <w:tab/>
            </w:r>
            <w:r w:rsidRPr="008F5C15">
              <w:rPr>
                <w:rFonts w:ascii="Verdana" w:hAnsi="Verdana"/>
                <w:sz w:val="16"/>
                <w:szCs w:val="16"/>
                <w:lang w:val="en-US"/>
              </w:rPr>
              <w:t>Final destination of wastes.</w:t>
            </w:r>
          </w:p>
        </w:tc>
      </w:tr>
      <w:tr w:rsidR="00323325" w:rsidRPr="00906F5C" w14:paraId="67F179F7" w14:textId="77777777" w:rsidTr="00886332">
        <w:tc>
          <w:tcPr>
            <w:tcW w:w="4405" w:type="dxa"/>
          </w:tcPr>
          <w:p w14:paraId="7CBDAD59" w14:textId="77777777" w:rsidR="00323325" w:rsidRPr="008F5C15" w:rsidRDefault="00323325" w:rsidP="005C0901">
            <w:pPr>
              <w:pStyle w:val="ROMANOS"/>
              <w:spacing w:line="276" w:lineRule="auto"/>
              <w:ind w:left="0" w:firstLine="0"/>
              <w:rPr>
                <w:rFonts w:ascii="Verdana" w:hAnsi="Verdana"/>
                <w:b/>
                <w:sz w:val="16"/>
                <w:szCs w:val="16"/>
                <w:lang w:val="es-MX"/>
              </w:rPr>
            </w:pPr>
            <w:r w:rsidRPr="008F5C15">
              <w:rPr>
                <w:rFonts w:ascii="Verdana" w:hAnsi="Verdana"/>
                <w:b/>
                <w:sz w:val="16"/>
                <w:szCs w:val="16"/>
                <w:lang w:val="es-MX"/>
              </w:rPr>
              <w:t>16.</w:t>
            </w:r>
            <w:r w:rsidRPr="008F5C15">
              <w:rPr>
                <w:rFonts w:ascii="Verdana" w:hAnsi="Verdana"/>
                <w:b/>
                <w:sz w:val="16"/>
                <w:szCs w:val="16"/>
                <w:lang w:val="es-MX"/>
              </w:rPr>
              <w:tab/>
            </w:r>
            <w:r w:rsidRPr="008F5C15">
              <w:rPr>
                <w:rFonts w:ascii="Verdana" w:hAnsi="Verdana"/>
                <w:sz w:val="16"/>
                <w:szCs w:val="16"/>
                <w:lang w:val="es-MX"/>
              </w:rPr>
              <w:t>Buenas Prácticas de Almacenamiento y Distribución.</w:t>
            </w:r>
          </w:p>
        </w:tc>
        <w:tc>
          <w:tcPr>
            <w:tcW w:w="4427" w:type="dxa"/>
            <w:shd w:val="clear" w:color="auto" w:fill="auto"/>
          </w:tcPr>
          <w:p w14:paraId="13B027BF" w14:textId="77777777" w:rsidR="00323325" w:rsidRPr="008F5C15" w:rsidRDefault="00323325" w:rsidP="005C0901">
            <w:pPr>
              <w:pStyle w:val="ROMANOS"/>
              <w:spacing w:after="72" w:line="276" w:lineRule="auto"/>
              <w:ind w:left="0" w:firstLine="0"/>
              <w:rPr>
                <w:rFonts w:ascii="Verdana" w:hAnsi="Verdana"/>
                <w:b/>
                <w:sz w:val="16"/>
                <w:szCs w:val="16"/>
                <w:lang w:val="en-US"/>
              </w:rPr>
            </w:pPr>
            <w:r w:rsidRPr="008F5C15">
              <w:rPr>
                <w:rFonts w:ascii="Verdana" w:hAnsi="Verdana"/>
                <w:b/>
                <w:sz w:val="16"/>
                <w:szCs w:val="16"/>
                <w:lang w:val="en-US"/>
              </w:rPr>
              <w:t>16.</w:t>
            </w:r>
            <w:r w:rsidRPr="008F5C15">
              <w:rPr>
                <w:rFonts w:ascii="Verdana" w:hAnsi="Verdana"/>
                <w:b/>
                <w:sz w:val="16"/>
                <w:szCs w:val="16"/>
                <w:lang w:val="en-US"/>
              </w:rPr>
              <w:tab/>
            </w:r>
            <w:r w:rsidRPr="008F5C15">
              <w:rPr>
                <w:rFonts w:ascii="Verdana" w:hAnsi="Verdana"/>
                <w:sz w:val="16"/>
                <w:szCs w:val="16"/>
                <w:lang w:val="en-US"/>
              </w:rPr>
              <w:t xml:space="preserve">Good Practices of Warehousing and Distribution </w:t>
            </w:r>
          </w:p>
        </w:tc>
      </w:tr>
      <w:tr w:rsidR="00323325" w:rsidRPr="00906F5C" w14:paraId="75E00E5F" w14:textId="77777777" w:rsidTr="00886332">
        <w:tc>
          <w:tcPr>
            <w:tcW w:w="4405" w:type="dxa"/>
          </w:tcPr>
          <w:p w14:paraId="35E0DFAF" w14:textId="77777777" w:rsidR="00323325" w:rsidRPr="008F5C15" w:rsidRDefault="00323325" w:rsidP="005C0901">
            <w:pPr>
              <w:pStyle w:val="ROMANOS"/>
              <w:spacing w:line="276" w:lineRule="auto"/>
              <w:ind w:left="0" w:firstLine="0"/>
              <w:rPr>
                <w:rFonts w:ascii="Verdana" w:hAnsi="Verdana"/>
                <w:b/>
                <w:sz w:val="16"/>
                <w:szCs w:val="16"/>
                <w:lang w:val="es-MX"/>
              </w:rPr>
            </w:pPr>
            <w:r w:rsidRPr="008F5C15">
              <w:rPr>
                <w:rFonts w:ascii="Verdana" w:hAnsi="Verdana"/>
                <w:b/>
                <w:sz w:val="16"/>
                <w:szCs w:val="16"/>
                <w:lang w:val="es-MX"/>
              </w:rPr>
              <w:t>17.</w:t>
            </w:r>
            <w:r w:rsidRPr="008F5C15">
              <w:rPr>
                <w:rFonts w:ascii="Verdana" w:hAnsi="Verdana"/>
                <w:b/>
                <w:sz w:val="16"/>
                <w:szCs w:val="16"/>
                <w:lang w:val="es-MX"/>
              </w:rPr>
              <w:tab/>
            </w:r>
            <w:r w:rsidRPr="008F5C15">
              <w:rPr>
                <w:rFonts w:ascii="Verdana" w:hAnsi="Verdana"/>
                <w:sz w:val="16"/>
                <w:szCs w:val="16"/>
                <w:lang w:val="es-MX"/>
              </w:rPr>
              <w:t>Concordancia con normas internacionales y mexicanas.</w:t>
            </w:r>
          </w:p>
        </w:tc>
        <w:tc>
          <w:tcPr>
            <w:tcW w:w="4427" w:type="dxa"/>
            <w:shd w:val="clear" w:color="auto" w:fill="auto"/>
          </w:tcPr>
          <w:p w14:paraId="0EF20615" w14:textId="77777777" w:rsidR="00323325" w:rsidRPr="008F5C15" w:rsidRDefault="00323325" w:rsidP="005C0901">
            <w:pPr>
              <w:pStyle w:val="ROMANOS"/>
              <w:spacing w:after="72" w:line="276" w:lineRule="auto"/>
              <w:ind w:left="0" w:firstLine="0"/>
              <w:rPr>
                <w:rFonts w:ascii="Verdana" w:hAnsi="Verdana"/>
                <w:b/>
                <w:sz w:val="16"/>
                <w:szCs w:val="16"/>
                <w:lang w:val="en-US"/>
              </w:rPr>
            </w:pPr>
            <w:r w:rsidRPr="008F5C15">
              <w:rPr>
                <w:rFonts w:ascii="Verdana" w:hAnsi="Verdana"/>
                <w:b/>
                <w:sz w:val="16"/>
                <w:szCs w:val="16"/>
                <w:lang w:val="en-US"/>
              </w:rPr>
              <w:t xml:space="preserve">17. </w:t>
            </w:r>
            <w:r w:rsidRPr="008F5C15">
              <w:rPr>
                <w:rFonts w:ascii="Verdana" w:hAnsi="Verdana"/>
                <w:b/>
                <w:sz w:val="16"/>
                <w:szCs w:val="16"/>
                <w:lang w:val="en-US"/>
              </w:rPr>
              <w:tab/>
            </w:r>
            <w:r w:rsidRPr="008F5C15">
              <w:rPr>
                <w:rFonts w:ascii="Verdana" w:hAnsi="Verdana"/>
                <w:sz w:val="16"/>
                <w:szCs w:val="16"/>
                <w:lang w:val="en-US"/>
              </w:rPr>
              <w:t>Concordance with international and Mexican standards.</w:t>
            </w:r>
          </w:p>
        </w:tc>
      </w:tr>
      <w:tr w:rsidR="00323325" w:rsidRPr="00262EF8" w14:paraId="0848BAAC" w14:textId="77777777" w:rsidTr="00886332">
        <w:tc>
          <w:tcPr>
            <w:tcW w:w="4405" w:type="dxa"/>
          </w:tcPr>
          <w:p w14:paraId="2F943BF0"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18.</w:t>
            </w:r>
            <w:r w:rsidRPr="008F5C15">
              <w:rPr>
                <w:rFonts w:ascii="Verdana" w:hAnsi="Verdana"/>
                <w:b/>
                <w:sz w:val="16"/>
                <w:szCs w:val="16"/>
                <w:lang w:val="es-MX"/>
              </w:rPr>
              <w:tab/>
            </w:r>
            <w:r w:rsidRPr="008F5C15">
              <w:rPr>
                <w:rFonts w:ascii="Verdana" w:hAnsi="Verdana"/>
                <w:sz w:val="16"/>
                <w:szCs w:val="16"/>
                <w:lang w:val="es-MX"/>
              </w:rPr>
              <w:t>Bibliografía.</w:t>
            </w:r>
          </w:p>
        </w:tc>
        <w:tc>
          <w:tcPr>
            <w:tcW w:w="4427" w:type="dxa"/>
            <w:shd w:val="clear" w:color="auto" w:fill="auto"/>
          </w:tcPr>
          <w:p w14:paraId="64CC2F8A"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18. </w:t>
            </w:r>
            <w:r w:rsidRPr="008F5C15">
              <w:rPr>
                <w:rFonts w:ascii="Verdana" w:hAnsi="Verdana"/>
                <w:b/>
                <w:sz w:val="16"/>
                <w:szCs w:val="16"/>
                <w:lang w:val="en-US"/>
              </w:rPr>
              <w:tab/>
            </w:r>
            <w:r w:rsidRPr="008F5C15">
              <w:rPr>
                <w:rFonts w:ascii="Verdana" w:hAnsi="Verdana"/>
                <w:sz w:val="16"/>
                <w:szCs w:val="16"/>
                <w:lang w:val="en-US"/>
              </w:rPr>
              <w:t>Bibliography.</w:t>
            </w:r>
          </w:p>
        </w:tc>
      </w:tr>
      <w:tr w:rsidR="00323325" w:rsidRPr="00262EF8" w14:paraId="12FE503D" w14:textId="77777777" w:rsidTr="00886332">
        <w:tc>
          <w:tcPr>
            <w:tcW w:w="4405" w:type="dxa"/>
          </w:tcPr>
          <w:p w14:paraId="692DFD6C"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19.</w:t>
            </w:r>
            <w:r w:rsidRPr="008F5C15">
              <w:rPr>
                <w:rFonts w:ascii="Verdana" w:hAnsi="Verdana"/>
                <w:b/>
                <w:sz w:val="16"/>
                <w:szCs w:val="16"/>
                <w:lang w:val="es-MX"/>
              </w:rPr>
              <w:tab/>
            </w:r>
            <w:r w:rsidRPr="008F5C15">
              <w:rPr>
                <w:rFonts w:ascii="Verdana" w:hAnsi="Verdana"/>
                <w:sz w:val="16"/>
                <w:szCs w:val="16"/>
                <w:lang w:val="es-MX"/>
              </w:rPr>
              <w:t>Observancia.</w:t>
            </w:r>
          </w:p>
        </w:tc>
        <w:tc>
          <w:tcPr>
            <w:tcW w:w="4427" w:type="dxa"/>
            <w:shd w:val="clear" w:color="auto" w:fill="auto"/>
          </w:tcPr>
          <w:p w14:paraId="24600721"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19. </w:t>
            </w:r>
            <w:r w:rsidRPr="008F5C15">
              <w:rPr>
                <w:rFonts w:ascii="Verdana" w:hAnsi="Verdana"/>
                <w:b/>
                <w:sz w:val="16"/>
                <w:szCs w:val="16"/>
                <w:lang w:val="en-US"/>
              </w:rPr>
              <w:tab/>
            </w:r>
            <w:r w:rsidRPr="008F5C15">
              <w:rPr>
                <w:rFonts w:ascii="Verdana" w:hAnsi="Verdana"/>
                <w:sz w:val="16"/>
                <w:szCs w:val="16"/>
                <w:lang w:val="en-US"/>
              </w:rPr>
              <w:t>Observance.</w:t>
            </w:r>
          </w:p>
        </w:tc>
      </w:tr>
      <w:tr w:rsidR="00323325" w:rsidRPr="00262EF8" w14:paraId="477AFBE6" w14:textId="77777777" w:rsidTr="00886332">
        <w:tc>
          <w:tcPr>
            <w:tcW w:w="4405" w:type="dxa"/>
          </w:tcPr>
          <w:p w14:paraId="4158E012"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20.</w:t>
            </w:r>
            <w:r w:rsidRPr="008F5C15">
              <w:rPr>
                <w:rFonts w:ascii="Verdana" w:hAnsi="Verdana"/>
                <w:b/>
                <w:sz w:val="16"/>
                <w:szCs w:val="16"/>
                <w:lang w:val="es-MX"/>
              </w:rPr>
              <w:tab/>
            </w:r>
            <w:r w:rsidRPr="008F5C15">
              <w:rPr>
                <w:rFonts w:ascii="Verdana" w:hAnsi="Verdana"/>
                <w:sz w:val="16"/>
                <w:szCs w:val="16"/>
                <w:lang w:val="es-MX"/>
              </w:rPr>
              <w:t>Vigencia.</w:t>
            </w:r>
          </w:p>
        </w:tc>
        <w:tc>
          <w:tcPr>
            <w:tcW w:w="4427" w:type="dxa"/>
            <w:shd w:val="clear" w:color="auto" w:fill="auto"/>
          </w:tcPr>
          <w:p w14:paraId="0998D6F4"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20. </w:t>
            </w:r>
            <w:r w:rsidRPr="008F5C15">
              <w:rPr>
                <w:rFonts w:ascii="Verdana" w:hAnsi="Verdana"/>
                <w:b/>
                <w:sz w:val="16"/>
                <w:szCs w:val="16"/>
                <w:lang w:val="en-US"/>
              </w:rPr>
              <w:tab/>
            </w:r>
            <w:r w:rsidR="005C0901" w:rsidRPr="008F5C15">
              <w:rPr>
                <w:rFonts w:ascii="Verdana" w:hAnsi="Verdana"/>
                <w:sz w:val="16"/>
                <w:szCs w:val="16"/>
                <w:lang w:val="en-US"/>
              </w:rPr>
              <w:t>Validity</w:t>
            </w:r>
            <w:r w:rsidRPr="008F5C15">
              <w:rPr>
                <w:rFonts w:ascii="Verdana" w:hAnsi="Verdana"/>
                <w:sz w:val="16"/>
                <w:szCs w:val="16"/>
                <w:lang w:val="en-US"/>
              </w:rPr>
              <w:t>.</w:t>
            </w:r>
          </w:p>
        </w:tc>
      </w:tr>
      <w:tr w:rsidR="00323325" w:rsidRPr="009C18BC" w14:paraId="6A37B55B" w14:textId="77777777" w:rsidTr="00886332">
        <w:tc>
          <w:tcPr>
            <w:tcW w:w="4405" w:type="dxa"/>
          </w:tcPr>
          <w:p w14:paraId="541E754E"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21.</w:t>
            </w:r>
            <w:r w:rsidRPr="008F5C15">
              <w:rPr>
                <w:rFonts w:ascii="Verdana" w:hAnsi="Verdana"/>
                <w:b/>
                <w:sz w:val="16"/>
                <w:szCs w:val="16"/>
                <w:lang w:val="es-MX"/>
              </w:rPr>
              <w:tab/>
            </w:r>
            <w:r w:rsidRPr="008F5C15">
              <w:rPr>
                <w:rFonts w:ascii="Verdana" w:hAnsi="Verdana"/>
                <w:sz w:val="16"/>
                <w:szCs w:val="16"/>
                <w:lang w:val="es-MX"/>
              </w:rPr>
              <w:t>Apéndices.</w:t>
            </w:r>
          </w:p>
        </w:tc>
        <w:tc>
          <w:tcPr>
            <w:tcW w:w="4427" w:type="dxa"/>
            <w:shd w:val="clear" w:color="auto" w:fill="auto"/>
          </w:tcPr>
          <w:p w14:paraId="2F870781"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21. </w:t>
            </w:r>
            <w:r w:rsidRPr="008F5C15">
              <w:rPr>
                <w:rFonts w:ascii="Verdana" w:hAnsi="Verdana"/>
                <w:b/>
                <w:sz w:val="16"/>
                <w:szCs w:val="16"/>
                <w:lang w:val="en-US"/>
              </w:rPr>
              <w:tab/>
            </w:r>
            <w:r w:rsidRPr="008F5C15">
              <w:rPr>
                <w:rFonts w:ascii="Verdana" w:hAnsi="Verdana"/>
                <w:sz w:val="16"/>
                <w:szCs w:val="16"/>
                <w:lang w:val="en-US"/>
              </w:rPr>
              <w:t xml:space="preserve">Appendices </w:t>
            </w:r>
          </w:p>
        </w:tc>
      </w:tr>
      <w:tr w:rsidR="00323325" w:rsidRPr="00906F5C" w14:paraId="326A506E" w14:textId="77777777" w:rsidTr="00886332">
        <w:tc>
          <w:tcPr>
            <w:tcW w:w="4405" w:type="dxa"/>
          </w:tcPr>
          <w:p w14:paraId="7635478F"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21.1.</w:t>
            </w:r>
            <w:r w:rsidRPr="008F5C15">
              <w:rPr>
                <w:rFonts w:ascii="Verdana" w:hAnsi="Verdana"/>
                <w:b/>
                <w:sz w:val="16"/>
                <w:szCs w:val="16"/>
                <w:lang w:val="es-MX"/>
              </w:rPr>
              <w:tab/>
            </w:r>
            <w:r w:rsidRPr="008F5C15">
              <w:rPr>
                <w:rFonts w:ascii="Verdana" w:hAnsi="Verdana"/>
                <w:sz w:val="16"/>
                <w:szCs w:val="16"/>
                <w:lang w:val="es-MX"/>
              </w:rPr>
              <w:t>Apéndice A Normativo. Clasificación de áreas de fabricación.</w:t>
            </w:r>
          </w:p>
        </w:tc>
        <w:tc>
          <w:tcPr>
            <w:tcW w:w="4427" w:type="dxa"/>
          </w:tcPr>
          <w:p w14:paraId="7507418A" w14:textId="77777777" w:rsidR="00323325" w:rsidRPr="008F5C15" w:rsidRDefault="00323325" w:rsidP="005C0901">
            <w:pPr>
              <w:pStyle w:val="ROMANOS"/>
              <w:spacing w:line="276" w:lineRule="auto"/>
              <w:ind w:left="0" w:firstLine="0"/>
              <w:rPr>
                <w:rFonts w:ascii="Verdana" w:hAnsi="Verdana"/>
                <w:sz w:val="16"/>
                <w:szCs w:val="16"/>
                <w:lang w:val="en-US"/>
              </w:rPr>
            </w:pPr>
            <w:r w:rsidRPr="008F5C15">
              <w:rPr>
                <w:rFonts w:ascii="Verdana" w:hAnsi="Verdana"/>
                <w:b/>
                <w:sz w:val="16"/>
                <w:szCs w:val="16"/>
                <w:lang w:val="en-US"/>
              </w:rPr>
              <w:t>21.1.</w:t>
            </w:r>
            <w:r w:rsidRPr="008F5C15">
              <w:rPr>
                <w:rFonts w:ascii="Verdana" w:hAnsi="Verdana"/>
                <w:b/>
                <w:sz w:val="16"/>
                <w:szCs w:val="16"/>
                <w:lang w:val="en-US"/>
              </w:rPr>
              <w:tab/>
            </w:r>
            <w:r w:rsidRPr="008F5C15">
              <w:rPr>
                <w:rFonts w:ascii="Verdana" w:hAnsi="Verdana"/>
                <w:sz w:val="16"/>
                <w:szCs w:val="16"/>
                <w:lang w:val="en-US"/>
              </w:rPr>
              <w:t xml:space="preserve">Obligatory Appendix A. Classification of the manufacturing areas. </w:t>
            </w:r>
          </w:p>
        </w:tc>
      </w:tr>
      <w:tr w:rsidR="00323325" w:rsidRPr="00906F5C" w14:paraId="4B899BF5" w14:textId="77777777" w:rsidTr="00886332">
        <w:tc>
          <w:tcPr>
            <w:tcW w:w="4405" w:type="dxa"/>
          </w:tcPr>
          <w:p w14:paraId="339C6B32" w14:textId="77777777" w:rsidR="00323325" w:rsidRPr="008F5C15" w:rsidRDefault="00323325" w:rsidP="005C0901">
            <w:pPr>
              <w:pStyle w:val="ROMANOS"/>
              <w:spacing w:line="276" w:lineRule="auto"/>
              <w:ind w:left="0" w:firstLine="0"/>
              <w:rPr>
                <w:rFonts w:ascii="Verdana" w:hAnsi="Verdana"/>
                <w:sz w:val="16"/>
                <w:szCs w:val="16"/>
                <w:lang w:val="es-MX"/>
              </w:rPr>
            </w:pPr>
            <w:r w:rsidRPr="008F5C15">
              <w:rPr>
                <w:rFonts w:ascii="Verdana" w:hAnsi="Verdana"/>
                <w:b/>
                <w:sz w:val="16"/>
                <w:szCs w:val="16"/>
                <w:lang w:val="es-MX"/>
              </w:rPr>
              <w:t>21.2.</w:t>
            </w:r>
            <w:r w:rsidRPr="008F5C15">
              <w:rPr>
                <w:rFonts w:ascii="Verdana" w:hAnsi="Verdana"/>
                <w:sz w:val="16"/>
                <w:szCs w:val="16"/>
                <w:lang w:val="es-MX"/>
              </w:rPr>
              <w:tab/>
              <w:t>Apéndice B Normativo. Revisión Anual del Producto.</w:t>
            </w:r>
          </w:p>
        </w:tc>
        <w:tc>
          <w:tcPr>
            <w:tcW w:w="4427" w:type="dxa"/>
          </w:tcPr>
          <w:p w14:paraId="12C931D6" w14:textId="77777777" w:rsidR="00323325" w:rsidRPr="008F5C15" w:rsidRDefault="00323325" w:rsidP="005C0901">
            <w:pPr>
              <w:pStyle w:val="ROMANOS"/>
              <w:spacing w:line="276" w:lineRule="auto"/>
              <w:ind w:left="0" w:firstLine="0"/>
              <w:rPr>
                <w:rFonts w:ascii="Verdana" w:hAnsi="Verdana"/>
                <w:sz w:val="16"/>
                <w:szCs w:val="16"/>
                <w:lang w:val="en-US"/>
              </w:rPr>
            </w:pPr>
            <w:r w:rsidRPr="008F5C15">
              <w:rPr>
                <w:rFonts w:ascii="Verdana" w:hAnsi="Verdana"/>
                <w:b/>
                <w:sz w:val="16"/>
                <w:szCs w:val="16"/>
                <w:lang w:val="en-US"/>
              </w:rPr>
              <w:t>21.2.</w:t>
            </w:r>
            <w:r w:rsidRPr="008F5C15">
              <w:rPr>
                <w:rFonts w:ascii="Verdana" w:hAnsi="Verdana"/>
                <w:sz w:val="16"/>
                <w:szCs w:val="16"/>
                <w:lang w:val="en-US"/>
              </w:rPr>
              <w:tab/>
              <w:t xml:space="preserve">Obligatory Appendix B. Annual review of the Product. </w:t>
            </w:r>
          </w:p>
        </w:tc>
      </w:tr>
      <w:tr w:rsidR="00323325" w:rsidRPr="00906F5C" w14:paraId="1B019122" w14:textId="77777777" w:rsidTr="00886332">
        <w:tc>
          <w:tcPr>
            <w:tcW w:w="4405" w:type="dxa"/>
          </w:tcPr>
          <w:p w14:paraId="7930EF33" w14:textId="77777777" w:rsidR="00323325" w:rsidRPr="008F5C15" w:rsidRDefault="00323325" w:rsidP="005C0901">
            <w:pPr>
              <w:pStyle w:val="Texto"/>
              <w:spacing w:line="276" w:lineRule="auto"/>
              <w:ind w:firstLine="0"/>
              <w:rPr>
                <w:rFonts w:ascii="Verdana" w:hAnsi="Verdana"/>
                <w:b/>
                <w:sz w:val="16"/>
                <w:szCs w:val="16"/>
                <w:lang w:val="es-MX"/>
              </w:rPr>
            </w:pPr>
            <w:r w:rsidRPr="008F5C15">
              <w:rPr>
                <w:rFonts w:ascii="Verdana" w:hAnsi="Verdana"/>
                <w:b/>
                <w:sz w:val="16"/>
                <w:szCs w:val="16"/>
                <w:lang w:val="es-MX"/>
              </w:rPr>
              <w:t>1. Objetivo y campo de aplicación</w:t>
            </w:r>
          </w:p>
        </w:tc>
        <w:tc>
          <w:tcPr>
            <w:tcW w:w="4427" w:type="dxa"/>
          </w:tcPr>
          <w:p w14:paraId="655578A0" w14:textId="77777777" w:rsidR="00323325" w:rsidRPr="008F5C15" w:rsidRDefault="00323325"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1. Objective and field of application</w:t>
            </w:r>
          </w:p>
        </w:tc>
      </w:tr>
      <w:tr w:rsidR="00323325" w:rsidRPr="00262EF8" w14:paraId="6DFDB3FE" w14:textId="77777777" w:rsidTr="00886332">
        <w:tc>
          <w:tcPr>
            <w:tcW w:w="4405" w:type="dxa"/>
          </w:tcPr>
          <w:p w14:paraId="26297442" w14:textId="77777777" w:rsidR="00323325" w:rsidRPr="008F5C15" w:rsidRDefault="00323325" w:rsidP="005C0901">
            <w:pPr>
              <w:pStyle w:val="Texto"/>
              <w:spacing w:line="276" w:lineRule="auto"/>
              <w:ind w:firstLine="0"/>
              <w:rPr>
                <w:rFonts w:ascii="Verdana" w:hAnsi="Verdana"/>
                <w:b/>
                <w:sz w:val="16"/>
                <w:szCs w:val="16"/>
                <w:lang w:val="es-MX"/>
              </w:rPr>
            </w:pPr>
            <w:r w:rsidRPr="008F5C15">
              <w:rPr>
                <w:rFonts w:ascii="Verdana" w:hAnsi="Verdana"/>
                <w:b/>
                <w:sz w:val="16"/>
                <w:szCs w:val="16"/>
                <w:lang w:val="es-MX"/>
              </w:rPr>
              <w:t>1.1 Objetivo</w:t>
            </w:r>
          </w:p>
        </w:tc>
        <w:tc>
          <w:tcPr>
            <w:tcW w:w="4427" w:type="dxa"/>
          </w:tcPr>
          <w:p w14:paraId="1F5DD694" w14:textId="77777777" w:rsidR="00323325" w:rsidRPr="008F5C15" w:rsidRDefault="00323325"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1.1 Objective.</w:t>
            </w:r>
          </w:p>
        </w:tc>
      </w:tr>
      <w:tr w:rsidR="00323325" w:rsidRPr="00906F5C" w14:paraId="5A396FD9" w14:textId="77777777" w:rsidTr="00886332">
        <w:tc>
          <w:tcPr>
            <w:tcW w:w="4405" w:type="dxa"/>
          </w:tcPr>
          <w:p w14:paraId="38EF1B5F"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Esta Norma establece los requisitos mínimos necesarios para el proceso de fabricación de los medicamentos para uso humano comercializados en el país y/o con fines de investigación.</w:t>
            </w:r>
          </w:p>
        </w:tc>
        <w:tc>
          <w:tcPr>
            <w:tcW w:w="4427" w:type="dxa"/>
          </w:tcPr>
          <w:p w14:paraId="47F9EE58"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This Standard establishes the minimum requirements necessary for the manufacturing process of the drug products for human use commercially distributed in the country and/or for research purposes.</w:t>
            </w:r>
          </w:p>
        </w:tc>
      </w:tr>
      <w:tr w:rsidR="00323325" w:rsidRPr="00262EF8" w14:paraId="5244B774" w14:textId="77777777" w:rsidTr="00886332">
        <w:tc>
          <w:tcPr>
            <w:tcW w:w="4405" w:type="dxa"/>
          </w:tcPr>
          <w:p w14:paraId="6884B56A"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b/>
                <w:sz w:val="16"/>
                <w:szCs w:val="16"/>
                <w:lang w:val="es-MX"/>
              </w:rPr>
              <w:t>1.2 Campo de aplicación</w:t>
            </w:r>
          </w:p>
        </w:tc>
        <w:tc>
          <w:tcPr>
            <w:tcW w:w="4427" w:type="dxa"/>
          </w:tcPr>
          <w:p w14:paraId="46309EB1" w14:textId="77777777" w:rsidR="00323325" w:rsidRPr="008F5C15" w:rsidRDefault="00323325"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1.2 Field of application.</w:t>
            </w:r>
          </w:p>
        </w:tc>
      </w:tr>
      <w:tr w:rsidR="00323325" w:rsidRPr="00906F5C" w14:paraId="258FD290" w14:textId="77777777" w:rsidTr="00886332">
        <w:tc>
          <w:tcPr>
            <w:tcW w:w="4405" w:type="dxa"/>
          </w:tcPr>
          <w:p w14:paraId="313EBE19"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Esta Norma es de observancia obligatoria para todos los establecimientos dedicados a la fabricación y/o importación de medicamentos para uso humano comercializados en el país y/o con fines de investigación, así como los laboratorios de control de calidad, almacenes de acondicionamiento, depósito y distribución de medicamentos y materias primas para su elaboración.</w:t>
            </w:r>
          </w:p>
        </w:tc>
        <w:tc>
          <w:tcPr>
            <w:tcW w:w="4427" w:type="dxa"/>
          </w:tcPr>
          <w:p w14:paraId="4F0FA092" w14:textId="77777777" w:rsidR="00323325" w:rsidRPr="008F5C15" w:rsidRDefault="00323325"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This Official Mexican Standard is of obligatory observance for all the establishments dedicated to the manufacture and/or import of drug products commercially promoted in the country and/or for research purposes, as well as quality control laboratories, warehouses for conditioning, deposit and distribution of drug products and raw materials for their preparation.</w:t>
            </w:r>
          </w:p>
        </w:tc>
      </w:tr>
      <w:tr w:rsidR="00323325" w:rsidRPr="00262EF8" w14:paraId="7A58837C" w14:textId="77777777" w:rsidTr="00886332">
        <w:tc>
          <w:tcPr>
            <w:tcW w:w="4405" w:type="dxa"/>
          </w:tcPr>
          <w:p w14:paraId="198DA9C5" w14:textId="77777777" w:rsidR="00323325" w:rsidRPr="008F5C15" w:rsidRDefault="00323325" w:rsidP="005C0901">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2. Referencias</w:t>
            </w:r>
          </w:p>
        </w:tc>
        <w:tc>
          <w:tcPr>
            <w:tcW w:w="4427" w:type="dxa"/>
          </w:tcPr>
          <w:p w14:paraId="6AB69AAB" w14:textId="77777777" w:rsidR="00323325" w:rsidRPr="008F5C15" w:rsidRDefault="00E7160E"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2. References</w:t>
            </w:r>
          </w:p>
        </w:tc>
      </w:tr>
      <w:tr w:rsidR="00323325" w:rsidRPr="00906F5C" w14:paraId="5D9BE712" w14:textId="77777777" w:rsidTr="00886332">
        <w:tc>
          <w:tcPr>
            <w:tcW w:w="4405" w:type="dxa"/>
          </w:tcPr>
          <w:p w14:paraId="30B9256F"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sz w:val="16"/>
                <w:szCs w:val="16"/>
                <w:lang w:val="es-MX"/>
              </w:rPr>
              <w:t>Para la correcta aplicación de esta Norma, es necesario consultar las siguientes normas oficiales mexicanas o las que las sustituyan:</w:t>
            </w:r>
          </w:p>
        </w:tc>
        <w:tc>
          <w:tcPr>
            <w:tcW w:w="4427" w:type="dxa"/>
          </w:tcPr>
          <w:p w14:paraId="49DDD0B1" w14:textId="77777777" w:rsidR="00323325" w:rsidRPr="008F5C15" w:rsidRDefault="00E7160E" w:rsidP="005C0901">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For the correct application of this Official Mexican Standard, it is necessary to consult the </w:t>
            </w:r>
            <w:r w:rsidR="0024170C" w:rsidRPr="008F5C15">
              <w:rPr>
                <w:rFonts w:ascii="Verdana" w:hAnsi="Verdana"/>
                <w:sz w:val="16"/>
                <w:szCs w:val="16"/>
                <w:lang w:val="en-US"/>
              </w:rPr>
              <w:t>following Official</w:t>
            </w:r>
            <w:r w:rsidR="00EB6C69" w:rsidRPr="008F5C15">
              <w:rPr>
                <w:rFonts w:ascii="Verdana" w:hAnsi="Verdana"/>
                <w:sz w:val="16"/>
                <w:szCs w:val="16"/>
                <w:lang w:val="en-US"/>
              </w:rPr>
              <w:t xml:space="preserve"> Mexican Standards</w:t>
            </w:r>
            <w:r w:rsidRPr="008F5C15">
              <w:rPr>
                <w:rFonts w:ascii="Verdana" w:hAnsi="Verdana"/>
                <w:sz w:val="16"/>
                <w:szCs w:val="16"/>
                <w:lang w:val="en-US"/>
              </w:rPr>
              <w:t xml:space="preserve"> or those which substitute them:</w:t>
            </w:r>
          </w:p>
        </w:tc>
      </w:tr>
      <w:tr w:rsidR="00323325" w:rsidRPr="00906F5C" w14:paraId="0C6F23C6" w14:textId="77777777" w:rsidTr="00886332">
        <w:tc>
          <w:tcPr>
            <w:tcW w:w="4405" w:type="dxa"/>
          </w:tcPr>
          <w:p w14:paraId="40FC9666"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b/>
                <w:sz w:val="16"/>
                <w:szCs w:val="16"/>
                <w:lang w:val="es-MX"/>
              </w:rPr>
              <w:t>2.1</w:t>
            </w:r>
            <w:r w:rsidRPr="008F5C15">
              <w:rPr>
                <w:rFonts w:ascii="Verdana" w:hAnsi="Verdana"/>
                <w:sz w:val="16"/>
                <w:szCs w:val="16"/>
                <w:lang w:val="es-MX"/>
              </w:rPr>
              <w:t xml:space="preserve"> Norma Oficial Mexicana NOM-002/1-SCT/2009, Listado de las substancias y materiales peligrosos más usualmente transportados, instrucciones y uso de envases y embalajes, recipientes intermedios para graneles (RIG S), grandes envases y embalajes, cisternas portátiles, contenedores de gas de elementos múltiples y contenedores para graneles para el transporte de materiales y residuos peligrosos.</w:t>
            </w:r>
          </w:p>
        </w:tc>
        <w:tc>
          <w:tcPr>
            <w:tcW w:w="4427" w:type="dxa"/>
          </w:tcPr>
          <w:p w14:paraId="3522A05F" w14:textId="77777777" w:rsidR="00323325" w:rsidRPr="008F5C15" w:rsidRDefault="00E7160E"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2.1</w:t>
            </w:r>
            <w:r w:rsidR="00EB6C69" w:rsidRPr="008F5C15">
              <w:rPr>
                <w:rFonts w:ascii="Verdana" w:hAnsi="Verdana"/>
                <w:b/>
                <w:sz w:val="16"/>
                <w:szCs w:val="16"/>
                <w:lang w:val="en-US"/>
              </w:rPr>
              <w:t xml:space="preserve"> </w:t>
            </w:r>
            <w:r w:rsidRPr="008F5C15">
              <w:rPr>
                <w:rFonts w:ascii="Verdana" w:hAnsi="Verdana"/>
                <w:sz w:val="16"/>
                <w:szCs w:val="16"/>
                <w:lang w:val="en-US"/>
              </w:rPr>
              <w:t>Official Mexican Standard NOM-002/1-SCT/2009, List of hazardous substances and materials most often transported; instructions and use of packaging and containers, intermediate bulk containers (IBCs), large packaging and containers, portable tanks, multiple element gas containers, and bulk containers for transport of hazardous materials and wastes.</w:t>
            </w:r>
          </w:p>
        </w:tc>
      </w:tr>
      <w:tr w:rsidR="00323325" w:rsidRPr="00906F5C" w14:paraId="490FE912" w14:textId="77777777" w:rsidTr="00886332">
        <w:tc>
          <w:tcPr>
            <w:tcW w:w="4405" w:type="dxa"/>
          </w:tcPr>
          <w:p w14:paraId="1EBC0C71"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b/>
                <w:sz w:val="16"/>
                <w:szCs w:val="16"/>
                <w:lang w:val="es-MX"/>
              </w:rPr>
              <w:t>2.2</w:t>
            </w:r>
            <w:r w:rsidRPr="008F5C15">
              <w:rPr>
                <w:rFonts w:ascii="Verdana" w:hAnsi="Verdana"/>
                <w:sz w:val="16"/>
                <w:szCs w:val="16"/>
                <w:lang w:val="es-MX"/>
              </w:rPr>
              <w:t xml:space="preserve"> Norma Oficial Mexicana NOM-002-SEMARNAT-1996, Que establece los límites máximos permisibles de contaminantes en las descargas de aguas residuales a los sistemas de alcantarillado urbano o municipal.</w:t>
            </w:r>
          </w:p>
        </w:tc>
        <w:tc>
          <w:tcPr>
            <w:tcW w:w="4427" w:type="dxa"/>
          </w:tcPr>
          <w:p w14:paraId="2F3616A8" w14:textId="77777777" w:rsidR="00323325" w:rsidRPr="008F5C15" w:rsidRDefault="00E7160E"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2.2 </w:t>
            </w:r>
            <w:r w:rsidRPr="008F5C15">
              <w:rPr>
                <w:rFonts w:ascii="Verdana" w:hAnsi="Verdana"/>
                <w:sz w:val="16"/>
                <w:szCs w:val="16"/>
                <w:lang w:val="en-US"/>
              </w:rPr>
              <w:t>Official Mexican Standard</w:t>
            </w:r>
            <w:r w:rsidRPr="008F5C15">
              <w:rPr>
                <w:rFonts w:ascii="Verdana" w:hAnsi="Verdana"/>
                <w:b/>
                <w:sz w:val="16"/>
                <w:szCs w:val="16"/>
                <w:lang w:val="en-US"/>
              </w:rPr>
              <w:t xml:space="preserve"> </w:t>
            </w:r>
            <w:r w:rsidRPr="008F5C15">
              <w:rPr>
                <w:rFonts w:ascii="Verdana" w:hAnsi="Verdana"/>
                <w:sz w:val="16"/>
                <w:szCs w:val="16"/>
                <w:lang w:val="en-US"/>
              </w:rPr>
              <w:t>NOM-002-SEMARNAT-1996, That establishes the maximum permissible limits of contaminants in the discharges of wastewaters to urban or municipal sewer systems.</w:t>
            </w:r>
          </w:p>
        </w:tc>
      </w:tr>
      <w:tr w:rsidR="00323325" w:rsidRPr="00906F5C" w14:paraId="778050BB" w14:textId="77777777" w:rsidTr="00886332">
        <w:tc>
          <w:tcPr>
            <w:tcW w:w="4405" w:type="dxa"/>
          </w:tcPr>
          <w:p w14:paraId="026D40AB" w14:textId="77777777" w:rsidR="00323325" w:rsidRPr="008F5C15" w:rsidRDefault="00323325" w:rsidP="005C0901">
            <w:pPr>
              <w:pStyle w:val="Texto"/>
              <w:spacing w:line="276" w:lineRule="auto"/>
              <w:ind w:firstLine="0"/>
              <w:rPr>
                <w:rFonts w:ascii="Verdana" w:hAnsi="Verdana"/>
                <w:sz w:val="16"/>
                <w:szCs w:val="16"/>
                <w:lang w:val="es-MX"/>
              </w:rPr>
            </w:pPr>
            <w:r w:rsidRPr="008F5C15">
              <w:rPr>
                <w:rFonts w:ascii="Verdana" w:hAnsi="Verdana"/>
                <w:b/>
                <w:sz w:val="16"/>
                <w:szCs w:val="16"/>
                <w:lang w:val="es-MX"/>
              </w:rPr>
              <w:t>2.3</w:t>
            </w:r>
            <w:r w:rsidRPr="008F5C15">
              <w:rPr>
                <w:rFonts w:ascii="Verdana" w:hAnsi="Verdana"/>
                <w:sz w:val="16"/>
                <w:szCs w:val="16"/>
                <w:lang w:val="es-MX"/>
              </w:rPr>
              <w:t xml:space="preserve"> Norma Oficial Mexicana NOM-005-STPS-1998, Relativa a las condiciones de seguridad e higiene en los centros de trabajo para el manejo, transporte y almacenamiento de sustancias químicas peligrosas.</w:t>
            </w:r>
          </w:p>
        </w:tc>
        <w:tc>
          <w:tcPr>
            <w:tcW w:w="4427" w:type="dxa"/>
          </w:tcPr>
          <w:p w14:paraId="34568D87" w14:textId="77777777" w:rsidR="00323325" w:rsidRPr="008F5C15" w:rsidRDefault="00E7160E"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2.3 </w:t>
            </w:r>
            <w:r w:rsidRPr="008F5C15">
              <w:rPr>
                <w:rFonts w:ascii="Verdana" w:hAnsi="Verdana"/>
                <w:sz w:val="16"/>
                <w:szCs w:val="16"/>
                <w:lang w:val="en-US"/>
              </w:rPr>
              <w:t>Official Mexican Standard NOM-005-STPS-1998, Health and Safety conditions in the workplaces for the handling, transportation, and warehousing of hazardous chemical substances.</w:t>
            </w:r>
          </w:p>
        </w:tc>
      </w:tr>
      <w:tr w:rsidR="00E7160E" w:rsidRPr="00906F5C" w14:paraId="6D951505" w14:textId="77777777" w:rsidTr="00886332">
        <w:tc>
          <w:tcPr>
            <w:tcW w:w="4405" w:type="dxa"/>
          </w:tcPr>
          <w:p w14:paraId="10A5FADD" w14:textId="77777777" w:rsidR="00E7160E" w:rsidRPr="008F5C15" w:rsidRDefault="00E7160E" w:rsidP="005C0901">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2.4 </w:t>
            </w:r>
            <w:r w:rsidRPr="008F5C15">
              <w:rPr>
                <w:rFonts w:ascii="Verdana" w:hAnsi="Verdana"/>
                <w:sz w:val="16"/>
                <w:szCs w:val="16"/>
                <w:lang w:val="es-MX"/>
              </w:rPr>
              <w:t>Norma Oficial Mexicana NOM-020-STPS-2011, Recipientes sujetos a presión, recipientes criogénicos y generadores de vapor o calderas - Funcionamiento - Condiciones de Seguridad.</w:t>
            </w:r>
          </w:p>
        </w:tc>
        <w:tc>
          <w:tcPr>
            <w:tcW w:w="4427" w:type="dxa"/>
            <w:shd w:val="clear" w:color="auto" w:fill="auto"/>
          </w:tcPr>
          <w:p w14:paraId="4A95BD89" w14:textId="77777777" w:rsidR="00E7160E" w:rsidRPr="008F5C15" w:rsidRDefault="00E7160E"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2.4 </w:t>
            </w:r>
            <w:r w:rsidRPr="008F5C15">
              <w:rPr>
                <w:rFonts w:ascii="Verdana" w:hAnsi="Verdana"/>
                <w:sz w:val="16"/>
                <w:szCs w:val="16"/>
                <w:lang w:val="en-US"/>
              </w:rPr>
              <w:t>Official Mexican Standard NOM-020-STPS-2011, Containers subject to pressure, cryogenic containers and generators of steam or boilers – Operation – Safety Conditions.</w:t>
            </w:r>
          </w:p>
        </w:tc>
      </w:tr>
      <w:tr w:rsidR="00E7160E" w:rsidRPr="00906F5C" w14:paraId="4366BCB4" w14:textId="77777777" w:rsidTr="00886332">
        <w:tc>
          <w:tcPr>
            <w:tcW w:w="4405" w:type="dxa"/>
          </w:tcPr>
          <w:p w14:paraId="0B54625F" w14:textId="77777777" w:rsidR="00E7160E" w:rsidRPr="008F5C15" w:rsidRDefault="00E7160E" w:rsidP="005C0901">
            <w:pPr>
              <w:pStyle w:val="Texto"/>
              <w:spacing w:line="276" w:lineRule="auto"/>
              <w:ind w:firstLine="0"/>
              <w:rPr>
                <w:rFonts w:ascii="Verdana" w:hAnsi="Verdana"/>
                <w:sz w:val="16"/>
                <w:szCs w:val="16"/>
                <w:lang w:val="es-MX"/>
              </w:rPr>
            </w:pPr>
            <w:r w:rsidRPr="008F5C15">
              <w:rPr>
                <w:rFonts w:ascii="Verdana" w:hAnsi="Verdana"/>
                <w:b/>
                <w:sz w:val="16"/>
                <w:szCs w:val="16"/>
                <w:lang w:val="es-MX"/>
              </w:rPr>
              <w:t>2.5</w:t>
            </w:r>
            <w:r w:rsidRPr="008F5C15">
              <w:rPr>
                <w:rFonts w:ascii="Verdana" w:hAnsi="Verdana"/>
                <w:sz w:val="16"/>
                <w:szCs w:val="16"/>
                <w:lang w:val="es-MX"/>
              </w:rPr>
              <w:t xml:space="preserve"> Norma Oficial Mexicana NOM-026-STPS-2008, Colores y señales de seguridad e higiene, e identificación de riesgos por fluidos conducidos en tuberías.</w:t>
            </w:r>
          </w:p>
        </w:tc>
        <w:tc>
          <w:tcPr>
            <w:tcW w:w="4427" w:type="dxa"/>
            <w:shd w:val="clear" w:color="auto" w:fill="auto"/>
          </w:tcPr>
          <w:p w14:paraId="3F4E8C3C" w14:textId="77777777" w:rsidR="00E7160E" w:rsidRPr="008F5C15" w:rsidRDefault="00E7160E"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2.5 </w:t>
            </w:r>
            <w:r w:rsidRPr="008F5C15">
              <w:rPr>
                <w:rFonts w:ascii="Verdana" w:hAnsi="Verdana"/>
                <w:sz w:val="16"/>
                <w:szCs w:val="16"/>
                <w:lang w:val="en-US"/>
              </w:rPr>
              <w:t>Official Mexican Standard NOM-026-STPS-2008, Colors, safety and health signs, and identification of risks from fluids conducted through pipes.</w:t>
            </w:r>
          </w:p>
        </w:tc>
      </w:tr>
      <w:tr w:rsidR="00E7160E" w:rsidRPr="00906F5C" w14:paraId="25F0FE52" w14:textId="77777777" w:rsidTr="00886332">
        <w:tc>
          <w:tcPr>
            <w:tcW w:w="4405" w:type="dxa"/>
          </w:tcPr>
          <w:p w14:paraId="5762163D" w14:textId="77777777" w:rsidR="00E7160E" w:rsidRPr="008F5C15" w:rsidRDefault="00E7160E" w:rsidP="005C0901">
            <w:pPr>
              <w:pStyle w:val="Texto"/>
              <w:spacing w:line="276" w:lineRule="auto"/>
              <w:ind w:firstLine="0"/>
              <w:rPr>
                <w:rFonts w:ascii="Verdana" w:hAnsi="Verdana"/>
                <w:sz w:val="16"/>
                <w:szCs w:val="16"/>
                <w:lang w:val="es-MX"/>
              </w:rPr>
            </w:pPr>
            <w:r w:rsidRPr="008F5C15">
              <w:rPr>
                <w:rFonts w:ascii="Verdana" w:hAnsi="Verdana"/>
                <w:b/>
                <w:sz w:val="16"/>
                <w:szCs w:val="16"/>
                <w:lang w:val="es-MX"/>
              </w:rPr>
              <w:t>2.6</w:t>
            </w:r>
            <w:r w:rsidRPr="008F5C15">
              <w:rPr>
                <w:rFonts w:ascii="Verdana" w:hAnsi="Verdana"/>
                <w:sz w:val="16"/>
                <w:szCs w:val="16"/>
                <w:lang w:val="es-MX"/>
              </w:rPr>
              <w:t xml:space="preserve"> Norma Oficial Mexicana NOM-052-SEMARNAT-2005, Que establece las características, el procedimiento de identificación, clasificación y los listados de los residuos peligrosos.</w:t>
            </w:r>
          </w:p>
        </w:tc>
        <w:tc>
          <w:tcPr>
            <w:tcW w:w="4427" w:type="dxa"/>
            <w:shd w:val="clear" w:color="auto" w:fill="auto"/>
          </w:tcPr>
          <w:p w14:paraId="68FBFB9F" w14:textId="77777777" w:rsidR="00E7160E" w:rsidRPr="008F5C15" w:rsidRDefault="00E7160E"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2.6 </w:t>
            </w:r>
            <w:r w:rsidRPr="008F5C15">
              <w:rPr>
                <w:rFonts w:ascii="Verdana" w:hAnsi="Verdana"/>
                <w:sz w:val="16"/>
                <w:szCs w:val="16"/>
                <w:lang w:val="en-US"/>
              </w:rPr>
              <w:t>Official Mexican Standard</w:t>
            </w:r>
            <w:r w:rsidRPr="008F5C15">
              <w:rPr>
                <w:rFonts w:ascii="Verdana" w:hAnsi="Verdana"/>
                <w:b/>
                <w:sz w:val="16"/>
                <w:szCs w:val="16"/>
                <w:lang w:val="en-US"/>
              </w:rPr>
              <w:t xml:space="preserve"> </w:t>
            </w:r>
            <w:r w:rsidRPr="008F5C15">
              <w:rPr>
                <w:rFonts w:ascii="Verdana" w:hAnsi="Verdana"/>
                <w:sz w:val="16"/>
                <w:szCs w:val="16"/>
                <w:lang w:val="en-US"/>
              </w:rPr>
              <w:t>NOM-052-SEMARNAT-2005, That establishes the characteristics, the procedure of identification, classification and the lists of hazardous wastes.</w:t>
            </w:r>
          </w:p>
        </w:tc>
      </w:tr>
      <w:tr w:rsidR="00E7160E" w:rsidRPr="00906F5C" w14:paraId="174CD5DB" w14:textId="77777777" w:rsidTr="00886332">
        <w:tc>
          <w:tcPr>
            <w:tcW w:w="4405" w:type="dxa"/>
          </w:tcPr>
          <w:p w14:paraId="2959576C" w14:textId="77777777" w:rsidR="00E7160E" w:rsidRPr="008F5C15" w:rsidRDefault="00E7160E" w:rsidP="005C0901">
            <w:pPr>
              <w:pStyle w:val="Texto"/>
              <w:spacing w:line="276" w:lineRule="auto"/>
              <w:ind w:firstLine="0"/>
              <w:rPr>
                <w:rFonts w:ascii="Verdana" w:hAnsi="Verdana"/>
                <w:sz w:val="16"/>
                <w:szCs w:val="16"/>
                <w:lang w:val="es-MX"/>
              </w:rPr>
            </w:pPr>
            <w:r w:rsidRPr="008F5C15">
              <w:rPr>
                <w:rFonts w:ascii="Verdana" w:hAnsi="Verdana"/>
                <w:b/>
                <w:sz w:val="16"/>
                <w:szCs w:val="16"/>
                <w:lang w:val="es-MX"/>
              </w:rPr>
              <w:t>2.7</w:t>
            </w:r>
            <w:r w:rsidRPr="008F5C15">
              <w:rPr>
                <w:rFonts w:ascii="Verdana" w:hAnsi="Verdana"/>
                <w:sz w:val="16"/>
                <w:szCs w:val="16"/>
                <w:lang w:val="es-MX"/>
              </w:rPr>
              <w:t xml:space="preserve"> Norma Oficial Mexicana NOM-062-ZOO-1999, Especificaciones técnicas para la producción, cuidado y uso de los animales de laboratorio.</w:t>
            </w:r>
          </w:p>
        </w:tc>
        <w:tc>
          <w:tcPr>
            <w:tcW w:w="4427" w:type="dxa"/>
            <w:shd w:val="clear" w:color="auto" w:fill="auto"/>
          </w:tcPr>
          <w:p w14:paraId="637B9696" w14:textId="77777777" w:rsidR="00E7160E" w:rsidRPr="008F5C15" w:rsidRDefault="00E7160E"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2.7 </w:t>
            </w:r>
            <w:r w:rsidRPr="008F5C15">
              <w:rPr>
                <w:rFonts w:ascii="Verdana" w:hAnsi="Verdana"/>
                <w:sz w:val="16"/>
                <w:szCs w:val="16"/>
                <w:lang w:val="en-US"/>
              </w:rPr>
              <w:t>Official Mexican Standard NOM-062-ZOO-1999, Technical specifications for the production, care and use of laboratory animals.</w:t>
            </w:r>
          </w:p>
        </w:tc>
      </w:tr>
      <w:tr w:rsidR="00E7160E" w:rsidRPr="00906F5C" w14:paraId="421178CA" w14:textId="77777777" w:rsidTr="00886332">
        <w:tc>
          <w:tcPr>
            <w:tcW w:w="4405" w:type="dxa"/>
          </w:tcPr>
          <w:p w14:paraId="79B4F278" w14:textId="77777777" w:rsidR="00E7160E" w:rsidRPr="008F5C15" w:rsidRDefault="00E7160E" w:rsidP="005C0901">
            <w:pPr>
              <w:pStyle w:val="Texto"/>
              <w:spacing w:line="276" w:lineRule="auto"/>
              <w:ind w:firstLine="0"/>
              <w:rPr>
                <w:rFonts w:ascii="Verdana" w:hAnsi="Verdana"/>
                <w:sz w:val="16"/>
                <w:szCs w:val="16"/>
                <w:lang w:val="es-MX"/>
              </w:rPr>
            </w:pPr>
            <w:r w:rsidRPr="008F5C15">
              <w:rPr>
                <w:rFonts w:ascii="Verdana" w:hAnsi="Verdana"/>
                <w:b/>
                <w:sz w:val="16"/>
                <w:szCs w:val="16"/>
                <w:lang w:val="es-MX"/>
              </w:rPr>
              <w:t>2.8</w:t>
            </w:r>
            <w:r w:rsidRPr="008F5C15">
              <w:rPr>
                <w:rFonts w:ascii="Verdana" w:hAnsi="Verdana"/>
                <w:sz w:val="16"/>
                <w:szCs w:val="16"/>
                <w:lang w:val="es-MX"/>
              </w:rPr>
              <w:t xml:space="preserve"> Norma Oficial Mexicana NOM-072-SSA1-2012, Etiquetado de medicamentos y de remedios herbolarios.</w:t>
            </w:r>
          </w:p>
        </w:tc>
        <w:tc>
          <w:tcPr>
            <w:tcW w:w="4427" w:type="dxa"/>
            <w:shd w:val="clear" w:color="auto" w:fill="auto"/>
          </w:tcPr>
          <w:p w14:paraId="2DC6E37A" w14:textId="77777777" w:rsidR="00E7160E" w:rsidRPr="008F5C15" w:rsidRDefault="00E7160E"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2.8 </w:t>
            </w:r>
            <w:r w:rsidRPr="008F5C15">
              <w:rPr>
                <w:rFonts w:ascii="Verdana" w:hAnsi="Verdana"/>
                <w:sz w:val="16"/>
                <w:szCs w:val="16"/>
                <w:lang w:val="en-US"/>
              </w:rPr>
              <w:t>Official Mexican Standard NOM-072-SSA1-2012, labeling of drug products and herbal remedies.</w:t>
            </w:r>
          </w:p>
        </w:tc>
      </w:tr>
      <w:tr w:rsidR="00E7160E" w:rsidRPr="00906F5C" w14:paraId="7830E9CD" w14:textId="77777777" w:rsidTr="00886332">
        <w:tc>
          <w:tcPr>
            <w:tcW w:w="4405" w:type="dxa"/>
          </w:tcPr>
          <w:p w14:paraId="3353C370" w14:textId="27DA4744" w:rsidR="00E7160E" w:rsidRPr="008F5C15" w:rsidRDefault="00861FCE" w:rsidP="00861FCE">
            <w:pPr>
              <w:pStyle w:val="Texto"/>
              <w:spacing w:line="276" w:lineRule="auto"/>
              <w:ind w:firstLine="0"/>
              <w:rPr>
                <w:rFonts w:ascii="Verdana" w:hAnsi="Verdana"/>
                <w:sz w:val="16"/>
                <w:szCs w:val="16"/>
                <w:lang w:val="es-MX"/>
              </w:rPr>
            </w:pPr>
            <w:r w:rsidRPr="00861FCE">
              <w:rPr>
                <w:rFonts w:ascii="Verdana" w:hAnsi="Verdana"/>
                <w:b/>
                <w:sz w:val="16"/>
                <w:szCs w:val="16"/>
              </w:rPr>
              <w:t xml:space="preserve">2.9 Norma Oficial Mexicana NOM-073-SSA1-2015, </w:t>
            </w:r>
            <w:r w:rsidRPr="00861FCE">
              <w:rPr>
                <w:rFonts w:ascii="Verdana" w:hAnsi="Verdana"/>
                <w:bCs/>
                <w:sz w:val="16"/>
                <w:szCs w:val="16"/>
              </w:rPr>
              <w:t>Estabilidad de fármacos y medicamentos, así como de remedios herbolarios.</w:t>
            </w:r>
          </w:p>
        </w:tc>
        <w:tc>
          <w:tcPr>
            <w:tcW w:w="4427" w:type="dxa"/>
            <w:shd w:val="clear" w:color="auto" w:fill="auto"/>
          </w:tcPr>
          <w:p w14:paraId="2F7D624D" w14:textId="1BDA9DBA" w:rsidR="00E7160E" w:rsidRPr="008F5C15" w:rsidRDefault="00861FCE" w:rsidP="00861FCE">
            <w:pPr>
              <w:pStyle w:val="Texto"/>
              <w:spacing w:line="276" w:lineRule="auto"/>
              <w:ind w:firstLine="0"/>
              <w:rPr>
                <w:rFonts w:ascii="Verdana" w:hAnsi="Verdana"/>
                <w:b/>
                <w:sz w:val="16"/>
                <w:szCs w:val="16"/>
                <w:lang w:val="en-US"/>
              </w:rPr>
            </w:pPr>
            <w:r w:rsidRPr="00861FCE">
              <w:rPr>
                <w:rFonts w:ascii="Verdana" w:hAnsi="Verdana"/>
                <w:b/>
                <w:sz w:val="16"/>
                <w:szCs w:val="16"/>
                <w:lang w:val="en-US"/>
              </w:rPr>
              <w:t>2.9 Official Mexican Standard NOM-073-SSA1-2015</w:t>
            </w:r>
            <w:r w:rsidRPr="00861FCE">
              <w:rPr>
                <w:rFonts w:ascii="Verdana" w:hAnsi="Verdana"/>
                <w:bCs/>
                <w:sz w:val="16"/>
                <w:szCs w:val="16"/>
                <w:lang w:val="en-US"/>
              </w:rPr>
              <w:t>, Stability of drug substances and drug products, as well as herbal remedies.</w:t>
            </w:r>
          </w:p>
        </w:tc>
      </w:tr>
      <w:tr w:rsidR="002A7D44" w:rsidRPr="00906F5C" w14:paraId="0B798E94" w14:textId="77777777" w:rsidTr="00886332">
        <w:tc>
          <w:tcPr>
            <w:tcW w:w="4405" w:type="dxa"/>
          </w:tcPr>
          <w:p w14:paraId="21586929" w14:textId="69B5A795" w:rsidR="002A7D44" w:rsidRPr="002A7D44" w:rsidRDefault="001E38E6" w:rsidP="002A7D44">
            <w:pPr>
              <w:pStyle w:val="Texto"/>
              <w:spacing w:line="276" w:lineRule="auto"/>
              <w:ind w:firstLine="0"/>
              <w:jc w:val="right"/>
              <w:rPr>
                <w:rFonts w:ascii="Verdana" w:hAnsi="Verdana"/>
                <w:bCs/>
                <w:i/>
                <w:iCs/>
                <w:color w:val="0000FA"/>
                <w:sz w:val="16"/>
                <w:szCs w:val="16"/>
              </w:rPr>
            </w:pPr>
            <w:r>
              <w:rPr>
                <w:rFonts w:ascii="Verdana" w:hAnsi="Verdana"/>
                <w:bCs/>
                <w:i/>
                <w:iCs/>
                <w:color w:val="0000FA"/>
                <w:sz w:val="16"/>
                <w:szCs w:val="16"/>
              </w:rPr>
              <w:t>Reforma DOF 19-03-2025</w:t>
            </w:r>
          </w:p>
        </w:tc>
        <w:tc>
          <w:tcPr>
            <w:tcW w:w="4427" w:type="dxa"/>
            <w:shd w:val="clear" w:color="auto" w:fill="auto"/>
          </w:tcPr>
          <w:p w14:paraId="57C714E6" w14:textId="0D5B4575" w:rsidR="002A7D44" w:rsidRPr="002A7D44" w:rsidRDefault="001E38E6" w:rsidP="002A7D44">
            <w:pPr>
              <w:pStyle w:val="Texto"/>
              <w:spacing w:line="276"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Reform DOF 19-03-2025</w:t>
            </w:r>
          </w:p>
        </w:tc>
      </w:tr>
      <w:tr w:rsidR="00E7160E" w:rsidRPr="00906F5C" w14:paraId="7747EA64" w14:textId="77777777" w:rsidTr="00886332">
        <w:tc>
          <w:tcPr>
            <w:tcW w:w="4405" w:type="dxa"/>
          </w:tcPr>
          <w:p w14:paraId="078668C5" w14:textId="77777777" w:rsidR="00E7160E" w:rsidRPr="008F5C15" w:rsidRDefault="00E7160E" w:rsidP="005C0901">
            <w:pPr>
              <w:pStyle w:val="Texto"/>
              <w:spacing w:line="276" w:lineRule="auto"/>
              <w:ind w:firstLine="0"/>
              <w:rPr>
                <w:rFonts w:ascii="Verdana" w:hAnsi="Verdana"/>
                <w:sz w:val="16"/>
                <w:szCs w:val="16"/>
                <w:lang w:val="es-MX"/>
              </w:rPr>
            </w:pPr>
            <w:r w:rsidRPr="008F5C15">
              <w:rPr>
                <w:rFonts w:ascii="Verdana" w:hAnsi="Verdana"/>
                <w:b/>
                <w:sz w:val="16"/>
                <w:szCs w:val="16"/>
                <w:lang w:val="es-MX"/>
              </w:rPr>
              <w:t>2.10</w:t>
            </w:r>
            <w:r w:rsidRPr="008F5C15">
              <w:rPr>
                <w:rFonts w:ascii="Verdana" w:hAnsi="Verdana"/>
                <w:sz w:val="16"/>
                <w:szCs w:val="16"/>
                <w:lang w:val="es-MX"/>
              </w:rPr>
              <w:t xml:space="preserve"> Norma Oficial Mexicana NOM-087-SEMARNAT-SSA1-2002, Protección ambiental-Salud ambiental-Residuos peligrosos biológico-infecciosos-Clasificación y especificaciones de manejo.</w:t>
            </w:r>
          </w:p>
        </w:tc>
        <w:tc>
          <w:tcPr>
            <w:tcW w:w="4427" w:type="dxa"/>
            <w:shd w:val="clear" w:color="auto" w:fill="auto"/>
          </w:tcPr>
          <w:p w14:paraId="4A6DF474" w14:textId="77777777" w:rsidR="00E7160E" w:rsidRPr="008F5C15" w:rsidRDefault="00E7160E" w:rsidP="005C0901">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2.10 </w:t>
            </w:r>
            <w:r w:rsidRPr="008F5C15">
              <w:rPr>
                <w:rFonts w:ascii="Verdana" w:hAnsi="Verdana"/>
                <w:sz w:val="16"/>
                <w:szCs w:val="16"/>
                <w:lang w:val="en-US"/>
              </w:rPr>
              <w:t>Official Mexican Standard NOM-087-SEMARNAT-SSA1-2002, Environmental Protection – Environmental Health – Biologically infectious Hazardous Wastes – Classification and handling specifications.</w:t>
            </w:r>
            <w:r w:rsidRPr="008F5C15">
              <w:rPr>
                <w:rFonts w:ascii="Verdana" w:hAnsi="Verdana"/>
                <w:b/>
                <w:sz w:val="16"/>
                <w:szCs w:val="16"/>
                <w:lang w:val="en-US"/>
              </w:rPr>
              <w:t xml:space="preserve"> </w:t>
            </w:r>
          </w:p>
        </w:tc>
      </w:tr>
      <w:tr w:rsidR="00E7160E" w:rsidRPr="00906F5C" w14:paraId="7BE41F8E" w14:textId="77777777" w:rsidTr="00886332">
        <w:tc>
          <w:tcPr>
            <w:tcW w:w="4405" w:type="dxa"/>
          </w:tcPr>
          <w:p w14:paraId="1CF7FFE2" w14:textId="2E4C0E1D" w:rsidR="00E7160E" w:rsidRPr="008F5C15" w:rsidRDefault="009B4DAD" w:rsidP="009B4DAD">
            <w:pPr>
              <w:pStyle w:val="Texto"/>
              <w:spacing w:line="276" w:lineRule="auto"/>
              <w:ind w:firstLine="0"/>
              <w:rPr>
                <w:rFonts w:ascii="Verdana" w:hAnsi="Verdana"/>
                <w:sz w:val="16"/>
                <w:szCs w:val="16"/>
                <w:lang w:val="es-MX"/>
              </w:rPr>
            </w:pPr>
            <w:r w:rsidRPr="009B4DAD">
              <w:rPr>
                <w:rFonts w:ascii="Verdana" w:hAnsi="Verdana"/>
                <w:b/>
                <w:sz w:val="16"/>
                <w:szCs w:val="16"/>
              </w:rPr>
              <w:lastRenderedPageBreak/>
              <w:t xml:space="preserve">2.11 </w:t>
            </w:r>
            <w:r w:rsidRPr="009B4DAD">
              <w:rPr>
                <w:rFonts w:ascii="Verdana" w:hAnsi="Verdana"/>
                <w:bCs/>
                <w:sz w:val="16"/>
                <w:szCs w:val="16"/>
              </w:rPr>
              <w:t>Norma Oficial Mexicana NOM-164-SSA1-2015, Buenas prácticas de fabricación para fármacos.</w:t>
            </w:r>
          </w:p>
        </w:tc>
        <w:tc>
          <w:tcPr>
            <w:tcW w:w="4427" w:type="dxa"/>
            <w:shd w:val="clear" w:color="auto" w:fill="auto"/>
          </w:tcPr>
          <w:p w14:paraId="712036D3" w14:textId="20F3C7D0" w:rsidR="00E7160E" w:rsidRPr="008F5C15" w:rsidRDefault="009B4DAD" w:rsidP="009B4DAD">
            <w:pPr>
              <w:pStyle w:val="Texto"/>
              <w:spacing w:line="276" w:lineRule="auto"/>
              <w:ind w:firstLine="0"/>
              <w:rPr>
                <w:rFonts w:ascii="Verdana" w:hAnsi="Verdana"/>
                <w:b/>
                <w:sz w:val="16"/>
                <w:szCs w:val="16"/>
                <w:lang w:val="en-US"/>
              </w:rPr>
            </w:pPr>
            <w:r w:rsidRPr="009B4DAD">
              <w:rPr>
                <w:rFonts w:ascii="Verdana" w:hAnsi="Verdana"/>
                <w:b/>
                <w:sz w:val="16"/>
                <w:szCs w:val="16"/>
                <w:lang w:val="en-US"/>
              </w:rPr>
              <w:t xml:space="preserve">2.11 </w:t>
            </w:r>
            <w:r w:rsidRPr="009B4DAD">
              <w:rPr>
                <w:rFonts w:ascii="Verdana" w:hAnsi="Verdana"/>
                <w:bCs/>
                <w:sz w:val="16"/>
                <w:szCs w:val="16"/>
                <w:lang w:val="en-US"/>
              </w:rPr>
              <w:t>Official Mexican Standard NOM-164-SSA1-2015, Good manufacturing practices for pharmaceuticals.</w:t>
            </w:r>
          </w:p>
        </w:tc>
      </w:tr>
      <w:tr w:rsidR="001C6A90" w:rsidRPr="001C6A90" w14:paraId="288D64E0" w14:textId="77777777" w:rsidTr="00886332">
        <w:tc>
          <w:tcPr>
            <w:tcW w:w="4405" w:type="dxa"/>
          </w:tcPr>
          <w:p w14:paraId="2828751C" w14:textId="12AADC30" w:rsidR="001C6A90" w:rsidRPr="001C6A90" w:rsidRDefault="001C6A90" w:rsidP="001C6A90">
            <w:pPr>
              <w:pStyle w:val="Texto"/>
              <w:spacing w:line="276" w:lineRule="auto"/>
              <w:ind w:firstLine="0"/>
              <w:jc w:val="right"/>
              <w:rPr>
                <w:rFonts w:ascii="Verdana" w:hAnsi="Verdana"/>
                <w:bCs/>
                <w:i/>
                <w:iCs/>
                <w:color w:val="0000FA"/>
                <w:sz w:val="16"/>
                <w:szCs w:val="16"/>
              </w:rPr>
            </w:pPr>
            <w:r>
              <w:rPr>
                <w:rFonts w:ascii="Verdana" w:hAnsi="Verdana"/>
                <w:bCs/>
                <w:i/>
                <w:iCs/>
                <w:color w:val="0000FA"/>
                <w:sz w:val="16"/>
                <w:szCs w:val="16"/>
              </w:rPr>
              <w:t xml:space="preserve">Fracción </w:t>
            </w:r>
            <w:r>
              <w:rPr>
                <w:rFonts w:ascii="Verdana" w:hAnsi="Verdana"/>
                <w:bCs/>
                <w:i/>
                <w:iCs/>
                <w:color w:val="0000FA"/>
                <w:sz w:val="16"/>
                <w:szCs w:val="16"/>
              </w:rPr>
              <w:t>Reforma</w:t>
            </w:r>
            <w:r>
              <w:rPr>
                <w:rFonts w:ascii="Verdana" w:hAnsi="Verdana"/>
                <w:bCs/>
                <w:i/>
                <w:iCs/>
                <w:color w:val="0000FA"/>
                <w:sz w:val="16"/>
                <w:szCs w:val="16"/>
              </w:rPr>
              <w:t>da</w:t>
            </w:r>
            <w:r>
              <w:rPr>
                <w:rFonts w:ascii="Verdana" w:hAnsi="Verdana"/>
                <w:bCs/>
                <w:i/>
                <w:iCs/>
                <w:color w:val="0000FA"/>
                <w:sz w:val="16"/>
                <w:szCs w:val="16"/>
              </w:rPr>
              <w:t xml:space="preserve"> DOF 19-03-2025</w:t>
            </w:r>
          </w:p>
        </w:tc>
        <w:tc>
          <w:tcPr>
            <w:tcW w:w="4427" w:type="dxa"/>
            <w:shd w:val="clear" w:color="auto" w:fill="auto"/>
          </w:tcPr>
          <w:p w14:paraId="332188E4" w14:textId="2B7140B4" w:rsidR="001C6A90" w:rsidRPr="001C6A90" w:rsidRDefault="001C6A90" w:rsidP="001C6A90">
            <w:pPr>
              <w:pStyle w:val="Texto"/>
              <w:spacing w:line="276"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Section reformed</w:t>
            </w:r>
            <w:r>
              <w:rPr>
                <w:rFonts w:ascii="Verdana" w:hAnsi="Verdana"/>
                <w:bCs/>
                <w:i/>
                <w:iCs/>
                <w:color w:val="0000FA"/>
                <w:sz w:val="16"/>
                <w:szCs w:val="16"/>
                <w:lang w:val="en-US"/>
              </w:rPr>
              <w:t xml:space="preserve"> DOF 19-03-2025</w:t>
            </w:r>
          </w:p>
        </w:tc>
      </w:tr>
      <w:tr w:rsidR="001C6A90" w:rsidRPr="00906F5C" w14:paraId="7422E48A" w14:textId="77777777" w:rsidTr="00886332">
        <w:tc>
          <w:tcPr>
            <w:tcW w:w="4405" w:type="dxa"/>
          </w:tcPr>
          <w:p w14:paraId="799B81CB" w14:textId="687D3C32" w:rsidR="001C6A90" w:rsidRPr="008F5C15" w:rsidRDefault="001C6A90" w:rsidP="001C6A90">
            <w:pPr>
              <w:pStyle w:val="Texto"/>
              <w:spacing w:line="276" w:lineRule="auto"/>
              <w:ind w:firstLine="0"/>
              <w:rPr>
                <w:rFonts w:ascii="Verdana" w:hAnsi="Verdana"/>
                <w:sz w:val="16"/>
                <w:szCs w:val="16"/>
                <w:lang w:val="es-MX"/>
              </w:rPr>
            </w:pPr>
            <w:r w:rsidRPr="009B4DAD">
              <w:rPr>
                <w:rFonts w:ascii="Verdana" w:hAnsi="Verdana"/>
                <w:b/>
                <w:sz w:val="16"/>
                <w:szCs w:val="16"/>
              </w:rPr>
              <w:t xml:space="preserve">2.12 </w:t>
            </w:r>
            <w:r w:rsidRPr="009B4DAD">
              <w:rPr>
                <w:rFonts w:ascii="Verdana" w:hAnsi="Verdana"/>
                <w:bCs/>
                <w:sz w:val="16"/>
                <w:szCs w:val="16"/>
              </w:rPr>
              <w:t>Norma Oficial Mexicana NOM-220-SSA1-2017, Instalación y operación de la farmacovigilancia.</w:t>
            </w:r>
          </w:p>
        </w:tc>
        <w:tc>
          <w:tcPr>
            <w:tcW w:w="4427" w:type="dxa"/>
            <w:shd w:val="clear" w:color="auto" w:fill="auto"/>
          </w:tcPr>
          <w:p w14:paraId="5DCF48A6" w14:textId="320E79B2" w:rsidR="001C6A90" w:rsidRPr="008F5C15" w:rsidRDefault="001C6A90" w:rsidP="001C6A90">
            <w:pPr>
              <w:pStyle w:val="Texto"/>
              <w:spacing w:line="276" w:lineRule="auto"/>
              <w:ind w:firstLine="0"/>
              <w:rPr>
                <w:rFonts w:ascii="Verdana" w:hAnsi="Verdana"/>
                <w:b/>
                <w:sz w:val="16"/>
                <w:szCs w:val="16"/>
                <w:lang w:val="en-US"/>
              </w:rPr>
            </w:pPr>
            <w:r w:rsidRPr="009B4DAD">
              <w:rPr>
                <w:rFonts w:ascii="Verdana" w:hAnsi="Verdana"/>
                <w:b/>
                <w:sz w:val="16"/>
                <w:szCs w:val="16"/>
                <w:lang w:val="en-US"/>
              </w:rPr>
              <w:t xml:space="preserve">2.12 </w:t>
            </w:r>
            <w:r w:rsidRPr="009B4DAD">
              <w:rPr>
                <w:rFonts w:ascii="Verdana" w:hAnsi="Verdana"/>
                <w:bCs/>
                <w:sz w:val="16"/>
                <w:szCs w:val="16"/>
                <w:lang w:val="en-US"/>
              </w:rPr>
              <w:t>Official Mexican Standard NOM-220-SSA1-2017, Installation and operation of pharmacovigilance.</w:t>
            </w:r>
          </w:p>
        </w:tc>
      </w:tr>
      <w:tr w:rsidR="001C6A90" w:rsidRPr="001C6A90" w14:paraId="171EF7B8" w14:textId="77777777" w:rsidTr="00886332">
        <w:tc>
          <w:tcPr>
            <w:tcW w:w="4405" w:type="dxa"/>
          </w:tcPr>
          <w:p w14:paraId="39EE7329" w14:textId="3D0FF92A" w:rsidR="001C6A90" w:rsidRPr="001C6A90" w:rsidRDefault="001C6A90" w:rsidP="001C6A90">
            <w:pPr>
              <w:pStyle w:val="Texto"/>
              <w:spacing w:line="276" w:lineRule="auto"/>
              <w:ind w:firstLine="0"/>
              <w:jc w:val="right"/>
              <w:rPr>
                <w:rFonts w:ascii="Verdana" w:hAnsi="Verdana"/>
                <w:bCs/>
                <w:i/>
                <w:iCs/>
                <w:color w:val="0000FA"/>
                <w:sz w:val="16"/>
                <w:szCs w:val="16"/>
              </w:rPr>
            </w:pPr>
            <w:r>
              <w:rPr>
                <w:rFonts w:ascii="Verdana" w:hAnsi="Verdana"/>
                <w:bCs/>
                <w:i/>
                <w:iCs/>
                <w:color w:val="0000FA"/>
                <w:sz w:val="16"/>
                <w:szCs w:val="16"/>
              </w:rPr>
              <w:t>Fracción Reformada DOF 19-03-2025</w:t>
            </w:r>
          </w:p>
        </w:tc>
        <w:tc>
          <w:tcPr>
            <w:tcW w:w="4427" w:type="dxa"/>
            <w:shd w:val="clear" w:color="auto" w:fill="auto"/>
          </w:tcPr>
          <w:p w14:paraId="0BC4C750" w14:textId="28D695C1" w:rsidR="001C6A90" w:rsidRPr="001C6A90" w:rsidRDefault="001C6A90" w:rsidP="001C6A90">
            <w:pPr>
              <w:pStyle w:val="Texto"/>
              <w:spacing w:line="276"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Section reformed DOF 19-03-2025</w:t>
            </w:r>
          </w:p>
        </w:tc>
      </w:tr>
      <w:tr w:rsidR="001C6A90" w:rsidRPr="00906F5C" w14:paraId="659754A0" w14:textId="77777777" w:rsidTr="00886332">
        <w:tc>
          <w:tcPr>
            <w:tcW w:w="4405" w:type="dxa"/>
          </w:tcPr>
          <w:p w14:paraId="79A672F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2.13</w:t>
            </w:r>
            <w:r w:rsidRPr="008F5C15">
              <w:rPr>
                <w:rFonts w:ascii="Verdana" w:hAnsi="Verdana"/>
                <w:sz w:val="16"/>
                <w:szCs w:val="16"/>
                <w:lang w:val="es-MX"/>
              </w:rPr>
              <w:t xml:space="preserve"> Norma Oficial Mexicana NOM-241-SSA1-2012, Buenas prácticas de fabricación para establecimientos dedicados a la fabricación de dispositivos médicos.</w:t>
            </w:r>
          </w:p>
        </w:tc>
        <w:tc>
          <w:tcPr>
            <w:tcW w:w="4427" w:type="dxa"/>
            <w:shd w:val="clear" w:color="auto" w:fill="auto"/>
          </w:tcPr>
          <w:p w14:paraId="0195A99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2.13 </w:t>
            </w:r>
            <w:r w:rsidRPr="008F5C15">
              <w:rPr>
                <w:rFonts w:ascii="Verdana" w:hAnsi="Verdana"/>
                <w:sz w:val="16"/>
                <w:szCs w:val="16"/>
                <w:lang w:val="en-US"/>
              </w:rPr>
              <w:t xml:space="preserve">Official Mexican Standard NOM-241-SSA1-2012, Good manufacturing practices for establishments dedicated to the manufacture of medical devices. </w:t>
            </w:r>
          </w:p>
        </w:tc>
      </w:tr>
      <w:tr w:rsidR="001C6A90" w:rsidRPr="00906F5C" w14:paraId="490FFE1B" w14:textId="77777777" w:rsidTr="00886332">
        <w:tc>
          <w:tcPr>
            <w:tcW w:w="4405" w:type="dxa"/>
          </w:tcPr>
          <w:p w14:paraId="7996715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2.14</w:t>
            </w:r>
            <w:r w:rsidRPr="008F5C15">
              <w:rPr>
                <w:rFonts w:ascii="Verdana" w:hAnsi="Verdana"/>
                <w:sz w:val="16"/>
                <w:szCs w:val="16"/>
                <w:lang w:val="es-MX"/>
              </w:rPr>
              <w:t xml:space="preserve"> Norma Oficial Mexicana NOM-253-SSA1-2012, Para la disposición de sangre humana y sus componentes con fines terapéuticos.</w:t>
            </w:r>
          </w:p>
        </w:tc>
        <w:tc>
          <w:tcPr>
            <w:tcW w:w="4427" w:type="dxa"/>
            <w:shd w:val="clear" w:color="auto" w:fill="auto"/>
          </w:tcPr>
          <w:p w14:paraId="1B87F00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2.14 </w:t>
            </w:r>
            <w:r w:rsidRPr="008F5C15">
              <w:rPr>
                <w:rFonts w:ascii="Verdana" w:hAnsi="Verdana"/>
                <w:sz w:val="16"/>
                <w:szCs w:val="16"/>
                <w:lang w:val="en-US"/>
              </w:rPr>
              <w:t>Official Mexican Standard NOM-253-SSA1-2012, for the disposal of human blood and its components for therapeutic purposes.</w:t>
            </w:r>
          </w:p>
        </w:tc>
      </w:tr>
      <w:tr w:rsidR="001C6A90" w:rsidRPr="00906F5C" w14:paraId="332AB9D2" w14:textId="77777777" w:rsidTr="00886332">
        <w:tc>
          <w:tcPr>
            <w:tcW w:w="4405" w:type="dxa"/>
          </w:tcPr>
          <w:p w14:paraId="0594292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2.15</w:t>
            </w:r>
            <w:r w:rsidRPr="008F5C15">
              <w:rPr>
                <w:rFonts w:ascii="Verdana" w:hAnsi="Verdana"/>
                <w:sz w:val="16"/>
                <w:szCs w:val="16"/>
                <w:lang w:val="es-MX"/>
              </w:rPr>
              <w:t xml:space="preserve"> Norma Oficial Mexicana NOM-257-SSA1-2014, En materia de medicamentos biotecnológicos.</w:t>
            </w:r>
          </w:p>
        </w:tc>
        <w:tc>
          <w:tcPr>
            <w:tcW w:w="4427" w:type="dxa"/>
            <w:shd w:val="clear" w:color="auto" w:fill="auto"/>
          </w:tcPr>
          <w:p w14:paraId="1FFC753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2.15 </w:t>
            </w:r>
            <w:r w:rsidRPr="008F5C15">
              <w:rPr>
                <w:rFonts w:ascii="Verdana" w:hAnsi="Verdana"/>
                <w:sz w:val="16"/>
                <w:szCs w:val="16"/>
                <w:lang w:val="en-US"/>
              </w:rPr>
              <w:t xml:space="preserve">Official Mexican Standard NOM-257-SSA1-2014, In matters of biotechnological drug products. </w:t>
            </w:r>
          </w:p>
        </w:tc>
      </w:tr>
      <w:tr w:rsidR="001C6A90" w:rsidRPr="00906F5C" w14:paraId="533BA5C5" w14:textId="77777777" w:rsidTr="00886332">
        <w:tc>
          <w:tcPr>
            <w:tcW w:w="4405" w:type="dxa"/>
          </w:tcPr>
          <w:p w14:paraId="09276F2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2.16</w:t>
            </w:r>
            <w:r w:rsidRPr="008F5C15">
              <w:rPr>
                <w:rFonts w:ascii="Verdana" w:hAnsi="Verdana"/>
                <w:sz w:val="16"/>
                <w:szCs w:val="16"/>
                <w:lang w:val="es-MX"/>
              </w:rPr>
              <w:t xml:space="preserve"> Norma Oficial Mexicana NOM-020-STPS-2011. Recipientes sujetos a presión, recipientes criogénicos y generadores de vapor o calderas-Funcionamiento-Condiciones de seguridad.</w:t>
            </w:r>
          </w:p>
        </w:tc>
        <w:tc>
          <w:tcPr>
            <w:tcW w:w="4427" w:type="dxa"/>
          </w:tcPr>
          <w:p w14:paraId="48DFF80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2.16 </w:t>
            </w:r>
            <w:r w:rsidRPr="008F5C15">
              <w:rPr>
                <w:rFonts w:ascii="Verdana" w:hAnsi="Verdana"/>
                <w:sz w:val="16"/>
                <w:szCs w:val="16"/>
                <w:lang w:val="en-US"/>
              </w:rPr>
              <w:t>Official Mexican Standard NOM-020-STPS-2011. Containers Subject to pressure, cryogenic containers and generators of steam or boilers – Functioning- Safety Conditions.</w:t>
            </w:r>
          </w:p>
        </w:tc>
      </w:tr>
      <w:tr w:rsidR="001C6A90" w:rsidRPr="00262EF8" w14:paraId="17CAA87F" w14:textId="77777777" w:rsidTr="00886332">
        <w:tc>
          <w:tcPr>
            <w:tcW w:w="4405" w:type="dxa"/>
          </w:tcPr>
          <w:p w14:paraId="3253665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3. Definiciones</w:t>
            </w:r>
          </w:p>
        </w:tc>
        <w:tc>
          <w:tcPr>
            <w:tcW w:w="4427" w:type="dxa"/>
          </w:tcPr>
          <w:p w14:paraId="448AB19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 Definitions</w:t>
            </w:r>
          </w:p>
        </w:tc>
      </w:tr>
      <w:tr w:rsidR="001C6A90" w:rsidRPr="00906F5C" w14:paraId="0F4458E0" w14:textId="77777777" w:rsidTr="00886332">
        <w:tc>
          <w:tcPr>
            <w:tcW w:w="4405" w:type="dxa"/>
          </w:tcPr>
          <w:p w14:paraId="54AED90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Para efectos de esta Norma, se entiende por:</w:t>
            </w:r>
          </w:p>
        </w:tc>
        <w:tc>
          <w:tcPr>
            <w:tcW w:w="4427" w:type="dxa"/>
          </w:tcPr>
          <w:p w14:paraId="52C94AB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For the purposes of this Standard, the following are understood as:</w:t>
            </w:r>
          </w:p>
        </w:tc>
      </w:tr>
      <w:tr w:rsidR="001C6A90" w:rsidRPr="00906F5C" w14:paraId="4EC31898" w14:textId="77777777" w:rsidTr="00886332">
        <w:tc>
          <w:tcPr>
            <w:tcW w:w="4405" w:type="dxa"/>
          </w:tcPr>
          <w:p w14:paraId="4C124FA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 Acabado sanitario,</w:t>
            </w:r>
            <w:r w:rsidRPr="008F5C15">
              <w:rPr>
                <w:rFonts w:ascii="Verdana" w:hAnsi="Verdana"/>
                <w:sz w:val="16"/>
                <w:szCs w:val="16"/>
                <w:lang w:val="es-MX"/>
              </w:rPr>
              <w:t xml:space="preserve"> a la terminación que se le da a las superficies interiores de las áreas con la finalidad de evitar la acumulación de partículas viables y no viables y facilitar su limpieza.</w:t>
            </w:r>
          </w:p>
        </w:tc>
        <w:tc>
          <w:tcPr>
            <w:tcW w:w="4427" w:type="dxa"/>
          </w:tcPr>
          <w:p w14:paraId="7586C86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 Sanitary finish, </w:t>
            </w:r>
            <w:r w:rsidRPr="008F5C15">
              <w:rPr>
                <w:rFonts w:ascii="Verdana" w:hAnsi="Verdana"/>
                <w:sz w:val="16"/>
                <w:szCs w:val="16"/>
                <w:lang w:val="en-US"/>
              </w:rPr>
              <w:t>the termination that is given to the interior surfaces of areas for the purpose of avoiding the accumulation of viable and nonviable particulates and facilitate their cleaning.</w:t>
            </w:r>
          </w:p>
        </w:tc>
      </w:tr>
      <w:tr w:rsidR="001C6A90" w:rsidRPr="00906F5C" w14:paraId="615DFC57" w14:textId="77777777" w:rsidTr="00886332">
        <w:tc>
          <w:tcPr>
            <w:tcW w:w="4405" w:type="dxa"/>
          </w:tcPr>
          <w:p w14:paraId="2D935EC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3.2 Acción correctiva,</w:t>
            </w:r>
            <w:r w:rsidRPr="008F5C15">
              <w:rPr>
                <w:rFonts w:ascii="Verdana" w:hAnsi="Verdana"/>
                <w:sz w:val="16"/>
                <w:szCs w:val="16"/>
                <w:lang w:val="es-MX"/>
              </w:rPr>
              <w:t xml:space="preserve"> a las actividades que son planeadas y ejecutadas, con el fin de eliminar la causa de una desviación o no conformidad.</w:t>
            </w:r>
          </w:p>
        </w:tc>
        <w:tc>
          <w:tcPr>
            <w:tcW w:w="4427" w:type="dxa"/>
          </w:tcPr>
          <w:p w14:paraId="09A6DC4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3.2 Corrective Action, </w:t>
            </w:r>
            <w:r w:rsidRPr="008F5C15">
              <w:rPr>
                <w:rFonts w:ascii="Verdana" w:hAnsi="Verdana"/>
                <w:sz w:val="16"/>
                <w:szCs w:val="16"/>
                <w:lang w:val="en-US"/>
              </w:rPr>
              <w:t>the activities that are planned and executed for the purpose of correcting a deviation or noncompliance.</w:t>
            </w:r>
          </w:p>
        </w:tc>
      </w:tr>
      <w:tr w:rsidR="001C6A90" w:rsidRPr="00906F5C" w14:paraId="19BA48DC" w14:textId="77777777" w:rsidTr="00886332">
        <w:tc>
          <w:tcPr>
            <w:tcW w:w="4405" w:type="dxa"/>
          </w:tcPr>
          <w:p w14:paraId="6DA6804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3.3 Acción preventiva,</w:t>
            </w:r>
            <w:r w:rsidRPr="008F5C15">
              <w:rPr>
                <w:rFonts w:ascii="Verdana" w:hAnsi="Verdana"/>
                <w:sz w:val="16"/>
                <w:szCs w:val="16"/>
                <w:lang w:val="es-MX"/>
              </w:rPr>
              <w:t xml:space="preserve"> a las actividades que son planeadas y ejecutadas, para eliminar la causa de una desviación o no conformidad u otra situación potencialmente indeseable y evitar su recurrencia.</w:t>
            </w:r>
          </w:p>
        </w:tc>
        <w:tc>
          <w:tcPr>
            <w:tcW w:w="4427" w:type="dxa"/>
          </w:tcPr>
          <w:p w14:paraId="2794FCFD"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3.3 Preventive Action, </w:t>
            </w:r>
            <w:r w:rsidRPr="008F5C15">
              <w:rPr>
                <w:rFonts w:ascii="Verdana" w:hAnsi="Verdana"/>
                <w:sz w:val="16"/>
                <w:szCs w:val="16"/>
                <w:lang w:val="en-US"/>
              </w:rPr>
              <w:t>the activities that are planned and executed in order to eliminate the cause of a deviation or noncompliance or other situation potentially undesirable and avoid its recurrence.</w:t>
            </w:r>
          </w:p>
        </w:tc>
      </w:tr>
      <w:tr w:rsidR="001C6A90" w:rsidRPr="00906F5C" w14:paraId="70F1F7B1" w14:textId="77777777" w:rsidTr="00886332">
        <w:tc>
          <w:tcPr>
            <w:tcW w:w="4405" w:type="dxa"/>
          </w:tcPr>
          <w:p w14:paraId="1A89D65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3.4 Acuerdo técnico,</w:t>
            </w:r>
            <w:r w:rsidRPr="008F5C15">
              <w:rPr>
                <w:rFonts w:ascii="Verdana" w:hAnsi="Verdana"/>
                <w:sz w:val="16"/>
                <w:szCs w:val="16"/>
                <w:lang w:val="es-MX"/>
              </w:rPr>
              <w:t xml:space="preserve"> al documento en el que se formalizan y detallan las condiciones en que serán llevadas a cabo actividades o servicios prestados entre las partes y en el que se describen claramente las obligaciones y responsabilidades de cada una de ellas, especialmente en lo referente a los aspectos de calidad y las BPF.</w:t>
            </w:r>
          </w:p>
        </w:tc>
        <w:tc>
          <w:tcPr>
            <w:tcW w:w="4427" w:type="dxa"/>
          </w:tcPr>
          <w:p w14:paraId="34EFDCA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3.4 Technical Agreement</w:t>
            </w:r>
            <w:r w:rsidRPr="008F5C15">
              <w:rPr>
                <w:rFonts w:ascii="Verdana" w:hAnsi="Verdana"/>
                <w:sz w:val="16"/>
                <w:szCs w:val="16"/>
                <w:lang w:val="en-US"/>
              </w:rPr>
              <w:t xml:space="preserve">, the document which the conditions are formalized and detailed under which activities or services between the parties will be carried out and in which are clearly described the duties and responsibilities of each of them, especially in that referring to the quality aspects and the GMP (Good Manufacturing Practices). </w:t>
            </w:r>
          </w:p>
        </w:tc>
      </w:tr>
      <w:tr w:rsidR="001C6A90" w:rsidRPr="00906F5C" w14:paraId="431EA3A8" w14:textId="77777777" w:rsidTr="00886332">
        <w:tc>
          <w:tcPr>
            <w:tcW w:w="4405" w:type="dxa"/>
          </w:tcPr>
          <w:p w14:paraId="0DB8448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3.5 Agentes adventicios,</w:t>
            </w:r>
            <w:r w:rsidRPr="008F5C15">
              <w:rPr>
                <w:rFonts w:ascii="Verdana" w:hAnsi="Verdana"/>
                <w:sz w:val="16"/>
                <w:szCs w:val="16"/>
                <w:lang w:val="es-MX"/>
              </w:rPr>
              <w:t xml:space="preserve"> a los microorganismos contaminantes de un cultivo celular y/o de los materiales de partida de origen animal (mycoplasmas-espiroplasmas, rickettsias, virus, priones u otras formas moleculares) que se introducen de manera no intencional dentro del proceso de fabricación y que potencialmente pueden contaminar células procarióticas o eucarióticas usadas en la producción.</w:t>
            </w:r>
          </w:p>
        </w:tc>
        <w:tc>
          <w:tcPr>
            <w:tcW w:w="4427" w:type="dxa"/>
          </w:tcPr>
          <w:p w14:paraId="7128BE6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3.6 Adventitious contaminants</w:t>
            </w:r>
            <w:r w:rsidRPr="008F5C15">
              <w:rPr>
                <w:rFonts w:ascii="Verdana" w:hAnsi="Verdana"/>
                <w:sz w:val="16"/>
                <w:szCs w:val="16"/>
                <w:lang w:val="en-US"/>
              </w:rPr>
              <w:t>, contaminant microorganisms, from a cell culture and/or from animal origin materials (Mycoplasmas-Spiro plasmas, rickettsia, viruses, prions or other molecular forms) that are unintentionally introduced into the manufacturing process and that can potentially contaminate prokaryotic or eukaryotic cells used in the production.</w:t>
            </w:r>
          </w:p>
        </w:tc>
      </w:tr>
      <w:tr w:rsidR="001C6A90" w:rsidRPr="00906F5C" w14:paraId="5AE174D6" w14:textId="77777777" w:rsidTr="00886332">
        <w:tc>
          <w:tcPr>
            <w:tcW w:w="4405" w:type="dxa"/>
          </w:tcPr>
          <w:p w14:paraId="09793D4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3.6 Almacenamiento,</w:t>
            </w:r>
            <w:r w:rsidRPr="008F5C15">
              <w:rPr>
                <w:rFonts w:ascii="Verdana" w:hAnsi="Verdana"/>
                <w:sz w:val="16"/>
                <w:szCs w:val="16"/>
                <w:lang w:val="es-MX"/>
              </w:rPr>
              <w:t xml:space="preserve"> a la conservación de insumos, producto a granel y terminado en áreas con condiciones establecidas.</w:t>
            </w:r>
          </w:p>
        </w:tc>
        <w:tc>
          <w:tcPr>
            <w:tcW w:w="4427" w:type="dxa"/>
          </w:tcPr>
          <w:p w14:paraId="0B3066B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3.6 Warehouse, </w:t>
            </w:r>
            <w:r w:rsidRPr="008F5C15">
              <w:rPr>
                <w:rFonts w:ascii="Verdana" w:hAnsi="Verdana"/>
                <w:sz w:val="16"/>
                <w:szCs w:val="16"/>
                <w:lang w:val="en-US"/>
              </w:rPr>
              <w:t>the conservation of materials, bulk products, and finished products in areas with established conditions.</w:t>
            </w:r>
          </w:p>
        </w:tc>
      </w:tr>
      <w:tr w:rsidR="001C6A90" w:rsidRPr="00906F5C" w14:paraId="1569E935" w14:textId="77777777" w:rsidTr="00886332">
        <w:tc>
          <w:tcPr>
            <w:tcW w:w="4405" w:type="dxa"/>
          </w:tcPr>
          <w:p w14:paraId="164C275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3.7 Acondicionamiento, </w:t>
            </w:r>
            <w:r w:rsidRPr="008F5C15">
              <w:rPr>
                <w:rFonts w:ascii="Verdana" w:hAnsi="Verdana"/>
                <w:sz w:val="16"/>
                <w:szCs w:val="16"/>
                <w:lang w:val="es-MX"/>
              </w:rPr>
              <w:t>a todas las operaciones a las que tiene que someterse un producto a granel hasta llevarlo a su presentación como producto terminado. Se considera primario al que se encuentra en contacto directo con el medicamento y secundario al que incluye al medicamento en su empaque primario.</w:t>
            </w:r>
          </w:p>
        </w:tc>
        <w:tc>
          <w:tcPr>
            <w:tcW w:w="4427" w:type="dxa"/>
          </w:tcPr>
          <w:p w14:paraId="028DCFC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3.7 Conditioning, </w:t>
            </w:r>
            <w:r w:rsidRPr="008F5C15">
              <w:rPr>
                <w:rFonts w:ascii="Verdana" w:hAnsi="Verdana"/>
                <w:sz w:val="16"/>
                <w:szCs w:val="16"/>
                <w:lang w:val="en-US"/>
              </w:rPr>
              <w:t xml:space="preserve">all the operations to which a bulk product must be submitted until its presentation as a finished product. Primary, is considered that which is found to be in direct contact with the drug product and Secondary, is that which includes the drug product in its primary packaging. </w:t>
            </w:r>
          </w:p>
        </w:tc>
      </w:tr>
      <w:tr w:rsidR="001C6A90" w:rsidRPr="00906F5C" w14:paraId="73911F95" w14:textId="77777777" w:rsidTr="00886332">
        <w:tc>
          <w:tcPr>
            <w:tcW w:w="4405" w:type="dxa"/>
          </w:tcPr>
          <w:p w14:paraId="1B2441C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3.8 Área,</w:t>
            </w:r>
            <w:r w:rsidRPr="008F5C15">
              <w:rPr>
                <w:rFonts w:ascii="Verdana" w:hAnsi="Verdana"/>
                <w:sz w:val="16"/>
                <w:szCs w:val="16"/>
                <w:lang w:val="es-MX"/>
              </w:rPr>
              <w:t xml:space="preserve"> al cuarto o conjunto de cuartos y espacios diseñados y construidos bajo especificaciones definidas.</w:t>
            </w:r>
          </w:p>
        </w:tc>
        <w:tc>
          <w:tcPr>
            <w:tcW w:w="4427" w:type="dxa"/>
          </w:tcPr>
          <w:p w14:paraId="58FCC15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3.8 Area.</w:t>
            </w:r>
            <w:r w:rsidRPr="008F5C15">
              <w:rPr>
                <w:rFonts w:ascii="Verdana" w:hAnsi="Verdana"/>
                <w:sz w:val="16"/>
                <w:szCs w:val="16"/>
                <w:lang w:val="en-US"/>
              </w:rPr>
              <w:t xml:space="preserve"> Refers to the room or combination of rooms and spaces designed and constructed under defined specifications.</w:t>
            </w:r>
          </w:p>
        </w:tc>
      </w:tr>
      <w:tr w:rsidR="001C6A90" w:rsidRPr="00906F5C" w14:paraId="34C0FD32" w14:textId="77777777" w:rsidTr="00886332">
        <w:tc>
          <w:tcPr>
            <w:tcW w:w="4405" w:type="dxa"/>
          </w:tcPr>
          <w:p w14:paraId="21758B3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3.9 Área aséptica,</w:t>
            </w:r>
            <w:r w:rsidRPr="008F5C15">
              <w:rPr>
                <w:rFonts w:ascii="Verdana" w:hAnsi="Verdana"/>
                <w:sz w:val="16"/>
                <w:szCs w:val="16"/>
                <w:lang w:val="es-MX"/>
              </w:rPr>
              <w:t xml:space="preserve"> al área diseñada, construida y mantenida con el objeto de tener dentro de límites preestablecidos el número de partículas viables y no viables en superficies y medio ambiente.</w:t>
            </w:r>
          </w:p>
        </w:tc>
        <w:tc>
          <w:tcPr>
            <w:tcW w:w="4427" w:type="dxa"/>
          </w:tcPr>
          <w:p w14:paraId="3569BE9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3.9 Aseptic area, </w:t>
            </w:r>
            <w:r w:rsidRPr="008F5C15">
              <w:rPr>
                <w:rFonts w:ascii="Verdana" w:hAnsi="Verdana"/>
                <w:sz w:val="16"/>
                <w:szCs w:val="16"/>
                <w:lang w:val="en-US"/>
              </w:rPr>
              <w:t>the area designed, constructed and maintained for the purpose of remaining within the pre-established limits, the number of viable particulates and nonviable particulates on surfaces and in the environment.</w:t>
            </w:r>
            <w:r w:rsidRPr="008F5C15">
              <w:rPr>
                <w:lang w:val="en-US"/>
              </w:rPr>
              <w:t xml:space="preserve"> </w:t>
            </w:r>
          </w:p>
        </w:tc>
      </w:tr>
      <w:tr w:rsidR="001C6A90" w:rsidRPr="00906F5C" w14:paraId="590BFB38" w14:textId="77777777" w:rsidTr="00886332">
        <w:tc>
          <w:tcPr>
            <w:tcW w:w="4405" w:type="dxa"/>
          </w:tcPr>
          <w:p w14:paraId="6ABE414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3.10 Área autocontenida,</w:t>
            </w:r>
            <w:r w:rsidRPr="008F5C15">
              <w:rPr>
                <w:rFonts w:ascii="Verdana" w:hAnsi="Verdana"/>
                <w:sz w:val="16"/>
                <w:szCs w:val="16"/>
                <w:lang w:val="es-MX"/>
              </w:rPr>
              <w:t xml:space="preserve"> al área completa y separada en los aspectos de operación, incluyendo flujos de personal y equipos. Esto incluye barreras físicas, así como sistemas de aire independientes, aunque no necesariamente implica dos edificios distintos ni separados.</w:t>
            </w:r>
          </w:p>
        </w:tc>
        <w:tc>
          <w:tcPr>
            <w:tcW w:w="4427" w:type="dxa"/>
          </w:tcPr>
          <w:p w14:paraId="1FDC148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3.10 Self-contained area, </w:t>
            </w:r>
            <w:r w:rsidRPr="008F5C15">
              <w:rPr>
                <w:rFonts w:ascii="Verdana" w:hAnsi="Verdana"/>
                <w:sz w:val="16"/>
                <w:szCs w:val="16"/>
                <w:lang w:val="en-US"/>
              </w:rPr>
              <w:t>the complete area and separated in operation aspects, including flows of personnel and equipment. This includes physical barriers as well as independent systems of air, although it does not necessarily imply two buildings which are distinct and separated.</w:t>
            </w:r>
          </w:p>
        </w:tc>
      </w:tr>
      <w:tr w:rsidR="001C6A90" w:rsidRPr="00906F5C" w14:paraId="7881EA8E" w14:textId="77777777" w:rsidTr="00886332">
        <w:tc>
          <w:tcPr>
            <w:tcW w:w="4405" w:type="dxa"/>
          </w:tcPr>
          <w:p w14:paraId="3BB1896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3.11 Aseguramiento de calidad,</w:t>
            </w:r>
            <w:r w:rsidRPr="008F5C15">
              <w:rPr>
                <w:rFonts w:ascii="Verdana" w:hAnsi="Verdana"/>
                <w:sz w:val="16"/>
                <w:szCs w:val="16"/>
                <w:lang w:val="es-MX"/>
              </w:rPr>
              <w:t xml:space="preserve"> al conjunto de actividades planeadas y sistemáticas que lleva a cabo una empresa, con el objeto de brindar la confianza, de que un producto o servicio cumple con los requisitos de calidad especificados.</w:t>
            </w:r>
          </w:p>
        </w:tc>
        <w:tc>
          <w:tcPr>
            <w:tcW w:w="4427" w:type="dxa"/>
          </w:tcPr>
          <w:p w14:paraId="24F224F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3.11 Quality Assurance, </w:t>
            </w:r>
            <w:r w:rsidRPr="008F5C15">
              <w:rPr>
                <w:rFonts w:ascii="Verdana" w:hAnsi="Verdana"/>
                <w:sz w:val="16"/>
                <w:szCs w:val="16"/>
                <w:lang w:val="en-US"/>
              </w:rPr>
              <w:t>the combination of planned and systematized activities carried out by a company, for the purpose of offering the confidence, that a product or service complies with the specified quality requirements.</w:t>
            </w:r>
          </w:p>
        </w:tc>
      </w:tr>
      <w:tr w:rsidR="001C6A90" w:rsidRPr="00906F5C" w14:paraId="3059F51E" w14:textId="77777777" w:rsidTr="00886332">
        <w:tc>
          <w:tcPr>
            <w:tcW w:w="4405" w:type="dxa"/>
          </w:tcPr>
          <w:p w14:paraId="2B1031F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3.12 Auditoría, </w:t>
            </w:r>
            <w:r w:rsidRPr="008F5C15">
              <w:rPr>
                <w:rFonts w:ascii="Verdana" w:hAnsi="Verdana"/>
                <w:sz w:val="16"/>
                <w:szCs w:val="16"/>
                <w:lang w:val="es-MX"/>
              </w:rPr>
              <w:t>al proceso sistemático, independiente y documentado para obtener evidencias y evaluarlas de manera objetiva con el fin de determinar el nivel en que se cumplen los criterios establecidos.</w:t>
            </w:r>
          </w:p>
        </w:tc>
        <w:tc>
          <w:tcPr>
            <w:tcW w:w="4427" w:type="dxa"/>
          </w:tcPr>
          <w:p w14:paraId="2759854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3.12 Audit, </w:t>
            </w:r>
            <w:r w:rsidRPr="008F5C15">
              <w:rPr>
                <w:rFonts w:ascii="Verdana" w:hAnsi="Verdana"/>
                <w:sz w:val="16"/>
                <w:szCs w:val="16"/>
                <w:lang w:val="en-US"/>
              </w:rPr>
              <w:t>the systematic process, independent and documented for obtaining evidence and evaluating it objectively for the purpose of determining the level at which the established criteria is complied with.</w:t>
            </w:r>
          </w:p>
        </w:tc>
      </w:tr>
      <w:tr w:rsidR="001C6A90" w:rsidRPr="00906F5C" w14:paraId="3A865822" w14:textId="77777777" w:rsidTr="00886332">
        <w:tc>
          <w:tcPr>
            <w:tcW w:w="4405" w:type="dxa"/>
          </w:tcPr>
          <w:p w14:paraId="061D45F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3.13 Autocontención,</w:t>
            </w:r>
            <w:r w:rsidRPr="008F5C15">
              <w:rPr>
                <w:rFonts w:ascii="Verdana" w:hAnsi="Verdana"/>
                <w:sz w:val="16"/>
                <w:szCs w:val="16"/>
                <w:lang w:val="es-MX"/>
              </w:rPr>
              <w:t xml:space="preserve"> al conjunto de condiciones físicas y operacionales que evitan la liberación de partículas de alto riesgo al exterior, lo cual incluye barreras físicas, colectores y sistemas de aire independientes y dedicados, así como el tratamiento de efluentes de aire, agua y materiales antes de su disposición final.</w:t>
            </w:r>
          </w:p>
        </w:tc>
        <w:tc>
          <w:tcPr>
            <w:tcW w:w="4427" w:type="dxa"/>
          </w:tcPr>
          <w:p w14:paraId="2C119B7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3.13 Self-containment, </w:t>
            </w:r>
            <w:r w:rsidRPr="008F5C15">
              <w:rPr>
                <w:rFonts w:ascii="Verdana" w:hAnsi="Verdana"/>
                <w:sz w:val="16"/>
                <w:szCs w:val="16"/>
                <w:lang w:val="en-US"/>
              </w:rPr>
              <w:t>the combination of physical and operational conditions that prevent the release of high risk particles to the exterior, which includes physical barriers, collectors and independent and dedicated air systems, as well as treatment of air water and material effluents before their final disposal.</w:t>
            </w:r>
          </w:p>
        </w:tc>
      </w:tr>
      <w:tr w:rsidR="001C6A90" w:rsidRPr="00906F5C" w14:paraId="666FD5AD" w14:textId="77777777" w:rsidTr="00886332">
        <w:tc>
          <w:tcPr>
            <w:tcW w:w="4405" w:type="dxa"/>
          </w:tcPr>
          <w:p w14:paraId="4EEFEEC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3.14 Banco Celular de Trabajo,</w:t>
            </w:r>
            <w:r w:rsidRPr="008F5C15">
              <w:rPr>
                <w:rFonts w:ascii="Verdana" w:hAnsi="Verdana"/>
                <w:sz w:val="16"/>
                <w:szCs w:val="16"/>
                <w:lang w:val="es-MX"/>
              </w:rPr>
              <w:t xml:space="preserve"> al que se prepara de alícuotas de una suspensión homogénea de células obtenidas de cultivar el Banco Celular Maestro bajo condiciones de cultivo definidas.</w:t>
            </w:r>
          </w:p>
        </w:tc>
        <w:tc>
          <w:tcPr>
            <w:tcW w:w="4427" w:type="dxa"/>
          </w:tcPr>
          <w:p w14:paraId="65A7839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3.14 Work Cell Bank, </w:t>
            </w:r>
            <w:r w:rsidRPr="008F5C15">
              <w:rPr>
                <w:rFonts w:ascii="Verdana" w:hAnsi="Verdana"/>
                <w:sz w:val="16"/>
                <w:szCs w:val="16"/>
                <w:lang w:val="en-US"/>
              </w:rPr>
              <w:t>that prepared from aliquots of a homogenous suspension of</w:t>
            </w:r>
            <w:r w:rsidRPr="008F5C15">
              <w:rPr>
                <w:rFonts w:ascii="Verdana" w:hAnsi="Verdana"/>
                <w:b/>
                <w:sz w:val="16"/>
                <w:szCs w:val="16"/>
                <w:lang w:val="en-US"/>
              </w:rPr>
              <w:t xml:space="preserve"> </w:t>
            </w:r>
            <w:r w:rsidRPr="008F5C15">
              <w:rPr>
                <w:rFonts w:ascii="Verdana" w:hAnsi="Verdana"/>
                <w:sz w:val="16"/>
                <w:szCs w:val="16"/>
                <w:lang w:val="en-US"/>
              </w:rPr>
              <w:t>cells obtained from cultivating the Master Cell Bank under defined culture conditions.</w:t>
            </w:r>
          </w:p>
        </w:tc>
      </w:tr>
      <w:tr w:rsidR="001C6A90" w:rsidRPr="00906F5C" w14:paraId="001FB1AA" w14:textId="77777777" w:rsidTr="00886332">
        <w:tc>
          <w:tcPr>
            <w:tcW w:w="4405" w:type="dxa"/>
          </w:tcPr>
          <w:p w14:paraId="6B6532E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3.15 Banco Celular Maestro,</w:t>
            </w:r>
            <w:r w:rsidRPr="008F5C15">
              <w:rPr>
                <w:rFonts w:ascii="Verdana" w:hAnsi="Verdana"/>
                <w:sz w:val="16"/>
                <w:szCs w:val="16"/>
                <w:lang w:val="es-MX"/>
              </w:rPr>
              <w:t xml:space="preserve"> a la alícuota de una colección celular que en su desarrollo ha sido preparada de las células clonadas bajo condiciones definidas, contenida dentro de múltiples envases y almacenada bajo condiciones específicas.</w:t>
            </w:r>
          </w:p>
        </w:tc>
        <w:tc>
          <w:tcPr>
            <w:tcW w:w="4427" w:type="dxa"/>
          </w:tcPr>
          <w:p w14:paraId="245F893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3.15 Master Cell Bank, </w:t>
            </w:r>
            <w:r w:rsidRPr="008F5C15">
              <w:rPr>
                <w:rFonts w:ascii="Verdana" w:hAnsi="Verdana"/>
                <w:sz w:val="16"/>
                <w:szCs w:val="16"/>
                <w:lang w:val="en-US"/>
              </w:rPr>
              <w:t>the aliquot of a</w:t>
            </w:r>
            <w:r w:rsidRPr="008F5C15">
              <w:rPr>
                <w:rFonts w:ascii="Verdana" w:hAnsi="Verdana"/>
                <w:b/>
                <w:sz w:val="16"/>
                <w:szCs w:val="16"/>
                <w:lang w:val="en-US"/>
              </w:rPr>
              <w:t xml:space="preserve"> </w:t>
            </w:r>
            <w:r w:rsidRPr="008F5C15">
              <w:rPr>
                <w:rFonts w:ascii="Verdana" w:hAnsi="Verdana"/>
                <w:sz w:val="16"/>
                <w:szCs w:val="16"/>
                <w:lang w:val="en-US"/>
              </w:rPr>
              <w:t>cell collection that in its development has been prepared from cloned cells under defined conditions, contained within multiple containers and stored under specific conditions.</w:t>
            </w:r>
          </w:p>
        </w:tc>
      </w:tr>
      <w:tr w:rsidR="001C6A90" w:rsidRPr="00906F5C" w14:paraId="28B2354C" w14:textId="77777777" w:rsidTr="00886332">
        <w:tc>
          <w:tcPr>
            <w:tcW w:w="4405" w:type="dxa"/>
          </w:tcPr>
          <w:p w14:paraId="5AEF807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3.16 Bar,</w:t>
            </w:r>
            <w:r w:rsidRPr="008F5C15">
              <w:rPr>
                <w:rFonts w:ascii="Verdana" w:hAnsi="Verdana"/>
                <w:sz w:val="16"/>
                <w:szCs w:val="16"/>
                <w:lang w:val="es-MX"/>
              </w:rPr>
              <w:t xml:space="preserve"> a la unidad de medición de presión equivalente a 100 kPa o a un millón de barias, aproximadamente igual a una atmósfera.</w:t>
            </w:r>
          </w:p>
        </w:tc>
        <w:tc>
          <w:tcPr>
            <w:tcW w:w="4427" w:type="dxa"/>
          </w:tcPr>
          <w:p w14:paraId="311FB6BD"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3.16 Bar, </w:t>
            </w:r>
            <w:r w:rsidRPr="008F5C15">
              <w:rPr>
                <w:rFonts w:ascii="Verdana" w:hAnsi="Verdana"/>
                <w:sz w:val="16"/>
                <w:szCs w:val="16"/>
                <w:lang w:val="en-US"/>
              </w:rPr>
              <w:t>the pressure measurement unit equivalent to 100 kPa or a million baria, approximately equal to one atmosphere.</w:t>
            </w:r>
          </w:p>
        </w:tc>
      </w:tr>
      <w:tr w:rsidR="001C6A90" w:rsidRPr="00906F5C" w14:paraId="2E0006B8" w14:textId="77777777" w:rsidTr="00886332">
        <w:tc>
          <w:tcPr>
            <w:tcW w:w="4405" w:type="dxa"/>
          </w:tcPr>
          <w:p w14:paraId="57B366C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3.17 Biocarga,</w:t>
            </w:r>
            <w:r w:rsidRPr="008F5C15">
              <w:rPr>
                <w:rFonts w:ascii="Verdana" w:hAnsi="Verdana"/>
                <w:sz w:val="16"/>
                <w:szCs w:val="16"/>
                <w:lang w:val="es-MX"/>
              </w:rPr>
              <w:t xml:space="preserve"> al nivel y tipo de microorganismos que pueden estar presentes en cualquiera de los elementos de la fabricación (insumos, instalaciones, personal, entre otros).</w:t>
            </w:r>
          </w:p>
        </w:tc>
        <w:tc>
          <w:tcPr>
            <w:tcW w:w="4427" w:type="dxa"/>
          </w:tcPr>
          <w:p w14:paraId="187A7C5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3.17 Bioburden</w:t>
            </w:r>
            <w:r w:rsidRPr="008F5C15">
              <w:rPr>
                <w:rFonts w:ascii="Verdana" w:hAnsi="Verdana"/>
                <w:sz w:val="16"/>
                <w:szCs w:val="16"/>
                <w:lang w:val="en-US"/>
              </w:rPr>
              <w:t>, the level and type of microorganisms which may be present in any of the manufacturing elements (materials, installations, personnel, among others).</w:t>
            </w:r>
          </w:p>
        </w:tc>
      </w:tr>
      <w:tr w:rsidR="001C6A90" w:rsidRPr="003E3D90" w14:paraId="2653E309" w14:textId="77777777" w:rsidTr="00886332">
        <w:tc>
          <w:tcPr>
            <w:tcW w:w="4405" w:type="dxa"/>
          </w:tcPr>
          <w:p w14:paraId="520E8BC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3.18 Bioseguridad,</w:t>
            </w:r>
            <w:r w:rsidRPr="008F5C15">
              <w:rPr>
                <w:rFonts w:ascii="Verdana" w:hAnsi="Verdana"/>
                <w:sz w:val="16"/>
                <w:szCs w:val="16"/>
                <w:lang w:val="es-MX"/>
              </w:rPr>
              <w:t xml:space="preserve"> al conjunto de medidas y acciones orientadas a la protección del personal, comunidad y medio ambiente para el manejo de agentes que representan un riesgo a la salud. Se clasifica en los siguientes niveles:</w:t>
            </w:r>
          </w:p>
        </w:tc>
        <w:tc>
          <w:tcPr>
            <w:tcW w:w="4427" w:type="dxa"/>
          </w:tcPr>
          <w:p w14:paraId="1314F6F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3.18 Biosafety, </w:t>
            </w:r>
            <w:r w:rsidRPr="008F5C15">
              <w:rPr>
                <w:rFonts w:ascii="Verdana" w:hAnsi="Verdana"/>
                <w:sz w:val="16"/>
                <w:szCs w:val="16"/>
                <w:lang w:val="en-US"/>
              </w:rPr>
              <w:t>the combination of measures and actions aimed at protecting the personnel, the community and the environment from handling contaminants that pose a risk to health. It is classified at the following levels:</w:t>
            </w:r>
          </w:p>
        </w:tc>
      </w:tr>
      <w:tr w:rsidR="001C6A90" w:rsidRPr="00906F5C" w14:paraId="58EDAAA2" w14:textId="77777777" w:rsidTr="00886332">
        <w:tc>
          <w:tcPr>
            <w:tcW w:w="4405" w:type="dxa"/>
          </w:tcPr>
          <w:p w14:paraId="7B39A0A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3.18.1 Nivel 1 de Bioseguridad.</w:t>
            </w:r>
            <w:r w:rsidRPr="008F5C15">
              <w:rPr>
                <w:rFonts w:ascii="Verdana" w:hAnsi="Verdana"/>
                <w:sz w:val="16"/>
                <w:szCs w:val="16"/>
                <w:lang w:val="es-MX"/>
              </w:rPr>
              <w:t xml:space="preserve"> Está caracterizado por un nivel básico de contención sin barreras especiales primarias y secundarias, en el que se manipulan agentes bien caracterizados que no representan un riesgo potencial para el personal y el ambiente.</w:t>
            </w:r>
          </w:p>
        </w:tc>
        <w:tc>
          <w:tcPr>
            <w:tcW w:w="4427" w:type="dxa"/>
          </w:tcPr>
          <w:p w14:paraId="6CD5962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3.18.1 Biosafety Level 1. </w:t>
            </w:r>
            <w:r w:rsidRPr="008F5C15">
              <w:rPr>
                <w:rFonts w:ascii="Verdana" w:hAnsi="Verdana"/>
                <w:sz w:val="16"/>
                <w:szCs w:val="16"/>
                <w:lang w:val="en-US"/>
              </w:rPr>
              <w:t>It is characterized by a basic level of containment without special primary and secondary barriers, in which well-characterized contaminants which do not represent a potential hazard to personnel and the environment are handled.</w:t>
            </w:r>
          </w:p>
        </w:tc>
      </w:tr>
      <w:tr w:rsidR="001C6A90" w:rsidRPr="00906F5C" w14:paraId="51A47C9B" w14:textId="77777777" w:rsidTr="00886332">
        <w:tc>
          <w:tcPr>
            <w:tcW w:w="4405" w:type="dxa"/>
          </w:tcPr>
          <w:p w14:paraId="30B7F4A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3.18.2 Nivel 2 de Bioseguridad.</w:t>
            </w:r>
            <w:r w:rsidRPr="008F5C15">
              <w:rPr>
                <w:rFonts w:ascii="Verdana" w:hAnsi="Verdana"/>
                <w:sz w:val="16"/>
                <w:szCs w:val="16"/>
                <w:lang w:val="es-MX"/>
              </w:rPr>
              <w:t xml:space="preserve"> Es aquél en el que se manipulan agentes que representan un peligro moderado para el personal y el ambiente, el acceso debe ser restringido cuando el trabajo se esté llevando a cabo y debe llevarse a cabo en cabinas de bioseguridad u otros equipos de contención física.</w:t>
            </w:r>
          </w:p>
        </w:tc>
        <w:tc>
          <w:tcPr>
            <w:tcW w:w="4427" w:type="dxa"/>
          </w:tcPr>
          <w:p w14:paraId="1C3252F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3.18.2 Biosafety Level 2. </w:t>
            </w:r>
            <w:r w:rsidRPr="008F5C15">
              <w:rPr>
                <w:rFonts w:ascii="Verdana" w:hAnsi="Verdana"/>
                <w:sz w:val="16"/>
                <w:szCs w:val="16"/>
                <w:lang w:val="en-US"/>
              </w:rPr>
              <w:t>That in which contaminants representing a moderate risk to personnel and the environment are being handled, access should be restricted when work is being carried out and should be conducted in biosafety cabinets or other physical containment devices.</w:t>
            </w:r>
          </w:p>
        </w:tc>
      </w:tr>
      <w:tr w:rsidR="001C6A90" w:rsidRPr="00906F5C" w14:paraId="673F8869" w14:textId="77777777" w:rsidTr="00886332">
        <w:tc>
          <w:tcPr>
            <w:tcW w:w="4405" w:type="dxa"/>
          </w:tcPr>
          <w:p w14:paraId="2E4D21B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3.18.3 Nivel 3 de Bioseguridad.</w:t>
            </w:r>
            <w:r w:rsidRPr="008F5C15">
              <w:rPr>
                <w:rFonts w:ascii="Verdana" w:hAnsi="Verdana"/>
                <w:sz w:val="16"/>
                <w:szCs w:val="16"/>
                <w:lang w:val="es-MX"/>
              </w:rPr>
              <w:t xml:space="preserve"> Se aplica para el manejo de agentes patógenos letales que pueden causar enfermedades graves o potencialmente mortales. Todas las operaciones deben llevarse a cabo dentro de cabinas de bioseguridad u otro sistema cerrado. Las áreas deben tener características especiales de diseño que permitan el acceso controlado, la descontaminación previa de materiales y evitar la liberación de aerosoles al exterior.</w:t>
            </w:r>
          </w:p>
        </w:tc>
        <w:tc>
          <w:tcPr>
            <w:tcW w:w="4427" w:type="dxa"/>
          </w:tcPr>
          <w:p w14:paraId="601380C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3.19.3 Biosafety Level 3. </w:t>
            </w:r>
            <w:r w:rsidRPr="008F5C15">
              <w:rPr>
                <w:rFonts w:ascii="Verdana" w:hAnsi="Verdana"/>
                <w:sz w:val="16"/>
                <w:szCs w:val="16"/>
                <w:lang w:val="en-US"/>
              </w:rPr>
              <w:t>It applies to the handling of lethal pathogen agents that can cause serious illnesses or potentially mortal illnesses. All the operations must be carried out inside biosafety cabinets or another closed system. The areas have special design characteristics that permit controlled access, the prior decontamination of materials and the prevention of the release of aerosols to the outside.</w:t>
            </w:r>
          </w:p>
        </w:tc>
      </w:tr>
      <w:tr w:rsidR="001C6A90" w:rsidRPr="00906F5C" w14:paraId="4E961D38" w14:textId="77777777" w:rsidTr="00886332">
        <w:tc>
          <w:tcPr>
            <w:tcW w:w="4405" w:type="dxa"/>
          </w:tcPr>
          <w:p w14:paraId="0B61209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3.18.4 Nivel 4 de Bioseguridad.</w:t>
            </w:r>
            <w:r w:rsidRPr="008F5C15">
              <w:rPr>
                <w:rFonts w:ascii="Verdana" w:hAnsi="Verdana"/>
                <w:sz w:val="16"/>
                <w:szCs w:val="16"/>
                <w:lang w:val="es-MX"/>
              </w:rPr>
              <w:t xml:space="preserve"> Se utiliza cuando se manipulan agentes peligrosos y exóticos que presentan un riesgo elevado y potencialmente mortal, no existen vacunas o tratamientos disponibles; representan un riesgo grave al personal, comunidad y ambiente. Todas las operaciones deben ser llevadas a cabo en cabina de bioseguridad clase III, o en cabina de bioseguridad clase II en combinación con uso de traje presurizado por el personal; el edificio debe ser independiente o ser una zona aislada, el suministro de aire debe ser dedicado para cada área y el aire debe ser descontaminado previamente a su salida; todos los materiales utilizados deben ser descontaminados previo a su salida y el personal debe cambiarse de ropa y ducharse antes de salir.</w:t>
            </w:r>
          </w:p>
        </w:tc>
        <w:tc>
          <w:tcPr>
            <w:tcW w:w="4427" w:type="dxa"/>
          </w:tcPr>
          <w:p w14:paraId="282C827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3.18.4 Biosafety Level 4. </w:t>
            </w:r>
            <w:r w:rsidRPr="008F5C15">
              <w:rPr>
                <w:rFonts w:ascii="Verdana" w:hAnsi="Verdana"/>
                <w:sz w:val="16"/>
                <w:szCs w:val="16"/>
                <w:lang w:val="en-US"/>
              </w:rPr>
              <w:t>It is used when dangerous and exotic contaminants are handled that present an elevated and potentially mortal risk, no vaccines or available treatments exist; they represent a serious risk to personnel, the community and the environment. All the operations must be conducted in a biosafety cabinet class III, or in a biosafety cabinet class II in combination with the use of a pressurized suit by the personnel; the building must be independent or be in an isolated zone, the air supply must be dedicated for each area and the air must be decontaminated prior to its exit; all the materials used must be decontaminated prior to their departure and the personnel must change clothes and shower before leaving.</w:t>
            </w:r>
          </w:p>
        </w:tc>
      </w:tr>
      <w:tr w:rsidR="001C6A90" w:rsidRPr="00906F5C" w14:paraId="6680E626" w14:textId="77777777" w:rsidTr="00886332">
        <w:tc>
          <w:tcPr>
            <w:tcW w:w="4405" w:type="dxa"/>
          </w:tcPr>
          <w:p w14:paraId="6FEBCF3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3.19 Bioterio,</w:t>
            </w:r>
            <w:r w:rsidRPr="008F5C15">
              <w:rPr>
                <w:rFonts w:ascii="Verdana" w:hAnsi="Verdana"/>
                <w:sz w:val="16"/>
                <w:szCs w:val="16"/>
                <w:lang w:val="es-MX"/>
              </w:rPr>
              <w:t xml:space="preserve"> al conjunto de instalaciones, muebles e inmuebles destinados al alojamiento y manutención de animales de laboratorio durante una o varias de las fases de su ciclo vital; esto es, nacimiento, desarrollo, reproducción y muerte.</w:t>
            </w:r>
          </w:p>
        </w:tc>
        <w:tc>
          <w:tcPr>
            <w:tcW w:w="4427" w:type="dxa"/>
          </w:tcPr>
          <w:p w14:paraId="4478B9E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3.19 Bio-lab, </w:t>
            </w:r>
            <w:r w:rsidRPr="008F5C15">
              <w:rPr>
                <w:rFonts w:ascii="Verdana" w:hAnsi="Verdana"/>
                <w:sz w:val="16"/>
                <w:szCs w:val="16"/>
                <w:lang w:val="en-US"/>
              </w:rPr>
              <w:t>the combination of facilities, furniture and buildings destined for the accommodation and maintenance of laboratory animals during one or several phases of their life cycle; that is, birth, growth, reproduction and death.</w:t>
            </w:r>
          </w:p>
        </w:tc>
      </w:tr>
      <w:tr w:rsidR="001C6A90" w:rsidRPr="00906F5C" w14:paraId="37E626C9" w14:textId="77777777" w:rsidTr="00886332">
        <w:tc>
          <w:tcPr>
            <w:tcW w:w="4405" w:type="dxa"/>
          </w:tcPr>
          <w:p w14:paraId="7A0A3D1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3.20 Buenas prácticas de almacenamiento y distribución</w:t>
            </w:r>
            <w:r w:rsidRPr="008F5C15">
              <w:rPr>
                <w:rFonts w:ascii="Verdana" w:hAnsi="Verdana"/>
                <w:sz w:val="16"/>
                <w:szCs w:val="16"/>
                <w:lang w:val="es-MX"/>
              </w:rPr>
              <w:t xml:space="preserve">, son parte del aseguramiento de calidad, el cual garantiza que la calidad de los </w:t>
            </w:r>
            <w:r w:rsidRPr="008F5C15">
              <w:rPr>
                <w:rFonts w:ascii="Verdana" w:hAnsi="Verdana"/>
                <w:sz w:val="16"/>
                <w:szCs w:val="16"/>
                <w:lang w:val="es-MX"/>
              </w:rPr>
              <w:lastRenderedPageBreak/>
              <w:t>medicamentos es mantenida a través de todas las etapas de la cadena de suministro desde el sitio de fabricación hasta la farmacia.</w:t>
            </w:r>
          </w:p>
        </w:tc>
        <w:tc>
          <w:tcPr>
            <w:tcW w:w="4427" w:type="dxa"/>
          </w:tcPr>
          <w:p w14:paraId="75D6437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3.20 Good practices of storage and distribution, </w:t>
            </w:r>
            <w:r w:rsidRPr="008F5C15">
              <w:rPr>
                <w:rFonts w:ascii="Verdana" w:hAnsi="Verdana"/>
                <w:sz w:val="16"/>
                <w:szCs w:val="16"/>
                <w:lang w:val="en-US"/>
              </w:rPr>
              <w:t xml:space="preserve">are part of the quality assurance, which guarantees that the quality of the drug </w:t>
            </w:r>
            <w:r w:rsidRPr="008F5C15">
              <w:rPr>
                <w:rFonts w:ascii="Verdana" w:hAnsi="Verdana"/>
                <w:sz w:val="16"/>
                <w:szCs w:val="16"/>
                <w:lang w:val="en-US"/>
              </w:rPr>
              <w:lastRenderedPageBreak/>
              <w:t xml:space="preserve">products is maintained through all the stages of the supply chain from the manufacturing site to the pharmacy. </w:t>
            </w:r>
          </w:p>
        </w:tc>
      </w:tr>
      <w:tr w:rsidR="001C6A90" w:rsidRPr="00906F5C" w14:paraId="4D353799" w14:textId="77777777" w:rsidTr="00886332">
        <w:tc>
          <w:tcPr>
            <w:tcW w:w="4405" w:type="dxa"/>
          </w:tcPr>
          <w:p w14:paraId="136AB3A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3.21 Buenas prácticas de fabricación,</w:t>
            </w:r>
            <w:r w:rsidRPr="008F5C15">
              <w:rPr>
                <w:rFonts w:ascii="Verdana" w:hAnsi="Verdana"/>
                <w:sz w:val="16"/>
                <w:szCs w:val="16"/>
                <w:lang w:val="es-MX"/>
              </w:rPr>
              <w:t xml:space="preserve"> al conjunto de lineamientos y actividades relacionadas entre sí, destinadas a asegurar que los medicamentos elaborados tengan y mantengan las características de identidad, pureza, seguridad, eficacia y calidad requeridas para su uso.</w:t>
            </w:r>
          </w:p>
        </w:tc>
        <w:tc>
          <w:tcPr>
            <w:tcW w:w="4427" w:type="dxa"/>
          </w:tcPr>
          <w:p w14:paraId="7F7BD8B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3.21 Good manufacturing practices, </w:t>
            </w:r>
            <w:r w:rsidRPr="008F5C15">
              <w:rPr>
                <w:rFonts w:ascii="Verdana" w:hAnsi="Verdana"/>
                <w:sz w:val="16"/>
                <w:szCs w:val="16"/>
                <w:lang w:val="en-US"/>
              </w:rPr>
              <w:t>the combination of guidelines and activities related among themselves, destined to guarantee that developed pharmaceutical products have and maintain the identity, purity, concentration, potency, and innocuousness, required for their use.</w:t>
            </w:r>
          </w:p>
        </w:tc>
      </w:tr>
      <w:tr w:rsidR="001C6A90" w:rsidRPr="00906F5C" w14:paraId="4ECB2085" w14:textId="77777777" w:rsidTr="00886332">
        <w:tc>
          <w:tcPr>
            <w:tcW w:w="4405" w:type="dxa"/>
          </w:tcPr>
          <w:p w14:paraId="0DA2CA1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3.22 Buenas prácticas de laboratorio,</w:t>
            </w:r>
            <w:r w:rsidRPr="008F5C15">
              <w:rPr>
                <w:rFonts w:ascii="Verdana" w:hAnsi="Verdana"/>
                <w:sz w:val="16"/>
                <w:szCs w:val="16"/>
                <w:lang w:val="es-MX"/>
              </w:rPr>
              <w:t xml:space="preserve"> al conjunto de reglas, procedimientos operacionales y prácticas establecidas para asegurar la calidad e integridad de las actividades realizadas en el laboratorio y de los datos analíticos obtenidos de ensayos o pruebas.</w:t>
            </w:r>
          </w:p>
        </w:tc>
        <w:tc>
          <w:tcPr>
            <w:tcW w:w="4427" w:type="dxa"/>
          </w:tcPr>
          <w:p w14:paraId="392EADB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3.22 Good laboratory practices, </w:t>
            </w:r>
            <w:r w:rsidRPr="008F5C15">
              <w:rPr>
                <w:rFonts w:ascii="Verdana" w:hAnsi="Verdana"/>
                <w:sz w:val="16"/>
                <w:szCs w:val="16"/>
                <w:lang w:val="en-US"/>
              </w:rPr>
              <w:t>the combination of rules, operational procedures and practices established to assure the quality and integrity of the activities carried out in the laboratory and of the analytical data obtained from trials or tests.</w:t>
            </w:r>
          </w:p>
        </w:tc>
      </w:tr>
      <w:tr w:rsidR="001C6A90" w:rsidRPr="00906F5C" w14:paraId="6DF7EB72" w14:textId="77777777" w:rsidTr="00886332">
        <w:tc>
          <w:tcPr>
            <w:tcW w:w="4405" w:type="dxa"/>
          </w:tcPr>
          <w:p w14:paraId="61AB5C6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3.23 Cabezal múltiple (manifold),</w:t>
            </w:r>
            <w:r w:rsidRPr="008F5C15">
              <w:rPr>
                <w:rFonts w:ascii="Verdana" w:hAnsi="Verdana"/>
                <w:sz w:val="16"/>
                <w:szCs w:val="16"/>
                <w:lang w:val="es-MX"/>
              </w:rPr>
              <w:t xml:space="preserve"> al equipo o aparato diseñado para permitir el venteo, vacío o llenado sincronizado de uno o más contenedores de gas.</w:t>
            </w:r>
          </w:p>
        </w:tc>
        <w:tc>
          <w:tcPr>
            <w:tcW w:w="4427" w:type="dxa"/>
          </w:tcPr>
          <w:p w14:paraId="06044C8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3.23 Manifold, </w:t>
            </w:r>
            <w:r w:rsidRPr="008F5C15">
              <w:rPr>
                <w:rFonts w:ascii="Verdana" w:hAnsi="Verdana"/>
                <w:sz w:val="16"/>
                <w:szCs w:val="16"/>
                <w:lang w:val="en-US"/>
              </w:rPr>
              <w:t>the</w:t>
            </w:r>
            <w:r w:rsidRPr="008F5C15">
              <w:rPr>
                <w:rFonts w:ascii="Verdana" w:hAnsi="Verdana"/>
                <w:b/>
                <w:sz w:val="16"/>
                <w:szCs w:val="16"/>
                <w:lang w:val="en-US"/>
              </w:rPr>
              <w:t xml:space="preserve"> </w:t>
            </w:r>
            <w:r w:rsidRPr="008F5C15">
              <w:rPr>
                <w:rFonts w:ascii="Verdana" w:hAnsi="Verdana"/>
                <w:sz w:val="16"/>
                <w:szCs w:val="16"/>
                <w:lang w:val="en-US"/>
              </w:rPr>
              <w:t>equipment or apparatus designed to allow the venting, emptying or synchronized filling of one or more gas containers.</w:t>
            </w:r>
          </w:p>
        </w:tc>
      </w:tr>
      <w:tr w:rsidR="001C6A90" w:rsidRPr="00906F5C" w14:paraId="36049999" w14:textId="77777777" w:rsidTr="00886332">
        <w:tc>
          <w:tcPr>
            <w:tcW w:w="4405" w:type="dxa"/>
          </w:tcPr>
          <w:p w14:paraId="5B10548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3.24 Calibración,</w:t>
            </w:r>
            <w:r w:rsidRPr="008F5C15">
              <w:rPr>
                <w:rFonts w:ascii="Verdana" w:hAnsi="Verdana"/>
                <w:sz w:val="16"/>
                <w:szCs w:val="16"/>
                <w:lang w:val="es-MX"/>
              </w:rPr>
              <w:t xml:space="preserve"> a la demostración de que un instrumento particular o dispositivo produce resultados dentro de límites especificados, en comparación con los producidos por una referencia o estándar trazable sobre un intervalo de mediciones establecido.</w:t>
            </w:r>
          </w:p>
        </w:tc>
        <w:tc>
          <w:tcPr>
            <w:tcW w:w="4427" w:type="dxa"/>
          </w:tcPr>
          <w:p w14:paraId="1C885A8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3.24 Calibration,</w:t>
            </w:r>
            <w:r w:rsidRPr="008F5C15">
              <w:rPr>
                <w:rFonts w:ascii="Verdana" w:hAnsi="Verdana"/>
                <w:sz w:val="16"/>
                <w:szCs w:val="16"/>
                <w:lang w:val="en-US"/>
              </w:rPr>
              <w:t xml:space="preserve"> the</w:t>
            </w:r>
            <w:r w:rsidRPr="008F5C15">
              <w:rPr>
                <w:rFonts w:ascii="Verdana" w:hAnsi="Verdana"/>
                <w:b/>
                <w:sz w:val="16"/>
                <w:szCs w:val="16"/>
                <w:lang w:val="en-US"/>
              </w:rPr>
              <w:t xml:space="preserve"> </w:t>
            </w:r>
            <w:r w:rsidRPr="008F5C15">
              <w:rPr>
                <w:rFonts w:ascii="Verdana" w:hAnsi="Verdana"/>
                <w:sz w:val="16"/>
                <w:szCs w:val="16"/>
                <w:lang w:val="en-US"/>
              </w:rPr>
              <w:t>demonstration that a particular instrument or device produces results within specified limits, compared with those produced by a reference or traceable standard on an established measurement interval.</w:t>
            </w:r>
          </w:p>
        </w:tc>
      </w:tr>
      <w:tr w:rsidR="001C6A90" w:rsidRPr="00906F5C" w14:paraId="1E48EEB1" w14:textId="77777777" w:rsidTr="00886332">
        <w:tc>
          <w:tcPr>
            <w:tcW w:w="4405" w:type="dxa"/>
          </w:tcPr>
          <w:p w14:paraId="698545C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3.25 Calidad,</w:t>
            </w:r>
            <w:r w:rsidRPr="008F5C15">
              <w:rPr>
                <w:rFonts w:ascii="Verdana" w:hAnsi="Verdana"/>
                <w:sz w:val="16"/>
                <w:szCs w:val="16"/>
                <w:lang w:val="es-MX"/>
              </w:rPr>
              <w:t xml:space="preserve"> al cumplimiento de especificaciones establecidas para garantizar la aptitud de uso.</w:t>
            </w:r>
          </w:p>
        </w:tc>
        <w:tc>
          <w:tcPr>
            <w:tcW w:w="4427" w:type="dxa"/>
          </w:tcPr>
          <w:p w14:paraId="38D353F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3.25 Quality, </w:t>
            </w:r>
            <w:r w:rsidRPr="008F5C15">
              <w:rPr>
                <w:rFonts w:ascii="Verdana" w:hAnsi="Verdana"/>
                <w:sz w:val="16"/>
                <w:szCs w:val="16"/>
                <w:lang w:val="en-US"/>
              </w:rPr>
              <w:t>compliance to specifications established for guaranteeing fitness for use.</w:t>
            </w:r>
          </w:p>
        </w:tc>
      </w:tr>
      <w:tr w:rsidR="001C6A90" w:rsidRPr="00906F5C" w14:paraId="5276E751" w14:textId="77777777" w:rsidTr="00886332">
        <w:tc>
          <w:tcPr>
            <w:tcW w:w="4405" w:type="dxa"/>
          </w:tcPr>
          <w:p w14:paraId="6EF9CC7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3.26 Calificación,</w:t>
            </w:r>
            <w:r w:rsidRPr="008F5C15">
              <w:rPr>
                <w:rFonts w:ascii="Verdana" w:hAnsi="Verdana"/>
                <w:sz w:val="16"/>
                <w:szCs w:val="16"/>
                <w:lang w:val="es-MX"/>
              </w:rPr>
              <w:t xml:space="preserve"> a la realización de las pruebas específicas basadas en conocimiento científico, para demostrar que los equipos, sistemas críticos, instalaciones, personal y proveedores cumplen con los requisitos previamente establecidos, la cual debe ser concluida antes de validar los procesos.</w:t>
            </w:r>
          </w:p>
        </w:tc>
        <w:tc>
          <w:tcPr>
            <w:tcW w:w="4427" w:type="dxa"/>
          </w:tcPr>
          <w:p w14:paraId="0026257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3.26 Qualification, </w:t>
            </w:r>
            <w:r w:rsidRPr="008F5C15">
              <w:rPr>
                <w:rFonts w:ascii="Verdana" w:hAnsi="Verdana"/>
                <w:sz w:val="16"/>
                <w:szCs w:val="16"/>
                <w:lang w:val="en-US"/>
              </w:rPr>
              <w:t>performance of specific tests based on scientific knowledge, to prove that equipment, critical systems, installations, personnel and suppliers comply with previously established requirements, which must be completed before validating the processes.</w:t>
            </w:r>
          </w:p>
        </w:tc>
      </w:tr>
      <w:tr w:rsidR="001C6A90" w:rsidRPr="00906F5C" w14:paraId="4E4E24C6" w14:textId="77777777" w:rsidTr="00886332">
        <w:tc>
          <w:tcPr>
            <w:tcW w:w="4405" w:type="dxa"/>
          </w:tcPr>
          <w:p w14:paraId="3695000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3.27 Calificación de desempeño,</w:t>
            </w:r>
            <w:r w:rsidRPr="008F5C15">
              <w:rPr>
                <w:rFonts w:ascii="Verdana" w:hAnsi="Verdana"/>
                <w:sz w:val="16"/>
                <w:szCs w:val="16"/>
                <w:lang w:val="es-MX"/>
              </w:rPr>
              <w:t xml:space="preserve"> a la evidencia documentada de que las instalaciones, sistemas, y equipos se desempeñan cumpliendo los criterios de aceptación previamente establecidos.</w:t>
            </w:r>
          </w:p>
        </w:tc>
        <w:tc>
          <w:tcPr>
            <w:tcW w:w="4427" w:type="dxa"/>
          </w:tcPr>
          <w:p w14:paraId="0D2E8FC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3.27 Performance Qualification,</w:t>
            </w:r>
            <w:r w:rsidRPr="008F5C15">
              <w:rPr>
                <w:rFonts w:ascii="Verdana" w:hAnsi="Verdana"/>
                <w:sz w:val="16"/>
                <w:szCs w:val="16"/>
                <w:lang w:val="en-US"/>
              </w:rPr>
              <w:t xml:space="preserve"> the documented evidence that facilities, systems, and equipment perform meeting the acceptance criteria previously established.</w:t>
            </w:r>
          </w:p>
        </w:tc>
      </w:tr>
      <w:tr w:rsidR="001C6A90" w:rsidRPr="00906F5C" w14:paraId="01434C27" w14:textId="77777777" w:rsidTr="00886332">
        <w:tc>
          <w:tcPr>
            <w:tcW w:w="4405" w:type="dxa"/>
          </w:tcPr>
          <w:p w14:paraId="26E5A03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3.28 Calificación de diseño,</w:t>
            </w:r>
            <w:r w:rsidRPr="008F5C15">
              <w:rPr>
                <w:rFonts w:ascii="Verdana" w:hAnsi="Verdana"/>
                <w:sz w:val="16"/>
                <w:szCs w:val="16"/>
                <w:lang w:val="es-MX"/>
              </w:rPr>
              <w:t xml:space="preserve"> a la evidencia documentada que demuestra que el diseño propuesto de las instalaciones, sistemas y equipos es conveniente para el propósito proyectado.</w:t>
            </w:r>
          </w:p>
        </w:tc>
        <w:tc>
          <w:tcPr>
            <w:tcW w:w="4427" w:type="dxa"/>
          </w:tcPr>
          <w:p w14:paraId="5240211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3.28 Qualification of the design, </w:t>
            </w:r>
            <w:r w:rsidRPr="008F5C15">
              <w:rPr>
                <w:rFonts w:ascii="Verdana" w:hAnsi="Verdana"/>
                <w:sz w:val="16"/>
                <w:szCs w:val="16"/>
                <w:lang w:val="en-US"/>
              </w:rPr>
              <w:t>documented evidence that shows that the proposed design for the installations, systems and equipment is convenient for the projected proposal.</w:t>
            </w:r>
          </w:p>
        </w:tc>
      </w:tr>
      <w:tr w:rsidR="001C6A90" w:rsidRPr="00906F5C" w14:paraId="581881D6" w14:textId="77777777" w:rsidTr="00886332">
        <w:tc>
          <w:tcPr>
            <w:tcW w:w="4405" w:type="dxa"/>
          </w:tcPr>
          <w:p w14:paraId="0DCD15E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3.29 Calificación de instalación,</w:t>
            </w:r>
            <w:r w:rsidRPr="008F5C15">
              <w:rPr>
                <w:rFonts w:ascii="Verdana" w:hAnsi="Verdana"/>
                <w:sz w:val="16"/>
                <w:szCs w:val="16"/>
                <w:lang w:val="es-MX"/>
              </w:rPr>
              <w:t xml:space="preserve"> a la evidencia documentada de que las instalaciones, sistemas y equipos se han instalado de acuerdo a las especificaciones de diseño previamente establecidas.</w:t>
            </w:r>
          </w:p>
        </w:tc>
        <w:tc>
          <w:tcPr>
            <w:tcW w:w="4427" w:type="dxa"/>
          </w:tcPr>
          <w:p w14:paraId="0FCD754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3.29 Qualification of the installation, </w:t>
            </w:r>
            <w:r w:rsidRPr="008F5C15">
              <w:rPr>
                <w:rFonts w:ascii="Verdana" w:hAnsi="Verdana"/>
                <w:sz w:val="16"/>
                <w:szCs w:val="16"/>
                <w:lang w:val="en-US"/>
              </w:rPr>
              <w:t>documented evidence that the installations, systems and equipment have been installed according to the previously established design specifications.</w:t>
            </w:r>
          </w:p>
        </w:tc>
      </w:tr>
      <w:tr w:rsidR="001C6A90" w:rsidRPr="00906F5C" w14:paraId="58246AFE" w14:textId="77777777" w:rsidTr="00886332">
        <w:tc>
          <w:tcPr>
            <w:tcW w:w="4405" w:type="dxa"/>
          </w:tcPr>
          <w:p w14:paraId="3F39E5E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3.30 Calificación de operación, </w:t>
            </w:r>
            <w:r w:rsidRPr="008F5C15">
              <w:rPr>
                <w:rFonts w:ascii="Verdana" w:hAnsi="Verdana"/>
                <w:sz w:val="16"/>
                <w:szCs w:val="16"/>
                <w:lang w:val="es-MX"/>
              </w:rPr>
              <w:t>a la evidencia documentada que demuestra que el equipo, las instalaciones y los sistemas operan consistentemente, de acuerdo a las especificaciones de diseño establecidas.</w:t>
            </w:r>
          </w:p>
        </w:tc>
        <w:tc>
          <w:tcPr>
            <w:tcW w:w="4427" w:type="dxa"/>
          </w:tcPr>
          <w:p w14:paraId="2B362B3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3.30 Operational Qualification, </w:t>
            </w:r>
            <w:r w:rsidRPr="008F5C15">
              <w:rPr>
                <w:rFonts w:ascii="Verdana" w:hAnsi="Verdana"/>
                <w:sz w:val="16"/>
                <w:szCs w:val="16"/>
                <w:lang w:val="en-US"/>
              </w:rPr>
              <w:t>the documented evidence that demonstrates that the equipment, the installations and the systems operate in accordance to the established design specifications.</w:t>
            </w:r>
          </w:p>
        </w:tc>
      </w:tr>
      <w:tr w:rsidR="001C6A90" w:rsidRPr="00906F5C" w14:paraId="3B21D081" w14:textId="77777777" w:rsidTr="00886332">
        <w:tc>
          <w:tcPr>
            <w:tcW w:w="4405" w:type="dxa"/>
          </w:tcPr>
          <w:p w14:paraId="08296AD8"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3.31 Campaña de fabricación</w:t>
            </w:r>
            <w:r w:rsidRPr="008F5C15">
              <w:rPr>
                <w:rFonts w:ascii="Verdana" w:hAnsi="Verdana"/>
                <w:sz w:val="16"/>
                <w:szCs w:val="16"/>
                <w:lang w:val="es-MX"/>
              </w:rPr>
              <w:t xml:space="preserve">, a la fabricación de una serie de lotes del mismo producto en un periodo </w:t>
            </w:r>
            <w:r w:rsidRPr="008F5C15">
              <w:rPr>
                <w:rFonts w:ascii="Verdana" w:hAnsi="Verdana"/>
                <w:sz w:val="16"/>
                <w:szCs w:val="16"/>
                <w:lang w:val="es-MX"/>
              </w:rPr>
              <w:lastRenderedPageBreak/>
              <w:t>definido de tiempo seguido por actividades de limpieza y, en su caso, de sanitización, antes de pasar a otro producto. Los productos diferentes no son producidos al mismo tiempo pero si utilizando el mismo equipo.</w:t>
            </w:r>
          </w:p>
        </w:tc>
        <w:tc>
          <w:tcPr>
            <w:tcW w:w="4427" w:type="dxa"/>
          </w:tcPr>
          <w:p w14:paraId="37F4886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3.31 Manufacturing campaign, </w:t>
            </w:r>
            <w:r w:rsidRPr="008F5C15">
              <w:rPr>
                <w:rFonts w:ascii="Verdana" w:hAnsi="Verdana"/>
                <w:sz w:val="16"/>
                <w:szCs w:val="16"/>
                <w:lang w:val="en-US"/>
              </w:rPr>
              <w:t xml:space="preserve">the manufacture of a series of lots from the same product in a defined </w:t>
            </w:r>
            <w:r w:rsidRPr="008F5C15">
              <w:rPr>
                <w:rFonts w:ascii="Verdana" w:hAnsi="Verdana"/>
                <w:sz w:val="16"/>
                <w:szCs w:val="16"/>
                <w:lang w:val="en-US"/>
              </w:rPr>
              <w:lastRenderedPageBreak/>
              <w:t xml:space="preserve">period of time followed by cleaning activities and, when applicable, sanitization, before to pass to another product. The different products are not produced at the same time but if using the same equipment. </w:t>
            </w:r>
          </w:p>
        </w:tc>
      </w:tr>
      <w:tr w:rsidR="001C6A90" w:rsidRPr="00906F5C" w14:paraId="6105E671" w14:textId="77777777" w:rsidTr="00886332">
        <w:tc>
          <w:tcPr>
            <w:tcW w:w="4405" w:type="dxa"/>
          </w:tcPr>
          <w:p w14:paraId="1B48ACB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3.32 Capacitación,</w:t>
            </w:r>
            <w:r w:rsidRPr="008F5C15">
              <w:rPr>
                <w:rFonts w:ascii="Verdana" w:hAnsi="Verdana"/>
                <w:sz w:val="16"/>
                <w:szCs w:val="16"/>
                <w:lang w:val="es-MX"/>
              </w:rPr>
              <w:t xml:space="preserve"> a las actividades encaminadas a generar o desarrollar habilidades en el personal.</w:t>
            </w:r>
          </w:p>
        </w:tc>
        <w:tc>
          <w:tcPr>
            <w:tcW w:w="4427" w:type="dxa"/>
          </w:tcPr>
          <w:p w14:paraId="4E16F01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3.32 Qualification, </w:t>
            </w:r>
            <w:r w:rsidRPr="008F5C15">
              <w:rPr>
                <w:rFonts w:ascii="Verdana" w:hAnsi="Verdana"/>
                <w:sz w:val="16"/>
                <w:szCs w:val="16"/>
                <w:lang w:val="en-US"/>
              </w:rPr>
              <w:t xml:space="preserve">the activities channeled to generating or developing abilities in the personnel. </w:t>
            </w:r>
          </w:p>
        </w:tc>
      </w:tr>
      <w:tr w:rsidR="001C6A90" w:rsidRPr="00906F5C" w14:paraId="7E39F819" w14:textId="77777777" w:rsidTr="00886332">
        <w:tc>
          <w:tcPr>
            <w:tcW w:w="4405" w:type="dxa"/>
          </w:tcPr>
          <w:p w14:paraId="3A66647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3.33 Certificado de análisis,</w:t>
            </w:r>
            <w:r w:rsidRPr="008F5C15">
              <w:rPr>
                <w:rFonts w:ascii="Verdana" w:hAnsi="Verdana"/>
                <w:sz w:val="16"/>
                <w:szCs w:val="16"/>
                <w:lang w:val="es-MX"/>
              </w:rPr>
              <w:t xml:space="preserve"> al resumen de los resultados obtenidos de las determinaciones efectuadas a muestras de productos, materias primas, materiales o cualquier otro insumo, que incluya las referencias de los métodos de análisis o de prueba utilizados y la determinación del cumplimiento a especificaciones previamente establecidas, avalado por la persona autorizada.</w:t>
            </w:r>
          </w:p>
        </w:tc>
        <w:tc>
          <w:tcPr>
            <w:tcW w:w="4427" w:type="dxa"/>
          </w:tcPr>
          <w:p w14:paraId="0528831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3.33 Certificate of analysis, </w:t>
            </w:r>
            <w:r w:rsidRPr="008F5C15">
              <w:rPr>
                <w:rFonts w:ascii="Verdana" w:hAnsi="Verdana"/>
                <w:sz w:val="16"/>
                <w:szCs w:val="16"/>
                <w:lang w:val="en-US"/>
              </w:rPr>
              <w:t>the summary of the results of the tests carried out on samples of products, raw materials, materials or other supplies, which include the reference methods of analysis or testing used and the determination of compliance with specifications previously established, backed by the authorized person.</w:t>
            </w:r>
          </w:p>
        </w:tc>
      </w:tr>
      <w:tr w:rsidR="001C6A90" w:rsidRPr="00906F5C" w14:paraId="39320405" w14:textId="77777777" w:rsidTr="00886332">
        <w:tc>
          <w:tcPr>
            <w:tcW w:w="4405" w:type="dxa"/>
          </w:tcPr>
          <w:p w14:paraId="10EFC2C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3.34 Certificado de Buenas Prácticas de Fabricación,</w:t>
            </w:r>
            <w:r w:rsidRPr="008F5C15">
              <w:rPr>
                <w:rFonts w:ascii="Verdana" w:hAnsi="Verdana"/>
                <w:sz w:val="16"/>
                <w:szCs w:val="16"/>
                <w:lang w:val="es-MX"/>
              </w:rPr>
              <w:t xml:space="preserve"> al documento emitido por la Autoridad Sanitaria de un país, posterior a una visita de verificación sanitaria realizada a un establecimiento, para confirmar su estado de cumplimiento de las Buenas Prácticas de Fabricación conforme a las disposiciones jurídicas aplicables.</w:t>
            </w:r>
          </w:p>
        </w:tc>
        <w:tc>
          <w:tcPr>
            <w:tcW w:w="4427" w:type="dxa"/>
          </w:tcPr>
          <w:p w14:paraId="590F40B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3.34 Certificate of Good Manufacturing Practices, </w:t>
            </w:r>
            <w:r w:rsidRPr="008F5C15">
              <w:rPr>
                <w:rFonts w:ascii="Verdana" w:hAnsi="Verdana"/>
                <w:sz w:val="16"/>
                <w:szCs w:val="16"/>
                <w:lang w:val="en-US"/>
              </w:rPr>
              <w:t>the document issued by the Health Authority of the country, after a health verification visit performed in an establishment to confirm the status of compliance with Good Manufacturing Practices according to the applicable legal provisions.</w:t>
            </w:r>
          </w:p>
        </w:tc>
      </w:tr>
      <w:tr w:rsidR="001C6A90" w:rsidRPr="00906F5C" w14:paraId="134B1A98" w14:textId="77777777" w:rsidTr="00886332">
        <w:tc>
          <w:tcPr>
            <w:tcW w:w="4405" w:type="dxa"/>
          </w:tcPr>
          <w:p w14:paraId="4ED10A5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3.35 Condiciones dinámicas,</w:t>
            </w:r>
            <w:r w:rsidRPr="008F5C15">
              <w:rPr>
                <w:rFonts w:ascii="Verdana" w:hAnsi="Verdana"/>
                <w:sz w:val="16"/>
                <w:szCs w:val="16"/>
                <w:lang w:val="es-MX"/>
              </w:rPr>
              <w:t xml:space="preserve"> a aquéllas en donde la instalación se encuentra funcionando en el modo operativo definido y con el número especificado de personal.</w:t>
            </w:r>
          </w:p>
        </w:tc>
        <w:tc>
          <w:tcPr>
            <w:tcW w:w="4427" w:type="dxa"/>
          </w:tcPr>
          <w:p w14:paraId="44873D6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3.35 Dynamic Conditions, </w:t>
            </w:r>
            <w:r w:rsidRPr="008F5C15">
              <w:rPr>
                <w:rFonts w:ascii="Verdana" w:hAnsi="Verdana"/>
                <w:sz w:val="16"/>
                <w:szCs w:val="16"/>
                <w:lang w:val="en-US"/>
              </w:rPr>
              <w:t>those where the installation is found to be functioning in the defined operation mode and with the specified number of personnel.</w:t>
            </w:r>
          </w:p>
        </w:tc>
      </w:tr>
      <w:tr w:rsidR="001C6A90" w:rsidRPr="00906F5C" w14:paraId="598979A7" w14:textId="77777777" w:rsidTr="00886332">
        <w:tc>
          <w:tcPr>
            <w:tcW w:w="4405" w:type="dxa"/>
          </w:tcPr>
          <w:p w14:paraId="4347F6F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3.36 Condiciones estáticas,</w:t>
            </w:r>
            <w:r w:rsidRPr="008F5C15">
              <w:rPr>
                <w:rFonts w:ascii="Verdana" w:hAnsi="Verdana"/>
                <w:sz w:val="16"/>
                <w:szCs w:val="16"/>
                <w:lang w:val="es-MX"/>
              </w:rPr>
              <w:t xml:space="preserve"> a aquéllas en las que el sistema de aire se encuentra operando, con el equipo de producción completo e instalado, sin personal presente.</w:t>
            </w:r>
          </w:p>
        </w:tc>
        <w:tc>
          <w:tcPr>
            <w:tcW w:w="4427" w:type="dxa"/>
          </w:tcPr>
          <w:p w14:paraId="3ADA089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3.36 Static Conditions, </w:t>
            </w:r>
            <w:r w:rsidRPr="008F5C15">
              <w:rPr>
                <w:rFonts w:ascii="Verdana" w:hAnsi="Verdana"/>
                <w:sz w:val="16"/>
                <w:szCs w:val="16"/>
                <w:lang w:val="en-US"/>
              </w:rPr>
              <w:t>those in which the air system is found operating with the equipment and production, complete and installed, without present personnel.</w:t>
            </w:r>
          </w:p>
        </w:tc>
      </w:tr>
      <w:tr w:rsidR="001C6A90" w:rsidRPr="00906F5C" w14:paraId="4A7A9BFA" w14:textId="77777777" w:rsidTr="00886332">
        <w:tc>
          <w:tcPr>
            <w:tcW w:w="4405" w:type="dxa"/>
          </w:tcPr>
          <w:p w14:paraId="0A0CD6D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3.37 Conexión de acoplamiento de cilindros,</w:t>
            </w:r>
            <w:r w:rsidRPr="008F5C15">
              <w:rPr>
                <w:rFonts w:ascii="Verdana" w:hAnsi="Verdana"/>
                <w:sz w:val="16"/>
                <w:szCs w:val="16"/>
                <w:lang w:val="es-MX"/>
              </w:rPr>
              <w:t xml:space="preserve"> a la unión roscada de la válvula del cilindro, que acopla y conecta un tubo o manguera flexible o un regulador de presión al cilindro, evitando errores en el intercambio en el uso de gases.</w:t>
            </w:r>
          </w:p>
        </w:tc>
        <w:tc>
          <w:tcPr>
            <w:tcW w:w="4427" w:type="dxa"/>
          </w:tcPr>
          <w:p w14:paraId="299B6B9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3.37 Cylinder coupling connection, </w:t>
            </w:r>
            <w:r w:rsidRPr="008F5C15">
              <w:rPr>
                <w:rFonts w:ascii="Verdana" w:hAnsi="Verdana"/>
                <w:sz w:val="16"/>
                <w:szCs w:val="16"/>
                <w:lang w:val="en-US"/>
              </w:rPr>
              <w:t>the threaded joint of the cylinder valve that couples and connects a tube or</w:t>
            </w:r>
            <w:r w:rsidRPr="008F5C15">
              <w:rPr>
                <w:lang w:val="en-US"/>
              </w:rPr>
              <w:t xml:space="preserve"> </w:t>
            </w:r>
            <w:r w:rsidRPr="008F5C15">
              <w:rPr>
                <w:rFonts w:ascii="Verdana" w:hAnsi="Verdana"/>
                <w:sz w:val="16"/>
                <w:szCs w:val="16"/>
                <w:lang w:val="en-US"/>
              </w:rPr>
              <w:t>flexible hose or pressure regulator to the cylinder, avoiding errors in the exchange in the use of gases.</w:t>
            </w:r>
          </w:p>
        </w:tc>
      </w:tr>
      <w:tr w:rsidR="001C6A90" w:rsidRPr="00906F5C" w14:paraId="4F95CAAC" w14:textId="77777777" w:rsidTr="00886332">
        <w:tc>
          <w:tcPr>
            <w:tcW w:w="4405" w:type="dxa"/>
          </w:tcPr>
          <w:p w14:paraId="5CBE9AC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3.38 Contaminación,</w:t>
            </w:r>
            <w:r w:rsidRPr="008F5C15">
              <w:rPr>
                <w:rFonts w:ascii="Verdana" w:hAnsi="Verdana"/>
                <w:sz w:val="16"/>
                <w:szCs w:val="16"/>
                <w:lang w:val="es-MX"/>
              </w:rPr>
              <w:t xml:space="preserve"> a la presencia de entidades físicas, químicas o biológicas indeseables.</w:t>
            </w:r>
          </w:p>
        </w:tc>
        <w:tc>
          <w:tcPr>
            <w:tcW w:w="4427" w:type="dxa"/>
          </w:tcPr>
          <w:p w14:paraId="1745107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3.38 Contamination, </w:t>
            </w:r>
            <w:r w:rsidRPr="008F5C15">
              <w:rPr>
                <w:rFonts w:ascii="Verdana" w:hAnsi="Verdana"/>
                <w:sz w:val="16"/>
                <w:szCs w:val="16"/>
                <w:lang w:val="en-US"/>
              </w:rPr>
              <w:t>refers to the</w:t>
            </w:r>
            <w:r w:rsidRPr="008F5C15">
              <w:rPr>
                <w:rFonts w:ascii="Verdana" w:hAnsi="Verdana"/>
                <w:b/>
                <w:sz w:val="16"/>
                <w:szCs w:val="16"/>
                <w:lang w:val="en-US"/>
              </w:rPr>
              <w:t xml:space="preserve"> </w:t>
            </w:r>
            <w:r w:rsidRPr="008F5C15">
              <w:rPr>
                <w:rFonts w:ascii="Verdana" w:hAnsi="Verdana"/>
                <w:sz w:val="16"/>
                <w:szCs w:val="16"/>
                <w:lang w:val="en-US"/>
              </w:rPr>
              <w:t>presence of undesirable physical, chemical, or biological entities.</w:t>
            </w:r>
          </w:p>
        </w:tc>
      </w:tr>
      <w:tr w:rsidR="001C6A90" w:rsidRPr="00906F5C" w14:paraId="42FCE38B" w14:textId="77777777" w:rsidTr="00886332">
        <w:tc>
          <w:tcPr>
            <w:tcW w:w="4405" w:type="dxa"/>
          </w:tcPr>
          <w:p w14:paraId="408D04B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3.39 Contaminación cruzada, </w:t>
            </w:r>
            <w:r w:rsidRPr="008F5C15">
              <w:rPr>
                <w:rFonts w:ascii="Verdana" w:hAnsi="Verdana"/>
                <w:sz w:val="16"/>
                <w:szCs w:val="16"/>
                <w:lang w:val="es-MX"/>
              </w:rPr>
              <w:t>a la presencia de entidades físicas, químicas o biológicas indeseables, procedentes de un proceso o producto diferente.</w:t>
            </w:r>
          </w:p>
        </w:tc>
        <w:tc>
          <w:tcPr>
            <w:tcW w:w="4427" w:type="dxa"/>
          </w:tcPr>
          <w:p w14:paraId="7CFAF7A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3.39 Cross contamination, </w:t>
            </w:r>
            <w:r w:rsidRPr="008F5C15">
              <w:rPr>
                <w:rFonts w:ascii="Verdana" w:hAnsi="Verdana"/>
                <w:sz w:val="16"/>
                <w:szCs w:val="16"/>
                <w:lang w:val="en-US"/>
              </w:rPr>
              <w:t xml:space="preserve">refers to the presence of undesirable physical, chemical, or biological entities originating from a different process or product. </w:t>
            </w:r>
          </w:p>
        </w:tc>
      </w:tr>
      <w:tr w:rsidR="001C6A90" w:rsidRPr="00906F5C" w14:paraId="5014D6BE" w14:textId="77777777" w:rsidTr="00886332">
        <w:tc>
          <w:tcPr>
            <w:tcW w:w="4405" w:type="dxa"/>
          </w:tcPr>
          <w:p w14:paraId="7AB225C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3.40 Contaminante,</w:t>
            </w:r>
            <w:r w:rsidRPr="008F5C15">
              <w:rPr>
                <w:rFonts w:ascii="Verdana" w:hAnsi="Verdana"/>
                <w:sz w:val="16"/>
                <w:szCs w:val="16"/>
                <w:lang w:val="es-MX"/>
              </w:rPr>
              <w:t xml:space="preserve"> a las impurezas indeseables de naturaleza química o microbiológica, o de materia extraña, presentes en un insumo, producto intermedio y/o producto terminado.</w:t>
            </w:r>
          </w:p>
        </w:tc>
        <w:tc>
          <w:tcPr>
            <w:tcW w:w="4427" w:type="dxa"/>
          </w:tcPr>
          <w:p w14:paraId="1F60652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3.40 Contaminant, </w:t>
            </w:r>
            <w:r w:rsidRPr="008F5C15">
              <w:rPr>
                <w:rFonts w:ascii="Verdana" w:hAnsi="Verdana"/>
                <w:sz w:val="16"/>
                <w:szCs w:val="16"/>
                <w:lang w:val="en-US"/>
              </w:rPr>
              <w:t>the undesirable impurities of a chemical or microbiological nature or foreign matter present in a material, intermediate and/or finished product.</w:t>
            </w:r>
          </w:p>
        </w:tc>
      </w:tr>
      <w:tr w:rsidR="001C6A90" w:rsidRPr="00906F5C" w14:paraId="308D3F10" w14:textId="77777777" w:rsidTr="00886332">
        <w:tc>
          <w:tcPr>
            <w:tcW w:w="4405" w:type="dxa"/>
          </w:tcPr>
          <w:p w14:paraId="4A7F077F"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3.41 Contenedor de gas medicinal, </w:t>
            </w:r>
            <w:r w:rsidRPr="008F5C15">
              <w:rPr>
                <w:rFonts w:ascii="Verdana" w:hAnsi="Verdana"/>
                <w:sz w:val="16"/>
                <w:szCs w:val="16"/>
                <w:lang w:val="es-MX"/>
              </w:rPr>
              <w:t>al envase diseñado para contenedor gas a presión en forma de gas comprimido, licuado a líquido criogénico y se puede clasificar en cuatro grupos: cilindro, termo (dewar), tanque de almacenamiento y tanque cisterna.</w:t>
            </w:r>
          </w:p>
        </w:tc>
        <w:tc>
          <w:tcPr>
            <w:tcW w:w="4427" w:type="dxa"/>
          </w:tcPr>
          <w:p w14:paraId="064F702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3.39 Medicinal gas container, </w:t>
            </w:r>
            <w:r w:rsidRPr="008F5C15">
              <w:rPr>
                <w:rFonts w:ascii="Verdana" w:hAnsi="Verdana"/>
                <w:sz w:val="16"/>
                <w:szCs w:val="16"/>
                <w:lang w:val="en-US"/>
              </w:rPr>
              <w:t>packaging designed to contain pressured gas in the form of compressed or liquefied gas or cryogenic liquid and can be classified into four groups: cylinder, thermal (dewar), storage tank and cistern tank.</w:t>
            </w:r>
          </w:p>
        </w:tc>
      </w:tr>
      <w:tr w:rsidR="001C6A90" w:rsidRPr="00906F5C" w14:paraId="5EA8324C" w14:textId="77777777" w:rsidTr="00886332">
        <w:tc>
          <w:tcPr>
            <w:tcW w:w="4405" w:type="dxa"/>
          </w:tcPr>
          <w:p w14:paraId="35B90E9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3.42 Control de cambios, </w:t>
            </w:r>
            <w:r w:rsidRPr="008F5C15">
              <w:rPr>
                <w:rFonts w:ascii="Verdana" w:hAnsi="Verdana"/>
                <w:sz w:val="16"/>
                <w:szCs w:val="16"/>
                <w:lang w:val="es-MX"/>
              </w:rPr>
              <w:t>a la evaluación y documentación de cualquier cambio que pudiera impactar en la calidad del producto.</w:t>
            </w:r>
          </w:p>
        </w:tc>
        <w:tc>
          <w:tcPr>
            <w:tcW w:w="4427" w:type="dxa"/>
          </w:tcPr>
          <w:p w14:paraId="1770D50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3.40 Control of changes, </w:t>
            </w:r>
            <w:r w:rsidRPr="008F5C15">
              <w:rPr>
                <w:rFonts w:ascii="Verdana" w:hAnsi="Verdana"/>
                <w:sz w:val="16"/>
                <w:szCs w:val="16"/>
                <w:lang w:val="en-US"/>
              </w:rPr>
              <w:t>the evaluation and documentation of any change that might impact on the quality of the product.</w:t>
            </w:r>
          </w:p>
        </w:tc>
      </w:tr>
      <w:tr w:rsidR="001C6A90" w:rsidRPr="00906F5C" w14:paraId="38A7A2C2" w14:textId="77777777" w:rsidTr="00886332">
        <w:tc>
          <w:tcPr>
            <w:tcW w:w="4405" w:type="dxa"/>
          </w:tcPr>
          <w:p w14:paraId="759E6A8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3.43 Control en proceso,</w:t>
            </w:r>
            <w:r w:rsidRPr="008F5C15">
              <w:rPr>
                <w:rFonts w:ascii="Verdana" w:hAnsi="Verdana"/>
                <w:sz w:val="16"/>
                <w:szCs w:val="16"/>
                <w:lang w:val="es-MX"/>
              </w:rPr>
              <w:t xml:space="preserve"> a las verificaciones realizadas durante la fabricación para el seguimiento, y de ser necesario, ajuste del proceso.</w:t>
            </w:r>
          </w:p>
        </w:tc>
        <w:tc>
          <w:tcPr>
            <w:tcW w:w="4427" w:type="dxa"/>
            <w:shd w:val="clear" w:color="auto" w:fill="auto"/>
          </w:tcPr>
          <w:p w14:paraId="5969532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3.43 In-process control, </w:t>
            </w:r>
            <w:r w:rsidRPr="008F5C15">
              <w:rPr>
                <w:rFonts w:ascii="Verdana" w:hAnsi="Verdana"/>
                <w:sz w:val="16"/>
                <w:szCs w:val="16"/>
                <w:lang w:val="en-US"/>
              </w:rPr>
              <w:t>the verifications conducted during manufacture to monitor and, if necessary, adjust the process.</w:t>
            </w:r>
          </w:p>
        </w:tc>
      </w:tr>
      <w:tr w:rsidR="001C6A90" w:rsidRPr="00906F5C" w14:paraId="33D135D6" w14:textId="77777777" w:rsidTr="00886332">
        <w:tc>
          <w:tcPr>
            <w:tcW w:w="4405" w:type="dxa"/>
          </w:tcPr>
          <w:p w14:paraId="121BD10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3.44 Criterios de aceptación, </w:t>
            </w:r>
            <w:r w:rsidRPr="008F5C15">
              <w:rPr>
                <w:rFonts w:ascii="Verdana" w:hAnsi="Verdana"/>
                <w:sz w:val="16"/>
                <w:szCs w:val="16"/>
                <w:lang w:val="es-MX"/>
              </w:rPr>
              <w:t>a las especificaciones, estándares o intervalos predefinidos que deben cumplirse bajo condiciones de prueba preestablecidas.</w:t>
            </w:r>
          </w:p>
        </w:tc>
        <w:tc>
          <w:tcPr>
            <w:tcW w:w="4427" w:type="dxa"/>
            <w:shd w:val="clear" w:color="auto" w:fill="auto"/>
          </w:tcPr>
          <w:p w14:paraId="502EF09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3.44 Acceptance criteria, </w:t>
            </w:r>
            <w:r w:rsidRPr="008F5C15">
              <w:rPr>
                <w:rFonts w:ascii="Verdana" w:hAnsi="Verdana"/>
                <w:sz w:val="16"/>
                <w:szCs w:val="16"/>
                <w:lang w:val="en-US"/>
              </w:rPr>
              <w:t>refers to the specifications, standards or predefined intervals that must be complied with under pre-established test conditions.</w:t>
            </w:r>
          </w:p>
        </w:tc>
      </w:tr>
      <w:tr w:rsidR="001C6A90" w:rsidRPr="00906F5C" w14:paraId="53E369C3" w14:textId="77777777" w:rsidTr="00886332">
        <w:tc>
          <w:tcPr>
            <w:tcW w:w="4405" w:type="dxa"/>
          </w:tcPr>
          <w:p w14:paraId="7C0B302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3.45 Cuarentena,</w:t>
            </w:r>
            <w:r w:rsidRPr="008F5C15">
              <w:rPr>
                <w:rFonts w:ascii="Verdana" w:hAnsi="Verdana"/>
                <w:sz w:val="16"/>
                <w:szCs w:val="16"/>
                <w:lang w:val="es-MX"/>
              </w:rPr>
              <w:t xml:space="preserve"> al estado de los insumos y productos que impiden su disposición para una etapa posterior y/o liberación y que puede evidenciarse a través de la separación física u otros medios.</w:t>
            </w:r>
          </w:p>
        </w:tc>
        <w:tc>
          <w:tcPr>
            <w:tcW w:w="4427" w:type="dxa"/>
            <w:shd w:val="clear" w:color="auto" w:fill="auto"/>
          </w:tcPr>
          <w:p w14:paraId="54441B9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3.45 Quarantine, </w:t>
            </w:r>
            <w:r w:rsidRPr="008F5C15">
              <w:rPr>
                <w:rFonts w:ascii="Verdana" w:hAnsi="Verdana"/>
                <w:sz w:val="16"/>
                <w:szCs w:val="16"/>
                <w:lang w:val="en-US"/>
              </w:rPr>
              <w:t>the status of materials and products that prevent their disposal for a subsequent stage and/or release and may be evidenced by physical separation or other means.</w:t>
            </w:r>
          </w:p>
        </w:tc>
      </w:tr>
      <w:tr w:rsidR="001C6A90" w:rsidRPr="00906F5C" w14:paraId="247CD2DD" w14:textId="77777777" w:rsidTr="00886332">
        <w:tc>
          <w:tcPr>
            <w:tcW w:w="4405" w:type="dxa"/>
          </w:tcPr>
          <w:p w14:paraId="565D4BF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3.46 Desviación o no conformidad</w:t>
            </w:r>
            <w:r w:rsidRPr="008F5C15">
              <w:rPr>
                <w:rFonts w:ascii="Verdana" w:hAnsi="Verdana"/>
                <w:sz w:val="16"/>
                <w:szCs w:val="16"/>
                <w:lang w:val="es-MX"/>
              </w:rPr>
              <w:t>, al no cumplimiento de un requisito previamente establecido.</w:t>
            </w:r>
          </w:p>
        </w:tc>
        <w:tc>
          <w:tcPr>
            <w:tcW w:w="4427" w:type="dxa"/>
            <w:shd w:val="clear" w:color="auto" w:fill="auto"/>
          </w:tcPr>
          <w:p w14:paraId="5438DCD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3.46 Deviation or noncompliance, </w:t>
            </w:r>
            <w:r w:rsidRPr="008F5C15">
              <w:rPr>
                <w:rFonts w:ascii="Verdana" w:hAnsi="Verdana"/>
                <w:sz w:val="16"/>
                <w:szCs w:val="16"/>
                <w:lang w:val="en-US"/>
              </w:rPr>
              <w:t>refers to the noncompliance to a previously established requirement.</w:t>
            </w:r>
          </w:p>
        </w:tc>
      </w:tr>
      <w:tr w:rsidR="001C6A90" w:rsidRPr="00906F5C" w14:paraId="71111CBC" w14:textId="77777777" w:rsidTr="00886332">
        <w:tc>
          <w:tcPr>
            <w:tcW w:w="4405" w:type="dxa"/>
          </w:tcPr>
          <w:p w14:paraId="63B228F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3.47 Documentos maestros,</w:t>
            </w:r>
            <w:r w:rsidRPr="008F5C15">
              <w:rPr>
                <w:rFonts w:ascii="Verdana" w:hAnsi="Verdana"/>
                <w:sz w:val="16"/>
                <w:szCs w:val="16"/>
                <w:lang w:val="es-MX"/>
              </w:rPr>
              <w:t xml:space="preserve"> a los documentos autorizados que contienen la información para realizar y controlar las operaciones de los procesos y actividades relacionadas con la fabricación de un producto.</w:t>
            </w:r>
          </w:p>
        </w:tc>
        <w:tc>
          <w:tcPr>
            <w:tcW w:w="4427" w:type="dxa"/>
            <w:shd w:val="clear" w:color="auto" w:fill="auto"/>
          </w:tcPr>
          <w:p w14:paraId="44D9C2C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3.47 Master Documents, </w:t>
            </w:r>
            <w:r w:rsidRPr="008F5C15">
              <w:rPr>
                <w:rFonts w:ascii="Verdana" w:hAnsi="Verdana"/>
                <w:sz w:val="16"/>
                <w:szCs w:val="16"/>
                <w:lang w:val="en-US"/>
              </w:rPr>
              <w:t>the authorized documents that contain the information for executing and controlling the operations of the processes, and activities related to the manufacture of a product.</w:t>
            </w:r>
          </w:p>
        </w:tc>
      </w:tr>
      <w:tr w:rsidR="001C6A90" w:rsidRPr="00906F5C" w14:paraId="1D7ADC11" w14:textId="77777777" w:rsidTr="00886332">
        <w:tc>
          <w:tcPr>
            <w:tcW w:w="4405" w:type="dxa"/>
          </w:tcPr>
          <w:p w14:paraId="3888421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3.48 Eficacia,</w:t>
            </w:r>
            <w:r w:rsidRPr="008F5C15">
              <w:rPr>
                <w:rFonts w:ascii="Verdana" w:hAnsi="Verdana"/>
                <w:sz w:val="16"/>
                <w:szCs w:val="16"/>
                <w:lang w:val="es-MX"/>
              </w:rPr>
              <w:t xml:space="preserve"> al grado en que una intervención o tratamiento origina un resultado esperado en ciertas condiciones, medido en el contexto de un Ensayo Clínico o Preclínico Controlado.</w:t>
            </w:r>
          </w:p>
        </w:tc>
        <w:tc>
          <w:tcPr>
            <w:tcW w:w="4427" w:type="dxa"/>
            <w:shd w:val="clear" w:color="auto" w:fill="auto"/>
          </w:tcPr>
          <w:p w14:paraId="5E5C7ED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3.48 Efficiency, </w:t>
            </w:r>
            <w:r w:rsidRPr="008F5C15">
              <w:rPr>
                <w:rFonts w:ascii="Verdana" w:hAnsi="Verdana"/>
                <w:sz w:val="16"/>
                <w:szCs w:val="16"/>
                <w:lang w:val="en-US"/>
              </w:rPr>
              <w:t>the extent to which an intervention or treatment causes an expected result under certain conditions, measured in the context of a Clinical or Preclinical Controlled Trial.</w:t>
            </w:r>
          </w:p>
        </w:tc>
      </w:tr>
      <w:tr w:rsidR="001C6A90" w:rsidRPr="00906F5C" w14:paraId="6C23BE7A" w14:textId="77777777" w:rsidTr="00886332">
        <w:tc>
          <w:tcPr>
            <w:tcW w:w="4405" w:type="dxa"/>
          </w:tcPr>
          <w:p w14:paraId="0D59497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3.49 Envasado,</w:t>
            </w:r>
            <w:r w:rsidRPr="008F5C15">
              <w:rPr>
                <w:rFonts w:ascii="Verdana" w:hAnsi="Verdana"/>
                <w:sz w:val="16"/>
                <w:szCs w:val="16"/>
                <w:lang w:val="es-MX"/>
              </w:rPr>
              <w:t xml:space="preserve"> a la secuencia de operaciones por la cual una forma farmacéutica es colocada en su envase primario.</w:t>
            </w:r>
          </w:p>
        </w:tc>
        <w:tc>
          <w:tcPr>
            <w:tcW w:w="4427" w:type="dxa"/>
            <w:shd w:val="clear" w:color="auto" w:fill="auto"/>
          </w:tcPr>
          <w:p w14:paraId="356483D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3.49 Packaging, </w:t>
            </w:r>
            <w:r w:rsidRPr="008F5C15">
              <w:rPr>
                <w:rFonts w:ascii="Verdana" w:hAnsi="Verdana"/>
                <w:sz w:val="16"/>
                <w:szCs w:val="16"/>
                <w:lang w:val="en-US"/>
              </w:rPr>
              <w:t>the sequence of operations by which a pharmaceutical item is placed into its primary container.</w:t>
            </w:r>
          </w:p>
        </w:tc>
      </w:tr>
      <w:tr w:rsidR="001C6A90" w:rsidRPr="00906F5C" w14:paraId="567BC71D" w14:textId="77777777" w:rsidTr="00886332">
        <w:tc>
          <w:tcPr>
            <w:tcW w:w="4405" w:type="dxa"/>
          </w:tcPr>
          <w:p w14:paraId="324F3E9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3.50 Especificación,</w:t>
            </w:r>
            <w:r w:rsidRPr="008F5C15">
              <w:rPr>
                <w:rFonts w:ascii="Verdana" w:hAnsi="Verdana"/>
                <w:sz w:val="16"/>
                <w:szCs w:val="16"/>
                <w:lang w:val="es-MX"/>
              </w:rPr>
              <w:t xml:space="preserve"> a la descripción de un material, sustancia o producto, que incluye los parámetros de calidad, sus límites de aceptación y la referencia de los métodos a utilizar para su determinación.</w:t>
            </w:r>
          </w:p>
        </w:tc>
        <w:tc>
          <w:tcPr>
            <w:tcW w:w="4427" w:type="dxa"/>
            <w:shd w:val="clear" w:color="auto" w:fill="auto"/>
          </w:tcPr>
          <w:p w14:paraId="251FF80D"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3.50 Specification, </w:t>
            </w:r>
            <w:r w:rsidRPr="008F5C15">
              <w:rPr>
                <w:rFonts w:ascii="Verdana" w:hAnsi="Verdana"/>
                <w:sz w:val="16"/>
                <w:szCs w:val="16"/>
                <w:lang w:val="en-US"/>
              </w:rPr>
              <w:t>the description of a material, substance, or product, that includes the parameters of quality, its limits of acceptance and the reference of the methods to be used for its determination.</w:t>
            </w:r>
          </w:p>
        </w:tc>
      </w:tr>
      <w:tr w:rsidR="001C6A90" w:rsidRPr="00906F5C" w14:paraId="63B212B9" w14:textId="77777777" w:rsidTr="00886332">
        <w:tc>
          <w:tcPr>
            <w:tcW w:w="4405" w:type="dxa"/>
          </w:tcPr>
          <w:p w14:paraId="65928CC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3.51 Estudio ciego,</w:t>
            </w:r>
            <w:r w:rsidRPr="008F5C15">
              <w:rPr>
                <w:rFonts w:ascii="Verdana" w:hAnsi="Verdana"/>
                <w:sz w:val="16"/>
                <w:szCs w:val="16"/>
                <w:lang w:val="es-MX"/>
              </w:rPr>
              <w:t xml:space="preserve"> al desconocimiento de pacientes y/o investigadores de si los sujetos están recibiendo las intervenciones en investigación o las de control (o estándar) en un ensayo clínico.</w:t>
            </w:r>
          </w:p>
        </w:tc>
        <w:tc>
          <w:tcPr>
            <w:tcW w:w="4427" w:type="dxa"/>
            <w:shd w:val="clear" w:color="auto" w:fill="auto"/>
          </w:tcPr>
          <w:p w14:paraId="4230C2E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3.51 Blind study, </w:t>
            </w:r>
            <w:r w:rsidRPr="008F5C15">
              <w:rPr>
                <w:rFonts w:ascii="Verdana" w:hAnsi="Verdana"/>
                <w:sz w:val="16"/>
                <w:szCs w:val="16"/>
                <w:lang w:val="en-US"/>
              </w:rPr>
              <w:t>unawareness of patients and/or investigators of whether the subjects are receiving research interventions in the research or of the control (or standard) in a clinical trial study.</w:t>
            </w:r>
          </w:p>
        </w:tc>
      </w:tr>
      <w:tr w:rsidR="001C6A90" w:rsidRPr="00906F5C" w14:paraId="53965D9B" w14:textId="77777777" w:rsidTr="00886332">
        <w:tc>
          <w:tcPr>
            <w:tcW w:w="4405" w:type="dxa"/>
          </w:tcPr>
          <w:p w14:paraId="4185383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3.52 Expediente de fabricación de lote,</w:t>
            </w:r>
            <w:r w:rsidRPr="008F5C15">
              <w:rPr>
                <w:rFonts w:ascii="Verdana" w:hAnsi="Verdana"/>
                <w:sz w:val="16"/>
                <w:szCs w:val="16"/>
                <w:lang w:val="es-MX"/>
              </w:rPr>
              <w:t xml:space="preserve"> al conjunto de documentos que demuestran que un lote de producto fue fabricado y controlado de acuerdo al documento maestro.</w:t>
            </w:r>
          </w:p>
        </w:tc>
        <w:tc>
          <w:tcPr>
            <w:tcW w:w="4427" w:type="dxa"/>
            <w:shd w:val="clear" w:color="auto" w:fill="auto"/>
          </w:tcPr>
          <w:p w14:paraId="2ECB981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3.52 Lot production file, </w:t>
            </w:r>
            <w:r w:rsidRPr="008F5C15">
              <w:rPr>
                <w:rFonts w:ascii="Verdana" w:hAnsi="Verdana"/>
                <w:sz w:val="16"/>
                <w:szCs w:val="16"/>
                <w:lang w:val="en-US"/>
              </w:rPr>
              <w:t>the combination of documents that show that a lot of product was manufactured and controlled according to the master document.</w:t>
            </w:r>
          </w:p>
        </w:tc>
      </w:tr>
      <w:tr w:rsidR="001C6A90" w:rsidRPr="00906F5C" w14:paraId="3A158827" w14:textId="77777777" w:rsidTr="00886332">
        <w:tc>
          <w:tcPr>
            <w:tcW w:w="4405" w:type="dxa"/>
          </w:tcPr>
          <w:p w14:paraId="4A91E67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3.53 Fabricación,</w:t>
            </w:r>
            <w:r w:rsidRPr="008F5C15">
              <w:rPr>
                <w:rFonts w:ascii="Verdana" w:hAnsi="Verdana"/>
                <w:sz w:val="16"/>
                <w:szCs w:val="16"/>
                <w:lang w:val="es-MX"/>
              </w:rPr>
              <w:t xml:space="preserve"> a las operaciones involucradas en la elaboración o producción de un medicamento desde la recepción de insumos, liberación, almacenamiento y distribución como producto terminado.</w:t>
            </w:r>
          </w:p>
        </w:tc>
        <w:tc>
          <w:tcPr>
            <w:tcW w:w="4427" w:type="dxa"/>
            <w:shd w:val="clear" w:color="auto" w:fill="auto"/>
          </w:tcPr>
          <w:p w14:paraId="5A423C7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3.53 Manufacturing, </w:t>
            </w:r>
            <w:r w:rsidRPr="008F5C15">
              <w:rPr>
                <w:rFonts w:ascii="Verdana" w:hAnsi="Verdana"/>
                <w:sz w:val="16"/>
                <w:szCs w:val="16"/>
                <w:lang w:val="en-US"/>
              </w:rPr>
              <w:t>the operations involved in the preparation or production of a drug product from the reception of materials, release, warehousing and distribution as a finished product.</w:t>
            </w:r>
          </w:p>
        </w:tc>
      </w:tr>
      <w:tr w:rsidR="001C6A90" w:rsidRPr="00906F5C" w14:paraId="0C2A0196" w14:textId="77777777" w:rsidTr="00886332">
        <w:tc>
          <w:tcPr>
            <w:tcW w:w="4405" w:type="dxa"/>
          </w:tcPr>
          <w:p w14:paraId="6715167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3.54 Fecha de caducidad,</w:t>
            </w:r>
            <w:r w:rsidRPr="008F5C15">
              <w:rPr>
                <w:rFonts w:ascii="Verdana" w:hAnsi="Verdana"/>
                <w:sz w:val="16"/>
                <w:szCs w:val="16"/>
                <w:lang w:val="es-MX"/>
              </w:rPr>
              <w:t xml:space="preserve"> a la que indica el fin del periodo de vida útil del medicamento.</w:t>
            </w:r>
          </w:p>
        </w:tc>
        <w:tc>
          <w:tcPr>
            <w:tcW w:w="4427" w:type="dxa"/>
            <w:shd w:val="clear" w:color="auto" w:fill="auto"/>
          </w:tcPr>
          <w:p w14:paraId="2F0C767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3.54 Expiration Date, </w:t>
            </w:r>
            <w:r w:rsidRPr="008F5C15">
              <w:rPr>
                <w:rFonts w:ascii="Verdana" w:hAnsi="Verdana"/>
                <w:sz w:val="16"/>
                <w:szCs w:val="16"/>
                <w:lang w:val="en-US"/>
              </w:rPr>
              <w:t>that which indicates the end period of useful life of the drug product.</w:t>
            </w:r>
          </w:p>
        </w:tc>
      </w:tr>
      <w:tr w:rsidR="001C6A90" w:rsidRPr="00906F5C" w14:paraId="2F943841" w14:textId="77777777" w:rsidTr="00886332">
        <w:tc>
          <w:tcPr>
            <w:tcW w:w="4405" w:type="dxa"/>
          </w:tcPr>
          <w:p w14:paraId="428B941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3.55 Fecha de reanálisis,</w:t>
            </w:r>
            <w:r w:rsidRPr="008F5C15">
              <w:rPr>
                <w:rFonts w:ascii="Verdana" w:hAnsi="Verdana"/>
                <w:sz w:val="16"/>
                <w:szCs w:val="16"/>
                <w:lang w:val="es-MX"/>
              </w:rPr>
              <w:t xml:space="preserve"> a la fecha límite para utilizar un fármaco o aditivo; para continuar </w:t>
            </w:r>
            <w:r w:rsidRPr="008F5C15">
              <w:rPr>
                <w:rFonts w:ascii="Verdana" w:hAnsi="Verdana"/>
                <w:sz w:val="16"/>
                <w:szCs w:val="16"/>
                <w:lang w:val="es-MX"/>
              </w:rPr>
              <w:lastRenderedPageBreak/>
              <w:t>usándolo deberá ser nuevamente muestreado y analizado con la finalidad de confirmar que continúa cumpliendo las especificaciones de calidad establecidas.</w:t>
            </w:r>
          </w:p>
        </w:tc>
        <w:tc>
          <w:tcPr>
            <w:tcW w:w="4427" w:type="dxa"/>
            <w:shd w:val="clear" w:color="auto" w:fill="auto"/>
          </w:tcPr>
          <w:p w14:paraId="7FBDCDF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lastRenderedPageBreak/>
              <w:t xml:space="preserve">3.55 Reanalysis date, </w:t>
            </w:r>
            <w:r w:rsidRPr="008F5C15">
              <w:rPr>
                <w:rFonts w:ascii="Verdana" w:hAnsi="Verdana"/>
                <w:sz w:val="16"/>
                <w:szCs w:val="16"/>
                <w:lang w:val="en-US"/>
              </w:rPr>
              <w:t xml:space="preserve">the deadline for using a drug substance or additive; in order to continue using it; </w:t>
            </w:r>
            <w:r w:rsidRPr="008F5C15">
              <w:rPr>
                <w:rFonts w:ascii="Verdana" w:hAnsi="Verdana"/>
                <w:sz w:val="16"/>
                <w:szCs w:val="16"/>
                <w:lang w:val="en-US"/>
              </w:rPr>
              <w:lastRenderedPageBreak/>
              <w:t>it must be sampled and analyzed again in order to confirm that it continues complying with the established quality specifications.</w:t>
            </w:r>
          </w:p>
        </w:tc>
      </w:tr>
      <w:tr w:rsidR="001C6A90" w:rsidRPr="00906F5C" w14:paraId="4E2C0913" w14:textId="77777777" w:rsidTr="00886332">
        <w:tc>
          <w:tcPr>
            <w:tcW w:w="4405" w:type="dxa"/>
          </w:tcPr>
          <w:p w14:paraId="643EEB4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3.56 Fibra,</w:t>
            </w:r>
            <w:r w:rsidRPr="008F5C15">
              <w:rPr>
                <w:rFonts w:ascii="Verdana" w:hAnsi="Verdana"/>
                <w:sz w:val="16"/>
                <w:szCs w:val="16"/>
                <w:lang w:val="es-MX"/>
              </w:rPr>
              <w:t xml:space="preserve"> a cualquier partícula contaminante con una longitud al menos tres veces mayor que su grosor.</w:t>
            </w:r>
          </w:p>
        </w:tc>
        <w:tc>
          <w:tcPr>
            <w:tcW w:w="4427" w:type="dxa"/>
            <w:shd w:val="clear" w:color="auto" w:fill="auto"/>
          </w:tcPr>
          <w:p w14:paraId="5CD40E0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3.56 Fiber, </w:t>
            </w:r>
            <w:r w:rsidRPr="008F5C15">
              <w:rPr>
                <w:rFonts w:ascii="Verdana" w:hAnsi="Verdana"/>
                <w:sz w:val="16"/>
                <w:szCs w:val="16"/>
                <w:lang w:val="en-US"/>
              </w:rPr>
              <w:t xml:space="preserve">any contaminant particulate with a length of at least three times greater than its width. </w:t>
            </w:r>
          </w:p>
        </w:tc>
      </w:tr>
      <w:tr w:rsidR="001C6A90" w:rsidRPr="00906F5C" w14:paraId="41F230A3" w14:textId="77777777" w:rsidTr="00886332">
        <w:tc>
          <w:tcPr>
            <w:tcW w:w="4405" w:type="dxa"/>
          </w:tcPr>
          <w:p w14:paraId="0A64FD84"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3.57 Firma electrónica, </w:t>
            </w:r>
            <w:r w:rsidRPr="008F5C15">
              <w:rPr>
                <w:rFonts w:ascii="Verdana" w:hAnsi="Verdana"/>
                <w:sz w:val="16"/>
                <w:szCs w:val="16"/>
                <w:lang w:val="es-MX"/>
              </w:rPr>
              <w:t>a la compilación de datos computacionales o cualquier símbolo o serie de símbolos, ejecutados, adoptados, o autorizados por un individuo para ser legalmente adjuntados y equivalentes a la firma autógrafa del individuo.</w:t>
            </w:r>
          </w:p>
        </w:tc>
        <w:tc>
          <w:tcPr>
            <w:tcW w:w="4427" w:type="dxa"/>
            <w:shd w:val="clear" w:color="auto" w:fill="auto"/>
          </w:tcPr>
          <w:p w14:paraId="5F5E5BB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3.57 Electronic signature, </w:t>
            </w:r>
            <w:r w:rsidRPr="008F5C15">
              <w:rPr>
                <w:rFonts w:ascii="Verdana" w:hAnsi="Verdana"/>
                <w:sz w:val="16"/>
                <w:szCs w:val="16"/>
                <w:lang w:val="en-US"/>
              </w:rPr>
              <w:t>the compilation of computer data or any symbol or series of symbols executed, adopted, or authorized by an individual to be legally attached and equivalent to the handwritten signature of the individual.</w:t>
            </w:r>
          </w:p>
        </w:tc>
      </w:tr>
      <w:tr w:rsidR="001C6A90" w:rsidRPr="00906F5C" w14:paraId="0AAAF7B4" w14:textId="77777777" w:rsidTr="00886332">
        <w:tc>
          <w:tcPr>
            <w:tcW w:w="4405" w:type="dxa"/>
          </w:tcPr>
          <w:p w14:paraId="0340A1E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3.58 Gas comprimido,</w:t>
            </w:r>
            <w:r w:rsidRPr="008F5C15">
              <w:rPr>
                <w:rFonts w:ascii="Verdana" w:hAnsi="Verdana"/>
                <w:sz w:val="16"/>
                <w:szCs w:val="16"/>
                <w:lang w:val="es-MX"/>
              </w:rPr>
              <w:t xml:space="preserve"> al que cuando se envasa a presión, es totalmente gaseoso a -50ºC.</w:t>
            </w:r>
          </w:p>
        </w:tc>
        <w:tc>
          <w:tcPr>
            <w:tcW w:w="4427" w:type="dxa"/>
            <w:shd w:val="clear" w:color="auto" w:fill="auto"/>
          </w:tcPr>
          <w:p w14:paraId="6190CA3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3.58 Compressed gas, </w:t>
            </w:r>
            <w:r w:rsidRPr="008F5C15">
              <w:rPr>
                <w:rFonts w:ascii="Verdana" w:hAnsi="Verdana"/>
                <w:sz w:val="16"/>
                <w:szCs w:val="16"/>
                <w:lang w:val="en-US"/>
              </w:rPr>
              <w:t>that which when packaged under pressure is completely gaseous at -50°C.</w:t>
            </w:r>
          </w:p>
        </w:tc>
      </w:tr>
      <w:tr w:rsidR="001C6A90" w:rsidRPr="00906F5C" w14:paraId="5E02FDC8" w14:textId="77777777" w:rsidTr="00886332">
        <w:tc>
          <w:tcPr>
            <w:tcW w:w="4405" w:type="dxa"/>
          </w:tcPr>
          <w:p w14:paraId="5BED7CB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3.59 Gas criogénico,</w:t>
            </w:r>
            <w:r w:rsidRPr="008F5C15">
              <w:rPr>
                <w:rFonts w:ascii="Verdana" w:hAnsi="Verdana"/>
                <w:sz w:val="16"/>
                <w:szCs w:val="16"/>
                <w:lang w:val="es-MX"/>
              </w:rPr>
              <w:t xml:space="preserve"> al que se licua a 1.013 bar a una temperatura por debajo de -150°C.</w:t>
            </w:r>
          </w:p>
        </w:tc>
        <w:tc>
          <w:tcPr>
            <w:tcW w:w="4427" w:type="dxa"/>
            <w:shd w:val="clear" w:color="auto" w:fill="auto"/>
          </w:tcPr>
          <w:p w14:paraId="40D59D5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3.59 Cryogenic gas, </w:t>
            </w:r>
            <w:r w:rsidRPr="008F5C15">
              <w:rPr>
                <w:rFonts w:ascii="Verdana" w:hAnsi="Verdana"/>
                <w:sz w:val="16"/>
                <w:szCs w:val="16"/>
                <w:lang w:val="en-US"/>
              </w:rPr>
              <w:t>that</w:t>
            </w:r>
            <w:r w:rsidRPr="008F5C15">
              <w:rPr>
                <w:rFonts w:ascii="Verdana" w:hAnsi="Verdana"/>
                <w:b/>
                <w:sz w:val="16"/>
                <w:szCs w:val="16"/>
                <w:lang w:val="en-US"/>
              </w:rPr>
              <w:t xml:space="preserve"> </w:t>
            </w:r>
            <w:r w:rsidRPr="008F5C15">
              <w:rPr>
                <w:rFonts w:ascii="Verdana" w:hAnsi="Verdana"/>
                <w:sz w:val="16"/>
                <w:szCs w:val="16"/>
                <w:lang w:val="en-US"/>
              </w:rPr>
              <w:t>which liquefies at 1.013 bar at a temperature of below -150°C.</w:t>
            </w:r>
          </w:p>
        </w:tc>
      </w:tr>
      <w:tr w:rsidR="001C6A90" w:rsidRPr="00906F5C" w14:paraId="665CCD84" w14:textId="77777777" w:rsidTr="00886332">
        <w:tc>
          <w:tcPr>
            <w:tcW w:w="4405" w:type="dxa"/>
          </w:tcPr>
          <w:p w14:paraId="33CECB4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3.60 Gas licuado,</w:t>
            </w:r>
            <w:r w:rsidRPr="008F5C15">
              <w:rPr>
                <w:rFonts w:ascii="Verdana" w:hAnsi="Verdana"/>
                <w:sz w:val="16"/>
                <w:szCs w:val="16"/>
                <w:lang w:val="es-MX"/>
              </w:rPr>
              <w:t xml:space="preserve"> al que cuando se envasa a presión, es parcialmente líquido (gas en un líquido) a </w:t>
            </w:r>
            <w:r w:rsidRPr="008F5C15">
              <w:rPr>
                <w:rFonts w:ascii="Verdana" w:hAnsi="Verdana"/>
                <w:strike/>
                <w:sz w:val="16"/>
                <w:szCs w:val="16"/>
                <w:lang w:val="es-MX"/>
              </w:rPr>
              <w:t>-</w:t>
            </w:r>
            <w:r w:rsidRPr="008F5C15">
              <w:rPr>
                <w:rFonts w:ascii="Verdana" w:hAnsi="Verdana"/>
                <w:sz w:val="16"/>
                <w:szCs w:val="16"/>
                <w:lang w:val="es-MX"/>
              </w:rPr>
              <w:t>50°C.</w:t>
            </w:r>
          </w:p>
        </w:tc>
        <w:tc>
          <w:tcPr>
            <w:tcW w:w="4427" w:type="dxa"/>
            <w:shd w:val="clear" w:color="auto" w:fill="auto"/>
          </w:tcPr>
          <w:p w14:paraId="1F5A4D8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3.60 Liquefied gas, </w:t>
            </w:r>
            <w:r w:rsidRPr="008F5C15">
              <w:rPr>
                <w:rFonts w:ascii="Verdana" w:hAnsi="Verdana"/>
                <w:sz w:val="16"/>
                <w:szCs w:val="16"/>
                <w:lang w:val="en-US"/>
              </w:rPr>
              <w:t>that</w:t>
            </w:r>
            <w:r w:rsidRPr="008F5C15">
              <w:rPr>
                <w:rFonts w:ascii="Verdana" w:hAnsi="Verdana"/>
                <w:b/>
                <w:sz w:val="16"/>
                <w:szCs w:val="16"/>
                <w:lang w:val="en-US"/>
              </w:rPr>
              <w:t xml:space="preserve"> </w:t>
            </w:r>
            <w:r w:rsidRPr="008F5C15">
              <w:rPr>
                <w:rFonts w:ascii="Verdana" w:hAnsi="Verdana"/>
                <w:sz w:val="16"/>
                <w:szCs w:val="16"/>
                <w:lang w:val="en-US"/>
              </w:rPr>
              <w:t>which when packaged under pressure, is partially liquid (gas to liquid) at -50°C.</w:t>
            </w:r>
          </w:p>
        </w:tc>
      </w:tr>
      <w:tr w:rsidR="001C6A90" w:rsidRPr="00906F5C" w14:paraId="010BF2D8" w14:textId="77777777" w:rsidTr="00886332">
        <w:tc>
          <w:tcPr>
            <w:tcW w:w="4405" w:type="dxa"/>
          </w:tcPr>
          <w:p w14:paraId="114537D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3.61 Gestión de riesgos de calidad, </w:t>
            </w:r>
            <w:r w:rsidRPr="008F5C15">
              <w:rPr>
                <w:rFonts w:ascii="Verdana" w:hAnsi="Verdana"/>
                <w:sz w:val="16"/>
                <w:szCs w:val="16"/>
                <w:lang w:val="es-MX"/>
              </w:rPr>
              <w:t>al proceso sistemático para la valoración, control, comunicación y revisión de los riesgos a la calidad de los medicamentos a través de su ciclo de vida.</w:t>
            </w:r>
          </w:p>
        </w:tc>
        <w:tc>
          <w:tcPr>
            <w:tcW w:w="4427" w:type="dxa"/>
            <w:shd w:val="clear" w:color="auto" w:fill="auto"/>
          </w:tcPr>
          <w:p w14:paraId="277CFD3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3.61 Management of quality risks, </w:t>
            </w:r>
            <w:r w:rsidRPr="008F5C15">
              <w:rPr>
                <w:rFonts w:ascii="Verdana" w:hAnsi="Verdana"/>
                <w:sz w:val="16"/>
                <w:szCs w:val="16"/>
                <w:lang w:val="en-US"/>
              </w:rPr>
              <w:t>the systematic process for the evaluation, control, communication and review of the quality risks of the drug products through its life cycle.</w:t>
            </w:r>
          </w:p>
        </w:tc>
      </w:tr>
      <w:tr w:rsidR="001C6A90" w:rsidRPr="00906F5C" w14:paraId="15FA4A1B" w14:textId="77777777" w:rsidTr="00886332">
        <w:tc>
          <w:tcPr>
            <w:tcW w:w="4405" w:type="dxa"/>
          </w:tcPr>
          <w:p w14:paraId="426FE83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3.62 Inactivación viral,</w:t>
            </w:r>
            <w:r w:rsidRPr="008F5C15">
              <w:rPr>
                <w:rFonts w:ascii="Verdana" w:hAnsi="Verdana"/>
                <w:sz w:val="16"/>
                <w:szCs w:val="16"/>
                <w:lang w:val="es-MX"/>
              </w:rPr>
              <w:t xml:space="preserve"> a la eliminación de la actividad viral, a través de un método químico o físico.</w:t>
            </w:r>
          </w:p>
        </w:tc>
        <w:tc>
          <w:tcPr>
            <w:tcW w:w="4427" w:type="dxa"/>
            <w:shd w:val="clear" w:color="auto" w:fill="auto"/>
          </w:tcPr>
          <w:p w14:paraId="5A2D469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3.62 Viral inactivation, </w:t>
            </w:r>
            <w:r w:rsidRPr="008F5C15">
              <w:rPr>
                <w:rFonts w:ascii="Verdana" w:hAnsi="Verdana"/>
                <w:sz w:val="16"/>
                <w:szCs w:val="16"/>
                <w:lang w:val="en-US"/>
              </w:rPr>
              <w:t>the elimination of viral activity through a chemical or physical method.</w:t>
            </w:r>
          </w:p>
        </w:tc>
      </w:tr>
      <w:tr w:rsidR="001C6A90" w:rsidRPr="00906F5C" w14:paraId="64171EAC" w14:textId="77777777" w:rsidTr="00886332">
        <w:tc>
          <w:tcPr>
            <w:tcW w:w="4405" w:type="dxa"/>
          </w:tcPr>
          <w:p w14:paraId="3DF99E3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3.63 Instalación,</w:t>
            </w:r>
            <w:r w:rsidRPr="008F5C15">
              <w:rPr>
                <w:rFonts w:ascii="Verdana" w:hAnsi="Verdana"/>
                <w:sz w:val="16"/>
                <w:szCs w:val="16"/>
                <w:lang w:val="es-MX"/>
              </w:rPr>
              <w:t xml:space="preserve"> a las áreas, los equipos y los servicios destinados para realizar una operación o proceso específico.</w:t>
            </w:r>
          </w:p>
        </w:tc>
        <w:tc>
          <w:tcPr>
            <w:tcW w:w="4427" w:type="dxa"/>
            <w:shd w:val="clear" w:color="auto" w:fill="auto"/>
          </w:tcPr>
          <w:p w14:paraId="2C37647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3.63 Installation, </w:t>
            </w:r>
            <w:r w:rsidRPr="008F5C15">
              <w:rPr>
                <w:rFonts w:ascii="Verdana" w:hAnsi="Verdana"/>
                <w:sz w:val="16"/>
                <w:szCs w:val="16"/>
                <w:lang w:val="en-US"/>
              </w:rPr>
              <w:t>the areas, equipment and services destined for the performance of a specific operation or process.</w:t>
            </w:r>
          </w:p>
        </w:tc>
      </w:tr>
      <w:tr w:rsidR="001C6A90" w:rsidRPr="00906F5C" w14:paraId="20252A6D" w14:textId="77777777" w:rsidTr="00886332">
        <w:tc>
          <w:tcPr>
            <w:tcW w:w="4405" w:type="dxa"/>
          </w:tcPr>
          <w:p w14:paraId="660091B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3.64 Instructivo de trabajo,</w:t>
            </w:r>
            <w:r w:rsidRPr="008F5C15">
              <w:rPr>
                <w:rFonts w:ascii="Verdana" w:hAnsi="Verdana"/>
                <w:sz w:val="16"/>
                <w:szCs w:val="16"/>
                <w:lang w:val="es-MX"/>
              </w:rPr>
              <w:t xml:space="preserve"> a la descripción detallada, secuencial y específica de una tarea.</w:t>
            </w:r>
          </w:p>
        </w:tc>
        <w:tc>
          <w:tcPr>
            <w:tcW w:w="4427" w:type="dxa"/>
            <w:shd w:val="clear" w:color="auto" w:fill="auto"/>
          </w:tcPr>
          <w:p w14:paraId="3EE2DC2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3.64 Work instructions, </w:t>
            </w:r>
            <w:r w:rsidRPr="008F5C15">
              <w:rPr>
                <w:rFonts w:ascii="Verdana" w:hAnsi="Verdana"/>
                <w:sz w:val="16"/>
                <w:szCs w:val="16"/>
                <w:lang w:val="en-US"/>
              </w:rPr>
              <w:t>detailed, sequential and specific description of a task.</w:t>
            </w:r>
          </w:p>
        </w:tc>
      </w:tr>
      <w:tr w:rsidR="001C6A90" w:rsidRPr="00906F5C" w14:paraId="0A9EFDA1" w14:textId="77777777" w:rsidTr="00886332">
        <w:tc>
          <w:tcPr>
            <w:tcW w:w="4405" w:type="dxa"/>
          </w:tcPr>
          <w:p w14:paraId="4CD9520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3.65 Insumos,</w:t>
            </w:r>
            <w:r w:rsidRPr="008F5C15">
              <w:rPr>
                <w:rFonts w:ascii="Verdana" w:hAnsi="Verdana"/>
                <w:sz w:val="16"/>
                <w:szCs w:val="16"/>
                <w:lang w:val="es-MX"/>
              </w:rPr>
              <w:t xml:space="preserve"> a todas aquellas materias primas, material de envase primario, material de acondicionamiento y productos que se reciben en una planta.</w:t>
            </w:r>
          </w:p>
        </w:tc>
        <w:tc>
          <w:tcPr>
            <w:tcW w:w="4427" w:type="dxa"/>
            <w:shd w:val="clear" w:color="auto" w:fill="auto"/>
          </w:tcPr>
          <w:p w14:paraId="482D3D8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3.65 Materials, </w:t>
            </w:r>
            <w:r w:rsidRPr="008F5C15">
              <w:rPr>
                <w:rFonts w:ascii="Verdana" w:hAnsi="Verdana"/>
                <w:sz w:val="16"/>
                <w:szCs w:val="16"/>
                <w:lang w:val="en-US"/>
              </w:rPr>
              <w:t>all those raw materials, primary container material, conditioning material and products that are received in a plant.</w:t>
            </w:r>
          </w:p>
        </w:tc>
      </w:tr>
      <w:tr w:rsidR="001C6A90" w:rsidRPr="00906F5C" w14:paraId="3CB8B7E5" w14:textId="77777777" w:rsidTr="00886332">
        <w:tc>
          <w:tcPr>
            <w:tcW w:w="4405" w:type="dxa"/>
          </w:tcPr>
          <w:p w14:paraId="1074ADD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3.66 Liberación concurrente,</w:t>
            </w:r>
            <w:r w:rsidRPr="008F5C15">
              <w:rPr>
                <w:rFonts w:ascii="Verdana" w:hAnsi="Verdana"/>
                <w:sz w:val="16"/>
                <w:szCs w:val="16"/>
                <w:lang w:val="es-MX"/>
              </w:rPr>
              <w:t xml:space="preserve"> a la liberación para distribución de un lote de medicamento fabricado, siguiendo un protocolo de calificación de proceso que cumple los criterios para su liberación establecidos antes de que el protocolo haya sido completado.</w:t>
            </w:r>
          </w:p>
        </w:tc>
        <w:tc>
          <w:tcPr>
            <w:tcW w:w="4427" w:type="dxa"/>
            <w:shd w:val="clear" w:color="auto" w:fill="auto"/>
          </w:tcPr>
          <w:p w14:paraId="673D7B8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3.66 Concurrent release, </w:t>
            </w:r>
            <w:r w:rsidRPr="008F5C15">
              <w:rPr>
                <w:rFonts w:ascii="Verdana" w:hAnsi="Verdana"/>
                <w:sz w:val="16"/>
                <w:szCs w:val="16"/>
                <w:lang w:val="en-US"/>
              </w:rPr>
              <w:t xml:space="preserve">the release for distribution of a lot of manufactured drug product, following a qualification protocol of processing that complies with the criteria for its release established before the protocol has been completed. </w:t>
            </w:r>
          </w:p>
        </w:tc>
      </w:tr>
      <w:tr w:rsidR="001C6A90" w:rsidRPr="00906F5C" w14:paraId="5A657E92" w14:textId="77777777" w:rsidTr="00886332">
        <w:tc>
          <w:tcPr>
            <w:tcW w:w="4405" w:type="dxa"/>
          </w:tcPr>
          <w:p w14:paraId="15739B7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3.67 Liberación de lote,</w:t>
            </w:r>
            <w:r w:rsidRPr="008F5C15">
              <w:rPr>
                <w:rFonts w:ascii="Verdana" w:hAnsi="Verdana"/>
                <w:sz w:val="16"/>
                <w:szCs w:val="16"/>
                <w:lang w:val="es-MX"/>
              </w:rPr>
              <w:t xml:space="preserve"> al dictamen que indica la disposición del producto a partir de una revisión sistemática para asegurar la calidad desde todos los aspectos, particularmente los de las Buenas Prácticas de Fabricación.</w:t>
            </w:r>
          </w:p>
        </w:tc>
        <w:tc>
          <w:tcPr>
            <w:tcW w:w="4427" w:type="dxa"/>
            <w:shd w:val="clear" w:color="auto" w:fill="auto"/>
          </w:tcPr>
          <w:p w14:paraId="0F2004D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3.67 Lot Release, </w:t>
            </w:r>
            <w:r w:rsidRPr="008F5C15">
              <w:rPr>
                <w:rFonts w:ascii="Verdana" w:hAnsi="Verdana"/>
                <w:sz w:val="16"/>
                <w:szCs w:val="16"/>
                <w:lang w:val="en-US"/>
              </w:rPr>
              <w:t>the report that indicates the disposal of the product from a systematic review to assure quality from all aspects, particularly those of Good Manufacturing Practices.</w:t>
            </w:r>
          </w:p>
        </w:tc>
      </w:tr>
      <w:tr w:rsidR="001C6A90" w:rsidRPr="00906F5C" w14:paraId="2877B09B" w14:textId="77777777" w:rsidTr="00886332">
        <w:tc>
          <w:tcPr>
            <w:tcW w:w="4405" w:type="dxa"/>
          </w:tcPr>
          <w:p w14:paraId="02B58D2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3.68 Liberación paramétrica, </w:t>
            </w:r>
            <w:r w:rsidRPr="008F5C15">
              <w:rPr>
                <w:rFonts w:ascii="Verdana" w:hAnsi="Verdana"/>
                <w:sz w:val="16"/>
                <w:szCs w:val="16"/>
                <w:lang w:val="es-MX"/>
              </w:rPr>
              <w:t xml:space="preserve">al sistema de liberación aplicable a productos estériles que lleven un proceso de esterilización terminal, el cual está basado en el cumplimiento de parámetros críticos de esterilización obtenidos durante el proceso de fabricación y en el cumplimiento con los requisitos </w:t>
            </w:r>
            <w:r w:rsidRPr="008F5C15">
              <w:rPr>
                <w:rFonts w:ascii="Verdana" w:hAnsi="Verdana"/>
                <w:sz w:val="16"/>
                <w:szCs w:val="16"/>
                <w:lang w:val="es-MX"/>
              </w:rPr>
              <w:lastRenderedPageBreak/>
              <w:t>de BPF específicos, sin efectuar la prueba de esterilidad.</w:t>
            </w:r>
          </w:p>
        </w:tc>
        <w:tc>
          <w:tcPr>
            <w:tcW w:w="4427" w:type="dxa"/>
            <w:shd w:val="clear" w:color="auto" w:fill="auto"/>
          </w:tcPr>
          <w:p w14:paraId="09F5743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3.68 Parametric release, </w:t>
            </w:r>
            <w:r w:rsidRPr="008F5C15">
              <w:rPr>
                <w:rFonts w:ascii="Verdana" w:hAnsi="Verdana"/>
                <w:sz w:val="16"/>
                <w:szCs w:val="16"/>
                <w:lang w:val="en-US"/>
              </w:rPr>
              <w:t xml:space="preserve">the release system applicable to sterile products that maintain a process of terminal sterilization, which is based on the compliance of critical parameters of sterilization obtained during the manufacturing process and in the compliance with the specific requirements of </w:t>
            </w:r>
            <w:r w:rsidRPr="008F5C15">
              <w:rPr>
                <w:rFonts w:ascii="Verdana" w:hAnsi="Verdana"/>
                <w:sz w:val="16"/>
                <w:szCs w:val="16"/>
                <w:lang w:val="en-US"/>
              </w:rPr>
              <w:lastRenderedPageBreak/>
              <w:t>GMP (Good Manufacturing Practices) without performing the sterility test.</w:t>
            </w:r>
          </w:p>
        </w:tc>
      </w:tr>
      <w:tr w:rsidR="001C6A90" w:rsidRPr="00906F5C" w14:paraId="7622E924" w14:textId="77777777" w:rsidTr="00886332">
        <w:tc>
          <w:tcPr>
            <w:tcW w:w="4405" w:type="dxa"/>
          </w:tcPr>
          <w:p w14:paraId="12BF003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3.69 Limpieza,</w:t>
            </w:r>
            <w:r w:rsidRPr="008F5C15">
              <w:rPr>
                <w:rFonts w:ascii="Verdana" w:hAnsi="Verdana"/>
                <w:sz w:val="16"/>
                <w:szCs w:val="16"/>
                <w:lang w:val="es-MX"/>
              </w:rPr>
              <w:t xml:space="preserve"> al proceso para la disminución de partículas no viables a niveles establecidos.</w:t>
            </w:r>
          </w:p>
        </w:tc>
        <w:tc>
          <w:tcPr>
            <w:tcW w:w="4427" w:type="dxa"/>
            <w:shd w:val="clear" w:color="auto" w:fill="auto"/>
          </w:tcPr>
          <w:p w14:paraId="4479223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3.69 Cleaning, </w:t>
            </w:r>
            <w:r w:rsidRPr="008F5C15">
              <w:rPr>
                <w:rFonts w:ascii="Verdana" w:hAnsi="Verdana"/>
                <w:sz w:val="16"/>
                <w:szCs w:val="16"/>
                <w:lang w:val="en-US"/>
              </w:rPr>
              <w:t xml:space="preserve">the process for the diminution of non-viable particulates to established levels. </w:t>
            </w:r>
          </w:p>
        </w:tc>
      </w:tr>
      <w:tr w:rsidR="001C6A90" w:rsidRPr="00906F5C" w14:paraId="42F13AA9" w14:textId="77777777" w:rsidTr="00886332">
        <w:tc>
          <w:tcPr>
            <w:tcW w:w="4405" w:type="dxa"/>
          </w:tcPr>
          <w:p w14:paraId="3456F8F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3.70 Línea celular,</w:t>
            </w:r>
            <w:r w:rsidRPr="008F5C15">
              <w:rPr>
                <w:rFonts w:ascii="Verdana" w:hAnsi="Verdana"/>
                <w:sz w:val="16"/>
                <w:szCs w:val="16"/>
                <w:lang w:val="es-MX"/>
              </w:rPr>
              <w:t xml:space="preserve"> al tipo de población celular con características definidas que se originaron por subcultivos seriados de una población celular primaria.</w:t>
            </w:r>
          </w:p>
        </w:tc>
        <w:tc>
          <w:tcPr>
            <w:tcW w:w="4427" w:type="dxa"/>
            <w:shd w:val="clear" w:color="auto" w:fill="auto"/>
          </w:tcPr>
          <w:p w14:paraId="079A3BB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3.65 Cell line, </w:t>
            </w:r>
            <w:r w:rsidRPr="008F5C15">
              <w:rPr>
                <w:rFonts w:ascii="Verdana" w:hAnsi="Verdana"/>
                <w:sz w:val="16"/>
                <w:szCs w:val="16"/>
                <w:lang w:val="en-US"/>
              </w:rPr>
              <w:t>the type of cell population with defined characteristics which were originated by serial subcultures of a primary cell population.</w:t>
            </w:r>
          </w:p>
        </w:tc>
      </w:tr>
      <w:tr w:rsidR="001C6A90" w:rsidRPr="00906F5C" w14:paraId="2E26FA46" w14:textId="77777777" w:rsidTr="00886332">
        <w:tc>
          <w:tcPr>
            <w:tcW w:w="4405" w:type="dxa"/>
          </w:tcPr>
          <w:p w14:paraId="3B64502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3.71 Llenado aséptico simulado,</w:t>
            </w:r>
            <w:r w:rsidRPr="008F5C15">
              <w:rPr>
                <w:rFonts w:ascii="Verdana" w:hAnsi="Verdana"/>
                <w:sz w:val="16"/>
                <w:szCs w:val="16"/>
                <w:lang w:val="es-MX"/>
              </w:rPr>
              <w:t xml:space="preserve"> a la operación de llenado utilizando medio de cultivo en lugar de producto, poniéndolo en contacto con las superficies del equipo, sistemas de cierre, ambiente y operaciones del proceso para reproducir las condiciones de operación.</w:t>
            </w:r>
          </w:p>
        </w:tc>
        <w:tc>
          <w:tcPr>
            <w:tcW w:w="4427" w:type="dxa"/>
            <w:shd w:val="clear" w:color="auto" w:fill="auto"/>
          </w:tcPr>
          <w:p w14:paraId="1264553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3.71 Aseptic filling simulation, </w:t>
            </w:r>
            <w:r w:rsidRPr="008F5C15">
              <w:rPr>
                <w:rFonts w:ascii="Verdana" w:hAnsi="Verdana"/>
                <w:sz w:val="16"/>
                <w:szCs w:val="16"/>
                <w:lang w:val="en-US"/>
              </w:rPr>
              <w:t>the operation of filling using a culture media in place of product, placing it into contact with the surfaces of the equipment, closing systems, environment and operations of the process to reproduce operating conditions.</w:t>
            </w:r>
          </w:p>
        </w:tc>
      </w:tr>
      <w:tr w:rsidR="001C6A90" w:rsidRPr="000C7973" w14:paraId="18A9A069" w14:textId="77777777" w:rsidTr="00886332">
        <w:tc>
          <w:tcPr>
            <w:tcW w:w="4405" w:type="dxa"/>
          </w:tcPr>
          <w:p w14:paraId="285C259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3.72 Lote semilla de trabajo, </w:t>
            </w:r>
            <w:r w:rsidRPr="008F5C15">
              <w:rPr>
                <w:rFonts w:ascii="Verdana" w:hAnsi="Verdana"/>
                <w:sz w:val="16"/>
                <w:szCs w:val="16"/>
                <w:lang w:val="es-MX"/>
              </w:rPr>
              <w:t>a un cultivo de un microorganismo derivado de un lote de semilla maestro o de un lote de semilla intermedio. Está destinado a un uso en producción.</w:t>
            </w:r>
          </w:p>
        </w:tc>
        <w:tc>
          <w:tcPr>
            <w:tcW w:w="4427" w:type="dxa"/>
            <w:shd w:val="clear" w:color="auto" w:fill="auto"/>
          </w:tcPr>
          <w:p w14:paraId="721B341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3.72 Work seed lot, </w:t>
            </w:r>
            <w:r w:rsidRPr="008F5C15">
              <w:rPr>
                <w:rFonts w:ascii="Verdana" w:hAnsi="Verdana"/>
                <w:sz w:val="16"/>
                <w:szCs w:val="16"/>
                <w:lang w:val="en-US"/>
              </w:rPr>
              <w:t xml:space="preserve">a culture of a microorganism derived from a master seed lot or an intermediate seed lot. It is designated for production use. </w:t>
            </w:r>
          </w:p>
        </w:tc>
      </w:tr>
      <w:tr w:rsidR="001C6A90" w:rsidRPr="00906F5C" w14:paraId="1F500778" w14:textId="77777777" w:rsidTr="00886332">
        <w:tc>
          <w:tcPr>
            <w:tcW w:w="4405" w:type="dxa"/>
          </w:tcPr>
          <w:p w14:paraId="3E7B980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3.73 Lote semilla maestro (Master Seed Lot)</w:t>
            </w:r>
            <w:r w:rsidRPr="008F5C15">
              <w:rPr>
                <w:rFonts w:ascii="Verdana" w:hAnsi="Verdana"/>
                <w:sz w:val="16"/>
                <w:szCs w:val="16"/>
                <w:lang w:val="es-MX"/>
              </w:rPr>
              <w:t>, a un cultivo de un microorganismo derivado del lote de semilla pre-maestro, distribuido en contenedores en una sola operación, de manera que garantice la homogeneidad y la estabilidad, y prevenga cualquier contaminación.</w:t>
            </w:r>
          </w:p>
        </w:tc>
        <w:tc>
          <w:tcPr>
            <w:tcW w:w="4427" w:type="dxa"/>
            <w:shd w:val="clear" w:color="auto" w:fill="auto"/>
          </w:tcPr>
          <w:p w14:paraId="268389F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3.73 Master seed lot, </w:t>
            </w:r>
            <w:r w:rsidRPr="008F5C15">
              <w:rPr>
                <w:rFonts w:ascii="Verdana" w:hAnsi="Verdana"/>
                <w:sz w:val="16"/>
                <w:szCs w:val="16"/>
                <w:lang w:val="en-US"/>
              </w:rPr>
              <w:t xml:space="preserve">a culture of a microorganism derived from the pre-master seed lot, distributed in containers in a single operation, in a way that guarantees the homogeneity and stability and prevents any contamination. </w:t>
            </w:r>
          </w:p>
        </w:tc>
      </w:tr>
      <w:tr w:rsidR="001C6A90" w:rsidRPr="00906F5C" w14:paraId="1D07F4BA" w14:textId="77777777" w:rsidTr="00886332">
        <w:tc>
          <w:tcPr>
            <w:tcW w:w="4405" w:type="dxa"/>
          </w:tcPr>
          <w:p w14:paraId="5C3B586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3.74 Manual de calidad, </w:t>
            </w:r>
            <w:r w:rsidRPr="008F5C15">
              <w:rPr>
                <w:rFonts w:ascii="Verdana" w:hAnsi="Verdana"/>
                <w:sz w:val="16"/>
                <w:szCs w:val="16"/>
                <w:lang w:val="es-MX"/>
              </w:rPr>
              <w:t>al documento que describe el Sistema de Gestión de Calidad de acuerdo con la política y los objetivos de la calidad establecidos en el mismo manual.</w:t>
            </w:r>
          </w:p>
        </w:tc>
        <w:tc>
          <w:tcPr>
            <w:tcW w:w="4427" w:type="dxa"/>
            <w:shd w:val="clear" w:color="auto" w:fill="auto"/>
          </w:tcPr>
          <w:p w14:paraId="6BBBC1D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3.74 Quality Manual, </w:t>
            </w:r>
            <w:r w:rsidRPr="008F5C15">
              <w:rPr>
                <w:rFonts w:ascii="Verdana" w:hAnsi="Verdana"/>
                <w:sz w:val="16"/>
                <w:szCs w:val="16"/>
                <w:lang w:val="en-US"/>
              </w:rPr>
              <w:t>the document that describes the Quality Management System according to the established quality policy and objectives of quality established in the same manual.</w:t>
            </w:r>
          </w:p>
        </w:tc>
      </w:tr>
      <w:tr w:rsidR="001C6A90" w:rsidRPr="00906F5C" w14:paraId="2F669C8F" w14:textId="77777777" w:rsidTr="00886332">
        <w:tc>
          <w:tcPr>
            <w:tcW w:w="4405" w:type="dxa"/>
          </w:tcPr>
          <w:p w14:paraId="5544503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3.75 Maquila,</w:t>
            </w:r>
            <w:r w:rsidRPr="008F5C15">
              <w:rPr>
                <w:rFonts w:ascii="Verdana" w:hAnsi="Verdana"/>
                <w:sz w:val="16"/>
                <w:szCs w:val="16"/>
                <w:lang w:val="es-MX"/>
              </w:rPr>
              <w:t xml:space="preserve"> al proceso o etapa de un proceso involucrado en la fabricación de un medicamento, realizado por un establecimiento diferente del titular del Registro Sanitario; puede ser nacional, internacional, temporal o permanente.</w:t>
            </w:r>
          </w:p>
        </w:tc>
        <w:tc>
          <w:tcPr>
            <w:tcW w:w="4427" w:type="dxa"/>
            <w:shd w:val="clear" w:color="auto" w:fill="auto"/>
          </w:tcPr>
          <w:p w14:paraId="38C66D9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3.75 Maquila, </w:t>
            </w:r>
            <w:r w:rsidRPr="008F5C15">
              <w:rPr>
                <w:rFonts w:ascii="Verdana" w:hAnsi="Verdana"/>
                <w:sz w:val="16"/>
                <w:szCs w:val="16"/>
                <w:lang w:val="en-US"/>
              </w:rPr>
              <w:t>the process or stage of a process involved in the manufacture of a drug product, made by an establishment different from the holder of the Sanitary Registration; it can be national, international, temporary or permanent.</w:t>
            </w:r>
          </w:p>
        </w:tc>
      </w:tr>
      <w:tr w:rsidR="001C6A90" w:rsidRPr="00906F5C" w14:paraId="624F8BAD" w14:textId="77777777" w:rsidTr="00886332">
        <w:tc>
          <w:tcPr>
            <w:tcW w:w="4405" w:type="dxa"/>
          </w:tcPr>
          <w:p w14:paraId="0E90F2F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3.76 Material impreso,</w:t>
            </w:r>
            <w:r w:rsidRPr="008F5C15">
              <w:rPr>
                <w:rFonts w:ascii="Verdana" w:hAnsi="Verdana"/>
                <w:sz w:val="16"/>
                <w:szCs w:val="16"/>
                <w:lang w:val="es-MX"/>
              </w:rPr>
              <w:t xml:space="preserve"> a cualquier etiqueta, inserto o material de acondicionamiento presente en el producto final.</w:t>
            </w:r>
          </w:p>
        </w:tc>
        <w:tc>
          <w:tcPr>
            <w:tcW w:w="4427" w:type="dxa"/>
            <w:shd w:val="clear" w:color="auto" w:fill="auto"/>
          </w:tcPr>
          <w:p w14:paraId="69C5BF7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3.76 Printed material, </w:t>
            </w:r>
            <w:r w:rsidRPr="008F5C15">
              <w:rPr>
                <w:rFonts w:ascii="Verdana" w:hAnsi="Verdana"/>
                <w:sz w:val="16"/>
                <w:szCs w:val="16"/>
                <w:lang w:val="en-US"/>
              </w:rPr>
              <w:t>any label, insert or conditioning material present in the final product.</w:t>
            </w:r>
          </w:p>
        </w:tc>
      </w:tr>
      <w:tr w:rsidR="001C6A90" w:rsidRPr="00906F5C" w14:paraId="2D7D1F0B" w14:textId="77777777" w:rsidTr="00886332">
        <w:tc>
          <w:tcPr>
            <w:tcW w:w="4405" w:type="dxa"/>
          </w:tcPr>
          <w:p w14:paraId="20AE5C5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3.77</w:t>
            </w:r>
            <w:r w:rsidRPr="008F5C15">
              <w:rPr>
                <w:rFonts w:ascii="Verdana" w:hAnsi="Verdana"/>
                <w:sz w:val="16"/>
                <w:szCs w:val="16"/>
                <w:lang w:val="es-MX"/>
              </w:rPr>
              <w:t xml:space="preserve"> </w:t>
            </w:r>
            <w:r w:rsidRPr="008F5C15">
              <w:rPr>
                <w:rFonts w:ascii="Verdana" w:hAnsi="Verdana"/>
                <w:b/>
                <w:sz w:val="16"/>
                <w:szCs w:val="16"/>
                <w:lang w:val="es-MX"/>
              </w:rPr>
              <w:t>Medicamentos en investigación,</w:t>
            </w:r>
            <w:r w:rsidRPr="008F5C15">
              <w:rPr>
                <w:rFonts w:ascii="Verdana" w:hAnsi="Verdana"/>
                <w:sz w:val="16"/>
                <w:szCs w:val="16"/>
                <w:lang w:val="es-MX"/>
              </w:rPr>
              <w:t xml:space="preserve"> a la forma farmacéutica de un fármaco, un producto biológico, respecto del cual no se tenga experiencia previa en el país, que no hayan sido registrados por la Secretaría y, por lo tanto, no se hayan distribuido en forma comercial, así como los medicamentos registrados y aprobados para su venta, cuando se investigue su caso con modalidades, indicaciones, dosis o vías de administración diferentes de las autorizadas, incluyendo su empleo en combinaciones.</w:t>
            </w:r>
          </w:p>
        </w:tc>
        <w:tc>
          <w:tcPr>
            <w:tcW w:w="4427" w:type="dxa"/>
            <w:shd w:val="clear" w:color="auto" w:fill="auto"/>
          </w:tcPr>
          <w:p w14:paraId="5C185B8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3.77 Drug products being researched, </w:t>
            </w:r>
            <w:r w:rsidRPr="008F5C15">
              <w:rPr>
                <w:rFonts w:ascii="Verdana" w:hAnsi="Verdana"/>
                <w:sz w:val="16"/>
                <w:szCs w:val="16"/>
                <w:lang w:val="en-US"/>
              </w:rPr>
              <w:t>the pharmaceutical dosage form of a drug substance, a biological product, with respect of which there is no prior experience in the country, that have not been registered by the Secretary and, therefore, they have not been distributed in commercial form, as well as the drug products registered and approved for their sale, when investigated with modalities, indications, dosages or routes of administration different from those authorized, including their employment in combinations.</w:t>
            </w:r>
          </w:p>
        </w:tc>
      </w:tr>
      <w:tr w:rsidR="001C6A90" w:rsidRPr="00906F5C" w14:paraId="1022A6B1" w14:textId="77777777" w:rsidTr="00886332">
        <w:tc>
          <w:tcPr>
            <w:tcW w:w="4405" w:type="dxa"/>
          </w:tcPr>
          <w:p w14:paraId="341CB54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3.78 Muestra de retención,</w:t>
            </w:r>
            <w:r w:rsidRPr="008F5C15">
              <w:rPr>
                <w:rFonts w:ascii="Verdana" w:hAnsi="Verdana"/>
                <w:sz w:val="16"/>
                <w:szCs w:val="16"/>
                <w:lang w:val="es-MX"/>
              </w:rPr>
              <w:t xml:space="preserve"> a la cantidad suficiente de materias primas o producto para llevar a cabo dos análisis completos, excepto prueba de esterilidad y pirógenos.</w:t>
            </w:r>
          </w:p>
        </w:tc>
        <w:tc>
          <w:tcPr>
            <w:tcW w:w="4427" w:type="dxa"/>
            <w:shd w:val="clear" w:color="auto" w:fill="auto"/>
          </w:tcPr>
          <w:p w14:paraId="4C6314D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3.78 Retention sample, </w:t>
            </w:r>
            <w:r w:rsidRPr="008F5C15">
              <w:rPr>
                <w:rFonts w:ascii="Verdana" w:hAnsi="Verdana"/>
                <w:sz w:val="16"/>
                <w:szCs w:val="16"/>
                <w:lang w:val="en-US"/>
              </w:rPr>
              <w:t>the sufficient quantity of raw materials or product in order to carry out two complete analyses, except the sterility and pyrogen test.</w:t>
            </w:r>
          </w:p>
        </w:tc>
      </w:tr>
      <w:tr w:rsidR="001C6A90" w:rsidRPr="00906F5C" w14:paraId="4E382F0E" w14:textId="77777777" w:rsidTr="00886332">
        <w:tc>
          <w:tcPr>
            <w:tcW w:w="4405" w:type="dxa"/>
          </w:tcPr>
          <w:p w14:paraId="1C61851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3.79 Muestra,</w:t>
            </w:r>
            <w:r w:rsidRPr="008F5C15">
              <w:rPr>
                <w:rFonts w:ascii="Verdana" w:hAnsi="Verdana"/>
                <w:sz w:val="16"/>
                <w:szCs w:val="16"/>
                <w:lang w:val="es-MX"/>
              </w:rPr>
              <w:t xml:space="preserve"> a la cantidad de material cuya composición es representativa del lote que va a ser examinado.</w:t>
            </w:r>
          </w:p>
        </w:tc>
        <w:tc>
          <w:tcPr>
            <w:tcW w:w="4427" w:type="dxa"/>
            <w:shd w:val="clear" w:color="auto" w:fill="auto"/>
          </w:tcPr>
          <w:p w14:paraId="643B339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3.79 Sample, </w:t>
            </w:r>
            <w:r w:rsidRPr="008F5C15">
              <w:rPr>
                <w:rFonts w:ascii="Verdana" w:hAnsi="Verdana"/>
                <w:sz w:val="16"/>
                <w:szCs w:val="16"/>
                <w:lang w:val="en-US"/>
              </w:rPr>
              <w:t xml:space="preserve">the amount of material whose composition is representative of the lot that is going to be examined. </w:t>
            </w:r>
          </w:p>
        </w:tc>
      </w:tr>
      <w:tr w:rsidR="001C6A90" w:rsidRPr="00906F5C" w14:paraId="653D639A" w14:textId="77777777" w:rsidTr="00886332">
        <w:tc>
          <w:tcPr>
            <w:tcW w:w="4405" w:type="dxa"/>
          </w:tcPr>
          <w:p w14:paraId="5C72133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3.80 Número de lote</w:t>
            </w:r>
            <w:r w:rsidRPr="008F5C15">
              <w:rPr>
                <w:rFonts w:ascii="Verdana" w:hAnsi="Verdana"/>
                <w:sz w:val="16"/>
                <w:szCs w:val="16"/>
                <w:lang w:val="es-MX"/>
              </w:rPr>
              <w:t>, a la combinación numérica o alfanumérica que identifica específicamente un lote.</w:t>
            </w:r>
          </w:p>
        </w:tc>
        <w:tc>
          <w:tcPr>
            <w:tcW w:w="4427" w:type="dxa"/>
            <w:shd w:val="clear" w:color="auto" w:fill="auto"/>
          </w:tcPr>
          <w:p w14:paraId="1F56EFE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3.80 Lot number, </w:t>
            </w:r>
            <w:r w:rsidRPr="008F5C15">
              <w:rPr>
                <w:rFonts w:ascii="Verdana" w:hAnsi="Verdana"/>
                <w:sz w:val="16"/>
                <w:szCs w:val="16"/>
                <w:lang w:val="en-US"/>
              </w:rPr>
              <w:t>the numerical o alphanumerical combination that specifically identifies a lot.</w:t>
            </w:r>
          </w:p>
        </w:tc>
      </w:tr>
      <w:tr w:rsidR="001C6A90" w:rsidRPr="00906F5C" w14:paraId="720FBFDA" w14:textId="77777777" w:rsidTr="00886332">
        <w:tc>
          <w:tcPr>
            <w:tcW w:w="4405" w:type="dxa"/>
          </w:tcPr>
          <w:p w14:paraId="7F22F51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3.81 Orden de acondicionamiento,</w:t>
            </w:r>
            <w:r w:rsidRPr="008F5C15">
              <w:rPr>
                <w:rFonts w:ascii="Verdana" w:hAnsi="Verdana"/>
                <w:sz w:val="16"/>
                <w:szCs w:val="16"/>
                <w:lang w:val="es-MX"/>
              </w:rPr>
              <w:t xml:space="preserve"> a la copia de la orden maestra de acondicionamiento a la cual se le asigna un número de lote y se utiliza para el surtido y registro de los materiales para el acondicionamiento de un lote de medicamento.</w:t>
            </w:r>
          </w:p>
        </w:tc>
        <w:tc>
          <w:tcPr>
            <w:tcW w:w="4427" w:type="dxa"/>
            <w:shd w:val="clear" w:color="auto" w:fill="auto"/>
          </w:tcPr>
          <w:p w14:paraId="7B22687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3.81 Order of conditioning, </w:t>
            </w:r>
            <w:r w:rsidRPr="008F5C15">
              <w:rPr>
                <w:rFonts w:ascii="Verdana" w:hAnsi="Verdana"/>
                <w:sz w:val="16"/>
                <w:szCs w:val="16"/>
                <w:lang w:val="en-US"/>
              </w:rPr>
              <w:t>the copy of the master formula of conditioning to which is assigned a lot number and is used for the supply and registration of the materials for the conditioning of a lot of a drug product.</w:t>
            </w:r>
          </w:p>
        </w:tc>
      </w:tr>
      <w:tr w:rsidR="001C6A90" w:rsidRPr="00906F5C" w14:paraId="4FA9A274" w14:textId="77777777" w:rsidTr="00886332">
        <w:tc>
          <w:tcPr>
            <w:tcW w:w="4405" w:type="dxa"/>
          </w:tcPr>
          <w:p w14:paraId="614007C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3.82 Orden de producción, </w:t>
            </w:r>
            <w:r w:rsidRPr="008F5C15">
              <w:rPr>
                <w:rFonts w:ascii="Verdana" w:hAnsi="Verdana"/>
                <w:sz w:val="16"/>
                <w:szCs w:val="16"/>
                <w:lang w:val="es-MX"/>
              </w:rPr>
              <w:t>a la copia de la orden o fórmula maestra de producción a la cual se le asigna un número de lote y se utiliza para el surtido y registro de los insumos para la producción de un lote de medicamento.</w:t>
            </w:r>
          </w:p>
        </w:tc>
        <w:tc>
          <w:tcPr>
            <w:tcW w:w="4427" w:type="dxa"/>
            <w:shd w:val="clear" w:color="auto" w:fill="auto"/>
          </w:tcPr>
          <w:p w14:paraId="70783C2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3.82 Production order, </w:t>
            </w:r>
            <w:r w:rsidRPr="008F5C15">
              <w:rPr>
                <w:rFonts w:ascii="Verdana" w:hAnsi="Verdana"/>
                <w:sz w:val="16"/>
                <w:szCs w:val="16"/>
                <w:lang w:val="en-US"/>
              </w:rPr>
              <w:t xml:space="preserve">the copy of the order or master formula of production which is assigned a lot number and is used as a guide and registration of the components for the production of a lot of drug product. </w:t>
            </w:r>
          </w:p>
        </w:tc>
      </w:tr>
      <w:tr w:rsidR="001C6A90" w:rsidRPr="00906F5C" w14:paraId="1F96DCD2" w14:textId="77777777" w:rsidTr="00886332">
        <w:tc>
          <w:tcPr>
            <w:tcW w:w="4405" w:type="dxa"/>
          </w:tcPr>
          <w:p w14:paraId="39CA0BC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3.83 Partículas viables,</w:t>
            </w:r>
            <w:r w:rsidRPr="008F5C15">
              <w:rPr>
                <w:rFonts w:ascii="Verdana" w:hAnsi="Verdana"/>
                <w:sz w:val="16"/>
                <w:szCs w:val="16"/>
                <w:lang w:val="es-MX"/>
              </w:rPr>
              <w:t xml:space="preserve"> a cualquier partícula que bajo condiciones ambientales apropiadas puede reproducirse.</w:t>
            </w:r>
          </w:p>
        </w:tc>
        <w:tc>
          <w:tcPr>
            <w:tcW w:w="4427" w:type="dxa"/>
            <w:shd w:val="clear" w:color="auto" w:fill="auto"/>
          </w:tcPr>
          <w:p w14:paraId="1733217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3.83 Viable particulates, </w:t>
            </w:r>
            <w:r w:rsidRPr="008F5C15">
              <w:rPr>
                <w:rFonts w:ascii="Verdana" w:hAnsi="Verdana"/>
                <w:sz w:val="16"/>
                <w:szCs w:val="16"/>
                <w:lang w:val="en-US"/>
              </w:rPr>
              <w:t>any particulate that under appropriate environmental conditions can be reproduced.</w:t>
            </w:r>
          </w:p>
        </w:tc>
      </w:tr>
      <w:tr w:rsidR="001C6A90" w:rsidRPr="009830DF" w14:paraId="7ADD172C" w14:textId="77777777" w:rsidTr="00886332">
        <w:tc>
          <w:tcPr>
            <w:tcW w:w="4405" w:type="dxa"/>
          </w:tcPr>
          <w:p w14:paraId="79A225E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3.84 Pase, </w:t>
            </w:r>
            <w:r w:rsidRPr="008F5C15">
              <w:rPr>
                <w:rFonts w:ascii="Verdana" w:hAnsi="Verdana"/>
                <w:sz w:val="16"/>
                <w:szCs w:val="16"/>
                <w:lang w:val="es-MX"/>
              </w:rPr>
              <w:t>a la transferencia sucesiva de microorganismos o cultivos celulares a través de varios medios de cultivo. Cada resiembra representa un número de pase.</w:t>
            </w:r>
          </w:p>
        </w:tc>
        <w:tc>
          <w:tcPr>
            <w:tcW w:w="4427" w:type="dxa"/>
            <w:shd w:val="clear" w:color="auto" w:fill="auto"/>
          </w:tcPr>
          <w:p w14:paraId="5C95D36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3.84 Pass, </w:t>
            </w:r>
            <w:r w:rsidRPr="008F5C15">
              <w:rPr>
                <w:rFonts w:ascii="Verdana" w:hAnsi="Verdana"/>
                <w:sz w:val="16"/>
                <w:szCs w:val="16"/>
                <w:lang w:val="en-US"/>
              </w:rPr>
              <w:t xml:space="preserve">the successive transfer of microorganisms or cellular cultures through various culture media. Each reseeding represents a pass number. </w:t>
            </w:r>
            <w:r w:rsidRPr="008F5C15">
              <w:rPr>
                <w:rFonts w:ascii="Verdana" w:hAnsi="Verdana"/>
                <w:b/>
                <w:sz w:val="16"/>
                <w:szCs w:val="16"/>
                <w:lang w:val="en-US"/>
              </w:rPr>
              <w:t xml:space="preserve"> </w:t>
            </w:r>
          </w:p>
        </w:tc>
      </w:tr>
      <w:tr w:rsidR="001C6A90" w:rsidRPr="00906F5C" w14:paraId="63E95AB8" w14:textId="77777777" w:rsidTr="00886332">
        <w:tc>
          <w:tcPr>
            <w:tcW w:w="4405" w:type="dxa"/>
          </w:tcPr>
          <w:p w14:paraId="0ECEE8A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3.85 Peor caso,</w:t>
            </w:r>
            <w:r w:rsidRPr="008F5C15">
              <w:rPr>
                <w:rFonts w:ascii="Verdana" w:hAnsi="Verdana"/>
                <w:sz w:val="16"/>
                <w:szCs w:val="16"/>
                <w:lang w:val="es-MX"/>
              </w:rPr>
              <w:t xml:space="preserve"> a la condición o conjunto de condiciones que abarcan límites y circunstancias superiores y/o inferiores de proceso, dentro de procedimientos normalizados de operación, que poseen la mayor oportunidad de falla en el proceso cuando se compara con condiciones ideales. Tales condiciones no inducen necesariamente a fallas en el producto o proceso.</w:t>
            </w:r>
          </w:p>
        </w:tc>
        <w:tc>
          <w:tcPr>
            <w:tcW w:w="4427" w:type="dxa"/>
          </w:tcPr>
          <w:p w14:paraId="32BEFC7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3.85 Worst case,</w:t>
            </w:r>
            <w:r w:rsidRPr="008F5C15">
              <w:rPr>
                <w:rFonts w:ascii="Verdana" w:hAnsi="Verdana"/>
                <w:sz w:val="16"/>
                <w:szCs w:val="16"/>
                <w:lang w:val="en-US"/>
              </w:rPr>
              <w:t xml:space="preserve"> the condition or combination of conditions that spans the upper and lower limits and circumstances within standardized operating procedures that possess the greater opportunity for failure in the process when compared with ideal conditions. Such conditions do not necessarily induce failures in the product or process.</w:t>
            </w:r>
            <w:r w:rsidRPr="008F5C15">
              <w:rPr>
                <w:rFonts w:ascii="Verdana" w:hAnsi="Verdana"/>
                <w:b/>
                <w:sz w:val="16"/>
                <w:szCs w:val="16"/>
                <w:lang w:val="en-US"/>
              </w:rPr>
              <w:t xml:space="preserve">  </w:t>
            </w:r>
          </w:p>
        </w:tc>
      </w:tr>
      <w:tr w:rsidR="001C6A90" w:rsidRPr="00906F5C" w14:paraId="35192D5F" w14:textId="77777777" w:rsidTr="00886332">
        <w:tc>
          <w:tcPr>
            <w:tcW w:w="4405" w:type="dxa"/>
          </w:tcPr>
          <w:p w14:paraId="0A4A22B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3.86 Periodo de reanálisis,</w:t>
            </w:r>
            <w:r w:rsidRPr="008F5C15">
              <w:rPr>
                <w:rFonts w:ascii="Verdana" w:hAnsi="Verdana"/>
                <w:sz w:val="16"/>
                <w:szCs w:val="16"/>
                <w:lang w:val="es-MX"/>
              </w:rPr>
              <w:t xml:space="preserve"> al tiempo durante el cual un fármaco o aditivo que es conservado en las condiciones indicadas por el fabricante, permanece dentro de las especificaciones de calidad establecidas para su uso.</w:t>
            </w:r>
          </w:p>
        </w:tc>
        <w:tc>
          <w:tcPr>
            <w:tcW w:w="4427" w:type="dxa"/>
          </w:tcPr>
          <w:p w14:paraId="59232A4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3.86 Reanalysis period, </w:t>
            </w:r>
            <w:r w:rsidRPr="008F5C15">
              <w:rPr>
                <w:rFonts w:ascii="Verdana" w:hAnsi="Verdana"/>
                <w:sz w:val="16"/>
                <w:szCs w:val="16"/>
                <w:lang w:val="en-US"/>
              </w:rPr>
              <w:t xml:space="preserve">the time during which a drug substance or additive that is conserved in the conditions indicated by the manufacturer, remains within the specifications of quality established for their use. </w:t>
            </w:r>
          </w:p>
        </w:tc>
      </w:tr>
      <w:tr w:rsidR="001C6A90" w:rsidRPr="00906F5C" w14:paraId="6206FDF6" w14:textId="77777777" w:rsidTr="00886332">
        <w:tc>
          <w:tcPr>
            <w:tcW w:w="4405" w:type="dxa"/>
          </w:tcPr>
          <w:p w14:paraId="21EE77F8"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3.87 Placebo,</w:t>
            </w:r>
            <w:r w:rsidRPr="008F5C15">
              <w:rPr>
                <w:rFonts w:ascii="Verdana" w:hAnsi="Verdana"/>
                <w:sz w:val="16"/>
                <w:szCs w:val="16"/>
                <w:lang w:val="es-MX"/>
              </w:rPr>
              <w:t xml:space="preserve"> a la sustancia inerte usada como medicamento supuesto o sustancia con actividad farmacológica.</w:t>
            </w:r>
          </w:p>
        </w:tc>
        <w:tc>
          <w:tcPr>
            <w:tcW w:w="4427" w:type="dxa"/>
            <w:shd w:val="clear" w:color="auto" w:fill="auto"/>
          </w:tcPr>
          <w:p w14:paraId="547D327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3.87 Placebo, </w:t>
            </w:r>
            <w:r w:rsidRPr="008F5C15">
              <w:rPr>
                <w:rFonts w:ascii="Verdana" w:hAnsi="Verdana"/>
                <w:sz w:val="16"/>
                <w:szCs w:val="16"/>
                <w:lang w:val="en-US"/>
              </w:rPr>
              <w:t xml:space="preserve">the inert substance used as a supposed drug substance or substance with pharmacological activity. </w:t>
            </w:r>
          </w:p>
        </w:tc>
      </w:tr>
      <w:tr w:rsidR="001C6A90" w:rsidRPr="009830DF" w14:paraId="6FFB3190" w14:textId="77777777" w:rsidTr="00886332">
        <w:tc>
          <w:tcPr>
            <w:tcW w:w="4405" w:type="dxa"/>
          </w:tcPr>
          <w:p w14:paraId="4149BFAD"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3.88 Plan maestro de validación,</w:t>
            </w:r>
            <w:r w:rsidRPr="008F5C15">
              <w:rPr>
                <w:rFonts w:ascii="Verdana" w:hAnsi="Verdana"/>
                <w:sz w:val="16"/>
                <w:szCs w:val="16"/>
                <w:lang w:val="es-MX"/>
              </w:rPr>
              <w:t xml:space="preserve"> al documento que especifica la información referente a las actividades de validación que realizará el establecimiento, donde se definen detalles y escalas de tiempo para cada trabajo de validación a realizar. Las responsabilidades relacionadas con dicho plan deben ser establecidas.</w:t>
            </w:r>
          </w:p>
        </w:tc>
        <w:tc>
          <w:tcPr>
            <w:tcW w:w="4427" w:type="dxa"/>
            <w:shd w:val="clear" w:color="auto" w:fill="auto"/>
          </w:tcPr>
          <w:p w14:paraId="454B2C9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3.88 Master validation plan, </w:t>
            </w:r>
            <w:r w:rsidRPr="008F5C15">
              <w:rPr>
                <w:rFonts w:ascii="Verdana" w:hAnsi="Verdana"/>
                <w:sz w:val="16"/>
                <w:szCs w:val="16"/>
                <w:lang w:val="en-US"/>
              </w:rPr>
              <w:t>the document that specifies the information referring to the activities of validation that the company will make, where details and time scales are defined for each validation work to be made. The responsibilities related to said plan must be established.</w:t>
            </w:r>
          </w:p>
        </w:tc>
      </w:tr>
      <w:tr w:rsidR="001C6A90" w:rsidRPr="00906F5C" w14:paraId="00F7F6C8" w14:textId="77777777" w:rsidTr="00886332">
        <w:tc>
          <w:tcPr>
            <w:tcW w:w="4405" w:type="dxa"/>
          </w:tcPr>
          <w:p w14:paraId="12A959CD"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 xml:space="preserve">3.89 Potencia, </w:t>
            </w:r>
            <w:r w:rsidRPr="008F5C15">
              <w:rPr>
                <w:rFonts w:ascii="Verdana" w:hAnsi="Verdana"/>
                <w:sz w:val="16"/>
                <w:szCs w:val="16"/>
                <w:lang w:val="es-MX"/>
              </w:rPr>
              <w:t>a la actividad terapéutica del producto farmacéutico tal como es indicada por pruebas apropiadas de laboratorio o por datos clínicos controlados y desarrollados en forma adecuada.</w:t>
            </w:r>
          </w:p>
        </w:tc>
        <w:tc>
          <w:tcPr>
            <w:tcW w:w="4427" w:type="dxa"/>
            <w:shd w:val="clear" w:color="auto" w:fill="auto"/>
          </w:tcPr>
          <w:p w14:paraId="05E6C3F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3.89 Power, </w:t>
            </w:r>
            <w:r w:rsidRPr="008F5C15">
              <w:rPr>
                <w:rFonts w:ascii="Verdana" w:hAnsi="Verdana"/>
                <w:sz w:val="16"/>
                <w:szCs w:val="16"/>
                <w:lang w:val="en-US"/>
              </w:rPr>
              <w:t>the therapeutic activity of the pharmaceutical product such as indicated by appropriate laboratory tests or by adequately controlled and developed clinical data.</w:t>
            </w:r>
          </w:p>
        </w:tc>
      </w:tr>
      <w:tr w:rsidR="001C6A90" w:rsidRPr="00906F5C" w14:paraId="325B4C4F" w14:textId="77777777" w:rsidTr="00886332">
        <w:tc>
          <w:tcPr>
            <w:tcW w:w="4405" w:type="dxa"/>
          </w:tcPr>
          <w:p w14:paraId="43C2FE4B"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3.90 Procedimiento normalizado de operación o Procedimiento,</w:t>
            </w:r>
            <w:r w:rsidRPr="008F5C15">
              <w:rPr>
                <w:rFonts w:ascii="Verdana" w:hAnsi="Verdana"/>
                <w:sz w:val="16"/>
                <w:szCs w:val="16"/>
                <w:lang w:val="es-MX"/>
              </w:rPr>
              <w:t xml:space="preserve"> al documento que contiene las </w:t>
            </w:r>
            <w:r w:rsidRPr="008F5C15">
              <w:rPr>
                <w:rFonts w:ascii="Verdana" w:hAnsi="Verdana"/>
                <w:sz w:val="16"/>
                <w:szCs w:val="16"/>
                <w:lang w:val="es-MX"/>
              </w:rPr>
              <w:lastRenderedPageBreak/>
              <w:t>instrucciones necesarias para llevar a cabo de manera reproducible una operación.</w:t>
            </w:r>
          </w:p>
        </w:tc>
        <w:tc>
          <w:tcPr>
            <w:tcW w:w="4427" w:type="dxa"/>
            <w:shd w:val="clear" w:color="auto" w:fill="auto"/>
          </w:tcPr>
          <w:p w14:paraId="2AA2607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lastRenderedPageBreak/>
              <w:t>3.90 Standardized operating procedure, or Procedure,</w:t>
            </w:r>
            <w:r w:rsidRPr="008F5C15">
              <w:rPr>
                <w:rFonts w:ascii="Verdana" w:hAnsi="Verdana"/>
                <w:sz w:val="16"/>
                <w:szCs w:val="16"/>
                <w:lang w:val="en-US"/>
              </w:rPr>
              <w:t xml:space="preserve"> the document that contains the </w:t>
            </w:r>
            <w:r w:rsidRPr="008F5C15">
              <w:rPr>
                <w:rFonts w:ascii="Verdana" w:hAnsi="Verdana"/>
                <w:sz w:val="16"/>
                <w:szCs w:val="16"/>
                <w:lang w:val="en-US"/>
              </w:rPr>
              <w:lastRenderedPageBreak/>
              <w:t>instructions necessary for carrying out an operation in a way that can be reproduced.</w:t>
            </w:r>
          </w:p>
        </w:tc>
      </w:tr>
      <w:tr w:rsidR="001C6A90" w:rsidRPr="00906F5C" w14:paraId="22F7F270" w14:textId="77777777" w:rsidTr="00886332">
        <w:tc>
          <w:tcPr>
            <w:tcW w:w="4405" w:type="dxa"/>
          </w:tcPr>
          <w:p w14:paraId="738B4A70"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lastRenderedPageBreak/>
              <w:t>3.91 Producción,</w:t>
            </w:r>
            <w:r w:rsidRPr="008F5C15">
              <w:rPr>
                <w:rFonts w:ascii="Verdana" w:hAnsi="Verdana"/>
                <w:sz w:val="16"/>
                <w:szCs w:val="16"/>
                <w:lang w:val="es-MX"/>
              </w:rPr>
              <w:t xml:space="preserve"> a las operaciones involucradas en el procesamiento de insumos para transformarlos en un producto a granel.</w:t>
            </w:r>
          </w:p>
        </w:tc>
        <w:tc>
          <w:tcPr>
            <w:tcW w:w="4427" w:type="dxa"/>
            <w:shd w:val="clear" w:color="auto" w:fill="auto"/>
          </w:tcPr>
          <w:p w14:paraId="41B39F6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3.91 Production, </w:t>
            </w:r>
            <w:r w:rsidRPr="008F5C15">
              <w:rPr>
                <w:rFonts w:ascii="Verdana" w:hAnsi="Verdana"/>
                <w:sz w:val="16"/>
                <w:szCs w:val="16"/>
                <w:lang w:val="en-US"/>
              </w:rPr>
              <w:t xml:space="preserve">the operations involved in the processing of materials for transforming them to a bulk product. </w:t>
            </w:r>
          </w:p>
        </w:tc>
      </w:tr>
      <w:tr w:rsidR="001C6A90" w:rsidRPr="00906F5C" w14:paraId="4CBC77CA" w14:textId="77777777" w:rsidTr="00886332">
        <w:tc>
          <w:tcPr>
            <w:tcW w:w="4405" w:type="dxa"/>
          </w:tcPr>
          <w:p w14:paraId="1D1C845D"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3.92 Producto a granel,</w:t>
            </w:r>
            <w:r w:rsidRPr="008F5C15">
              <w:rPr>
                <w:rFonts w:ascii="Verdana" w:hAnsi="Verdana"/>
                <w:sz w:val="16"/>
                <w:szCs w:val="16"/>
                <w:lang w:val="es-MX"/>
              </w:rPr>
              <w:t xml:space="preserve"> al producto en cualquier etapa del proceso de producción antes de su acondicionamiento primario.</w:t>
            </w:r>
          </w:p>
        </w:tc>
        <w:tc>
          <w:tcPr>
            <w:tcW w:w="4427" w:type="dxa"/>
            <w:shd w:val="clear" w:color="auto" w:fill="auto"/>
          </w:tcPr>
          <w:p w14:paraId="6A0E96C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3.92 Bulk product, </w:t>
            </w:r>
            <w:r w:rsidRPr="008F5C15">
              <w:rPr>
                <w:rFonts w:ascii="Verdana" w:hAnsi="Verdana"/>
                <w:sz w:val="16"/>
                <w:szCs w:val="16"/>
                <w:lang w:val="en-US"/>
              </w:rPr>
              <w:t xml:space="preserve">the product in any stage of the production process before their primary conditioning.  </w:t>
            </w:r>
          </w:p>
        </w:tc>
      </w:tr>
      <w:tr w:rsidR="001C6A90" w:rsidRPr="00906F5C" w14:paraId="3F34B555" w14:textId="77777777" w:rsidTr="00886332">
        <w:tc>
          <w:tcPr>
            <w:tcW w:w="4405" w:type="dxa"/>
          </w:tcPr>
          <w:p w14:paraId="754C4C22"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3.93 Producto devuelto,</w:t>
            </w:r>
            <w:r w:rsidRPr="008F5C15">
              <w:rPr>
                <w:rFonts w:ascii="Verdana" w:hAnsi="Verdana"/>
                <w:sz w:val="16"/>
                <w:szCs w:val="16"/>
                <w:lang w:val="es-MX"/>
              </w:rPr>
              <w:t xml:space="preserve"> al producto distribuido que se regresa al establecimiento.</w:t>
            </w:r>
          </w:p>
        </w:tc>
        <w:tc>
          <w:tcPr>
            <w:tcW w:w="4427" w:type="dxa"/>
            <w:shd w:val="clear" w:color="auto" w:fill="auto"/>
          </w:tcPr>
          <w:p w14:paraId="0B11A6B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3.93 Returned product, </w:t>
            </w:r>
            <w:r w:rsidRPr="008F5C15">
              <w:rPr>
                <w:rFonts w:ascii="Verdana" w:hAnsi="Verdana"/>
                <w:sz w:val="16"/>
                <w:szCs w:val="16"/>
                <w:lang w:val="en-US"/>
              </w:rPr>
              <w:t xml:space="preserve">the distributed product that is returned to the establishment. </w:t>
            </w:r>
          </w:p>
        </w:tc>
      </w:tr>
      <w:tr w:rsidR="001C6A90" w:rsidRPr="00906F5C" w14:paraId="2E8AD5C5" w14:textId="77777777" w:rsidTr="00886332">
        <w:tc>
          <w:tcPr>
            <w:tcW w:w="4405" w:type="dxa"/>
          </w:tcPr>
          <w:p w14:paraId="641D6055"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3.94 Producto intermedio,</w:t>
            </w:r>
            <w:r w:rsidRPr="008F5C15">
              <w:rPr>
                <w:rFonts w:ascii="Verdana" w:hAnsi="Verdana"/>
                <w:sz w:val="16"/>
                <w:szCs w:val="16"/>
                <w:lang w:val="es-MX"/>
              </w:rPr>
              <w:t xml:space="preserve"> al material obtenido durante etapas de la producción antes de convertirse en un producto a granel.</w:t>
            </w:r>
          </w:p>
        </w:tc>
        <w:tc>
          <w:tcPr>
            <w:tcW w:w="4427" w:type="dxa"/>
            <w:shd w:val="clear" w:color="auto" w:fill="auto"/>
          </w:tcPr>
          <w:p w14:paraId="560590A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3.94 Intermediate product,</w:t>
            </w:r>
            <w:r w:rsidRPr="008F5C15">
              <w:rPr>
                <w:rFonts w:ascii="Verdana" w:hAnsi="Verdana"/>
                <w:sz w:val="16"/>
                <w:szCs w:val="16"/>
                <w:lang w:val="en-US"/>
              </w:rPr>
              <w:t xml:space="preserve"> the material obtained during the production stages before becoming a bulk product.</w:t>
            </w:r>
          </w:p>
        </w:tc>
      </w:tr>
      <w:tr w:rsidR="001C6A90" w:rsidRPr="00906F5C" w14:paraId="75F15896" w14:textId="77777777" w:rsidTr="00886332">
        <w:tc>
          <w:tcPr>
            <w:tcW w:w="4405" w:type="dxa"/>
          </w:tcPr>
          <w:p w14:paraId="1F37B984"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3.95 Producto semiterminado,</w:t>
            </w:r>
            <w:r w:rsidRPr="008F5C15">
              <w:rPr>
                <w:rFonts w:ascii="Verdana" w:hAnsi="Verdana"/>
                <w:sz w:val="16"/>
                <w:szCs w:val="16"/>
                <w:lang w:val="es-MX"/>
              </w:rPr>
              <w:t xml:space="preserve"> al producto que se encuentra en su envase primario y que será sometido a etapas posteriores para convertirse en producto terminado.</w:t>
            </w:r>
          </w:p>
        </w:tc>
        <w:tc>
          <w:tcPr>
            <w:tcW w:w="4427" w:type="dxa"/>
            <w:shd w:val="clear" w:color="auto" w:fill="auto"/>
          </w:tcPr>
          <w:p w14:paraId="37D4B35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3.95 Semi-finished product</w:t>
            </w:r>
            <w:r w:rsidRPr="008F5C15">
              <w:rPr>
                <w:rFonts w:ascii="Verdana" w:hAnsi="Verdana"/>
                <w:sz w:val="16"/>
                <w:szCs w:val="16"/>
                <w:lang w:val="en-US"/>
              </w:rPr>
              <w:t>, the product that is found in its primary container and that will be submitted to later stages to be converted into a finished product.</w:t>
            </w:r>
          </w:p>
        </w:tc>
      </w:tr>
      <w:tr w:rsidR="001C6A90" w:rsidRPr="00906F5C" w14:paraId="5F3569E4" w14:textId="77777777" w:rsidTr="00886332">
        <w:tc>
          <w:tcPr>
            <w:tcW w:w="4405" w:type="dxa"/>
          </w:tcPr>
          <w:p w14:paraId="46E06AFA"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3.96 Producto terminado,</w:t>
            </w:r>
            <w:r w:rsidRPr="008F5C15">
              <w:rPr>
                <w:rFonts w:ascii="Verdana" w:hAnsi="Verdana"/>
                <w:sz w:val="16"/>
                <w:szCs w:val="16"/>
                <w:lang w:val="es-MX"/>
              </w:rPr>
              <w:t xml:space="preserve"> al medicamento en su presentación final.</w:t>
            </w:r>
          </w:p>
        </w:tc>
        <w:tc>
          <w:tcPr>
            <w:tcW w:w="4427" w:type="dxa"/>
            <w:shd w:val="clear" w:color="auto" w:fill="auto"/>
          </w:tcPr>
          <w:p w14:paraId="2A74D5A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3.96 Finished product, </w:t>
            </w:r>
            <w:r w:rsidRPr="008F5C15">
              <w:rPr>
                <w:rFonts w:ascii="Verdana" w:hAnsi="Verdana"/>
                <w:sz w:val="16"/>
                <w:szCs w:val="16"/>
                <w:lang w:val="en-US"/>
              </w:rPr>
              <w:t>the drug product in its final presentation.</w:t>
            </w:r>
          </w:p>
        </w:tc>
      </w:tr>
      <w:tr w:rsidR="001C6A90" w:rsidRPr="00906F5C" w14:paraId="5537F06E" w14:textId="77777777" w:rsidTr="00886332">
        <w:tc>
          <w:tcPr>
            <w:tcW w:w="4405" w:type="dxa"/>
          </w:tcPr>
          <w:p w14:paraId="1F2C4432"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3.97 Programa de monitoreo ambiental,</w:t>
            </w:r>
            <w:r w:rsidRPr="008F5C15">
              <w:rPr>
                <w:rFonts w:ascii="Verdana" w:hAnsi="Verdana"/>
                <w:sz w:val="16"/>
                <w:szCs w:val="16"/>
                <w:lang w:val="es-MX"/>
              </w:rPr>
              <w:t xml:space="preserve"> al establecimiento de una secuencia cronológica de actividades para evaluar el cumplimiento de los parámetros establecidos de partículas viables y no viables en un ambiente controlado.</w:t>
            </w:r>
          </w:p>
        </w:tc>
        <w:tc>
          <w:tcPr>
            <w:tcW w:w="4427" w:type="dxa"/>
            <w:shd w:val="clear" w:color="auto" w:fill="auto"/>
          </w:tcPr>
          <w:p w14:paraId="0040E90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3.97 Program of environmental monitoring, </w:t>
            </w:r>
            <w:r w:rsidRPr="008F5C15">
              <w:rPr>
                <w:rFonts w:ascii="Verdana" w:hAnsi="Verdana"/>
                <w:sz w:val="16"/>
                <w:szCs w:val="16"/>
                <w:lang w:val="en-US"/>
              </w:rPr>
              <w:t xml:space="preserve">the establishment of a chronological sequence of activities for evaluating the compliance to the parameters established of viable particulates and nonviable particulates in a controlled environment. </w:t>
            </w:r>
          </w:p>
        </w:tc>
      </w:tr>
      <w:tr w:rsidR="001C6A90" w:rsidRPr="00906F5C" w14:paraId="04A2885E" w14:textId="77777777" w:rsidTr="00886332">
        <w:tc>
          <w:tcPr>
            <w:tcW w:w="4405" w:type="dxa"/>
          </w:tcPr>
          <w:p w14:paraId="5E0F8BB8"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 xml:space="preserve">3.98 Protocolo, </w:t>
            </w:r>
            <w:r w:rsidRPr="008F5C15">
              <w:rPr>
                <w:rFonts w:ascii="Verdana" w:hAnsi="Verdana"/>
                <w:sz w:val="16"/>
                <w:szCs w:val="16"/>
                <w:lang w:val="es-MX"/>
              </w:rPr>
              <w:t>al plan de trabajo escrito que establece los objetivos, procedimientos, métodos y criterios de aceptación, para realizar un estudio.</w:t>
            </w:r>
          </w:p>
        </w:tc>
        <w:tc>
          <w:tcPr>
            <w:tcW w:w="4427" w:type="dxa"/>
            <w:shd w:val="clear" w:color="auto" w:fill="auto"/>
          </w:tcPr>
          <w:p w14:paraId="156FFF5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3.98 Protocol, </w:t>
            </w:r>
            <w:r w:rsidRPr="008F5C15">
              <w:rPr>
                <w:rFonts w:ascii="Verdana" w:hAnsi="Verdana"/>
                <w:sz w:val="16"/>
                <w:szCs w:val="16"/>
                <w:lang w:val="en-US"/>
              </w:rPr>
              <w:t>the written work plan that sets out the objectives, procedures, methods and acceptance criteria for the performance of a study.</w:t>
            </w:r>
          </w:p>
        </w:tc>
      </w:tr>
      <w:tr w:rsidR="001C6A90" w:rsidRPr="00906F5C" w14:paraId="26838C3F" w14:textId="77777777" w:rsidTr="00886332">
        <w:tc>
          <w:tcPr>
            <w:tcW w:w="4405" w:type="dxa"/>
          </w:tcPr>
          <w:p w14:paraId="6A562BA1"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 xml:space="preserve">3.99 Purga o venteo, </w:t>
            </w:r>
            <w:r w:rsidRPr="008F5C15">
              <w:rPr>
                <w:rFonts w:ascii="Verdana" w:hAnsi="Verdana"/>
                <w:sz w:val="16"/>
                <w:szCs w:val="16"/>
                <w:lang w:val="es-MX"/>
              </w:rPr>
              <w:t>al proceso de liberación de gas o fluido de un contenedor o sistema de llenado.</w:t>
            </w:r>
          </w:p>
        </w:tc>
        <w:tc>
          <w:tcPr>
            <w:tcW w:w="4427" w:type="dxa"/>
            <w:shd w:val="clear" w:color="auto" w:fill="auto"/>
          </w:tcPr>
          <w:p w14:paraId="06D4A32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3.99 Purging or venting, </w:t>
            </w:r>
            <w:r w:rsidRPr="008F5C15">
              <w:rPr>
                <w:rFonts w:ascii="Verdana" w:hAnsi="Verdana"/>
                <w:sz w:val="16"/>
                <w:szCs w:val="16"/>
                <w:lang w:val="en-US"/>
              </w:rPr>
              <w:t>the process of releasing a gas or fluid from a container or filling system.</w:t>
            </w:r>
          </w:p>
        </w:tc>
      </w:tr>
      <w:tr w:rsidR="001C6A90" w:rsidRPr="00906F5C" w14:paraId="56647D9D" w14:textId="77777777" w:rsidTr="00886332">
        <w:tc>
          <w:tcPr>
            <w:tcW w:w="4405" w:type="dxa"/>
          </w:tcPr>
          <w:p w14:paraId="1FA82382"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3.100 Queja,</w:t>
            </w:r>
            <w:r w:rsidRPr="008F5C15">
              <w:rPr>
                <w:rFonts w:ascii="Verdana" w:hAnsi="Verdana"/>
                <w:sz w:val="16"/>
                <w:szCs w:val="16"/>
                <w:lang w:val="es-MX"/>
              </w:rPr>
              <w:t xml:space="preserve"> a toda observación proveniente de un cliente, relacionada con la calidad del producto.</w:t>
            </w:r>
          </w:p>
        </w:tc>
        <w:tc>
          <w:tcPr>
            <w:tcW w:w="4427" w:type="dxa"/>
            <w:shd w:val="clear" w:color="auto" w:fill="auto"/>
          </w:tcPr>
          <w:p w14:paraId="1066E4C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3.100 Complaint, </w:t>
            </w:r>
            <w:r w:rsidRPr="008F5C15">
              <w:rPr>
                <w:rFonts w:ascii="Verdana" w:hAnsi="Verdana"/>
                <w:sz w:val="16"/>
                <w:szCs w:val="16"/>
                <w:lang w:val="en-US"/>
              </w:rPr>
              <w:t xml:space="preserve">all observation coming from a client, related to the quality of the product. </w:t>
            </w:r>
          </w:p>
        </w:tc>
      </w:tr>
      <w:tr w:rsidR="001C6A90" w:rsidRPr="00906F5C" w14:paraId="0BB72A3A" w14:textId="77777777" w:rsidTr="00886332">
        <w:tc>
          <w:tcPr>
            <w:tcW w:w="4405" w:type="dxa"/>
          </w:tcPr>
          <w:p w14:paraId="6833D483"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3.101 Recuperación,</w:t>
            </w:r>
            <w:r w:rsidRPr="008F5C15">
              <w:rPr>
                <w:rFonts w:ascii="Verdana" w:hAnsi="Verdana"/>
                <w:sz w:val="16"/>
                <w:szCs w:val="16"/>
                <w:lang w:val="es-MX"/>
              </w:rPr>
              <w:t xml:space="preserve"> a someter parte de un lote a una misma etapa del proceso de acondicionamiento, debido a fallas en las especificaciones predeterminadas.</w:t>
            </w:r>
          </w:p>
        </w:tc>
        <w:tc>
          <w:tcPr>
            <w:tcW w:w="4427" w:type="dxa"/>
            <w:shd w:val="clear" w:color="auto" w:fill="auto"/>
          </w:tcPr>
          <w:p w14:paraId="276C95A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3.101 Recovery, </w:t>
            </w:r>
            <w:r w:rsidRPr="008F5C15">
              <w:rPr>
                <w:rFonts w:ascii="Verdana" w:hAnsi="Verdana"/>
                <w:sz w:val="16"/>
                <w:szCs w:val="16"/>
                <w:lang w:val="en-US"/>
              </w:rPr>
              <w:t>to submit part of a lot to a same stage of the conditioning process due to failures in the predetermined specifications.</w:t>
            </w:r>
          </w:p>
        </w:tc>
      </w:tr>
      <w:tr w:rsidR="001C6A90" w:rsidRPr="00906F5C" w14:paraId="1C877619" w14:textId="77777777" w:rsidTr="00886332">
        <w:tc>
          <w:tcPr>
            <w:tcW w:w="4405" w:type="dxa"/>
          </w:tcPr>
          <w:p w14:paraId="0CDBA9C5"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 xml:space="preserve">3.102 Red o cadena de frío, </w:t>
            </w:r>
            <w:r w:rsidRPr="008F5C15">
              <w:rPr>
                <w:rFonts w:ascii="Verdana" w:hAnsi="Verdana"/>
                <w:sz w:val="16"/>
                <w:szCs w:val="16"/>
                <w:lang w:val="es-MX"/>
              </w:rPr>
              <w:t>al conjunto de sistemas logísticos diseñados que comprenden personal, infraestructura, equipos y procedimientos, para mantener los productos en condiciones específicas de temperatura ininterrumpidas, durante su almacenamiento, transporte y distribución.</w:t>
            </w:r>
          </w:p>
        </w:tc>
        <w:tc>
          <w:tcPr>
            <w:tcW w:w="4427" w:type="dxa"/>
            <w:shd w:val="clear" w:color="auto" w:fill="auto"/>
          </w:tcPr>
          <w:p w14:paraId="620CB4F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3.102 Network or cold chain, </w:t>
            </w:r>
            <w:r w:rsidRPr="008F5C15">
              <w:rPr>
                <w:rFonts w:ascii="Verdana" w:hAnsi="Verdana"/>
                <w:sz w:val="16"/>
                <w:szCs w:val="16"/>
                <w:lang w:val="en-US"/>
              </w:rPr>
              <w:t xml:space="preserve">the combination of designed logistics systems which include personnel, infrastructure, equipment and procedures, to maintain the products under specific conditions of continuous temperature during their storage, transport and distribution. </w:t>
            </w:r>
          </w:p>
        </w:tc>
      </w:tr>
      <w:tr w:rsidR="001C6A90" w:rsidRPr="00906F5C" w14:paraId="7B593196" w14:textId="77777777" w:rsidTr="00886332">
        <w:tc>
          <w:tcPr>
            <w:tcW w:w="4405" w:type="dxa"/>
          </w:tcPr>
          <w:p w14:paraId="13CA550E"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3.103 Registro electrónico,</w:t>
            </w:r>
            <w:r w:rsidRPr="008F5C15">
              <w:rPr>
                <w:rFonts w:ascii="Verdana" w:hAnsi="Verdana"/>
                <w:sz w:val="16"/>
                <w:szCs w:val="16"/>
                <w:lang w:val="es-MX"/>
              </w:rPr>
              <w:t xml:space="preserve"> al conjunto de información que incluye datos electrónicos (texto, numérico, gráfico) que es creado, modificado, mantenido, archivado, restaurado o transmitido a través de un sistema computarizado.</w:t>
            </w:r>
          </w:p>
        </w:tc>
        <w:tc>
          <w:tcPr>
            <w:tcW w:w="4427" w:type="dxa"/>
            <w:shd w:val="clear" w:color="auto" w:fill="auto"/>
          </w:tcPr>
          <w:p w14:paraId="542DC7D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3.103 Electronic record, </w:t>
            </w:r>
            <w:r w:rsidRPr="008F5C15">
              <w:rPr>
                <w:rFonts w:ascii="Verdana" w:hAnsi="Verdana"/>
                <w:sz w:val="16"/>
                <w:szCs w:val="16"/>
                <w:lang w:val="en-US"/>
              </w:rPr>
              <w:t>the combination of information that includes electronic data (text, numerical, graphic) that is created, modified, maintained, filed, restored or transmitted through a computerized system.</w:t>
            </w:r>
          </w:p>
        </w:tc>
      </w:tr>
      <w:tr w:rsidR="001C6A90" w:rsidRPr="00906F5C" w14:paraId="4AFB3BC7" w14:textId="77777777" w:rsidTr="00886332">
        <w:tc>
          <w:tcPr>
            <w:tcW w:w="4405" w:type="dxa"/>
          </w:tcPr>
          <w:p w14:paraId="27D05290"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3.104 Registro,</w:t>
            </w:r>
            <w:r w:rsidRPr="008F5C15">
              <w:rPr>
                <w:rFonts w:ascii="Verdana" w:hAnsi="Verdana"/>
                <w:sz w:val="16"/>
                <w:szCs w:val="16"/>
                <w:lang w:val="es-MX"/>
              </w:rPr>
              <w:t xml:space="preserve"> al documento que presenta evidencia de las acciones realizadas para demostrar el cumplimiento de actividades o instrucciones.</w:t>
            </w:r>
          </w:p>
        </w:tc>
        <w:tc>
          <w:tcPr>
            <w:tcW w:w="4427" w:type="dxa"/>
            <w:shd w:val="clear" w:color="auto" w:fill="auto"/>
          </w:tcPr>
          <w:p w14:paraId="7DFC169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3.104 Record, </w:t>
            </w:r>
            <w:r w:rsidRPr="008F5C15">
              <w:rPr>
                <w:rFonts w:ascii="Verdana" w:hAnsi="Verdana"/>
                <w:sz w:val="16"/>
                <w:szCs w:val="16"/>
                <w:lang w:val="en-US"/>
              </w:rPr>
              <w:t>the document that presents evidence of the actions taken to demonstrate compliance with activities or instructions.</w:t>
            </w:r>
          </w:p>
        </w:tc>
      </w:tr>
      <w:tr w:rsidR="001C6A90" w:rsidRPr="00906F5C" w14:paraId="7949C601" w14:textId="77777777" w:rsidTr="00886332">
        <w:tc>
          <w:tcPr>
            <w:tcW w:w="4405" w:type="dxa"/>
          </w:tcPr>
          <w:p w14:paraId="23311FA1"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lastRenderedPageBreak/>
              <w:t>3.105 Rendimiento final,</w:t>
            </w:r>
            <w:r w:rsidRPr="008F5C15">
              <w:rPr>
                <w:rFonts w:ascii="Verdana" w:hAnsi="Verdana"/>
                <w:sz w:val="16"/>
                <w:szCs w:val="16"/>
                <w:lang w:val="es-MX"/>
              </w:rPr>
              <w:t xml:space="preserve"> a la cantidad de producto obtenido al final del proceso con respecto a la cantidad planeada.</w:t>
            </w:r>
          </w:p>
        </w:tc>
        <w:tc>
          <w:tcPr>
            <w:tcW w:w="4427" w:type="dxa"/>
            <w:shd w:val="clear" w:color="auto" w:fill="auto"/>
          </w:tcPr>
          <w:p w14:paraId="2E97314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3.105 Final yield, </w:t>
            </w:r>
            <w:r w:rsidRPr="008F5C15">
              <w:rPr>
                <w:rFonts w:ascii="Verdana" w:hAnsi="Verdana"/>
                <w:sz w:val="16"/>
                <w:szCs w:val="16"/>
                <w:lang w:val="en-US"/>
              </w:rPr>
              <w:t>the quantity of product obtained at the end of the process with respect to the planned amount.</w:t>
            </w:r>
          </w:p>
        </w:tc>
      </w:tr>
      <w:tr w:rsidR="001C6A90" w:rsidRPr="00906F5C" w14:paraId="0CD2B9DF" w14:textId="77777777" w:rsidTr="00886332">
        <w:tc>
          <w:tcPr>
            <w:tcW w:w="4405" w:type="dxa"/>
          </w:tcPr>
          <w:p w14:paraId="1E3E1F6F"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3.106 Rendimiento teórico,</w:t>
            </w:r>
            <w:r w:rsidRPr="008F5C15">
              <w:rPr>
                <w:rFonts w:ascii="Verdana" w:hAnsi="Verdana"/>
                <w:sz w:val="16"/>
                <w:szCs w:val="16"/>
                <w:lang w:val="es-MX"/>
              </w:rPr>
              <w:t xml:space="preserve"> a la cantidad de producto que se espera obtener a través de un proceso, de acuerdo a los cálculos efectuados.</w:t>
            </w:r>
          </w:p>
        </w:tc>
        <w:tc>
          <w:tcPr>
            <w:tcW w:w="4427" w:type="dxa"/>
            <w:shd w:val="clear" w:color="auto" w:fill="auto"/>
          </w:tcPr>
          <w:p w14:paraId="50489D9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3.106 Theoretical yield</w:t>
            </w:r>
            <w:r w:rsidRPr="008F5C15">
              <w:rPr>
                <w:rFonts w:ascii="Verdana" w:hAnsi="Verdana"/>
                <w:sz w:val="16"/>
                <w:szCs w:val="16"/>
                <w:lang w:val="en-US"/>
              </w:rPr>
              <w:t>, the amount of product that is expected to be obtained through a process, according to calculations performed.</w:t>
            </w:r>
          </w:p>
        </w:tc>
      </w:tr>
      <w:tr w:rsidR="001C6A90" w:rsidRPr="00906F5C" w14:paraId="416960AD" w14:textId="77777777" w:rsidTr="00886332">
        <w:tc>
          <w:tcPr>
            <w:tcW w:w="4405" w:type="dxa"/>
          </w:tcPr>
          <w:p w14:paraId="0B3157D6"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 xml:space="preserve">3.107 Reporte, </w:t>
            </w:r>
            <w:r w:rsidRPr="008F5C15">
              <w:rPr>
                <w:rFonts w:ascii="Verdana" w:hAnsi="Verdana"/>
                <w:sz w:val="16"/>
                <w:szCs w:val="16"/>
                <w:lang w:val="es-MX"/>
              </w:rPr>
              <w:t>al documento de la realización de operaciones, proyectos o investigaciones específicas, que incluye resultados, conclusiones y recomendaciones.</w:t>
            </w:r>
          </w:p>
        </w:tc>
        <w:tc>
          <w:tcPr>
            <w:tcW w:w="4427" w:type="dxa"/>
            <w:shd w:val="clear" w:color="auto" w:fill="auto"/>
          </w:tcPr>
          <w:p w14:paraId="7F036C9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3.107 Report, </w:t>
            </w:r>
            <w:r w:rsidRPr="008F5C15">
              <w:rPr>
                <w:rFonts w:ascii="Verdana" w:hAnsi="Verdana"/>
                <w:sz w:val="16"/>
                <w:szCs w:val="16"/>
                <w:lang w:val="en-US"/>
              </w:rPr>
              <w:t>the document of the performance of operations, projects and specific research, including results, conclusions and recommendations.</w:t>
            </w:r>
          </w:p>
        </w:tc>
      </w:tr>
      <w:tr w:rsidR="001C6A90" w:rsidRPr="00906F5C" w14:paraId="44BD9E32" w14:textId="77777777" w:rsidTr="00886332">
        <w:tc>
          <w:tcPr>
            <w:tcW w:w="4405" w:type="dxa"/>
          </w:tcPr>
          <w:p w14:paraId="02AEB0E2"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3.108 Reproceso,</w:t>
            </w:r>
            <w:r w:rsidRPr="008F5C15">
              <w:rPr>
                <w:rFonts w:ascii="Verdana" w:hAnsi="Verdana"/>
                <w:sz w:val="16"/>
                <w:szCs w:val="16"/>
                <w:lang w:val="es-MX"/>
              </w:rPr>
              <w:t xml:space="preserve"> a someter un lote total o parcial, a una o más etapas definidas del proceso validado de fabricación debido a incumplimiento en las especificaciones.</w:t>
            </w:r>
          </w:p>
        </w:tc>
        <w:tc>
          <w:tcPr>
            <w:tcW w:w="4427" w:type="dxa"/>
            <w:shd w:val="clear" w:color="auto" w:fill="auto"/>
          </w:tcPr>
          <w:p w14:paraId="02C46E0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3.108 Reprocessing, </w:t>
            </w:r>
            <w:r w:rsidRPr="008F5C15">
              <w:rPr>
                <w:rFonts w:ascii="Verdana" w:hAnsi="Verdana"/>
                <w:sz w:val="16"/>
                <w:szCs w:val="16"/>
                <w:lang w:val="en-US"/>
              </w:rPr>
              <w:t>to submit a total or partial lot to a stage prior to the validated process of manufacture due to failures in the predetermined specifications.</w:t>
            </w:r>
          </w:p>
        </w:tc>
      </w:tr>
      <w:tr w:rsidR="001C6A90" w:rsidRPr="00906F5C" w14:paraId="44F51D0F" w14:textId="77777777" w:rsidTr="00886332">
        <w:tc>
          <w:tcPr>
            <w:tcW w:w="4405" w:type="dxa"/>
          </w:tcPr>
          <w:p w14:paraId="396AAF9D"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3.109 Requisito,</w:t>
            </w:r>
            <w:r w:rsidRPr="008F5C15">
              <w:rPr>
                <w:rFonts w:ascii="Verdana" w:hAnsi="Verdana"/>
                <w:sz w:val="16"/>
                <w:szCs w:val="16"/>
                <w:lang w:val="es-MX"/>
              </w:rPr>
              <w:t xml:space="preserve"> a la circunstancia o condición necesaria para el cumplimiento de una obligación. </w:t>
            </w:r>
          </w:p>
        </w:tc>
        <w:tc>
          <w:tcPr>
            <w:tcW w:w="4427" w:type="dxa"/>
            <w:shd w:val="clear" w:color="auto" w:fill="auto"/>
          </w:tcPr>
          <w:p w14:paraId="4CDFE8D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3.109 Requirement, </w:t>
            </w:r>
            <w:r w:rsidRPr="008F5C15">
              <w:rPr>
                <w:rFonts w:ascii="Verdana" w:hAnsi="Verdana"/>
                <w:sz w:val="16"/>
                <w:szCs w:val="16"/>
                <w:lang w:val="en-US"/>
              </w:rPr>
              <w:t>the circumstance or condition necessary for the compliance of an obligation.</w:t>
            </w:r>
          </w:p>
        </w:tc>
      </w:tr>
      <w:tr w:rsidR="001C6A90" w:rsidRPr="00B838EC" w14:paraId="1BEDDD55" w14:textId="77777777" w:rsidTr="00886332">
        <w:tc>
          <w:tcPr>
            <w:tcW w:w="4405" w:type="dxa"/>
          </w:tcPr>
          <w:p w14:paraId="0A6899D3"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3.110 Retrabajo,</w:t>
            </w:r>
            <w:r w:rsidRPr="008F5C15">
              <w:rPr>
                <w:rFonts w:ascii="Verdana" w:hAnsi="Verdana"/>
                <w:sz w:val="16"/>
                <w:szCs w:val="16"/>
                <w:lang w:val="es-MX"/>
              </w:rPr>
              <w:t xml:space="preserve"> a someter un lote total o parcial a una o más etapas no definidas del proceso validado de fabricación debido al incumplimiento en las especificaciones.</w:t>
            </w:r>
          </w:p>
        </w:tc>
        <w:tc>
          <w:tcPr>
            <w:tcW w:w="4427" w:type="dxa"/>
            <w:shd w:val="clear" w:color="auto" w:fill="auto"/>
          </w:tcPr>
          <w:p w14:paraId="69E1F12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3.110 Rework, </w:t>
            </w:r>
            <w:r w:rsidRPr="008F5C15">
              <w:rPr>
                <w:rFonts w:ascii="Verdana" w:hAnsi="Verdana"/>
                <w:sz w:val="16"/>
                <w:szCs w:val="16"/>
                <w:lang w:val="en-US"/>
              </w:rPr>
              <w:t xml:space="preserve">to submit a total or partial lot to one or more undefined stages of the validated manufacturing process due to the noncompliance in the specifications. </w:t>
            </w:r>
          </w:p>
        </w:tc>
      </w:tr>
      <w:tr w:rsidR="001C6A90" w:rsidRPr="00B838EC" w14:paraId="7A910315" w14:textId="77777777" w:rsidTr="00886332">
        <w:tc>
          <w:tcPr>
            <w:tcW w:w="4405" w:type="dxa"/>
          </w:tcPr>
          <w:p w14:paraId="0F50D023"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3.111 Revisión anual de producto o revisión de la calidad del producto,</w:t>
            </w:r>
            <w:r w:rsidRPr="008F5C15">
              <w:rPr>
                <w:rFonts w:ascii="Verdana" w:hAnsi="Verdana"/>
                <w:sz w:val="16"/>
                <w:szCs w:val="16"/>
                <w:lang w:val="es-MX"/>
              </w:rPr>
              <w:t xml:space="preserve"> al análisis histórico de la calidad de un producto, el cual toma como referencia todos los documentos regulatorios vigentes en el ámbito químico farmacéutico nacional, los criterios internacionales reconocidos generalmente, así como los lineamientos internos de cada empresa.</w:t>
            </w:r>
          </w:p>
        </w:tc>
        <w:tc>
          <w:tcPr>
            <w:tcW w:w="4427" w:type="dxa"/>
            <w:shd w:val="clear" w:color="auto" w:fill="auto"/>
          </w:tcPr>
          <w:p w14:paraId="2A4D826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3.111 Annual review of product or review of the product quality, </w:t>
            </w:r>
            <w:r w:rsidRPr="008F5C15">
              <w:rPr>
                <w:rFonts w:ascii="Verdana" w:hAnsi="Verdana"/>
                <w:sz w:val="16"/>
                <w:szCs w:val="16"/>
                <w:lang w:val="en-US"/>
              </w:rPr>
              <w:t xml:space="preserve">the historical analysis of the quality of a product, which takes as reference all the current regulatory documents within the national pharmaceutical chemical scope, the generally recognized international criteria, as well as the internal guidelines of each company. </w:t>
            </w:r>
          </w:p>
        </w:tc>
      </w:tr>
      <w:tr w:rsidR="001C6A90" w:rsidRPr="00B838EC" w14:paraId="637FD5CF" w14:textId="77777777" w:rsidTr="00886332">
        <w:tc>
          <w:tcPr>
            <w:tcW w:w="4405" w:type="dxa"/>
          </w:tcPr>
          <w:p w14:paraId="28303005" w14:textId="77777777" w:rsidR="001C6A90" w:rsidRPr="008F5C15" w:rsidRDefault="001C6A90" w:rsidP="001C6A90">
            <w:pPr>
              <w:pStyle w:val="Texto"/>
              <w:spacing w:after="76" w:line="276" w:lineRule="auto"/>
              <w:ind w:firstLine="0"/>
              <w:rPr>
                <w:rFonts w:ascii="Verdana" w:hAnsi="Verdana"/>
                <w:sz w:val="16"/>
                <w:szCs w:val="16"/>
                <w:lang w:val="es-MX"/>
              </w:rPr>
            </w:pPr>
            <w:r w:rsidRPr="008F5C15">
              <w:rPr>
                <w:rFonts w:ascii="Verdana" w:hAnsi="Verdana"/>
                <w:b/>
                <w:sz w:val="16"/>
                <w:szCs w:val="16"/>
                <w:lang w:val="es-MX"/>
              </w:rPr>
              <w:t xml:space="preserve">3.112 Robustez, </w:t>
            </w:r>
            <w:r w:rsidRPr="008F5C15">
              <w:rPr>
                <w:rFonts w:ascii="Verdana" w:hAnsi="Verdana"/>
                <w:sz w:val="16"/>
                <w:szCs w:val="16"/>
                <w:lang w:val="es-MX"/>
              </w:rPr>
              <w:t>a la capacidad de un proceso de ser insensible, en cierta medida conocida, a factores que pudieran afectarlo en las condiciones establecidas.</w:t>
            </w:r>
          </w:p>
        </w:tc>
        <w:tc>
          <w:tcPr>
            <w:tcW w:w="4427" w:type="dxa"/>
            <w:shd w:val="clear" w:color="auto" w:fill="auto"/>
          </w:tcPr>
          <w:p w14:paraId="5BAEFF2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3.112 Robustness, </w:t>
            </w:r>
            <w:r w:rsidRPr="008F5C15">
              <w:rPr>
                <w:rFonts w:ascii="Verdana" w:hAnsi="Verdana"/>
                <w:sz w:val="16"/>
                <w:szCs w:val="16"/>
                <w:lang w:val="en-US"/>
              </w:rPr>
              <w:t>the ability of a process to be insensitive to some known extent, to factors that could affect it under the established conditions.</w:t>
            </w:r>
          </w:p>
        </w:tc>
      </w:tr>
      <w:tr w:rsidR="001C6A90" w:rsidRPr="00B838EC" w14:paraId="10280133" w14:textId="77777777" w:rsidTr="00886332">
        <w:tc>
          <w:tcPr>
            <w:tcW w:w="4405" w:type="dxa"/>
          </w:tcPr>
          <w:p w14:paraId="3A3A4117"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3.113 Sanitización,</w:t>
            </w:r>
            <w:r w:rsidRPr="008F5C15">
              <w:rPr>
                <w:rFonts w:ascii="Verdana" w:hAnsi="Verdana"/>
                <w:sz w:val="16"/>
                <w:szCs w:val="16"/>
                <w:lang w:val="es-MX"/>
              </w:rPr>
              <w:t xml:space="preserve"> a la acción de eliminar o reducir los niveles de partículas viables por medio de agentes físicos o químicos, posterior a la actividad de limpieza.</w:t>
            </w:r>
          </w:p>
        </w:tc>
        <w:tc>
          <w:tcPr>
            <w:tcW w:w="4427" w:type="dxa"/>
            <w:shd w:val="clear" w:color="auto" w:fill="auto"/>
          </w:tcPr>
          <w:p w14:paraId="67DFCF7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3.113 Sanitization, </w:t>
            </w:r>
            <w:r w:rsidRPr="008F5C15">
              <w:rPr>
                <w:rFonts w:ascii="Verdana" w:hAnsi="Verdana"/>
                <w:sz w:val="16"/>
                <w:szCs w:val="16"/>
                <w:lang w:val="en-US"/>
              </w:rPr>
              <w:t>the action of eliminating or reducing the viable levels of particulates by means of physical or chemical agents after the cleaning activity.</w:t>
            </w:r>
          </w:p>
        </w:tc>
      </w:tr>
      <w:tr w:rsidR="001C6A90" w:rsidRPr="00B838EC" w14:paraId="12B43EF5" w14:textId="77777777" w:rsidTr="00886332">
        <w:tc>
          <w:tcPr>
            <w:tcW w:w="4405" w:type="dxa"/>
          </w:tcPr>
          <w:p w14:paraId="69C2AEA2"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3.114 Secretaría,</w:t>
            </w:r>
            <w:r w:rsidRPr="008F5C15">
              <w:rPr>
                <w:rFonts w:ascii="Verdana" w:hAnsi="Verdana"/>
                <w:sz w:val="16"/>
                <w:szCs w:val="16"/>
                <w:lang w:val="es-MX"/>
              </w:rPr>
              <w:t xml:space="preserve"> a la Secretaría de Salud.</w:t>
            </w:r>
          </w:p>
        </w:tc>
        <w:tc>
          <w:tcPr>
            <w:tcW w:w="4427" w:type="dxa"/>
            <w:shd w:val="clear" w:color="auto" w:fill="auto"/>
          </w:tcPr>
          <w:p w14:paraId="6CB2640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3.114 Secretary, </w:t>
            </w:r>
            <w:r w:rsidRPr="008F5C15">
              <w:rPr>
                <w:rFonts w:ascii="Verdana" w:hAnsi="Verdana"/>
                <w:sz w:val="16"/>
                <w:szCs w:val="16"/>
                <w:lang w:val="en-US"/>
              </w:rPr>
              <w:t>the Secretary of Health.</w:t>
            </w:r>
          </w:p>
        </w:tc>
      </w:tr>
      <w:tr w:rsidR="001C6A90" w:rsidRPr="00B838EC" w14:paraId="01440BE3" w14:textId="77777777" w:rsidTr="00886332">
        <w:tc>
          <w:tcPr>
            <w:tcW w:w="4405" w:type="dxa"/>
          </w:tcPr>
          <w:p w14:paraId="27DFEB63"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 xml:space="preserve">3.115 Seguridad, </w:t>
            </w:r>
            <w:r w:rsidRPr="008F5C15">
              <w:rPr>
                <w:rFonts w:ascii="Verdana" w:hAnsi="Verdana"/>
                <w:sz w:val="16"/>
                <w:szCs w:val="16"/>
                <w:lang w:val="es-MX"/>
              </w:rPr>
              <w:t>a la valoración del beneficio que produce un medicamento frente a sus posibles riesgos en un momento dado.</w:t>
            </w:r>
          </w:p>
        </w:tc>
        <w:tc>
          <w:tcPr>
            <w:tcW w:w="4427" w:type="dxa"/>
            <w:shd w:val="clear" w:color="auto" w:fill="auto"/>
          </w:tcPr>
          <w:p w14:paraId="5455F92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3.115 Safety, </w:t>
            </w:r>
            <w:r w:rsidRPr="008F5C15">
              <w:rPr>
                <w:rFonts w:ascii="Verdana" w:hAnsi="Verdana"/>
                <w:sz w:val="16"/>
                <w:szCs w:val="16"/>
                <w:lang w:val="en-US"/>
              </w:rPr>
              <w:t>the</w:t>
            </w:r>
            <w:r w:rsidRPr="008F5C15">
              <w:rPr>
                <w:rFonts w:ascii="Verdana" w:hAnsi="Verdana"/>
                <w:b/>
                <w:sz w:val="16"/>
                <w:szCs w:val="16"/>
                <w:lang w:val="en-US"/>
              </w:rPr>
              <w:t xml:space="preserve"> </w:t>
            </w:r>
            <w:r w:rsidRPr="008F5C15">
              <w:rPr>
                <w:rFonts w:ascii="Verdana" w:hAnsi="Verdana"/>
                <w:sz w:val="16"/>
                <w:szCs w:val="16"/>
                <w:lang w:val="en-US"/>
              </w:rPr>
              <w:t>valuation of the benefit that a drug product produces against its potential risks at any given time.</w:t>
            </w:r>
          </w:p>
        </w:tc>
      </w:tr>
      <w:tr w:rsidR="001C6A90" w:rsidRPr="00B838EC" w14:paraId="2FB830BE" w14:textId="77777777" w:rsidTr="00886332">
        <w:tc>
          <w:tcPr>
            <w:tcW w:w="4405" w:type="dxa"/>
          </w:tcPr>
          <w:p w14:paraId="2A88B837"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 xml:space="preserve">3.116 Sistema computarizado/computacional, </w:t>
            </w:r>
            <w:r w:rsidRPr="008F5C15">
              <w:rPr>
                <w:rFonts w:ascii="Verdana" w:hAnsi="Verdana"/>
                <w:sz w:val="16"/>
                <w:szCs w:val="16"/>
                <w:lang w:val="es-MX"/>
              </w:rPr>
              <w:t>a cualquier equipo, proceso u operación que tenga acoplada una o más computadoras y un software asociado o un grupo de componentes de hardware diseñado y ensamblado para realizar un grupo específico de funciones.</w:t>
            </w:r>
          </w:p>
        </w:tc>
        <w:tc>
          <w:tcPr>
            <w:tcW w:w="4427" w:type="dxa"/>
            <w:shd w:val="clear" w:color="auto" w:fill="auto"/>
          </w:tcPr>
          <w:p w14:paraId="5A0FEB0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3.116 Computerized/computational system, </w:t>
            </w:r>
            <w:r w:rsidRPr="008F5C15">
              <w:rPr>
                <w:rFonts w:ascii="Verdana" w:hAnsi="Verdana"/>
                <w:sz w:val="16"/>
                <w:szCs w:val="16"/>
                <w:lang w:val="en-US"/>
              </w:rPr>
              <w:t>any equipment, process or operation that has connected one or more computers and an associated software, or a group of hardware components designed and assembled for performing a specific group of functions.</w:t>
            </w:r>
          </w:p>
        </w:tc>
      </w:tr>
      <w:tr w:rsidR="001C6A90" w:rsidRPr="00B838EC" w14:paraId="7EFDA1B4" w14:textId="77777777" w:rsidTr="00886332">
        <w:tc>
          <w:tcPr>
            <w:tcW w:w="4405" w:type="dxa"/>
          </w:tcPr>
          <w:p w14:paraId="4832A5DD"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3.117 Sistema contenedor cierre,</w:t>
            </w:r>
            <w:r w:rsidRPr="008F5C15">
              <w:rPr>
                <w:rFonts w:ascii="Verdana" w:hAnsi="Verdana"/>
                <w:sz w:val="16"/>
                <w:szCs w:val="16"/>
                <w:lang w:val="es-MX"/>
              </w:rPr>
              <w:t xml:space="preserve"> al conjunto de materiales de empaque que contienen y protegen a la forma farmacéutica. Incluye tanto al envase primario como al secundario, si este último cumple la función de proporcionar protección adicional al producto.</w:t>
            </w:r>
          </w:p>
        </w:tc>
        <w:tc>
          <w:tcPr>
            <w:tcW w:w="4427" w:type="dxa"/>
            <w:shd w:val="clear" w:color="auto" w:fill="auto"/>
          </w:tcPr>
          <w:p w14:paraId="5A11FC0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3.117 Container closure system,</w:t>
            </w:r>
            <w:r w:rsidRPr="008F5C15">
              <w:rPr>
                <w:rFonts w:ascii="Verdana" w:hAnsi="Verdana"/>
                <w:sz w:val="16"/>
                <w:szCs w:val="16"/>
                <w:lang w:val="en-US"/>
              </w:rPr>
              <w:t xml:space="preserve"> the set of packaging materials that contains and protects the pharmaceutical form. It includes both the primary and the secondary container, if the latter serves to provide additional protection to the product.</w:t>
            </w:r>
          </w:p>
        </w:tc>
      </w:tr>
      <w:tr w:rsidR="001C6A90" w:rsidRPr="00B838EC" w14:paraId="181662AF" w14:textId="77777777" w:rsidTr="00886332">
        <w:tc>
          <w:tcPr>
            <w:tcW w:w="4405" w:type="dxa"/>
          </w:tcPr>
          <w:p w14:paraId="63317372"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lastRenderedPageBreak/>
              <w:t>3.118 Sistema de Gestión de Calidad,</w:t>
            </w:r>
            <w:r w:rsidRPr="008F5C15">
              <w:rPr>
                <w:rFonts w:ascii="Verdana" w:hAnsi="Verdana"/>
                <w:sz w:val="16"/>
                <w:szCs w:val="16"/>
                <w:lang w:val="es-MX"/>
              </w:rPr>
              <w:t xml:space="preserve"> a la manera como la organización dirige y controla las actividades asociadas con la calidad.</w:t>
            </w:r>
          </w:p>
        </w:tc>
        <w:tc>
          <w:tcPr>
            <w:tcW w:w="4427" w:type="dxa"/>
            <w:shd w:val="clear" w:color="auto" w:fill="auto"/>
          </w:tcPr>
          <w:p w14:paraId="7B26BC6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3.118 Quality management system,</w:t>
            </w:r>
            <w:r w:rsidRPr="008F5C15">
              <w:rPr>
                <w:rFonts w:ascii="Verdana" w:hAnsi="Verdana"/>
                <w:sz w:val="16"/>
                <w:szCs w:val="16"/>
                <w:lang w:val="en-US"/>
              </w:rPr>
              <w:t xml:space="preserve"> the way the organization directs and controls the activities associated with quality.</w:t>
            </w:r>
          </w:p>
        </w:tc>
      </w:tr>
      <w:tr w:rsidR="001C6A90" w:rsidRPr="00B838EC" w14:paraId="5E683D05" w14:textId="77777777" w:rsidTr="00886332">
        <w:tc>
          <w:tcPr>
            <w:tcW w:w="4405" w:type="dxa"/>
          </w:tcPr>
          <w:p w14:paraId="2DD48DF2"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3.119 Sistema vector-hospedero,</w:t>
            </w:r>
            <w:r w:rsidRPr="008F5C15">
              <w:rPr>
                <w:rFonts w:ascii="Verdana" w:hAnsi="Verdana"/>
                <w:sz w:val="16"/>
                <w:szCs w:val="16"/>
                <w:lang w:val="es-MX"/>
              </w:rPr>
              <w:t xml:space="preserve"> al elemento genético capaz de introducir ácido desoxirribonucleico y causar su replicación y expresión en una célula hospedera.</w:t>
            </w:r>
          </w:p>
        </w:tc>
        <w:tc>
          <w:tcPr>
            <w:tcW w:w="4427" w:type="dxa"/>
            <w:shd w:val="clear" w:color="auto" w:fill="auto"/>
          </w:tcPr>
          <w:p w14:paraId="4E56437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3.119 Host-vector system</w:t>
            </w:r>
            <w:r w:rsidRPr="008F5C15">
              <w:rPr>
                <w:rFonts w:ascii="Verdana" w:hAnsi="Verdana"/>
                <w:sz w:val="16"/>
                <w:szCs w:val="16"/>
                <w:lang w:val="en-US"/>
              </w:rPr>
              <w:t>, the genetic element capable of introducing deoxyribonucleic acid and causing its replication and expression in a host cell.</w:t>
            </w:r>
          </w:p>
        </w:tc>
      </w:tr>
      <w:tr w:rsidR="001C6A90" w:rsidRPr="00B838EC" w14:paraId="7AE0936E" w14:textId="77777777" w:rsidTr="00886332">
        <w:tc>
          <w:tcPr>
            <w:tcW w:w="4405" w:type="dxa"/>
          </w:tcPr>
          <w:p w14:paraId="5FF9D982"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3.120 Sistemas críticos,</w:t>
            </w:r>
            <w:r w:rsidRPr="008F5C15">
              <w:rPr>
                <w:rFonts w:ascii="Verdana" w:hAnsi="Verdana"/>
                <w:sz w:val="16"/>
                <w:szCs w:val="16"/>
                <w:lang w:val="es-MX"/>
              </w:rPr>
              <w:t xml:space="preserve"> a aquéllos que tienen impacto directo en los procesos y productos.</w:t>
            </w:r>
          </w:p>
        </w:tc>
        <w:tc>
          <w:tcPr>
            <w:tcW w:w="4427" w:type="dxa"/>
            <w:shd w:val="clear" w:color="auto" w:fill="auto"/>
          </w:tcPr>
          <w:p w14:paraId="0F1A314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3.120 Critical systems,</w:t>
            </w:r>
            <w:r w:rsidRPr="008F5C15">
              <w:rPr>
                <w:rFonts w:ascii="Verdana" w:hAnsi="Verdana"/>
                <w:sz w:val="16"/>
                <w:szCs w:val="16"/>
                <w:lang w:val="en-US"/>
              </w:rPr>
              <w:t xml:space="preserve"> those that have direct impact on processes and products.</w:t>
            </w:r>
          </w:p>
        </w:tc>
      </w:tr>
      <w:tr w:rsidR="001C6A90" w:rsidRPr="00947A46" w14:paraId="5A9120DF" w14:textId="77777777" w:rsidTr="00886332">
        <w:tc>
          <w:tcPr>
            <w:tcW w:w="4405" w:type="dxa"/>
          </w:tcPr>
          <w:p w14:paraId="1484D6BA"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 xml:space="preserve">3.121 Transferencia de tecnología, </w:t>
            </w:r>
            <w:r w:rsidRPr="008F5C15">
              <w:rPr>
                <w:rFonts w:ascii="Verdana" w:hAnsi="Verdana"/>
                <w:sz w:val="16"/>
                <w:szCs w:val="16"/>
                <w:lang w:val="es-MX"/>
              </w:rPr>
              <w:t>al proceso sistemático que es seguido para pasar el conocimiento y la experiencia durante el desarrollo y/o comercialización a otra unidad responsable y autorizada. Este proceso incluye la transferencia de documentación y la capacidad demostrada de la unidad receptora del desempeño efectivo de los elementos críticos de la tecnología transferida hasta la satisfacción de todas las partes y cumplimiento de la normativa vigente.</w:t>
            </w:r>
          </w:p>
        </w:tc>
        <w:tc>
          <w:tcPr>
            <w:tcW w:w="4427" w:type="dxa"/>
            <w:shd w:val="clear" w:color="auto" w:fill="auto"/>
          </w:tcPr>
          <w:p w14:paraId="472E697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3.121 Technology transfer,</w:t>
            </w:r>
            <w:r w:rsidRPr="008F5C15">
              <w:rPr>
                <w:rFonts w:ascii="Verdana" w:hAnsi="Verdana"/>
                <w:sz w:val="16"/>
                <w:szCs w:val="16"/>
                <w:lang w:val="en-US"/>
              </w:rPr>
              <w:t xml:space="preserve"> the systematic process that is followed to transfer the knowledge and experience during the development and/or commercial distribution to another responsible and authorized unit. This process includes the transfer of documentation and the demonstrated capacity of the receiving unit of the effective performance of the critical elements of the technology transferred to the satisfaction of all parties and compliance with current regulations.</w:t>
            </w:r>
          </w:p>
        </w:tc>
      </w:tr>
      <w:tr w:rsidR="001C6A90" w:rsidRPr="00947A46" w14:paraId="18128FCA" w14:textId="77777777" w:rsidTr="00886332">
        <w:tc>
          <w:tcPr>
            <w:tcW w:w="4405" w:type="dxa"/>
          </w:tcPr>
          <w:p w14:paraId="0CA6E3A8"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 xml:space="preserve">3.122 Trazabilidad, </w:t>
            </w:r>
            <w:r w:rsidRPr="008F5C15">
              <w:rPr>
                <w:rFonts w:ascii="Verdana" w:hAnsi="Verdana"/>
                <w:sz w:val="16"/>
                <w:szCs w:val="16"/>
                <w:lang w:val="es-MX"/>
              </w:rPr>
              <w:t>a la capacidad de reconstruir la historia, localización de un elemento o de una actividad, por medio de registros de identificación.</w:t>
            </w:r>
          </w:p>
        </w:tc>
        <w:tc>
          <w:tcPr>
            <w:tcW w:w="4427" w:type="dxa"/>
            <w:shd w:val="clear" w:color="auto" w:fill="auto"/>
          </w:tcPr>
          <w:p w14:paraId="797852E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3.122 Traceability,</w:t>
            </w:r>
            <w:r w:rsidRPr="008F5C15">
              <w:rPr>
                <w:rFonts w:ascii="Verdana" w:hAnsi="Verdana"/>
                <w:sz w:val="16"/>
                <w:szCs w:val="16"/>
                <w:lang w:val="en-US"/>
              </w:rPr>
              <w:t xml:space="preserve"> the capacity of reconstructing the history, location of an element or an activity by means of identification records.</w:t>
            </w:r>
          </w:p>
        </w:tc>
      </w:tr>
      <w:tr w:rsidR="001C6A90" w:rsidRPr="00947A46" w14:paraId="71FC2636" w14:textId="77777777" w:rsidTr="00886332">
        <w:tc>
          <w:tcPr>
            <w:tcW w:w="4405" w:type="dxa"/>
          </w:tcPr>
          <w:p w14:paraId="1B2300B1"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3.123 Validación</w:t>
            </w:r>
            <w:r w:rsidRPr="008F5C15">
              <w:rPr>
                <w:rFonts w:ascii="Verdana" w:hAnsi="Verdana"/>
                <w:sz w:val="16"/>
                <w:szCs w:val="16"/>
                <w:lang w:val="es-MX"/>
              </w:rPr>
              <w:t>, a la evidencia documental generada a través de la recopilación y evaluación científicas de los datos obtenidos en la calificación y de las pruebas específicas, a lo largo del todo el ciclo de vida de un producto, cuya finalidad es demostrar la funcionalidad, consistencia y robustez de un proceso dado en cuanto a su capacidad para entregar un producto de calidad.</w:t>
            </w:r>
          </w:p>
        </w:tc>
        <w:tc>
          <w:tcPr>
            <w:tcW w:w="4427" w:type="dxa"/>
            <w:shd w:val="clear" w:color="auto" w:fill="auto"/>
          </w:tcPr>
          <w:p w14:paraId="28DE44A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3.115 Validation, </w:t>
            </w:r>
            <w:r w:rsidRPr="008F5C15">
              <w:rPr>
                <w:rFonts w:ascii="Verdana" w:hAnsi="Verdana"/>
                <w:sz w:val="16"/>
                <w:szCs w:val="16"/>
                <w:lang w:val="en-US"/>
              </w:rPr>
              <w:t xml:space="preserve">the documentation evidence generated through the scientific collection and evaluation of data obtained in the qualification and the specific tests, the length of the entire life cycle of a product, whose purpose is to demonstrate the functionality, consistency and robustness of a process based on its capacity to deliver a quality product. </w:t>
            </w:r>
          </w:p>
        </w:tc>
      </w:tr>
      <w:tr w:rsidR="001C6A90" w:rsidRPr="00947A46" w14:paraId="6C80477B" w14:textId="77777777" w:rsidTr="00886332">
        <w:tc>
          <w:tcPr>
            <w:tcW w:w="4405" w:type="dxa"/>
          </w:tcPr>
          <w:p w14:paraId="7152CF43"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3.124 Validación de limpieza,</w:t>
            </w:r>
            <w:r w:rsidRPr="008F5C15">
              <w:rPr>
                <w:rFonts w:ascii="Verdana" w:hAnsi="Verdana"/>
                <w:sz w:val="16"/>
                <w:szCs w:val="16"/>
                <w:lang w:val="es-MX"/>
              </w:rPr>
              <w:t xml:space="preserve"> a la evidencia documentada de que un procedimiento de limpieza para las áreas y equipos usados en la fabricación de medicamentos reduce a un nivel preestablecido los residuos del agente de limpieza y producto procesado.</w:t>
            </w:r>
          </w:p>
        </w:tc>
        <w:tc>
          <w:tcPr>
            <w:tcW w:w="4427" w:type="dxa"/>
            <w:shd w:val="clear" w:color="auto" w:fill="auto"/>
          </w:tcPr>
          <w:p w14:paraId="10E6420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3.124 Validation of cleaning,</w:t>
            </w:r>
            <w:r w:rsidRPr="008F5C15">
              <w:rPr>
                <w:rFonts w:ascii="Verdana" w:hAnsi="Verdana"/>
                <w:sz w:val="16"/>
                <w:szCs w:val="16"/>
                <w:lang w:val="en-US"/>
              </w:rPr>
              <w:t xml:space="preserve"> the documented evidence that a cleaning procedure for the areas and equipment used in the manufacture of drug products reduces to a pre-established level the wastes of the cleaning agent and the processed product.</w:t>
            </w:r>
          </w:p>
        </w:tc>
      </w:tr>
      <w:tr w:rsidR="001C6A90" w:rsidRPr="00947A46" w14:paraId="1EF40444" w14:textId="77777777" w:rsidTr="00886332">
        <w:tc>
          <w:tcPr>
            <w:tcW w:w="4405" w:type="dxa"/>
          </w:tcPr>
          <w:p w14:paraId="10432F53"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 xml:space="preserve">3.125 Validación prospectiva, </w:t>
            </w:r>
            <w:r w:rsidRPr="008F5C15">
              <w:rPr>
                <w:rFonts w:ascii="Verdana" w:hAnsi="Verdana"/>
                <w:sz w:val="16"/>
                <w:szCs w:val="16"/>
                <w:lang w:val="es-MX"/>
              </w:rPr>
              <w:t>a la que se concluye previo a la comercialización de los medicamentos.</w:t>
            </w:r>
          </w:p>
        </w:tc>
        <w:tc>
          <w:tcPr>
            <w:tcW w:w="4427" w:type="dxa"/>
            <w:shd w:val="clear" w:color="auto" w:fill="auto"/>
          </w:tcPr>
          <w:p w14:paraId="7C7B3D8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3.125 Prospective validation, </w:t>
            </w:r>
            <w:r w:rsidRPr="008F5C15">
              <w:rPr>
                <w:rFonts w:ascii="Verdana" w:hAnsi="Verdana"/>
                <w:sz w:val="16"/>
                <w:szCs w:val="16"/>
                <w:lang w:val="en-US"/>
              </w:rPr>
              <w:t>that which was concluded prior to the marketing of the drug products.</w:t>
            </w:r>
          </w:p>
        </w:tc>
      </w:tr>
      <w:tr w:rsidR="001C6A90" w:rsidRPr="00FD4EEA" w14:paraId="4EE0E8DE" w14:textId="77777777" w:rsidTr="00886332">
        <w:tc>
          <w:tcPr>
            <w:tcW w:w="4405" w:type="dxa"/>
          </w:tcPr>
          <w:p w14:paraId="12545C61"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3.126 Válvula de retención,</w:t>
            </w:r>
            <w:r w:rsidRPr="008F5C15">
              <w:rPr>
                <w:rFonts w:ascii="Verdana" w:hAnsi="Verdana"/>
                <w:sz w:val="16"/>
                <w:szCs w:val="16"/>
                <w:lang w:val="es-MX"/>
              </w:rPr>
              <w:t xml:space="preserve"> a la que permite el flujo únicamente en un sentido. También llamada válvula antirretorno.</w:t>
            </w:r>
          </w:p>
        </w:tc>
        <w:tc>
          <w:tcPr>
            <w:tcW w:w="4427" w:type="dxa"/>
            <w:shd w:val="clear" w:color="auto" w:fill="auto"/>
          </w:tcPr>
          <w:p w14:paraId="4968A72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3.126 Check valve, </w:t>
            </w:r>
            <w:r w:rsidRPr="008F5C15">
              <w:rPr>
                <w:rFonts w:ascii="Verdana" w:hAnsi="Verdana"/>
                <w:sz w:val="16"/>
                <w:szCs w:val="16"/>
                <w:lang w:val="en-US"/>
              </w:rPr>
              <w:t>that</w:t>
            </w:r>
            <w:r w:rsidRPr="008F5C15">
              <w:rPr>
                <w:rFonts w:ascii="Verdana" w:hAnsi="Verdana"/>
                <w:b/>
                <w:sz w:val="16"/>
                <w:szCs w:val="16"/>
                <w:lang w:val="en-US"/>
              </w:rPr>
              <w:t xml:space="preserve"> </w:t>
            </w:r>
            <w:r w:rsidRPr="008F5C15">
              <w:rPr>
                <w:rFonts w:ascii="Verdana" w:hAnsi="Verdana"/>
                <w:sz w:val="16"/>
                <w:szCs w:val="16"/>
                <w:lang w:val="en-US"/>
              </w:rPr>
              <w:t xml:space="preserve">which allows the flow in only one direction. Also called a non-return valve.  </w:t>
            </w:r>
          </w:p>
        </w:tc>
      </w:tr>
      <w:tr w:rsidR="001C6A90" w:rsidRPr="00947A46" w14:paraId="39D6025A" w14:textId="77777777" w:rsidTr="00886332">
        <w:tc>
          <w:tcPr>
            <w:tcW w:w="4405" w:type="dxa"/>
          </w:tcPr>
          <w:p w14:paraId="25526FDB"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b/>
                <w:sz w:val="16"/>
                <w:szCs w:val="16"/>
                <w:lang w:val="es-MX"/>
              </w:rPr>
              <w:t>3.127 Válvula de retención de presión mínima,</w:t>
            </w:r>
            <w:r w:rsidRPr="008F5C15">
              <w:rPr>
                <w:rFonts w:ascii="Verdana" w:hAnsi="Verdana"/>
                <w:sz w:val="16"/>
                <w:szCs w:val="16"/>
                <w:lang w:val="es-MX"/>
              </w:rPr>
              <w:t xml:space="preserve"> a la provista de un sistema antirretorno que mantiene una presión definida (entre 300 a 500 kPa por encima de la presión atmosférica) para impedir la contaminación durante el uso.</w:t>
            </w:r>
          </w:p>
        </w:tc>
        <w:tc>
          <w:tcPr>
            <w:tcW w:w="4427" w:type="dxa"/>
            <w:shd w:val="clear" w:color="auto" w:fill="auto"/>
          </w:tcPr>
          <w:p w14:paraId="6699EAE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3.127 Minimal pressure valve, </w:t>
            </w:r>
            <w:r w:rsidRPr="008F5C15">
              <w:rPr>
                <w:rFonts w:ascii="Verdana" w:hAnsi="Verdana"/>
                <w:sz w:val="16"/>
                <w:szCs w:val="16"/>
                <w:lang w:val="en-US"/>
              </w:rPr>
              <w:t>that provided with a non-return system that maintains a defined pressure (between 300 to 500 kPa above atmospheric pressure) for preventing contamination during use.</w:t>
            </w:r>
          </w:p>
        </w:tc>
      </w:tr>
      <w:tr w:rsidR="001C6A90" w:rsidRPr="00947A46" w14:paraId="665F207A" w14:textId="77777777" w:rsidTr="00886332">
        <w:tc>
          <w:tcPr>
            <w:tcW w:w="4405" w:type="dxa"/>
          </w:tcPr>
          <w:p w14:paraId="34DFAB68" w14:textId="532E5EC4" w:rsidR="001C6A90" w:rsidRPr="008F5C15" w:rsidRDefault="001C6A90" w:rsidP="001C6A90">
            <w:pPr>
              <w:pStyle w:val="Texto"/>
              <w:spacing w:after="84" w:line="276" w:lineRule="auto"/>
              <w:ind w:firstLine="0"/>
              <w:rPr>
                <w:rFonts w:ascii="Verdana" w:hAnsi="Verdana"/>
                <w:b/>
                <w:sz w:val="16"/>
                <w:szCs w:val="16"/>
                <w:lang w:val="es-MX"/>
              </w:rPr>
            </w:pPr>
            <w:r w:rsidRPr="007A0E8B">
              <w:rPr>
                <w:rFonts w:ascii="Verdana" w:hAnsi="Verdana"/>
                <w:b/>
                <w:sz w:val="16"/>
                <w:szCs w:val="16"/>
                <w:lang w:val="es-MX"/>
              </w:rPr>
              <w:t>3.128 Medicamento biotecnológico,</w:t>
            </w:r>
            <w:r w:rsidRPr="007A0E8B">
              <w:rPr>
                <w:rFonts w:ascii="Verdana" w:hAnsi="Verdana"/>
                <w:b/>
                <w:sz w:val="16"/>
                <w:szCs w:val="16"/>
              </w:rPr>
              <w:t xml:space="preserve"> </w:t>
            </w:r>
            <w:r w:rsidRPr="007A0E8B">
              <w:rPr>
                <w:rFonts w:ascii="Verdana" w:hAnsi="Verdana"/>
                <w:bCs/>
                <w:sz w:val="16"/>
                <w:szCs w:val="16"/>
              </w:rPr>
              <w:t xml:space="preserve">a toda sustancia que haya sido producida por biotecnología molecular, que tenga efecto terapéutico, preventivo o rehabilitatorio, que se presente en forma farmacéutica, que se identifique como tal por su actividad farmacológica y propiedades físicas, </w:t>
            </w:r>
            <w:r w:rsidRPr="007A0E8B">
              <w:rPr>
                <w:rFonts w:ascii="Verdana" w:hAnsi="Verdana"/>
                <w:bCs/>
                <w:sz w:val="16"/>
                <w:szCs w:val="16"/>
              </w:rPr>
              <w:lastRenderedPageBreak/>
              <w:t>químicas y biológicas. Los medicamentos biotecnológicos innovadores podrán ser referencia para los medicamentos biotecnológicos no innovadores, a los cuales se les denominará biocomparables. La forma de identificación de estos productos será determinada en el Reglamento de Insumos para la Salud y demás disposiciones aplicables.</w:t>
            </w:r>
          </w:p>
        </w:tc>
        <w:tc>
          <w:tcPr>
            <w:tcW w:w="4427" w:type="dxa"/>
            <w:shd w:val="clear" w:color="auto" w:fill="auto"/>
          </w:tcPr>
          <w:p w14:paraId="03BF8BB4" w14:textId="7DCB1C55" w:rsidR="001C6A90" w:rsidRPr="00332A2F" w:rsidRDefault="001C6A90" w:rsidP="001C6A90">
            <w:pPr>
              <w:pStyle w:val="Texto"/>
              <w:spacing w:line="276" w:lineRule="auto"/>
              <w:ind w:firstLine="0"/>
              <w:rPr>
                <w:rFonts w:ascii="Verdana" w:hAnsi="Verdana"/>
                <w:b/>
                <w:sz w:val="16"/>
                <w:szCs w:val="16"/>
                <w:lang w:val="en-US"/>
              </w:rPr>
            </w:pPr>
            <w:r w:rsidRPr="007A0E8B">
              <w:rPr>
                <w:rFonts w:ascii="Verdana" w:hAnsi="Verdana"/>
                <w:b/>
                <w:sz w:val="16"/>
                <w:szCs w:val="16"/>
                <w:lang w:val="en-US"/>
              </w:rPr>
              <w:lastRenderedPageBreak/>
              <w:t xml:space="preserve">3.128 Biotechnological Drug Products: </w:t>
            </w:r>
            <w:r w:rsidRPr="007A0E8B">
              <w:rPr>
                <w:rFonts w:ascii="Verdana" w:hAnsi="Verdana"/>
                <w:bCs/>
                <w:sz w:val="16"/>
                <w:szCs w:val="16"/>
                <w:lang w:val="en-US"/>
              </w:rPr>
              <w:t xml:space="preserve">any substance produced by molecular biotechnology, with a therapeutic, preventive, or rehabilitative effect, presented in pharmaceutical form, and identified as such by its pharmacological activity and physical, chemical, and biological properties. </w:t>
            </w:r>
            <w:r w:rsidRPr="007A0E8B">
              <w:rPr>
                <w:rFonts w:ascii="Verdana" w:hAnsi="Verdana"/>
                <w:bCs/>
                <w:sz w:val="16"/>
                <w:szCs w:val="16"/>
                <w:lang w:val="en-US"/>
              </w:rPr>
              <w:lastRenderedPageBreak/>
              <w:t>Innovative biotechnological drug products may be used as a reference for non-innovative biotechnological drug products, which will be called biocomparable. The identification method for these products will be determined in the Regulation of Health Supplies and other applicable provisions.</w:t>
            </w:r>
          </w:p>
        </w:tc>
      </w:tr>
      <w:tr w:rsidR="001C6A90" w:rsidRPr="00947A46" w14:paraId="39DADFC0" w14:textId="77777777" w:rsidTr="00886332">
        <w:tc>
          <w:tcPr>
            <w:tcW w:w="4405" w:type="dxa"/>
          </w:tcPr>
          <w:p w14:paraId="4AF8E81E" w14:textId="33603F53" w:rsidR="00151218" w:rsidRPr="009D3774" w:rsidRDefault="001C6A90" w:rsidP="00151218">
            <w:pPr>
              <w:pStyle w:val="Texto"/>
              <w:spacing w:after="84" w:line="276" w:lineRule="auto"/>
              <w:ind w:firstLine="0"/>
              <w:jc w:val="right"/>
              <w:rPr>
                <w:rFonts w:ascii="Verdana" w:hAnsi="Verdana"/>
                <w:bCs/>
                <w:i/>
                <w:iCs/>
                <w:color w:val="0000FA"/>
                <w:sz w:val="16"/>
                <w:szCs w:val="16"/>
                <w:lang w:val="es-MX"/>
              </w:rPr>
            </w:pPr>
            <w:r w:rsidRPr="009D3774">
              <w:rPr>
                <w:rFonts w:ascii="Verdana" w:hAnsi="Verdana"/>
                <w:bCs/>
                <w:i/>
                <w:iCs/>
                <w:color w:val="0000FA"/>
                <w:sz w:val="16"/>
                <w:szCs w:val="16"/>
                <w:lang w:val="es-MX"/>
              </w:rPr>
              <w:lastRenderedPageBreak/>
              <w:t xml:space="preserve">Sección añadida Mod. </w:t>
            </w:r>
            <w:r>
              <w:rPr>
                <w:rFonts w:ascii="Verdana" w:hAnsi="Verdana"/>
                <w:bCs/>
                <w:i/>
                <w:iCs/>
                <w:color w:val="0000FA"/>
                <w:sz w:val="16"/>
                <w:szCs w:val="16"/>
                <w:lang w:val="es-MX"/>
              </w:rPr>
              <w:t>de emergencia DOF 23-08-2023</w:t>
            </w:r>
            <w:r w:rsidR="00151218">
              <w:rPr>
                <w:rFonts w:ascii="Verdana" w:hAnsi="Verdana"/>
                <w:bCs/>
                <w:i/>
                <w:iCs/>
                <w:color w:val="0000FA"/>
                <w:sz w:val="16"/>
                <w:szCs w:val="16"/>
                <w:lang w:val="es-MX"/>
              </w:rPr>
              <w:t>. Fracción reformada DOF 19-03-2025</w:t>
            </w:r>
          </w:p>
        </w:tc>
        <w:tc>
          <w:tcPr>
            <w:tcW w:w="4427" w:type="dxa"/>
            <w:shd w:val="clear" w:color="auto" w:fill="auto"/>
          </w:tcPr>
          <w:p w14:paraId="49ED90DA" w14:textId="5413CFAE" w:rsidR="001C6A90" w:rsidRPr="00151218" w:rsidRDefault="001C6A90" w:rsidP="001C6A90">
            <w:pPr>
              <w:pStyle w:val="Texto"/>
              <w:spacing w:line="276" w:lineRule="auto"/>
              <w:ind w:firstLine="0"/>
              <w:jc w:val="right"/>
              <w:rPr>
                <w:rFonts w:ascii="Verdana" w:hAnsi="Verdana"/>
                <w:bCs/>
                <w:i/>
                <w:iCs/>
                <w:color w:val="0000FA"/>
                <w:sz w:val="16"/>
                <w:szCs w:val="16"/>
                <w:lang w:val="en-US"/>
              </w:rPr>
            </w:pPr>
            <w:r w:rsidRPr="009D3774">
              <w:rPr>
                <w:rFonts w:ascii="Verdana" w:hAnsi="Verdana"/>
                <w:bCs/>
                <w:i/>
                <w:iCs/>
                <w:color w:val="0000FA"/>
                <w:sz w:val="16"/>
                <w:szCs w:val="16"/>
                <w:lang w:val="en-US"/>
              </w:rPr>
              <w:t>Section added emergency modifcation D</w:t>
            </w:r>
            <w:r>
              <w:rPr>
                <w:rFonts w:ascii="Verdana" w:hAnsi="Verdana"/>
                <w:bCs/>
                <w:i/>
                <w:iCs/>
                <w:color w:val="0000FA"/>
                <w:sz w:val="16"/>
                <w:szCs w:val="16"/>
                <w:lang w:val="en-US"/>
              </w:rPr>
              <w:t>OF 23-08-2023</w:t>
            </w:r>
            <w:r w:rsidR="00151218">
              <w:rPr>
                <w:rFonts w:ascii="Verdana" w:hAnsi="Verdana"/>
                <w:bCs/>
                <w:i/>
                <w:iCs/>
                <w:color w:val="0000FA"/>
                <w:sz w:val="16"/>
                <w:szCs w:val="16"/>
                <w:lang w:val="en-US"/>
              </w:rPr>
              <w:t>, Section reformed</w:t>
            </w:r>
            <w:r w:rsidR="00151218" w:rsidRPr="00151218">
              <w:rPr>
                <w:rFonts w:ascii="Verdana" w:hAnsi="Verdana"/>
                <w:bCs/>
                <w:i/>
                <w:iCs/>
                <w:color w:val="0000FA"/>
                <w:sz w:val="16"/>
                <w:szCs w:val="16"/>
                <w:lang w:val="en-US"/>
              </w:rPr>
              <w:t xml:space="preserve"> DOF 19-03-2025</w:t>
            </w:r>
          </w:p>
        </w:tc>
      </w:tr>
      <w:tr w:rsidR="001C6A90" w:rsidRPr="00947A46" w14:paraId="27A329F6" w14:textId="77777777" w:rsidTr="00886332">
        <w:tc>
          <w:tcPr>
            <w:tcW w:w="4405" w:type="dxa"/>
          </w:tcPr>
          <w:p w14:paraId="47EE39C5" w14:textId="2CDA4780" w:rsidR="001C6A90" w:rsidRPr="00332A2F" w:rsidRDefault="001C6A90" w:rsidP="001C6A90">
            <w:pPr>
              <w:pStyle w:val="Texto"/>
              <w:spacing w:after="84" w:line="276" w:lineRule="auto"/>
              <w:ind w:firstLine="0"/>
              <w:rPr>
                <w:rFonts w:ascii="Verdana" w:hAnsi="Verdana"/>
                <w:b/>
                <w:sz w:val="16"/>
                <w:szCs w:val="16"/>
                <w:lang w:val="es-MX"/>
              </w:rPr>
            </w:pPr>
            <w:r w:rsidRPr="007A0E8B">
              <w:rPr>
                <w:rFonts w:ascii="Verdana" w:hAnsi="Verdana"/>
                <w:b/>
                <w:sz w:val="16"/>
                <w:szCs w:val="16"/>
                <w:lang w:val="es-MX"/>
              </w:rPr>
              <w:t xml:space="preserve">3.129 </w:t>
            </w:r>
            <w:r w:rsidRPr="00C954DA">
              <w:rPr>
                <w:rFonts w:ascii="Verdana" w:hAnsi="Verdana"/>
                <w:b/>
                <w:sz w:val="16"/>
                <w:szCs w:val="16"/>
                <w:lang w:val="es-MX"/>
              </w:rPr>
              <w:t>Acuerdo de Equivalencias</w:t>
            </w:r>
            <w:r w:rsidRPr="007A0E8B">
              <w:rPr>
                <w:rFonts w:ascii="Verdana" w:hAnsi="Verdana"/>
                <w:bCs/>
                <w:sz w:val="16"/>
                <w:szCs w:val="16"/>
                <w:lang w:val="es-MX"/>
              </w:rPr>
              <w:t>,</w:t>
            </w:r>
            <w:r w:rsidRPr="007A0E8B">
              <w:rPr>
                <w:rFonts w:ascii="Verdana" w:hAnsi="Verdana"/>
                <w:bCs/>
                <w:sz w:val="16"/>
                <w:szCs w:val="16"/>
              </w:rPr>
              <w:t xml:space="preserve"> a una resolución que especifica las condiciones mediante las cuales se reconocen unilateralmente o recíprocamente los reglamentos técnicos extranjeros, las medidas sanitarias o fitosanitarias, o los resultados de los procedimientos de evaluación de la conformidad emitidos por los organismos en el territorio de otro país y que contemplen cuando menos el mismo grado de conformidad para lograr los objetivos legítimos perseguidos por las Normas Oficiales Mexicanas apropiadas.</w:t>
            </w:r>
          </w:p>
        </w:tc>
        <w:tc>
          <w:tcPr>
            <w:tcW w:w="4427" w:type="dxa"/>
            <w:shd w:val="clear" w:color="auto" w:fill="auto"/>
          </w:tcPr>
          <w:p w14:paraId="192B27D1" w14:textId="37744E99" w:rsidR="001C6A90" w:rsidRPr="00332A2F" w:rsidRDefault="001C6A90" w:rsidP="001C6A90">
            <w:pPr>
              <w:pStyle w:val="Texto"/>
              <w:spacing w:line="276" w:lineRule="auto"/>
              <w:ind w:firstLine="0"/>
              <w:rPr>
                <w:rFonts w:ascii="Verdana" w:hAnsi="Verdana"/>
                <w:b/>
                <w:sz w:val="16"/>
                <w:szCs w:val="16"/>
                <w:lang w:val="en-US"/>
              </w:rPr>
            </w:pPr>
            <w:r w:rsidRPr="007A0E8B">
              <w:rPr>
                <w:rFonts w:ascii="Verdana" w:hAnsi="Verdana"/>
                <w:b/>
                <w:sz w:val="16"/>
                <w:szCs w:val="16"/>
                <w:lang w:val="en-US"/>
              </w:rPr>
              <w:t xml:space="preserve">3.129 Equivalence Agreement, </w:t>
            </w:r>
            <w:r w:rsidRPr="00C954DA">
              <w:rPr>
                <w:rFonts w:ascii="Verdana" w:hAnsi="Verdana"/>
                <w:bCs/>
                <w:sz w:val="16"/>
                <w:szCs w:val="16"/>
                <w:lang w:val="en-US"/>
              </w:rPr>
              <w:t>a resolution that specifies the conditions under which foreign technical regulations, sanitary or phytosanitary measures, or the results of the Evaluation of Conformity procedures issued by agencies in the territory of another country and that contemplate at least the same degree of conformity to achieve the legitimate objectives pursued by the appropriate Official Mexican Standards, are unilaterally or reciprocally recognized.</w:t>
            </w:r>
          </w:p>
        </w:tc>
      </w:tr>
      <w:tr w:rsidR="001C6A90" w:rsidRPr="00947A46" w14:paraId="39A88B93" w14:textId="77777777" w:rsidTr="00886332">
        <w:tc>
          <w:tcPr>
            <w:tcW w:w="4405" w:type="dxa"/>
          </w:tcPr>
          <w:p w14:paraId="26923880" w14:textId="339314D0" w:rsidR="001C6A90" w:rsidRPr="009D3774" w:rsidRDefault="001C6A90" w:rsidP="001C6A90">
            <w:pPr>
              <w:pStyle w:val="Texto"/>
              <w:spacing w:after="84" w:line="276" w:lineRule="auto"/>
              <w:ind w:firstLine="0"/>
              <w:jc w:val="right"/>
              <w:rPr>
                <w:rFonts w:ascii="Verdana" w:hAnsi="Verdana"/>
                <w:bCs/>
                <w:i/>
                <w:iCs/>
                <w:color w:val="0000FA"/>
                <w:sz w:val="16"/>
                <w:szCs w:val="16"/>
                <w:lang w:val="es-MX"/>
              </w:rPr>
            </w:pPr>
            <w:r w:rsidRPr="009D3774">
              <w:rPr>
                <w:rFonts w:ascii="Verdana" w:hAnsi="Verdana"/>
                <w:bCs/>
                <w:i/>
                <w:iCs/>
                <w:color w:val="0000FA"/>
                <w:sz w:val="16"/>
                <w:szCs w:val="16"/>
                <w:lang w:val="es-MX"/>
              </w:rPr>
              <w:t xml:space="preserve">Sección añadida Mod. </w:t>
            </w:r>
            <w:r>
              <w:rPr>
                <w:rFonts w:ascii="Verdana" w:hAnsi="Verdana"/>
                <w:bCs/>
                <w:i/>
                <w:iCs/>
                <w:color w:val="0000FA"/>
                <w:sz w:val="16"/>
                <w:szCs w:val="16"/>
                <w:lang w:val="es-MX"/>
              </w:rPr>
              <w:t>de emergencia DOF 23-08-2023</w:t>
            </w:r>
            <w:r w:rsidR="00151218">
              <w:rPr>
                <w:rFonts w:ascii="Verdana" w:hAnsi="Verdana"/>
                <w:bCs/>
                <w:i/>
                <w:iCs/>
                <w:color w:val="0000FA"/>
                <w:sz w:val="16"/>
                <w:szCs w:val="16"/>
                <w:lang w:val="es-MX"/>
              </w:rPr>
              <w:t xml:space="preserve">, </w:t>
            </w:r>
            <w:r w:rsidR="00151218">
              <w:rPr>
                <w:rFonts w:ascii="Verdana" w:hAnsi="Verdana"/>
                <w:bCs/>
                <w:i/>
                <w:iCs/>
                <w:color w:val="0000FA"/>
                <w:sz w:val="16"/>
                <w:szCs w:val="16"/>
                <w:lang w:val="es-MX"/>
              </w:rPr>
              <w:t>Fracción reformada DOF 19-03-2025</w:t>
            </w:r>
          </w:p>
        </w:tc>
        <w:tc>
          <w:tcPr>
            <w:tcW w:w="4427" w:type="dxa"/>
            <w:shd w:val="clear" w:color="auto" w:fill="auto"/>
          </w:tcPr>
          <w:p w14:paraId="528E56E6" w14:textId="0E13F1BB" w:rsidR="001C6A90" w:rsidRPr="00151218" w:rsidRDefault="001C6A90" w:rsidP="001C6A90">
            <w:pPr>
              <w:pStyle w:val="Texto"/>
              <w:spacing w:line="276" w:lineRule="auto"/>
              <w:ind w:firstLine="0"/>
              <w:jc w:val="right"/>
              <w:rPr>
                <w:rFonts w:ascii="Verdana" w:hAnsi="Verdana"/>
                <w:bCs/>
                <w:i/>
                <w:iCs/>
                <w:color w:val="0000FA"/>
                <w:sz w:val="16"/>
                <w:szCs w:val="16"/>
                <w:lang w:val="en-US"/>
              </w:rPr>
            </w:pPr>
            <w:r w:rsidRPr="009D3774">
              <w:rPr>
                <w:rFonts w:ascii="Verdana" w:hAnsi="Verdana"/>
                <w:bCs/>
                <w:i/>
                <w:iCs/>
                <w:color w:val="0000FA"/>
                <w:sz w:val="16"/>
                <w:szCs w:val="16"/>
                <w:lang w:val="en-US"/>
              </w:rPr>
              <w:t>Section added emergency modifcation D</w:t>
            </w:r>
            <w:r>
              <w:rPr>
                <w:rFonts w:ascii="Verdana" w:hAnsi="Verdana"/>
                <w:bCs/>
                <w:i/>
                <w:iCs/>
                <w:color w:val="0000FA"/>
                <w:sz w:val="16"/>
                <w:szCs w:val="16"/>
                <w:lang w:val="en-US"/>
              </w:rPr>
              <w:t>OF 23-08-2023</w:t>
            </w:r>
            <w:r w:rsidR="00151218">
              <w:rPr>
                <w:rFonts w:ascii="Verdana" w:hAnsi="Verdana"/>
                <w:bCs/>
                <w:i/>
                <w:iCs/>
                <w:color w:val="0000FA"/>
                <w:sz w:val="16"/>
                <w:szCs w:val="16"/>
                <w:lang w:val="en-US"/>
              </w:rPr>
              <w:t>, Section reformed</w:t>
            </w:r>
            <w:r w:rsidR="00151218" w:rsidRPr="00151218">
              <w:rPr>
                <w:rFonts w:ascii="Verdana" w:hAnsi="Verdana"/>
                <w:bCs/>
                <w:i/>
                <w:iCs/>
                <w:color w:val="0000FA"/>
                <w:sz w:val="16"/>
                <w:szCs w:val="16"/>
                <w:lang w:val="en-US"/>
              </w:rPr>
              <w:t xml:space="preserve"> DOF 19-03-2025</w:t>
            </w:r>
          </w:p>
        </w:tc>
      </w:tr>
      <w:tr w:rsidR="001C6A90" w:rsidRPr="00947A46" w14:paraId="36FD8D48" w14:textId="77777777" w:rsidTr="00886332">
        <w:tc>
          <w:tcPr>
            <w:tcW w:w="4405" w:type="dxa"/>
          </w:tcPr>
          <w:p w14:paraId="6A89F63B" w14:textId="77777777" w:rsidR="001C6A90" w:rsidRPr="00332A2F" w:rsidRDefault="001C6A90" w:rsidP="001C6A90">
            <w:pPr>
              <w:pStyle w:val="Texto"/>
              <w:spacing w:after="84" w:line="276" w:lineRule="auto"/>
              <w:ind w:firstLine="0"/>
              <w:rPr>
                <w:rFonts w:ascii="Verdana" w:hAnsi="Verdana"/>
                <w:b/>
                <w:sz w:val="16"/>
                <w:szCs w:val="16"/>
                <w:lang w:val="en-US"/>
              </w:rPr>
            </w:pPr>
          </w:p>
        </w:tc>
        <w:tc>
          <w:tcPr>
            <w:tcW w:w="4427" w:type="dxa"/>
            <w:shd w:val="clear" w:color="auto" w:fill="auto"/>
          </w:tcPr>
          <w:p w14:paraId="49B81B56" w14:textId="77777777" w:rsidR="001C6A90" w:rsidRPr="00332A2F" w:rsidRDefault="001C6A90" w:rsidP="001C6A90">
            <w:pPr>
              <w:pStyle w:val="Texto"/>
              <w:spacing w:line="276" w:lineRule="auto"/>
              <w:ind w:firstLine="0"/>
              <w:rPr>
                <w:rFonts w:ascii="Verdana" w:hAnsi="Verdana"/>
                <w:b/>
                <w:sz w:val="16"/>
                <w:szCs w:val="16"/>
                <w:lang w:val="en-US"/>
              </w:rPr>
            </w:pPr>
          </w:p>
        </w:tc>
      </w:tr>
      <w:tr w:rsidR="001C6A90" w:rsidRPr="00FD4EEA" w14:paraId="2DCD4E09" w14:textId="77777777" w:rsidTr="00886332">
        <w:tc>
          <w:tcPr>
            <w:tcW w:w="4405" w:type="dxa"/>
          </w:tcPr>
          <w:p w14:paraId="62250D63" w14:textId="77777777" w:rsidR="001C6A90" w:rsidRPr="008F5C15" w:rsidRDefault="001C6A90" w:rsidP="001C6A90">
            <w:pPr>
              <w:pStyle w:val="Texto"/>
              <w:spacing w:after="84" w:line="276" w:lineRule="auto"/>
              <w:ind w:firstLine="0"/>
              <w:rPr>
                <w:rFonts w:ascii="Verdana" w:hAnsi="Verdana"/>
                <w:b/>
                <w:sz w:val="16"/>
                <w:szCs w:val="16"/>
                <w:lang w:val="es-MX"/>
              </w:rPr>
            </w:pPr>
            <w:r w:rsidRPr="008F5C15">
              <w:rPr>
                <w:rFonts w:ascii="Verdana" w:hAnsi="Verdana"/>
                <w:b/>
                <w:sz w:val="16"/>
                <w:szCs w:val="16"/>
                <w:lang w:val="es-MX"/>
              </w:rPr>
              <w:t>4. Símbolos y abreviaturas</w:t>
            </w:r>
          </w:p>
        </w:tc>
        <w:tc>
          <w:tcPr>
            <w:tcW w:w="4427" w:type="dxa"/>
            <w:shd w:val="clear" w:color="auto" w:fill="auto"/>
          </w:tcPr>
          <w:p w14:paraId="427F6EE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4. Symbols and abbreviations</w:t>
            </w:r>
          </w:p>
        </w:tc>
      </w:tr>
      <w:tr w:rsidR="001C6A90" w:rsidRPr="00262EF8" w14:paraId="1727E5C5" w14:textId="77777777" w:rsidTr="00886332">
        <w:tc>
          <w:tcPr>
            <w:tcW w:w="4405" w:type="dxa"/>
          </w:tcPr>
          <w:p w14:paraId="38376DC3" w14:textId="77777777" w:rsidR="001C6A90" w:rsidRPr="008F5C15" w:rsidRDefault="001C6A90" w:rsidP="001C6A90">
            <w:pPr>
              <w:pStyle w:val="Texto"/>
              <w:spacing w:after="84" w:line="276" w:lineRule="auto"/>
              <w:ind w:firstLine="0"/>
              <w:rPr>
                <w:rFonts w:ascii="Verdana" w:hAnsi="Verdana"/>
                <w:b/>
                <w:sz w:val="16"/>
                <w:szCs w:val="16"/>
                <w:lang w:val="es-MX"/>
              </w:rPr>
            </w:pPr>
            <w:r w:rsidRPr="008F5C15">
              <w:rPr>
                <w:rFonts w:ascii="Verdana" w:hAnsi="Verdana"/>
                <w:b/>
                <w:sz w:val="16"/>
                <w:szCs w:val="16"/>
                <w:lang w:val="es-MX"/>
              </w:rPr>
              <w:t xml:space="preserve">4.1 </w:t>
            </w:r>
            <w:r w:rsidRPr="008F5C15">
              <w:rPr>
                <w:rFonts w:ascii="Verdana" w:hAnsi="Verdana"/>
                <w:sz w:val="16"/>
                <w:szCs w:val="16"/>
                <w:lang w:val="es-MX"/>
              </w:rPr>
              <w:t>Símbolos.</w:t>
            </w:r>
          </w:p>
        </w:tc>
        <w:tc>
          <w:tcPr>
            <w:tcW w:w="4427" w:type="dxa"/>
            <w:shd w:val="clear" w:color="auto" w:fill="auto"/>
          </w:tcPr>
          <w:p w14:paraId="417A980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4.1 </w:t>
            </w:r>
            <w:r w:rsidRPr="008F5C15">
              <w:rPr>
                <w:rFonts w:ascii="Verdana" w:hAnsi="Verdana"/>
                <w:sz w:val="16"/>
                <w:szCs w:val="16"/>
                <w:lang w:val="en-US"/>
              </w:rPr>
              <w:t>Symbols</w:t>
            </w:r>
          </w:p>
        </w:tc>
      </w:tr>
      <w:tr w:rsidR="001C6A90" w:rsidRPr="00947A46" w14:paraId="44B10F3A" w14:textId="77777777" w:rsidTr="00886332">
        <w:tc>
          <w:tcPr>
            <w:tcW w:w="4405" w:type="dxa"/>
          </w:tcPr>
          <w:p w14:paraId="70A66F22" w14:textId="77777777" w:rsidR="001C6A90" w:rsidRPr="008F5C15" w:rsidRDefault="001C6A90" w:rsidP="001C6A90">
            <w:pPr>
              <w:pStyle w:val="Texto"/>
              <w:spacing w:after="84" w:line="276" w:lineRule="auto"/>
              <w:ind w:firstLine="0"/>
              <w:rPr>
                <w:rFonts w:ascii="Verdana" w:hAnsi="Verdana"/>
                <w:sz w:val="16"/>
                <w:szCs w:val="16"/>
                <w:lang w:val="es-MX"/>
              </w:rPr>
            </w:pPr>
            <w:r w:rsidRPr="008F5C15">
              <w:rPr>
                <w:rFonts w:ascii="Verdana" w:hAnsi="Verdana"/>
                <w:sz w:val="16"/>
                <w:szCs w:val="16"/>
                <w:lang w:val="es-MX"/>
              </w:rPr>
              <w:t>Cuando en esta Norma se haga referencia a los siguientes símbolos, se entenderá:</w:t>
            </w:r>
          </w:p>
        </w:tc>
        <w:tc>
          <w:tcPr>
            <w:tcW w:w="4427" w:type="dxa"/>
          </w:tcPr>
          <w:p w14:paraId="3C0270E0" w14:textId="77777777" w:rsidR="001C6A90" w:rsidRPr="008F5C15" w:rsidRDefault="001C6A90" w:rsidP="001C6A90">
            <w:pPr>
              <w:pStyle w:val="Texto"/>
              <w:spacing w:after="84" w:line="276" w:lineRule="auto"/>
              <w:ind w:firstLine="0"/>
              <w:rPr>
                <w:rFonts w:ascii="Verdana" w:hAnsi="Verdana"/>
                <w:sz w:val="16"/>
                <w:szCs w:val="16"/>
                <w:lang w:val="en-US"/>
              </w:rPr>
            </w:pPr>
            <w:r w:rsidRPr="008F5C15">
              <w:rPr>
                <w:rFonts w:ascii="Verdana" w:hAnsi="Verdana"/>
                <w:sz w:val="16"/>
                <w:szCs w:val="16"/>
                <w:lang w:val="en-US"/>
              </w:rPr>
              <w:t>When reference is made in this Official Mexican Standard to the following abbreviations they will be understood to mean:</w:t>
            </w:r>
          </w:p>
        </w:tc>
      </w:tr>
      <w:tr w:rsidR="001C6A90" w:rsidRPr="00262EF8" w14:paraId="7D889B3A" w14:textId="77777777" w:rsidTr="00886332">
        <w:tc>
          <w:tcPr>
            <w:tcW w:w="4405" w:type="dxa"/>
          </w:tcPr>
          <w:p w14:paraId="57A1F358" w14:textId="77777777" w:rsidR="001C6A90" w:rsidRPr="008F5C15" w:rsidRDefault="001C6A90" w:rsidP="001C6A90">
            <w:pPr>
              <w:pStyle w:val="Texto"/>
              <w:tabs>
                <w:tab w:val="left" w:pos="884"/>
              </w:tabs>
              <w:spacing w:after="84" w:line="276" w:lineRule="auto"/>
              <w:ind w:firstLine="0"/>
              <w:rPr>
                <w:rFonts w:ascii="Verdana" w:hAnsi="Verdana"/>
                <w:sz w:val="16"/>
                <w:szCs w:val="16"/>
                <w:lang w:val="es-MX"/>
              </w:rPr>
            </w:pPr>
            <w:r w:rsidRPr="008F5C15">
              <w:rPr>
                <w:rFonts w:ascii="Verdana" w:hAnsi="Verdana"/>
                <w:b/>
                <w:sz w:val="16"/>
                <w:szCs w:val="16"/>
                <w:lang w:val="es-MX"/>
              </w:rPr>
              <w:t>4.1.1</w:t>
            </w:r>
            <w:r w:rsidRPr="008F5C15">
              <w:rPr>
                <w:rFonts w:ascii="Verdana" w:hAnsi="Verdana"/>
                <w:sz w:val="16"/>
                <w:szCs w:val="16"/>
                <w:lang w:val="es-MX"/>
              </w:rPr>
              <w:tab/>
              <w:t>%</w:t>
            </w:r>
            <w:r w:rsidRPr="008F5C15">
              <w:rPr>
                <w:rFonts w:ascii="Verdana" w:hAnsi="Verdana"/>
                <w:sz w:val="16"/>
                <w:szCs w:val="16"/>
                <w:lang w:val="es-MX"/>
              </w:rPr>
              <w:tab/>
              <w:t>Porcentaje.</w:t>
            </w:r>
          </w:p>
        </w:tc>
        <w:tc>
          <w:tcPr>
            <w:tcW w:w="4427" w:type="dxa"/>
            <w:shd w:val="clear" w:color="auto" w:fill="auto"/>
          </w:tcPr>
          <w:p w14:paraId="7B01578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4.1.1</w:t>
            </w:r>
            <w:r w:rsidRPr="008F5C15">
              <w:rPr>
                <w:rFonts w:ascii="Verdana" w:hAnsi="Verdana"/>
                <w:sz w:val="16"/>
                <w:szCs w:val="16"/>
                <w:lang w:val="en-US"/>
              </w:rPr>
              <w:t xml:space="preserve"> % Percentage</w:t>
            </w:r>
          </w:p>
        </w:tc>
      </w:tr>
      <w:tr w:rsidR="001C6A90" w:rsidRPr="00262EF8" w14:paraId="51D927D9" w14:textId="77777777" w:rsidTr="00886332">
        <w:tc>
          <w:tcPr>
            <w:tcW w:w="4405" w:type="dxa"/>
          </w:tcPr>
          <w:p w14:paraId="7CB80C8F" w14:textId="77777777" w:rsidR="001C6A90" w:rsidRPr="008F5C15" w:rsidRDefault="001C6A90" w:rsidP="001C6A90">
            <w:pPr>
              <w:pStyle w:val="Texto"/>
              <w:tabs>
                <w:tab w:val="left" w:pos="884"/>
              </w:tabs>
              <w:spacing w:after="84" w:line="276" w:lineRule="auto"/>
              <w:ind w:firstLine="0"/>
              <w:rPr>
                <w:rFonts w:ascii="Verdana" w:hAnsi="Verdana"/>
                <w:sz w:val="16"/>
                <w:szCs w:val="16"/>
                <w:lang w:val="es-MX"/>
              </w:rPr>
            </w:pPr>
            <w:r w:rsidRPr="008F5C15">
              <w:rPr>
                <w:rFonts w:ascii="Verdana" w:hAnsi="Verdana"/>
                <w:b/>
                <w:sz w:val="16"/>
                <w:szCs w:val="16"/>
                <w:lang w:val="es-MX"/>
              </w:rPr>
              <w:t>4.1.2</w:t>
            </w:r>
            <w:r w:rsidRPr="008F5C15">
              <w:rPr>
                <w:rFonts w:ascii="Verdana" w:hAnsi="Verdana"/>
                <w:sz w:val="16"/>
                <w:szCs w:val="16"/>
                <w:lang w:val="es-MX"/>
              </w:rPr>
              <w:tab/>
              <w:t>±</w:t>
            </w:r>
            <w:r w:rsidRPr="008F5C15">
              <w:rPr>
                <w:rFonts w:ascii="Verdana" w:hAnsi="Verdana"/>
                <w:sz w:val="16"/>
                <w:szCs w:val="16"/>
                <w:lang w:val="es-MX"/>
              </w:rPr>
              <w:tab/>
              <w:t>Más menos.</w:t>
            </w:r>
          </w:p>
        </w:tc>
        <w:tc>
          <w:tcPr>
            <w:tcW w:w="4427" w:type="dxa"/>
            <w:shd w:val="clear" w:color="auto" w:fill="auto"/>
          </w:tcPr>
          <w:p w14:paraId="3BC6B9F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4.1.2</w:t>
            </w:r>
            <w:r w:rsidRPr="008F5C15">
              <w:rPr>
                <w:rFonts w:ascii="Verdana" w:hAnsi="Verdana"/>
                <w:sz w:val="16"/>
                <w:szCs w:val="16"/>
                <w:lang w:val="en-US"/>
              </w:rPr>
              <w:t xml:space="preserve"> ± Plus-minus</w:t>
            </w:r>
          </w:p>
        </w:tc>
      </w:tr>
      <w:tr w:rsidR="001C6A90" w:rsidRPr="00262EF8" w14:paraId="54EBA209" w14:textId="77777777" w:rsidTr="00886332">
        <w:tc>
          <w:tcPr>
            <w:tcW w:w="4405" w:type="dxa"/>
          </w:tcPr>
          <w:p w14:paraId="12DA97FC" w14:textId="77777777" w:rsidR="001C6A90" w:rsidRPr="008F5C15" w:rsidRDefault="001C6A90" w:rsidP="001C6A90">
            <w:pPr>
              <w:pStyle w:val="Texto"/>
              <w:tabs>
                <w:tab w:val="left" w:pos="884"/>
              </w:tabs>
              <w:spacing w:after="84" w:line="276" w:lineRule="auto"/>
              <w:ind w:firstLine="0"/>
              <w:rPr>
                <w:rFonts w:ascii="Verdana" w:hAnsi="Verdana"/>
                <w:sz w:val="16"/>
                <w:szCs w:val="16"/>
                <w:lang w:val="es-MX"/>
              </w:rPr>
            </w:pPr>
            <w:r w:rsidRPr="008F5C15">
              <w:rPr>
                <w:rFonts w:ascii="Verdana" w:hAnsi="Verdana"/>
                <w:b/>
                <w:sz w:val="16"/>
                <w:szCs w:val="16"/>
                <w:lang w:val="es-MX"/>
              </w:rPr>
              <w:t>4.1.3</w:t>
            </w:r>
            <w:r w:rsidRPr="008F5C15">
              <w:rPr>
                <w:rFonts w:ascii="Verdana" w:hAnsi="Verdana"/>
                <w:b/>
                <w:sz w:val="16"/>
                <w:szCs w:val="16"/>
                <w:lang w:val="es-MX"/>
              </w:rPr>
              <w:tab/>
            </w:r>
            <w:r w:rsidRPr="008F5C15">
              <w:rPr>
                <w:rFonts w:ascii="Verdana" w:hAnsi="Verdana"/>
                <w:sz w:val="16"/>
                <w:szCs w:val="16"/>
                <w:lang w:val="es-MX"/>
              </w:rPr>
              <w:t>&gt;</w:t>
            </w:r>
            <w:r w:rsidRPr="008F5C15">
              <w:rPr>
                <w:rFonts w:ascii="Verdana" w:hAnsi="Verdana"/>
                <w:sz w:val="16"/>
                <w:szCs w:val="16"/>
                <w:lang w:val="es-MX"/>
              </w:rPr>
              <w:tab/>
              <w:t>Mayor que.</w:t>
            </w:r>
          </w:p>
        </w:tc>
        <w:tc>
          <w:tcPr>
            <w:tcW w:w="4427" w:type="dxa"/>
            <w:shd w:val="clear" w:color="auto" w:fill="auto"/>
          </w:tcPr>
          <w:p w14:paraId="6705647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4.1.3</w:t>
            </w:r>
            <w:r w:rsidRPr="008F5C15">
              <w:rPr>
                <w:rFonts w:ascii="Verdana" w:hAnsi="Verdana"/>
                <w:sz w:val="16"/>
                <w:szCs w:val="16"/>
                <w:lang w:val="en-US"/>
              </w:rPr>
              <w:t xml:space="preserve"> &gt; Greater than</w:t>
            </w:r>
          </w:p>
        </w:tc>
      </w:tr>
      <w:tr w:rsidR="001C6A90" w:rsidRPr="00262EF8" w14:paraId="11FBA486" w14:textId="77777777" w:rsidTr="00886332">
        <w:tc>
          <w:tcPr>
            <w:tcW w:w="4405" w:type="dxa"/>
          </w:tcPr>
          <w:p w14:paraId="6EB422AF" w14:textId="77777777" w:rsidR="001C6A90" w:rsidRPr="008F5C15" w:rsidRDefault="001C6A90" w:rsidP="001C6A90">
            <w:pPr>
              <w:pStyle w:val="Texto"/>
              <w:tabs>
                <w:tab w:val="left" w:pos="884"/>
              </w:tabs>
              <w:spacing w:after="84" w:line="276" w:lineRule="auto"/>
              <w:ind w:firstLine="0"/>
              <w:rPr>
                <w:rFonts w:ascii="Verdana" w:hAnsi="Verdana"/>
                <w:sz w:val="16"/>
                <w:szCs w:val="16"/>
                <w:lang w:val="es-MX"/>
              </w:rPr>
            </w:pPr>
            <w:r w:rsidRPr="008F5C15">
              <w:rPr>
                <w:rFonts w:ascii="Verdana" w:hAnsi="Verdana"/>
                <w:b/>
                <w:sz w:val="16"/>
                <w:szCs w:val="16"/>
                <w:lang w:val="es-MX"/>
              </w:rPr>
              <w:t>4.1.4</w:t>
            </w:r>
            <w:r w:rsidRPr="008F5C15">
              <w:rPr>
                <w:rFonts w:ascii="Verdana" w:hAnsi="Verdana"/>
                <w:sz w:val="16"/>
                <w:szCs w:val="16"/>
                <w:lang w:val="es-MX"/>
              </w:rPr>
              <w:tab/>
            </w:r>
            <w:r w:rsidRPr="008F5C15">
              <w:rPr>
                <w:rFonts w:ascii="Verdana" w:hAnsi="Verdana"/>
                <w:sz w:val="16"/>
                <w:szCs w:val="16"/>
                <w:u w:val="single"/>
                <w:lang w:val="es-MX"/>
              </w:rPr>
              <w:t>&lt;</w:t>
            </w:r>
            <w:r w:rsidRPr="008F5C15">
              <w:rPr>
                <w:rFonts w:ascii="Verdana" w:hAnsi="Verdana"/>
                <w:sz w:val="16"/>
                <w:szCs w:val="16"/>
                <w:lang w:val="es-MX"/>
              </w:rPr>
              <w:tab/>
              <w:t>Menor o igual que.</w:t>
            </w:r>
          </w:p>
        </w:tc>
        <w:tc>
          <w:tcPr>
            <w:tcW w:w="4427" w:type="dxa"/>
            <w:shd w:val="clear" w:color="auto" w:fill="auto"/>
          </w:tcPr>
          <w:p w14:paraId="0FA3979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4.1.4</w:t>
            </w:r>
            <w:r w:rsidRPr="008F5C15">
              <w:rPr>
                <w:rFonts w:ascii="Verdana" w:hAnsi="Verdana"/>
                <w:sz w:val="16"/>
                <w:szCs w:val="16"/>
                <w:lang w:val="en-US"/>
              </w:rPr>
              <w:t xml:space="preserve"> ≤ Less or equal to  </w:t>
            </w:r>
          </w:p>
        </w:tc>
      </w:tr>
      <w:tr w:rsidR="001C6A90" w:rsidRPr="00262EF8" w14:paraId="12588D77" w14:textId="77777777" w:rsidTr="00886332">
        <w:tc>
          <w:tcPr>
            <w:tcW w:w="4405" w:type="dxa"/>
          </w:tcPr>
          <w:p w14:paraId="7DE35748" w14:textId="77777777" w:rsidR="001C6A90" w:rsidRPr="008F5C15" w:rsidRDefault="001C6A90" w:rsidP="001C6A90">
            <w:pPr>
              <w:pStyle w:val="Texto"/>
              <w:tabs>
                <w:tab w:val="left" w:pos="884"/>
              </w:tabs>
              <w:spacing w:after="84" w:line="276" w:lineRule="auto"/>
              <w:ind w:firstLine="0"/>
              <w:rPr>
                <w:rFonts w:ascii="Verdana" w:hAnsi="Verdana"/>
                <w:sz w:val="16"/>
                <w:szCs w:val="16"/>
                <w:lang w:val="es-MX"/>
              </w:rPr>
            </w:pPr>
            <w:r w:rsidRPr="008F5C15">
              <w:rPr>
                <w:rFonts w:ascii="Verdana" w:hAnsi="Verdana"/>
                <w:b/>
                <w:sz w:val="16"/>
                <w:szCs w:val="16"/>
                <w:lang w:val="es-MX"/>
              </w:rPr>
              <w:t>4.1.5</w:t>
            </w:r>
            <w:r w:rsidRPr="008F5C15">
              <w:rPr>
                <w:rFonts w:ascii="Verdana" w:hAnsi="Verdana"/>
                <w:sz w:val="16"/>
                <w:szCs w:val="16"/>
                <w:lang w:val="es-MX"/>
              </w:rPr>
              <w:tab/>
            </w:r>
            <w:r w:rsidRPr="008F5C15">
              <w:rPr>
                <w:rFonts w:ascii="Verdana" w:hAnsi="Verdana"/>
                <w:sz w:val="16"/>
                <w:szCs w:val="16"/>
                <w:u w:val="single"/>
                <w:lang w:val="es-MX"/>
              </w:rPr>
              <w:t>&gt;</w:t>
            </w:r>
            <w:r w:rsidRPr="008F5C15">
              <w:rPr>
                <w:rFonts w:ascii="Verdana" w:hAnsi="Verdana"/>
                <w:sz w:val="16"/>
                <w:szCs w:val="16"/>
                <w:lang w:val="es-MX"/>
              </w:rPr>
              <w:tab/>
              <w:t>Mayor o igual que.</w:t>
            </w:r>
          </w:p>
        </w:tc>
        <w:tc>
          <w:tcPr>
            <w:tcW w:w="4427" w:type="dxa"/>
            <w:shd w:val="clear" w:color="auto" w:fill="auto"/>
          </w:tcPr>
          <w:p w14:paraId="1598649D"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4.1.5 </w:t>
            </w:r>
            <w:r w:rsidRPr="008F5C15">
              <w:rPr>
                <w:rFonts w:ascii="Verdana" w:hAnsi="Verdana"/>
                <w:sz w:val="16"/>
                <w:szCs w:val="16"/>
                <w:lang w:val="en-US"/>
              </w:rPr>
              <w:t>≥</w:t>
            </w:r>
            <w:r w:rsidRPr="008F5C15">
              <w:rPr>
                <w:rFonts w:ascii="Verdana" w:hAnsi="Verdana"/>
                <w:b/>
                <w:sz w:val="16"/>
                <w:szCs w:val="16"/>
                <w:lang w:val="en-US"/>
              </w:rPr>
              <w:t xml:space="preserve"> </w:t>
            </w:r>
            <w:r w:rsidRPr="008F5C15">
              <w:rPr>
                <w:rFonts w:ascii="Verdana" w:hAnsi="Verdana"/>
                <w:sz w:val="16"/>
                <w:szCs w:val="16"/>
                <w:lang w:val="en-US"/>
              </w:rPr>
              <w:t>Greater or equal to</w:t>
            </w:r>
          </w:p>
        </w:tc>
      </w:tr>
      <w:tr w:rsidR="001C6A90" w:rsidRPr="00262EF8" w14:paraId="4D0AF952" w14:textId="77777777" w:rsidTr="00886332">
        <w:tc>
          <w:tcPr>
            <w:tcW w:w="4405" w:type="dxa"/>
          </w:tcPr>
          <w:p w14:paraId="6A37CB12" w14:textId="77777777" w:rsidR="001C6A90" w:rsidRPr="008F5C15" w:rsidRDefault="001C6A90" w:rsidP="001C6A90">
            <w:pPr>
              <w:pStyle w:val="Texto"/>
              <w:tabs>
                <w:tab w:val="left" w:pos="884"/>
              </w:tabs>
              <w:spacing w:after="84" w:line="276" w:lineRule="auto"/>
              <w:ind w:firstLine="0"/>
              <w:rPr>
                <w:rFonts w:ascii="Verdana" w:hAnsi="Verdana"/>
                <w:sz w:val="16"/>
                <w:szCs w:val="16"/>
                <w:lang w:val="es-MX"/>
              </w:rPr>
            </w:pPr>
            <w:r w:rsidRPr="008F5C15">
              <w:rPr>
                <w:rFonts w:ascii="Verdana" w:hAnsi="Verdana"/>
                <w:b/>
                <w:sz w:val="16"/>
                <w:szCs w:val="16"/>
                <w:lang w:val="es-MX"/>
              </w:rPr>
              <w:t>4.1.6</w:t>
            </w:r>
            <w:r w:rsidRPr="008F5C15">
              <w:rPr>
                <w:rFonts w:ascii="Verdana" w:hAnsi="Verdana"/>
                <w:sz w:val="16"/>
                <w:szCs w:val="16"/>
                <w:lang w:val="es-MX"/>
              </w:rPr>
              <w:tab/>
              <w:t>°C</w:t>
            </w:r>
            <w:r w:rsidRPr="008F5C15">
              <w:rPr>
                <w:rFonts w:ascii="Verdana" w:hAnsi="Verdana"/>
                <w:sz w:val="16"/>
                <w:szCs w:val="16"/>
                <w:lang w:val="es-MX"/>
              </w:rPr>
              <w:tab/>
              <w:t>Grado Celsius.</w:t>
            </w:r>
          </w:p>
        </w:tc>
        <w:tc>
          <w:tcPr>
            <w:tcW w:w="4427" w:type="dxa"/>
            <w:shd w:val="clear" w:color="auto" w:fill="auto"/>
          </w:tcPr>
          <w:p w14:paraId="79765E4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4.1.6 </w:t>
            </w:r>
            <w:r w:rsidRPr="008F5C15">
              <w:rPr>
                <w:rFonts w:ascii="Verdana" w:hAnsi="Verdana"/>
                <w:sz w:val="16"/>
                <w:szCs w:val="16"/>
                <w:lang w:val="en-US"/>
              </w:rPr>
              <w:t>°C Celsius Degree.</w:t>
            </w:r>
          </w:p>
        </w:tc>
      </w:tr>
      <w:tr w:rsidR="001C6A90" w:rsidRPr="00262EF8" w14:paraId="79BCB4A7" w14:textId="77777777" w:rsidTr="00886332">
        <w:tc>
          <w:tcPr>
            <w:tcW w:w="4405" w:type="dxa"/>
          </w:tcPr>
          <w:p w14:paraId="390B95A2" w14:textId="77777777" w:rsidR="001C6A90" w:rsidRPr="008F5C15" w:rsidRDefault="001C6A90" w:rsidP="001C6A90">
            <w:pPr>
              <w:pStyle w:val="Texto"/>
              <w:tabs>
                <w:tab w:val="left" w:pos="884"/>
              </w:tabs>
              <w:spacing w:after="84" w:line="276" w:lineRule="auto"/>
              <w:ind w:firstLine="0"/>
              <w:rPr>
                <w:rFonts w:ascii="Verdana" w:hAnsi="Verdana"/>
                <w:b/>
                <w:sz w:val="16"/>
                <w:szCs w:val="16"/>
                <w:lang w:val="es-MX"/>
              </w:rPr>
            </w:pPr>
            <w:r w:rsidRPr="008F5C15">
              <w:rPr>
                <w:rFonts w:ascii="Verdana" w:hAnsi="Verdana"/>
                <w:b/>
                <w:sz w:val="16"/>
                <w:szCs w:val="16"/>
                <w:lang w:val="es-MX"/>
              </w:rPr>
              <w:t>4.1.7</w:t>
            </w:r>
            <w:r w:rsidRPr="008F5C15">
              <w:rPr>
                <w:rFonts w:ascii="Verdana" w:hAnsi="Verdana"/>
                <w:b/>
                <w:sz w:val="16"/>
                <w:szCs w:val="16"/>
                <w:lang w:val="es-MX"/>
              </w:rPr>
              <w:tab/>
            </w:r>
            <w:r w:rsidRPr="008F5C15">
              <w:rPr>
                <w:rFonts w:ascii="Verdana" w:hAnsi="Verdana"/>
                <w:sz w:val="16"/>
                <w:szCs w:val="16"/>
                <w:lang w:val="es-MX"/>
              </w:rPr>
              <w:t>kPa</w:t>
            </w:r>
            <w:r w:rsidRPr="008F5C15">
              <w:rPr>
                <w:rFonts w:ascii="Verdana" w:hAnsi="Verdana"/>
                <w:sz w:val="16"/>
                <w:szCs w:val="16"/>
                <w:lang w:val="es-MX"/>
              </w:rPr>
              <w:tab/>
              <w:t>Kilopascal.</w:t>
            </w:r>
          </w:p>
        </w:tc>
        <w:tc>
          <w:tcPr>
            <w:tcW w:w="4427" w:type="dxa"/>
            <w:shd w:val="clear" w:color="auto" w:fill="auto"/>
          </w:tcPr>
          <w:p w14:paraId="0C782F5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4.1.7 </w:t>
            </w:r>
            <w:r w:rsidRPr="008F5C15">
              <w:rPr>
                <w:rFonts w:ascii="Verdana" w:hAnsi="Verdana"/>
                <w:sz w:val="16"/>
                <w:szCs w:val="16"/>
                <w:lang w:val="en-US"/>
              </w:rPr>
              <w:t>kPa kilopascal.</w:t>
            </w:r>
          </w:p>
        </w:tc>
      </w:tr>
      <w:tr w:rsidR="001C6A90" w:rsidRPr="00262EF8" w14:paraId="7FA209CB" w14:textId="77777777" w:rsidTr="00886332">
        <w:tc>
          <w:tcPr>
            <w:tcW w:w="4405" w:type="dxa"/>
          </w:tcPr>
          <w:p w14:paraId="576B76A2" w14:textId="77777777" w:rsidR="001C6A90" w:rsidRPr="008F5C15" w:rsidRDefault="001C6A90" w:rsidP="001C6A90">
            <w:pPr>
              <w:pStyle w:val="Texto"/>
              <w:tabs>
                <w:tab w:val="left" w:pos="884"/>
              </w:tabs>
              <w:spacing w:after="84" w:line="276" w:lineRule="auto"/>
              <w:ind w:firstLine="0"/>
              <w:rPr>
                <w:rFonts w:ascii="Verdana" w:hAnsi="Verdana"/>
                <w:sz w:val="16"/>
                <w:szCs w:val="16"/>
                <w:lang w:val="es-MX"/>
              </w:rPr>
            </w:pPr>
            <w:r w:rsidRPr="008F5C15">
              <w:rPr>
                <w:rFonts w:ascii="Verdana" w:hAnsi="Verdana"/>
                <w:b/>
                <w:sz w:val="16"/>
                <w:szCs w:val="16"/>
                <w:lang w:val="es-MX"/>
              </w:rPr>
              <w:t>4.1.8</w:t>
            </w:r>
            <w:r w:rsidRPr="008F5C15">
              <w:rPr>
                <w:rFonts w:ascii="Verdana" w:hAnsi="Verdana"/>
                <w:b/>
                <w:sz w:val="16"/>
                <w:szCs w:val="16"/>
                <w:lang w:val="es-MX"/>
              </w:rPr>
              <w:tab/>
            </w:r>
            <w:r w:rsidRPr="008F5C15">
              <w:rPr>
                <w:rFonts w:ascii="Verdana" w:hAnsi="Verdana"/>
                <w:sz w:val="16"/>
                <w:szCs w:val="16"/>
                <w:lang w:val="es-MX"/>
              </w:rPr>
              <w:t>µm</w:t>
            </w:r>
            <w:r w:rsidRPr="008F5C15">
              <w:rPr>
                <w:rFonts w:ascii="Verdana" w:hAnsi="Verdana"/>
                <w:sz w:val="16"/>
                <w:szCs w:val="16"/>
                <w:lang w:val="es-MX"/>
              </w:rPr>
              <w:tab/>
              <w:t>Micrómetro.</w:t>
            </w:r>
          </w:p>
        </w:tc>
        <w:tc>
          <w:tcPr>
            <w:tcW w:w="4427" w:type="dxa"/>
            <w:shd w:val="clear" w:color="auto" w:fill="auto"/>
          </w:tcPr>
          <w:p w14:paraId="50B30A6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4.1.8 </w:t>
            </w:r>
            <w:r w:rsidRPr="008F5C15">
              <w:rPr>
                <w:rFonts w:ascii="Verdana" w:hAnsi="Verdana"/>
                <w:sz w:val="16"/>
                <w:szCs w:val="16"/>
                <w:lang w:val="en-US"/>
              </w:rPr>
              <w:t>µm Micrometer.</w:t>
            </w:r>
          </w:p>
        </w:tc>
      </w:tr>
      <w:tr w:rsidR="001C6A90" w:rsidRPr="00262EF8" w14:paraId="579591A2" w14:textId="77777777" w:rsidTr="00886332">
        <w:tc>
          <w:tcPr>
            <w:tcW w:w="4405" w:type="dxa"/>
          </w:tcPr>
          <w:p w14:paraId="065EB9CB" w14:textId="77777777" w:rsidR="001C6A90" w:rsidRPr="008F5C15" w:rsidRDefault="001C6A90" w:rsidP="001C6A90">
            <w:pPr>
              <w:pStyle w:val="Texto"/>
              <w:tabs>
                <w:tab w:val="left" w:pos="884"/>
              </w:tabs>
              <w:spacing w:after="84" w:line="276" w:lineRule="auto"/>
              <w:ind w:firstLine="0"/>
              <w:rPr>
                <w:rFonts w:ascii="Verdana" w:hAnsi="Verdana"/>
                <w:sz w:val="16"/>
                <w:szCs w:val="16"/>
                <w:lang w:val="es-MX"/>
              </w:rPr>
            </w:pPr>
            <w:r w:rsidRPr="008F5C15">
              <w:rPr>
                <w:rFonts w:ascii="Verdana" w:hAnsi="Verdana"/>
                <w:b/>
                <w:sz w:val="16"/>
                <w:szCs w:val="16"/>
                <w:lang w:val="es-MX"/>
              </w:rPr>
              <w:t>4.1.9</w:t>
            </w:r>
            <w:r w:rsidRPr="008F5C15">
              <w:rPr>
                <w:rFonts w:ascii="Verdana" w:hAnsi="Verdana"/>
                <w:sz w:val="16"/>
                <w:szCs w:val="16"/>
                <w:lang w:val="es-MX"/>
              </w:rPr>
              <w:tab/>
              <w:t>m</w:t>
            </w:r>
            <w:r w:rsidRPr="008F5C15">
              <w:rPr>
                <w:rFonts w:ascii="Verdana" w:hAnsi="Verdana"/>
                <w:sz w:val="16"/>
                <w:szCs w:val="16"/>
                <w:vertAlign w:val="superscript"/>
                <w:lang w:val="es-MX"/>
              </w:rPr>
              <w:t>3</w:t>
            </w:r>
            <w:r w:rsidRPr="008F5C15">
              <w:rPr>
                <w:rFonts w:ascii="Verdana" w:hAnsi="Verdana"/>
                <w:position w:val="6"/>
                <w:sz w:val="16"/>
                <w:szCs w:val="16"/>
                <w:lang w:val="es-MX"/>
              </w:rPr>
              <w:tab/>
            </w:r>
            <w:r w:rsidRPr="008F5C15">
              <w:rPr>
                <w:rFonts w:ascii="Verdana" w:hAnsi="Verdana"/>
                <w:sz w:val="16"/>
                <w:szCs w:val="16"/>
                <w:lang w:val="es-MX"/>
              </w:rPr>
              <w:t>Metro cúbico.</w:t>
            </w:r>
          </w:p>
        </w:tc>
        <w:tc>
          <w:tcPr>
            <w:tcW w:w="4427" w:type="dxa"/>
            <w:shd w:val="clear" w:color="auto" w:fill="auto"/>
          </w:tcPr>
          <w:p w14:paraId="7B0A5CC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4.1.9 </w:t>
            </w:r>
            <w:r w:rsidRPr="008F5C15">
              <w:rPr>
                <w:rFonts w:ascii="Verdana" w:hAnsi="Verdana"/>
                <w:sz w:val="16"/>
                <w:szCs w:val="16"/>
                <w:lang w:val="en-US"/>
              </w:rPr>
              <w:t>m3 Cubic meter.</w:t>
            </w:r>
          </w:p>
        </w:tc>
      </w:tr>
      <w:tr w:rsidR="001C6A90" w:rsidRPr="00262EF8" w14:paraId="2AE5E84D" w14:textId="77777777" w:rsidTr="00886332">
        <w:tc>
          <w:tcPr>
            <w:tcW w:w="4405" w:type="dxa"/>
          </w:tcPr>
          <w:p w14:paraId="2000EA2A" w14:textId="77777777" w:rsidR="001C6A90" w:rsidRPr="008F5C15" w:rsidRDefault="001C6A90" w:rsidP="001C6A90">
            <w:pPr>
              <w:pStyle w:val="Texto"/>
              <w:tabs>
                <w:tab w:val="left" w:pos="884"/>
              </w:tabs>
              <w:spacing w:line="276" w:lineRule="auto"/>
              <w:ind w:firstLine="0"/>
              <w:rPr>
                <w:rFonts w:ascii="Verdana" w:hAnsi="Verdana"/>
                <w:sz w:val="16"/>
                <w:szCs w:val="16"/>
                <w:lang w:val="es-MX"/>
              </w:rPr>
            </w:pPr>
            <w:r w:rsidRPr="008F5C15">
              <w:rPr>
                <w:rFonts w:ascii="Verdana" w:hAnsi="Verdana"/>
                <w:b/>
                <w:sz w:val="16"/>
                <w:szCs w:val="16"/>
                <w:lang w:val="es-MX"/>
              </w:rPr>
              <w:t>4.1.10</w:t>
            </w:r>
            <w:r w:rsidRPr="008F5C15">
              <w:rPr>
                <w:rFonts w:ascii="Verdana" w:hAnsi="Verdana"/>
                <w:sz w:val="16"/>
                <w:szCs w:val="16"/>
                <w:lang w:val="es-MX"/>
              </w:rPr>
              <w:tab/>
              <w:t>mm</w:t>
            </w:r>
            <w:r w:rsidRPr="008F5C15">
              <w:rPr>
                <w:rFonts w:ascii="Verdana" w:hAnsi="Verdana"/>
                <w:sz w:val="16"/>
                <w:szCs w:val="16"/>
                <w:lang w:val="es-MX"/>
              </w:rPr>
              <w:tab/>
              <w:t>Milímetro.</w:t>
            </w:r>
          </w:p>
        </w:tc>
        <w:tc>
          <w:tcPr>
            <w:tcW w:w="4427" w:type="dxa"/>
            <w:shd w:val="clear" w:color="auto" w:fill="auto"/>
          </w:tcPr>
          <w:p w14:paraId="5E241FD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4.1.10 </w:t>
            </w:r>
            <w:r w:rsidRPr="008F5C15">
              <w:rPr>
                <w:rFonts w:ascii="Verdana" w:hAnsi="Verdana"/>
                <w:sz w:val="16"/>
                <w:szCs w:val="16"/>
                <w:lang w:val="en-US"/>
              </w:rPr>
              <w:t>mm Millimeter.</w:t>
            </w:r>
          </w:p>
        </w:tc>
      </w:tr>
      <w:tr w:rsidR="001C6A90" w:rsidRPr="00262EF8" w14:paraId="4C41AE51" w14:textId="77777777" w:rsidTr="00886332">
        <w:tc>
          <w:tcPr>
            <w:tcW w:w="4405" w:type="dxa"/>
          </w:tcPr>
          <w:p w14:paraId="510D951C" w14:textId="77777777" w:rsidR="001C6A90" w:rsidRPr="008F5C15" w:rsidRDefault="001C6A90" w:rsidP="001C6A90">
            <w:pPr>
              <w:pStyle w:val="Texto"/>
              <w:tabs>
                <w:tab w:val="left" w:pos="884"/>
              </w:tabs>
              <w:spacing w:line="276" w:lineRule="auto"/>
              <w:ind w:firstLine="0"/>
              <w:rPr>
                <w:rFonts w:ascii="Verdana" w:hAnsi="Verdana"/>
                <w:sz w:val="16"/>
                <w:szCs w:val="16"/>
                <w:lang w:val="es-MX"/>
              </w:rPr>
            </w:pPr>
            <w:r w:rsidRPr="008F5C15">
              <w:rPr>
                <w:rFonts w:ascii="Verdana" w:hAnsi="Verdana"/>
                <w:b/>
                <w:sz w:val="16"/>
                <w:szCs w:val="16"/>
                <w:lang w:val="es-MX"/>
              </w:rPr>
              <w:t>4.1.11</w:t>
            </w:r>
            <w:r w:rsidRPr="008F5C15">
              <w:rPr>
                <w:rFonts w:ascii="Verdana" w:hAnsi="Verdana"/>
                <w:b/>
                <w:sz w:val="16"/>
                <w:szCs w:val="16"/>
                <w:lang w:val="es-MX"/>
              </w:rPr>
              <w:tab/>
            </w:r>
            <w:r w:rsidRPr="008F5C15">
              <w:rPr>
                <w:rFonts w:ascii="Verdana" w:hAnsi="Verdana"/>
                <w:sz w:val="16"/>
                <w:szCs w:val="16"/>
                <w:lang w:val="es-MX"/>
              </w:rPr>
              <w:t>Pa</w:t>
            </w:r>
            <w:r w:rsidRPr="008F5C15">
              <w:rPr>
                <w:rFonts w:ascii="Verdana" w:hAnsi="Verdana"/>
                <w:sz w:val="16"/>
                <w:szCs w:val="16"/>
                <w:lang w:val="es-MX"/>
              </w:rPr>
              <w:tab/>
              <w:t>Pascal.</w:t>
            </w:r>
          </w:p>
        </w:tc>
        <w:tc>
          <w:tcPr>
            <w:tcW w:w="4427" w:type="dxa"/>
            <w:shd w:val="clear" w:color="auto" w:fill="auto"/>
          </w:tcPr>
          <w:p w14:paraId="111E236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4.1.11 </w:t>
            </w:r>
            <w:r w:rsidRPr="008F5C15">
              <w:rPr>
                <w:rFonts w:ascii="Verdana" w:hAnsi="Verdana"/>
                <w:sz w:val="16"/>
                <w:szCs w:val="16"/>
                <w:lang w:val="en-US"/>
              </w:rPr>
              <w:t>Pa Pascal.</w:t>
            </w:r>
          </w:p>
        </w:tc>
      </w:tr>
      <w:tr w:rsidR="001C6A90" w:rsidRPr="00262EF8" w14:paraId="578793EA" w14:textId="77777777" w:rsidTr="00886332">
        <w:tc>
          <w:tcPr>
            <w:tcW w:w="4405" w:type="dxa"/>
          </w:tcPr>
          <w:p w14:paraId="0EC9293A" w14:textId="77777777" w:rsidR="001C6A90" w:rsidRPr="008F5C15" w:rsidRDefault="001C6A90" w:rsidP="001C6A90">
            <w:pPr>
              <w:pStyle w:val="Texto"/>
              <w:tabs>
                <w:tab w:val="left" w:pos="1260"/>
                <w:tab w:val="left" w:pos="2520"/>
              </w:tabs>
              <w:spacing w:after="90" w:line="276" w:lineRule="auto"/>
              <w:ind w:firstLine="0"/>
              <w:rPr>
                <w:rFonts w:ascii="Verdana" w:hAnsi="Verdana"/>
                <w:b/>
                <w:sz w:val="16"/>
                <w:szCs w:val="16"/>
                <w:lang w:val="es-MX"/>
              </w:rPr>
            </w:pPr>
            <w:r w:rsidRPr="008F5C15">
              <w:rPr>
                <w:rFonts w:ascii="Verdana" w:hAnsi="Verdana"/>
                <w:b/>
                <w:sz w:val="16"/>
                <w:szCs w:val="16"/>
                <w:lang w:val="es-MX"/>
              </w:rPr>
              <w:t xml:space="preserve">4.2 </w:t>
            </w:r>
            <w:r w:rsidRPr="008F5C15">
              <w:rPr>
                <w:rFonts w:ascii="Verdana" w:hAnsi="Verdana"/>
                <w:sz w:val="16"/>
                <w:szCs w:val="16"/>
                <w:lang w:val="es-MX"/>
              </w:rPr>
              <w:t>Abreviaturas.</w:t>
            </w:r>
          </w:p>
        </w:tc>
        <w:tc>
          <w:tcPr>
            <w:tcW w:w="4427" w:type="dxa"/>
            <w:shd w:val="clear" w:color="auto" w:fill="auto"/>
          </w:tcPr>
          <w:p w14:paraId="563F5AB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4.2 </w:t>
            </w:r>
            <w:r w:rsidRPr="008F5C15">
              <w:rPr>
                <w:rFonts w:ascii="Verdana" w:hAnsi="Verdana"/>
                <w:sz w:val="16"/>
                <w:szCs w:val="16"/>
                <w:lang w:val="en-US"/>
              </w:rPr>
              <w:t>Abbreviations.</w:t>
            </w:r>
          </w:p>
        </w:tc>
      </w:tr>
      <w:tr w:rsidR="001C6A90" w:rsidRPr="00947A46" w14:paraId="05F75580" w14:textId="77777777" w:rsidTr="00886332">
        <w:tc>
          <w:tcPr>
            <w:tcW w:w="4405" w:type="dxa"/>
          </w:tcPr>
          <w:p w14:paraId="074260C3"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sz w:val="16"/>
                <w:szCs w:val="16"/>
                <w:lang w:val="es-MX"/>
              </w:rPr>
              <w:t>Cuando en esta Norma se haga referencia a las siguientes abreviaturas, se entenderá:</w:t>
            </w:r>
          </w:p>
        </w:tc>
        <w:tc>
          <w:tcPr>
            <w:tcW w:w="4427" w:type="dxa"/>
            <w:shd w:val="clear" w:color="auto" w:fill="auto"/>
          </w:tcPr>
          <w:p w14:paraId="1886C9C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When referring in this Standard to the following abbreviations they shall mean:</w:t>
            </w:r>
          </w:p>
        </w:tc>
      </w:tr>
      <w:tr w:rsidR="001C6A90" w:rsidRPr="00262EF8" w14:paraId="4BD9196E" w14:textId="77777777" w:rsidTr="00886332">
        <w:tc>
          <w:tcPr>
            <w:tcW w:w="4405" w:type="dxa"/>
          </w:tcPr>
          <w:p w14:paraId="7C97B530" w14:textId="77777777" w:rsidR="001C6A90" w:rsidRPr="008F5C15" w:rsidRDefault="001C6A90" w:rsidP="001C6A90">
            <w:pPr>
              <w:pStyle w:val="Texto"/>
              <w:tabs>
                <w:tab w:val="left" w:pos="1260"/>
                <w:tab w:val="left" w:pos="1963"/>
              </w:tabs>
              <w:spacing w:after="90" w:line="276" w:lineRule="auto"/>
              <w:ind w:firstLine="0"/>
              <w:rPr>
                <w:rFonts w:ascii="Verdana" w:hAnsi="Verdana"/>
                <w:sz w:val="16"/>
                <w:szCs w:val="16"/>
                <w:lang w:val="es-MX"/>
              </w:rPr>
            </w:pPr>
            <w:r w:rsidRPr="008F5C15">
              <w:rPr>
                <w:rFonts w:ascii="Verdana" w:hAnsi="Verdana"/>
                <w:b/>
                <w:sz w:val="16"/>
                <w:szCs w:val="16"/>
                <w:lang w:val="es-MX"/>
              </w:rPr>
              <w:t>4.2.1</w:t>
            </w:r>
            <w:r w:rsidRPr="008F5C15">
              <w:rPr>
                <w:rFonts w:ascii="Verdana" w:hAnsi="Verdana"/>
                <w:sz w:val="16"/>
                <w:szCs w:val="16"/>
                <w:lang w:val="es-MX"/>
              </w:rPr>
              <w:tab/>
            </w:r>
            <w:r w:rsidRPr="008F5C15">
              <w:rPr>
                <w:rFonts w:ascii="Verdana" w:hAnsi="Verdana"/>
                <w:b/>
                <w:sz w:val="16"/>
                <w:szCs w:val="16"/>
                <w:lang w:val="es-MX"/>
              </w:rPr>
              <w:t>BCG</w:t>
            </w:r>
            <w:r w:rsidRPr="008F5C15">
              <w:rPr>
                <w:rFonts w:ascii="Verdana" w:hAnsi="Verdana"/>
                <w:b/>
                <w:color w:val="000000"/>
                <w:sz w:val="16"/>
                <w:szCs w:val="16"/>
                <w:lang w:val="es-MX"/>
              </w:rPr>
              <w:t xml:space="preserve"> </w:t>
            </w:r>
            <w:r w:rsidRPr="008F5C15">
              <w:rPr>
                <w:rFonts w:ascii="Verdana" w:hAnsi="Verdana"/>
                <w:color w:val="000000"/>
                <w:sz w:val="16"/>
                <w:szCs w:val="16"/>
                <w:lang w:val="es-MX"/>
              </w:rPr>
              <w:tab/>
              <w:t xml:space="preserve">Vacuna </w:t>
            </w:r>
            <w:r w:rsidRPr="008F5C15">
              <w:rPr>
                <w:rFonts w:ascii="Verdana" w:hAnsi="Verdana"/>
                <w:sz w:val="16"/>
                <w:szCs w:val="16"/>
                <w:lang w:val="es-MX"/>
              </w:rPr>
              <w:t xml:space="preserve">Bacilos de Calmette y </w:t>
            </w:r>
            <w:r w:rsidRPr="008F5C15">
              <w:rPr>
                <w:rFonts w:ascii="Verdana" w:hAnsi="Verdana"/>
                <w:color w:val="000000"/>
                <w:sz w:val="16"/>
                <w:szCs w:val="16"/>
                <w:lang w:val="es-MX"/>
              </w:rPr>
              <w:t>Guérin.</w:t>
            </w:r>
          </w:p>
        </w:tc>
        <w:tc>
          <w:tcPr>
            <w:tcW w:w="4427" w:type="dxa"/>
            <w:shd w:val="clear" w:color="auto" w:fill="auto"/>
          </w:tcPr>
          <w:p w14:paraId="630EDA4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4.2.1</w:t>
            </w:r>
            <w:r w:rsidRPr="008F5C15">
              <w:rPr>
                <w:rFonts w:ascii="Verdana" w:hAnsi="Verdana"/>
                <w:sz w:val="16"/>
                <w:szCs w:val="16"/>
                <w:lang w:val="en-US"/>
              </w:rPr>
              <w:t xml:space="preserve"> </w:t>
            </w:r>
            <w:r w:rsidRPr="008F5C15">
              <w:rPr>
                <w:rFonts w:ascii="Verdana" w:hAnsi="Verdana"/>
                <w:b/>
                <w:sz w:val="16"/>
                <w:szCs w:val="16"/>
                <w:lang w:val="en-US"/>
              </w:rPr>
              <w:t>BCG</w:t>
            </w:r>
            <w:r w:rsidRPr="008F5C15">
              <w:rPr>
                <w:rFonts w:ascii="Verdana" w:hAnsi="Verdana"/>
                <w:sz w:val="16"/>
                <w:szCs w:val="16"/>
                <w:lang w:val="en-US"/>
              </w:rPr>
              <w:t xml:space="preserve"> Bacillus Calmette–Guerin vaccine.</w:t>
            </w:r>
          </w:p>
        </w:tc>
      </w:tr>
      <w:tr w:rsidR="001C6A90" w:rsidRPr="00947A46" w14:paraId="260F9813" w14:textId="77777777" w:rsidTr="00886332">
        <w:tc>
          <w:tcPr>
            <w:tcW w:w="4405" w:type="dxa"/>
          </w:tcPr>
          <w:p w14:paraId="62B174EA" w14:textId="77777777" w:rsidR="001C6A90" w:rsidRPr="008F5C15" w:rsidRDefault="001C6A90" w:rsidP="001C6A90">
            <w:pPr>
              <w:pStyle w:val="Texto"/>
              <w:tabs>
                <w:tab w:val="left" w:pos="1260"/>
                <w:tab w:val="left" w:pos="1963"/>
              </w:tabs>
              <w:spacing w:after="90" w:line="276" w:lineRule="auto"/>
              <w:ind w:firstLine="0"/>
              <w:rPr>
                <w:rFonts w:ascii="Verdana" w:hAnsi="Verdana"/>
                <w:sz w:val="16"/>
                <w:szCs w:val="16"/>
                <w:lang w:val="es-MX"/>
              </w:rPr>
            </w:pPr>
            <w:r w:rsidRPr="008F5C15">
              <w:rPr>
                <w:rFonts w:ascii="Verdana" w:hAnsi="Verdana"/>
                <w:b/>
                <w:sz w:val="16"/>
                <w:szCs w:val="16"/>
                <w:lang w:val="es-MX"/>
              </w:rPr>
              <w:t>4.2.2</w:t>
            </w:r>
            <w:r w:rsidRPr="008F5C15">
              <w:rPr>
                <w:rFonts w:ascii="Verdana" w:hAnsi="Verdana"/>
                <w:sz w:val="16"/>
                <w:szCs w:val="16"/>
                <w:lang w:val="es-MX"/>
              </w:rPr>
              <w:tab/>
            </w:r>
            <w:r w:rsidRPr="008F5C15">
              <w:rPr>
                <w:rFonts w:ascii="Verdana" w:hAnsi="Verdana"/>
                <w:b/>
                <w:sz w:val="16"/>
                <w:szCs w:val="16"/>
                <w:lang w:val="es-MX"/>
              </w:rPr>
              <w:t>BPAD</w:t>
            </w:r>
            <w:r w:rsidRPr="008F5C15">
              <w:rPr>
                <w:rFonts w:ascii="Verdana" w:hAnsi="Verdana"/>
                <w:sz w:val="16"/>
                <w:szCs w:val="16"/>
                <w:lang w:val="es-MX"/>
              </w:rPr>
              <w:tab/>
              <w:t>Buenas Prácticas de Almacenamiento y Distribución.</w:t>
            </w:r>
          </w:p>
        </w:tc>
        <w:tc>
          <w:tcPr>
            <w:tcW w:w="4427" w:type="dxa"/>
            <w:shd w:val="clear" w:color="auto" w:fill="auto"/>
          </w:tcPr>
          <w:p w14:paraId="4CDF1AA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4.2.2 GPSD</w:t>
            </w:r>
            <w:r w:rsidRPr="008F5C15">
              <w:rPr>
                <w:rFonts w:ascii="Verdana" w:hAnsi="Verdana"/>
                <w:sz w:val="16"/>
                <w:szCs w:val="16"/>
                <w:lang w:val="en-US"/>
              </w:rPr>
              <w:t xml:space="preserve"> Good Storage and Distribution Practices</w:t>
            </w:r>
          </w:p>
        </w:tc>
      </w:tr>
      <w:tr w:rsidR="001C6A90" w:rsidRPr="00DB4E06" w14:paraId="584DA928" w14:textId="77777777" w:rsidTr="00886332">
        <w:tc>
          <w:tcPr>
            <w:tcW w:w="4405" w:type="dxa"/>
          </w:tcPr>
          <w:p w14:paraId="3F49C4FA" w14:textId="77777777" w:rsidR="001C6A90" w:rsidRPr="008F5C15" w:rsidRDefault="001C6A90" w:rsidP="001C6A90">
            <w:pPr>
              <w:pStyle w:val="Texto"/>
              <w:tabs>
                <w:tab w:val="left" w:pos="1260"/>
                <w:tab w:val="left" w:pos="1963"/>
              </w:tabs>
              <w:spacing w:after="90" w:line="276" w:lineRule="auto"/>
              <w:ind w:firstLine="0"/>
              <w:rPr>
                <w:rFonts w:ascii="Verdana" w:hAnsi="Verdana"/>
                <w:sz w:val="16"/>
                <w:szCs w:val="16"/>
                <w:lang w:val="es-MX"/>
              </w:rPr>
            </w:pPr>
            <w:r w:rsidRPr="008F5C15">
              <w:rPr>
                <w:rFonts w:ascii="Verdana" w:hAnsi="Verdana"/>
                <w:b/>
                <w:sz w:val="16"/>
                <w:szCs w:val="16"/>
                <w:lang w:val="es-MX"/>
              </w:rPr>
              <w:lastRenderedPageBreak/>
              <w:t>4.2.3</w:t>
            </w:r>
            <w:r w:rsidRPr="008F5C15">
              <w:rPr>
                <w:rFonts w:ascii="Verdana" w:hAnsi="Verdana"/>
                <w:sz w:val="16"/>
                <w:szCs w:val="16"/>
                <w:lang w:val="es-MX"/>
              </w:rPr>
              <w:tab/>
            </w:r>
            <w:r w:rsidRPr="008F5C15">
              <w:rPr>
                <w:rFonts w:ascii="Verdana" w:hAnsi="Verdana"/>
                <w:b/>
                <w:sz w:val="16"/>
                <w:szCs w:val="16"/>
                <w:lang w:val="es-MX"/>
              </w:rPr>
              <w:t>BPD</w:t>
            </w:r>
            <w:r w:rsidRPr="008F5C15">
              <w:rPr>
                <w:rFonts w:ascii="Verdana" w:hAnsi="Verdana"/>
                <w:sz w:val="16"/>
                <w:szCs w:val="16"/>
                <w:lang w:val="es-MX"/>
              </w:rPr>
              <w:tab/>
              <w:t>Buenas Prácticas de Documentación.</w:t>
            </w:r>
          </w:p>
        </w:tc>
        <w:tc>
          <w:tcPr>
            <w:tcW w:w="4427" w:type="dxa"/>
            <w:shd w:val="clear" w:color="auto" w:fill="auto"/>
          </w:tcPr>
          <w:p w14:paraId="0C168DE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4.2.3 GDP</w:t>
            </w:r>
            <w:r w:rsidRPr="008F5C15">
              <w:rPr>
                <w:rFonts w:ascii="Verdana" w:hAnsi="Verdana"/>
                <w:sz w:val="16"/>
                <w:szCs w:val="16"/>
                <w:lang w:val="en-US"/>
              </w:rPr>
              <w:t xml:space="preserve"> Good Documentation Practices.</w:t>
            </w:r>
          </w:p>
        </w:tc>
      </w:tr>
      <w:tr w:rsidR="001C6A90" w:rsidRPr="00DB4E06" w14:paraId="7EFE160E" w14:textId="77777777" w:rsidTr="00886332">
        <w:tc>
          <w:tcPr>
            <w:tcW w:w="4405" w:type="dxa"/>
          </w:tcPr>
          <w:p w14:paraId="365F5B1E" w14:textId="77777777" w:rsidR="001C6A90" w:rsidRPr="008F5C15" w:rsidRDefault="001C6A90" w:rsidP="001C6A90">
            <w:pPr>
              <w:pStyle w:val="Texto"/>
              <w:tabs>
                <w:tab w:val="left" w:pos="1260"/>
                <w:tab w:val="left" w:pos="1963"/>
              </w:tabs>
              <w:spacing w:after="90" w:line="276" w:lineRule="auto"/>
              <w:ind w:firstLine="0"/>
              <w:rPr>
                <w:rFonts w:ascii="Verdana" w:hAnsi="Verdana"/>
                <w:b/>
                <w:sz w:val="16"/>
                <w:szCs w:val="16"/>
                <w:lang w:val="es-MX"/>
              </w:rPr>
            </w:pPr>
            <w:r w:rsidRPr="008F5C15">
              <w:rPr>
                <w:rFonts w:ascii="Verdana" w:hAnsi="Verdana"/>
                <w:b/>
                <w:sz w:val="16"/>
                <w:szCs w:val="16"/>
                <w:lang w:val="es-MX"/>
              </w:rPr>
              <w:t>4.2.4</w:t>
            </w:r>
            <w:r w:rsidRPr="008F5C15">
              <w:rPr>
                <w:rFonts w:ascii="Verdana" w:hAnsi="Verdana"/>
                <w:sz w:val="16"/>
                <w:szCs w:val="16"/>
                <w:lang w:val="es-MX"/>
              </w:rPr>
              <w:tab/>
            </w:r>
            <w:r w:rsidRPr="008F5C15">
              <w:rPr>
                <w:rFonts w:ascii="Verdana" w:hAnsi="Verdana"/>
                <w:b/>
                <w:sz w:val="16"/>
                <w:szCs w:val="16"/>
                <w:lang w:val="es-MX"/>
              </w:rPr>
              <w:t>BPL</w:t>
            </w:r>
            <w:r w:rsidRPr="008F5C15">
              <w:rPr>
                <w:rFonts w:ascii="Verdana" w:hAnsi="Verdana"/>
                <w:sz w:val="16"/>
                <w:szCs w:val="16"/>
                <w:lang w:val="es-MX"/>
              </w:rPr>
              <w:tab/>
              <w:t>Buenas Prácticas de Laboratorio</w:t>
            </w:r>
          </w:p>
        </w:tc>
        <w:tc>
          <w:tcPr>
            <w:tcW w:w="4427" w:type="dxa"/>
            <w:shd w:val="clear" w:color="auto" w:fill="auto"/>
          </w:tcPr>
          <w:p w14:paraId="033763D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4.2.4 GLP</w:t>
            </w:r>
            <w:r w:rsidRPr="008F5C15">
              <w:rPr>
                <w:rFonts w:ascii="Verdana" w:hAnsi="Verdana"/>
                <w:sz w:val="16"/>
                <w:szCs w:val="16"/>
                <w:lang w:val="en-US"/>
              </w:rPr>
              <w:t xml:space="preserve"> Good Laboratory Practices</w:t>
            </w:r>
          </w:p>
        </w:tc>
      </w:tr>
      <w:tr w:rsidR="001C6A90" w:rsidRPr="00DB4E06" w14:paraId="4433C42F" w14:textId="77777777" w:rsidTr="00886332">
        <w:tc>
          <w:tcPr>
            <w:tcW w:w="4405" w:type="dxa"/>
          </w:tcPr>
          <w:p w14:paraId="74A106F4" w14:textId="77777777" w:rsidR="001C6A90" w:rsidRPr="008F5C15" w:rsidRDefault="001C6A90" w:rsidP="001C6A90">
            <w:pPr>
              <w:pStyle w:val="Texto"/>
              <w:tabs>
                <w:tab w:val="left" w:pos="1260"/>
                <w:tab w:val="left" w:pos="1963"/>
              </w:tabs>
              <w:spacing w:after="90" w:line="276" w:lineRule="auto"/>
              <w:ind w:firstLine="0"/>
              <w:rPr>
                <w:rFonts w:ascii="Verdana" w:hAnsi="Verdana"/>
                <w:sz w:val="16"/>
                <w:szCs w:val="16"/>
                <w:lang w:val="es-MX"/>
              </w:rPr>
            </w:pPr>
            <w:r w:rsidRPr="008F5C15">
              <w:rPr>
                <w:rFonts w:ascii="Verdana" w:hAnsi="Verdana"/>
                <w:b/>
                <w:sz w:val="16"/>
                <w:szCs w:val="16"/>
                <w:lang w:val="es-MX"/>
              </w:rPr>
              <w:t>4.2.5</w:t>
            </w:r>
            <w:r w:rsidRPr="008F5C15">
              <w:rPr>
                <w:rFonts w:ascii="Verdana" w:hAnsi="Verdana"/>
                <w:b/>
                <w:sz w:val="16"/>
                <w:szCs w:val="16"/>
                <w:lang w:val="es-MX"/>
              </w:rPr>
              <w:tab/>
              <w:t>BPF</w:t>
            </w:r>
            <w:r w:rsidRPr="008F5C15">
              <w:rPr>
                <w:rFonts w:ascii="Verdana" w:hAnsi="Verdana"/>
                <w:sz w:val="16"/>
                <w:szCs w:val="16"/>
                <w:lang w:val="es-MX"/>
              </w:rPr>
              <w:tab/>
              <w:t>Buenas Prácticas de Fabricación.</w:t>
            </w:r>
          </w:p>
        </w:tc>
        <w:tc>
          <w:tcPr>
            <w:tcW w:w="4427" w:type="dxa"/>
            <w:shd w:val="clear" w:color="auto" w:fill="auto"/>
          </w:tcPr>
          <w:p w14:paraId="6094B6C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4.2.5 GMP</w:t>
            </w:r>
            <w:r w:rsidRPr="008F5C15">
              <w:rPr>
                <w:rFonts w:ascii="Verdana" w:hAnsi="Verdana"/>
                <w:sz w:val="16"/>
                <w:szCs w:val="16"/>
                <w:lang w:val="en-US"/>
              </w:rPr>
              <w:t xml:space="preserve"> Good Manufacturing Practices.</w:t>
            </w:r>
          </w:p>
        </w:tc>
      </w:tr>
      <w:tr w:rsidR="001C6A90" w:rsidRPr="00947A46" w14:paraId="10FE7965" w14:textId="77777777" w:rsidTr="00886332">
        <w:tc>
          <w:tcPr>
            <w:tcW w:w="4405" w:type="dxa"/>
          </w:tcPr>
          <w:p w14:paraId="10FA1026" w14:textId="77777777" w:rsidR="001C6A90" w:rsidRPr="008F5C15" w:rsidRDefault="001C6A90" w:rsidP="001C6A90">
            <w:pPr>
              <w:pStyle w:val="Texto"/>
              <w:tabs>
                <w:tab w:val="left" w:pos="1260"/>
                <w:tab w:val="left" w:pos="1963"/>
              </w:tabs>
              <w:spacing w:after="90" w:line="276" w:lineRule="auto"/>
              <w:ind w:firstLine="0"/>
              <w:rPr>
                <w:rFonts w:ascii="Verdana" w:hAnsi="Verdana"/>
                <w:sz w:val="16"/>
                <w:szCs w:val="16"/>
                <w:lang w:val="es-MX"/>
              </w:rPr>
            </w:pPr>
            <w:r w:rsidRPr="008F5C15">
              <w:rPr>
                <w:rFonts w:ascii="Verdana" w:hAnsi="Verdana"/>
                <w:b/>
                <w:sz w:val="16"/>
                <w:szCs w:val="16"/>
                <w:lang w:val="es-MX"/>
              </w:rPr>
              <w:t>4.2.6</w:t>
            </w:r>
            <w:r w:rsidRPr="008F5C15">
              <w:rPr>
                <w:rFonts w:ascii="Verdana" w:hAnsi="Verdana"/>
                <w:b/>
                <w:sz w:val="16"/>
                <w:szCs w:val="16"/>
                <w:lang w:val="es-MX"/>
              </w:rPr>
              <w:tab/>
              <w:t>BSE</w:t>
            </w:r>
            <w:r w:rsidRPr="008F5C15">
              <w:rPr>
                <w:rFonts w:ascii="Verdana" w:hAnsi="Verdana"/>
                <w:sz w:val="16"/>
                <w:szCs w:val="16"/>
                <w:lang w:val="es-MX"/>
              </w:rPr>
              <w:tab/>
              <w:t>Encefalopatía espongiforme bovina (por sus siglas en inglés, Bovine Spongiform Encephalopathies).</w:t>
            </w:r>
          </w:p>
        </w:tc>
        <w:tc>
          <w:tcPr>
            <w:tcW w:w="4427" w:type="dxa"/>
            <w:shd w:val="clear" w:color="auto" w:fill="auto"/>
          </w:tcPr>
          <w:p w14:paraId="644A49C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4.2.6 BSE </w:t>
            </w:r>
            <w:r w:rsidRPr="008F5C15">
              <w:rPr>
                <w:rFonts w:ascii="Verdana" w:hAnsi="Verdana"/>
                <w:sz w:val="16"/>
                <w:szCs w:val="16"/>
                <w:lang w:val="en-US"/>
              </w:rPr>
              <w:t>Bovine spongiform encephalopathy (by its acronym in English, Bovine Spongiform Encephalopathies).</w:t>
            </w:r>
          </w:p>
        </w:tc>
      </w:tr>
      <w:tr w:rsidR="001C6A90" w:rsidRPr="00947A46" w14:paraId="01804997" w14:textId="77777777" w:rsidTr="00886332">
        <w:tc>
          <w:tcPr>
            <w:tcW w:w="4405" w:type="dxa"/>
          </w:tcPr>
          <w:p w14:paraId="0D83E073"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4.2.7</w:t>
            </w:r>
            <w:r w:rsidRPr="008F5C15">
              <w:rPr>
                <w:rFonts w:ascii="Verdana" w:hAnsi="Verdana"/>
                <w:b/>
                <w:sz w:val="16"/>
                <w:szCs w:val="16"/>
                <w:lang w:val="es-MX"/>
              </w:rPr>
              <w:tab/>
              <w:t>CAPA</w:t>
            </w:r>
            <w:r w:rsidRPr="008F5C15">
              <w:rPr>
                <w:rFonts w:ascii="Verdana" w:hAnsi="Verdana"/>
                <w:sz w:val="16"/>
                <w:szCs w:val="16"/>
                <w:lang w:val="es-MX"/>
              </w:rPr>
              <w:tab/>
              <w:t>Acciones correctivas, acciones preventivas (por sus siglas en inglés, Corrective Action and Preventive Action).</w:t>
            </w:r>
          </w:p>
        </w:tc>
        <w:tc>
          <w:tcPr>
            <w:tcW w:w="4427" w:type="dxa"/>
            <w:shd w:val="clear" w:color="auto" w:fill="auto"/>
          </w:tcPr>
          <w:p w14:paraId="17465D9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4.2.7 CAPA </w:t>
            </w:r>
            <w:r w:rsidRPr="008F5C15">
              <w:rPr>
                <w:rFonts w:ascii="Verdana" w:hAnsi="Verdana"/>
                <w:sz w:val="16"/>
                <w:szCs w:val="16"/>
                <w:lang w:val="en-US"/>
              </w:rPr>
              <w:t>Corrective actions, preventive actions (for its acronym in English, Corrective Action and Preventive Action).</w:t>
            </w:r>
          </w:p>
        </w:tc>
      </w:tr>
      <w:tr w:rsidR="001C6A90" w:rsidRPr="00947A46" w14:paraId="7D3EE4BE" w14:textId="77777777" w:rsidTr="00886332">
        <w:tc>
          <w:tcPr>
            <w:tcW w:w="4405" w:type="dxa"/>
          </w:tcPr>
          <w:p w14:paraId="3193C507"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4.2.8</w:t>
            </w:r>
            <w:r w:rsidRPr="008F5C15">
              <w:rPr>
                <w:rFonts w:ascii="Verdana" w:hAnsi="Verdana"/>
                <w:b/>
                <w:sz w:val="16"/>
                <w:szCs w:val="16"/>
                <w:lang w:val="es-MX"/>
              </w:rPr>
              <w:tab/>
              <w:t>CNTS</w:t>
            </w:r>
            <w:r w:rsidRPr="008F5C15">
              <w:rPr>
                <w:rFonts w:ascii="Verdana" w:hAnsi="Verdana"/>
                <w:sz w:val="16"/>
                <w:szCs w:val="16"/>
                <w:lang w:val="es-MX"/>
              </w:rPr>
              <w:tab/>
              <w:t>Centro Nacional de la Transfusión Sanguínea.</w:t>
            </w:r>
          </w:p>
        </w:tc>
        <w:tc>
          <w:tcPr>
            <w:tcW w:w="4427" w:type="dxa"/>
            <w:shd w:val="clear" w:color="auto" w:fill="auto"/>
          </w:tcPr>
          <w:p w14:paraId="0CFA669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4.2.8 CNTS </w:t>
            </w:r>
            <w:r w:rsidRPr="008F5C15">
              <w:rPr>
                <w:rFonts w:ascii="Verdana" w:hAnsi="Verdana"/>
                <w:sz w:val="16"/>
                <w:szCs w:val="16"/>
                <w:lang w:val="en-US"/>
              </w:rPr>
              <w:t>National Center of Blood Transfusion</w:t>
            </w:r>
            <w:r w:rsidRPr="008F5C15">
              <w:rPr>
                <w:rFonts w:ascii="Verdana" w:hAnsi="Verdana"/>
                <w:b/>
                <w:sz w:val="16"/>
                <w:szCs w:val="16"/>
                <w:lang w:val="en-US"/>
              </w:rPr>
              <w:t xml:space="preserve"> </w:t>
            </w:r>
          </w:p>
        </w:tc>
      </w:tr>
      <w:tr w:rsidR="001C6A90" w:rsidRPr="00947A46" w14:paraId="39A2280F" w14:textId="77777777" w:rsidTr="00886332">
        <w:tc>
          <w:tcPr>
            <w:tcW w:w="4405" w:type="dxa"/>
          </w:tcPr>
          <w:p w14:paraId="70DA3775"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4.2.9</w:t>
            </w:r>
            <w:r w:rsidRPr="008F5C15">
              <w:rPr>
                <w:rFonts w:ascii="Verdana" w:hAnsi="Verdana"/>
                <w:b/>
                <w:sz w:val="16"/>
                <w:szCs w:val="16"/>
                <w:lang w:val="es-MX"/>
              </w:rPr>
              <w:tab/>
              <w:t>COFEPRIS</w:t>
            </w:r>
            <w:r w:rsidRPr="008F5C15">
              <w:rPr>
                <w:rFonts w:ascii="Verdana" w:hAnsi="Verdana"/>
                <w:sz w:val="16"/>
                <w:szCs w:val="16"/>
                <w:lang w:val="es-MX"/>
              </w:rPr>
              <w:tab/>
              <w:t>Comisión Federal para la Protección contra Riesgos Sanitarios.</w:t>
            </w:r>
          </w:p>
        </w:tc>
        <w:tc>
          <w:tcPr>
            <w:tcW w:w="4427" w:type="dxa"/>
            <w:shd w:val="clear" w:color="auto" w:fill="auto"/>
          </w:tcPr>
          <w:p w14:paraId="7E8E716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4.2.9 COFEPRIS </w:t>
            </w:r>
            <w:r w:rsidRPr="008F5C15">
              <w:rPr>
                <w:rFonts w:ascii="Verdana" w:hAnsi="Verdana"/>
                <w:sz w:val="16"/>
                <w:szCs w:val="16"/>
                <w:lang w:val="en-US"/>
              </w:rPr>
              <w:t>Federal Commission for Protection Against Health Risks.</w:t>
            </w:r>
          </w:p>
        </w:tc>
      </w:tr>
      <w:tr w:rsidR="001C6A90" w:rsidRPr="00DB4E06" w14:paraId="33111C87" w14:textId="77777777" w:rsidTr="00886332">
        <w:tc>
          <w:tcPr>
            <w:tcW w:w="4405" w:type="dxa"/>
          </w:tcPr>
          <w:p w14:paraId="1CE7899D" w14:textId="77777777" w:rsidR="001C6A90" w:rsidRPr="008F5C15" w:rsidRDefault="001C6A90" w:rsidP="001C6A90">
            <w:pPr>
              <w:pStyle w:val="Texto"/>
              <w:tabs>
                <w:tab w:val="left" w:pos="1260"/>
                <w:tab w:val="left" w:pos="2520"/>
              </w:tabs>
              <w:spacing w:after="90" w:line="276" w:lineRule="auto"/>
              <w:ind w:firstLine="0"/>
              <w:rPr>
                <w:rFonts w:ascii="Verdana" w:hAnsi="Verdana"/>
                <w:b/>
                <w:sz w:val="16"/>
                <w:szCs w:val="16"/>
                <w:lang w:val="es-MX"/>
              </w:rPr>
            </w:pPr>
            <w:r w:rsidRPr="008F5C15">
              <w:rPr>
                <w:rFonts w:ascii="Verdana" w:hAnsi="Verdana"/>
                <w:b/>
                <w:sz w:val="16"/>
                <w:szCs w:val="16"/>
                <w:lang w:val="es-MX"/>
              </w:rPr>
              <w:t>4.2.10</w:t>
            </w:r>
            <w:r w:rsidRPr="008F5C15">
              <w:rPr>
                <w:rFonts w:ascii="Verdana" w:hAnsi="Verdana"/>
                <w:b/>
                <w:sz w:val="16"/>
                <w:szCs w:val="16"/>
                <w:lang w:val="es-MX"/>
              </w:rPr>
              <w:tab/>
              <w:t>DCI</w:t>
            </w:r>
            <w:r w:rsidRPr="008F5C15">
              <w:rPr>
                <w:rFonts w:ascii="Verdana" w:hAnsi="Verdana"/>
                <w:sz w:val="16"/>
                <w:szCs w:val="16"/>
                <w:lang w:val="es-MX"/>
              </w:rPr>
              <w:tab/>
              <w:t>Denominación Común Internacional.</w:t>
            </w:r>
          </w:p>
        </w:tc>
        <w:tc>
          <w:tcPr>
            <w:tcW w:w="4427" w:type="dxa"/>
            <w:shd w:val="clear" w:color="auto" w:fill="auto"/>
          </w:tcPr>
          <w:p w14:paraId="79970E6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4.2.10 ICD</w:t>
            </w:r>
            <w:r w:rsidRPr="008F5C15">
              <w:rPr>
                <w:rFonts w:ascii="Verdana" w:hAnsi="Verdana"/>
                <w:sz w:val="16"/>
                <w:szCs w:val="16"/>
                <w:lang w:val="en-US"/>
              </w:rPr>
              <w:t xml:space="preserve"> International Common Denominator</w:t>
            </w:r>
          </w:p>
        </w:tc>
      </w:tr>
      <w:tr w:rsidR="001C6A90" w:rsidRPr="00947A46" w14:paraId="349671F8" w14:textId="77777777" w:rsidTr="00886332">
        <w:tc>
          <w:tcPr>
            <w:tcW w:w="4405" w:type="dxa"/>
          </w:tcPr>
          <w:p w14:paraId="3280320C"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4.2.11</w:t>
            </w:r>
            <w:r w:rsidRPr="008F5C15">
              <w:rPr>
                <w:rFonts w:ascii="Verdana" w:hAnsi="Verdana"/>
                <w:b/>
                <w:sz w:val="16"/>
                <w:szCs w:val="16"/>
                <w:lang w:val="es-MX"/>
              </w:rPr>
              <w:tab/>
              <w:t>EMSF</w:t>
            </w:r>
            <w:r w:rsidRPr="008F5C15">
              <w:rPr>
                <w:rFonts w:ascii="Verdana" w:hAnsi="Verdana"/>
                <w:sz w:val="16"/>
                <w:szCs w:val="16"/>
                <w:lang w:val="es-MX"/>
              </w:rPr>
              <w:tab/>
              <w:t>Expediente Maestro del Sitio de Fabricación.</w:t>
            </w:r>
          </w:p>
        </w:tc>
        <w:tc>
          <w:tcPr>
            <w:tcW w:w="4427" w:type="dxa"/>
            <w:shd w:val="clear" w:color="auto" w:fill="auto"/>
          </w:tcPr>
          <w:p w14:paraId="7B0CC96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4.2.11 MSMF</w:t>
            </w:r>
            <w:r w:rsidRPr="008F5C15">
              <w:rPr>
                <w:rFonts w:ascii="Verdana" w:hAnsi="Verdana"/>
                <w:sz w:val="16"/>
                <w:szCs w:val="16"/>
                <w:lang w:val="en-US"/>
              </w:rPr>
              <w:t xml:space="preserve"> Manufacturing Site Master File.</w:t>
            </w:r>
          </w:p>
        </w:tc>
      </w:tr>
      <w:tr w:rsidR="001C6A90" w:rsidRPr="00947A46" w14:paraId="3888A8A6" w14:textId="77777777" w:rsidTr="00886332">
        <w:tc>
          <w:tcPr>
            <w:tcW w:w="4405" w:type="dxa"/>
          </w:tcPr>
          <w:p w14:paraId="0A9F07F2"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4.2.12</w:t>
            </w:r>
            <w:r w:rsidRPr="008F5C15">
              <w:rPr>
                <w:rFonts w:ascii="Verdana" w:hAnsi="Verdana"/>
                <w:b/>
                <w:sz w:val="16"/>
                <w:szCs w:val="16"/>
                <w:lang w:val="es-MX"/>
              </w:rPr>
              <w:tab/>
              <w:t>FEUM</w:t>
            </w:r>
            <w:r w:rsidRPr="008F5C15">
              <w:rPr>
                <w:rFonts w:ascii="Verdana" w:hAnsi="Verdana"/>
                <w:sz w:val="16"/>
                <w:szCs w:val="16"/>
                <w:lang w:val="es-MX"/>
              </w:rPr>
              <w:tab/>
              <w:t>Farmacopea de los Estados Unidos Mexicanos.</w:t>
            </w:r>
          </w:p>
        </w:tc>
        <w:tc>
          <w:tcPr>
            <w:tcW w:w="4427" w:type="dxa"/>
            <w:shd w:val="clear" w:color="auto" w:fill="auto"/>
          </w:tcPr>
          <w:p w14:paraId="1200820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4.2.12 FEUM</w:t>
            </w:r>
            <w:r w:rsidRPr="008F5C15">
              <w:rPr>
                <w:rFonts w:ascii="Verdana" w:hAnsi="Verdana"/>
                <w:sz w:val="16"/>
                <w:szCs w:val="16"/>
                <w:lang w:val="en-US"/>
              </w:rPr>
              <w:t xml:space="preserve"> Pharmacopoeia of the United Mexican States.</w:t>
            </w:r>
          </w:p>
        </w:tc>
      </w:tr>
      <w:tr w:rsidR="001C6A90" w:rsidRPr="00947A46" w14:paraId="4490C992" w14:textId="77777777" w:rsidTr="00886332">
        <w:tc>
          <w:tcPr>
            <w:tcW w:w="4405" w:type="dxa"/>
          </w:tcPr>
          <w:p w14:paraId="6DBAAFEF"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4.2.13</w:t>
            </w:r>
            <w:r w:rsidRPr="008F5C15">
              <w:rPr>
                <w:rFonts w:ascii="Verdana" w:hAnsi="Verdana"/>
                <w:sz w:val="16"/>
                <w:szCs w:val="16"/>
                <w:lang w:val="es-MX"/>
              </w:rPr>
              <w:tab/>
            </w:r>
            <w:r w:rsidRPr="008F5C15">
              <w:rPr>
                <w:rFonts w:ascii="Verdana" w:hAnsi="Verdana"/>
                <w:b/>
                <w:sz w:val="16"/>
                <w:szCs w:val="16"/>
                <w:lang w:val="es-MX"/>
              </w:rPr>
              <w:t>FHOEUM</w:t>
            </w:r>
            <w:r w:rsidRPr="008F5C15">
              <w:rPr>
                <w:rFonts w:ascii="Verdana" w:hAnsi="Verdana"/>
                <w:sz w:val="16"/>
                <w:szCs w:val="16"/>
                <w:lang w:val="es-MX"/>
              </w:rPr>
              <w:tab/>
              <w:t>Farmacopea Homeopática de los Estados Unidos Mexicanos.</w:t>
            </w:r>
          </w:p>
        </w:tc>
        <w:tc>
          <w:tcPr>
            <w:tcW w:w="4427" w:type="dxa"/>
            <w:shd w:val="clear" w:color="auto" w:fill="auto"/>
          </w:tcPr>
          <w:p w14:paraId="2DFC568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4.2.13 FHEUM</w:t>
            </w:r>
            <w:r w:rsidRPr="008F5C15">
              <w:rPr>
                <w:rFonts w:ascii="Verdana" w:hAnsi="Verdana"/>
                <w:sz w:val="16"/>
                <w:szCs w:val="16"/>
                <w:lang w:val="en-US"/>
              </w:rPr>
              <w:t xml:space="preserve"> Homeopathic Pharmacopeia of the United Mexican States </w:t>
            </w:r>
          </w:p>
        </w:tc>
      </w:tr>
      <w:tr w:rsidR="001C6A90" w:rsidRPr="00947A46" w14:paraId="3E35AB33" w14:textId="77777777" w:rsidTr="00886332">
        <w:tc>
          <w:tcPr>
            <w:tcW w:w="4405" w:type="dxa"/>
          </w:tcPr>
          <w:p w14:paraId="0191ACED"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4.2.14</w:t>
            </w:r>
            <w:r w:rsidRPr="008F5C15">
              <w:rPr>
                <w:rFonts w:ascii="Verdana" w:hAnsi="Verdana"/>
                <w:b/>
                <w:sz w:val="16"/>
                <w:szCs w:val="16"/>
                <w:lang w:val="es-MX"/>
              </w:rPr>
              <w:tab/>
              <w:t>HEPA</w:t>
            </w:r>
            <w:r w:rsidRPr="008F5C15">
              <w:rPr>
                <w:rFonts w:ascii="Verdana" w:hAnsi="Verdana"/>
                <w:sz w:val="16"/>
                <w:szCs w:val="16"/>
                <w:lang w:val="es-MX"/>
              </w:rPr>
              <w:tab/>
              <w:t>Filtro de aire de alta eficiencia (por sus siglas en inglés, High Efficiency Particulate Air).</w:t>
            </w:r>
          </w:p>
        </w:tc>
        <w:tc>
          <w:tcPr>
            <w:tcW w:w="4427" w:type="dxa"/>
            <w:shd w:val="clear" w:color="auto" w:fill="auto"/>
          </w:tcPr>
          <w:p w14:paraId="4CA3AD2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4.2.14 HEPA </w:t>
            </w:r>
            <w:r w:rsidRPr="008F5C15">
              <w:rPr>
                <w:rFonts w:ascii="Verdana" w:hAnsi="Verdana"/>
                <w:sz w:val="16"/>
                <w:szCs w:val="16"/>
                <w:lang w:val="en-US"/>
              </w:rPr>
              <w:t>high efficiency air filter (for its acronym in English, High Efficiency Particulate Air).</w:t>
            </w:r>
          </w:p>
        </w:tc>
      </w:tr>
      <w:tr w:rsidR="001C6A90" w:rsidRPr="00DB4E06" w14:paraId="4126FE3F" w14:textId="77777777" w:rsidTr="00886332">
        <w:tc>
          <w:tcPr>
            <w:tcW w:w="4405" w:type="dxa"/>
          </w:tcPr>
          <w:p w14:paraId="2BF58B29"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4.2.15</w:t>
            </w:r>
            <w:r w:rsidRPr="008F5C15">
              <w:rPr>
                <w:rFonts w:ascii="Verdana" w:hAnsi="Verdana"/>
                <w:b/>
                <w:sz w:val="16"/>
                <w:szCs w:val="16"/>
                <w:lang w:val="es-MX"/>
              </w:rPr>
              <w:tab/>
              <w:t>HR</w:t>
            </w:r>
            <w:r w:rsidRPr="008F5C15">
              <w:rPr>
                <w:rFonts w:ascii="Verdana" w:hAnsi="Verdana"/>
                <w:sz w:val="16"/>
                <w:szCs w:val="16"/>
                <w:lang w:val="es-MX"/>
              </w:rPr>
              <w:tab/>
              <w:t>Humedad relativa.</w:t>
            </w:r>
          </w:p>
        </w:tc>
        <w:tc>
          <w:tcPr>
            <w:tcW w:w="4427" w:type="dxa"/>
            <w:shd w:val="clear" w:color="auto" w:fill="auto"/>
          </w:tcPr>
          <w:p w14:paraId="05E8704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4.2.5 RH</w:t>
            </w:r>
            <w:r w:rsidRPr="008F5C15">
              <w:rPr>
                <w:rFonts w:ascii="Verdana" w:hAnsi="Verdana"/>
                <w:sz w:val="16"/>
                <w:szCs w:val="16"/>
                <w:lang w:val="en-US"/>
              </w:rPr>
              <w:t xml:space="preserve"> Relative humidity</w:t>
            </w:r>
            <w:r w:rsidRPr="008F5C15">
              <w:rPr>
                <w:rFonts w:ascii="Verdana" w:hAnsi="Verdana"/>
                <w:b/>
                <w:sz w:val="16"/>
                <w:szCs w:val="16"/>
                <w:lang w:val="en-US"/>
              </w:rPr>
              <w:t xml:space="preserve"> </w:t>
            </w:r>
          </w:p>
        </w:tc>
      </w:tr>
      <w:tr w:rsidR="001C6A90" w:rsidRPr="00947A46" w14:paraId="0A222AC4" w14:textId="77777777" w:rsidTr="00886332">
        <w:tc>
          <w:tcPr>
            <w:tcW w:w="4405" w:type="dxa"/>
          </w:tcPr>
          <w:p w14:paraId="0FF49D2B"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4.2.16</w:t>
            </w:r>
            <w:r w:rsidRPr="008F5C15">
              <w:rPr>
                <w:rFonts w:ascii="Verdana" w:hAnsi="Verdana"/>
                <w:b/>
                <w:sz w:val="16"/>
                <w:szCs w:val="16"/>
                <w:lang w:val="es-MX"/>
              </w:rPr>
              <w:tab/>
              <w:t>HVAC</w:t>
            </w:r>
            <w:r w:rsidRPr="008F5C15">
              <w:rPr>
                <w:rFonts w:ascii="Verdana" w:hAnsi="Verdana"/>
                <w:sz w:val="16"/>
                <w:szCs w:val="16"/>
                <w:lang w:val="es-MX"/>
              </w:rPr>
              <w:tab/>
              <w:t>Sistema de aire acondicionado y calefacción (por sus siglas en inglés, Heating, Ventilation and Air Conditioning).</w:t>
            </w:r>
          </w:p>
        </w:tc>
        <w:tc>
          <w:tcPr>
            <w:tcW w:w="4427" w:type="dxa"/>
            <w:shd w:val="clear" w:color="auto" w:fill="auto"/>
          </w:tcPr>
          <w:p w14:paraId="363E2BC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4.2.16 HVAC</w:t>
            </w:r>
            <w:r w:rsidRPr="008F5C15">
              <w:rPr>
                <w:rFonts w:ascii="Verdana" w:hAnsi="Verdana"/>
                <w:sz w:val="16"/>
                <w:szCs w:val="16"/>
                <w:lang w:val="en-US"/>
              </w:rPr>
              <w:t xml:space="preserve"> system of air conditioning and heating (for its acronym in English, Heating, Ventilation and Air Conditioning).</w:t>
            </w:r>
          </w:p>
        </w:tc>
      </w:tr>
      <w:tr w:rsidR="001C6A90" w:rsidRPr="00DB4E06" w14:paraId="47C9EBAB" w14:textId="77777777" w:rsidTr="00886332">
        <w:tc>
          <w:tcPr>
            <w:tcW w:w="4405" w:type="dxa"/>
          </w:tcPr>
          <w:p w14:paraId="5BCF60E4" w14:textId="77777777" w:rsidR="001C6A90" w:rsidRPr="008F5C15" w:rsidRDefault="001C6A90" w:rsidP="001C6A90">
            <w:pPr>
              <w:pStyle w:val="Texto"/>
              <w:tabs>
                <w:tab w:val="left" w:pos="1260"/>
                <w:tab w:val="left" w:pos="2520"/>
              </w:tabs>
              <w:spacing w:after="90" w:line="276" w:lineRule="auto"/>
              <w:ind w:firstLine="0"/>
              <w:rPr>
                <w:rFonts w:ascii="Verdana" w:hAnsi="Verdana"/>
                <w:b/>
                <w:sz w:val="16"/>
                <w:szCs w:val="16"/>
                <w:lang w:val="es-MX"/>
              </w:rPr>
            </w:pPr>
            <w:r w:rsidRPr="008F5C15">
              <w:rPr>
                <w:rFonts w:ascii="Verdana" w:hAnsi="Verdana"/>
                <w:b/>
                <w:sz w:val="16"/>
                <w:szCs w:val="16"/>
                <w:lang w:val="es-MX"/>
              </w:rPr>
              <w:t>4.2.17</w:t>
            </w:r>
            <w:r w:rsidRPr="008F5C15">
              <w:rPr>
                <w:rFonts w:ascii="Verdana" w:hAnsi="Verdana"/>
                <w:b/>
                <w:sz w:val="16"/>
                <w:szCs w:val="16"/>
                <w:lang w:val="es-MX"/>
              </w:rPr>
              <w:tab/>
              <w:t>IPP</w:t>
            </w:r>
            <w:r w:rsidRPr="008F5C15">
              <w:rPr>
                <w:rFonts w:ascii="Verdana" w:hAnsi="Verdana"/>
                <w:sz w:val="16"/>
                <w:szCs w:val="16"/>
                <w:lang w:val="es-MX"/>
              </w:rPr>
              <w:tab/>
              <w:t>Información para prescribir.</w:t>
            </w:r>
          </w:p>
        </w:tc>
        <w:tc>
          <w:tcPr>
            <w:tcW w:w="4427" w:type="dxa"/>
            <w:shd w:val="clear" w:color="auto" w:fill="auto"/>
          </w:tcPr>
          <w:p w14:paraId="3DC4F3C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4.2.17 IFP</w:t>
            </w:r>
            <w:r w:rsidRPr="008F5C15">
              <w:rPr>
                <w:rFonts w:ascii="Verdana" w:hAnsi="Verdana"/>
                <w:sz w:val="16"/>
                <w:szCs w:val="16"/>
                <w:lang w:val="en-US"/>
              </w:rPr>
              <w:t xml:space="preserve"> Information for prescribing.</w:t>
            </w:r>
          </w:p>
        </w:tc>
      </w:tr>
      <w:tr w:rsidR="001C6A90" w:rsidRPr="00947A46" w14:paraId="73DDBBD6" w14:textId="77777777" w:rsidTr="00886332">
        <w:tc>
          <w:tcPr>
            <w:tcW w:w="4405" w:type="dxa"/>
          </w:tcPr>
          <w:p w14:paraId="2862E40D"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4.2.18</w:t>
            </w:r>
            <w:r w:rsidRPr="008F5C15">
              <w:rPr>
                <w:rFonts w:ascii="Verdana" w:hAnsi="Verdana"/>
                <w:b/>
                <w:sz w:val="16"/>
                <w:szCs w:val="16"/>
                <w:lang w:val="es-MX"/>
              </w:rPr>
              <w:tab/>
              <w:t>n.a.</w:t>
            </w:r>
            <w:r w:rsidRPr="008F5C15">
              <w:rPr>
                <w:rFonts w:ascii="Verdana" w:hAnsi="Verdana"/>
                <w:sz w:val="16"/>
                <w:szCs w:val="16"/>
                <w:lang w:val="es-MX"/>
              </w:rPr>
              <w:tab/>
              <w:t>No aplica.</w:t>
            </w:r>
          </w:p>
        </w:tc>
        <w:tc>
          <w:tcPr>
            <w:tcW w:w="4427" w:type="dxa"/>
            <w:shd w:val="clear" w:color="auto" w:fill="auto"/>
          </w:tcPr>
          <w:p w14:paraId="74D393E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4.2.18 N.A</w:t>
            </w:r>
            <w:r w:rsidRPr="008F5C15">
              <w:rPr>
                <w:rFonts w:ascii="Verdana" w:hAnsi="Verdana"/>
                <w:sz w:val="16"/>
                <w:szCs w:val="16"/>
                <w:lang w:val="en-US"/>
              </w:rPr>
              <w:t>. Does not apply</w:t>
            </w:r>
            <w:r w:rsidRPr="008F5C15">
              <w:rPr>
                <w:rFonts w:ascii="Verdana" w:hAnsi="Verdana"/>
                <w:b/>
                <w:sz w:val="16"/>
                <w:szCs w:val="16"/>
                <w:lang w:val="en-US"/>
              </w:rPr>
              <w:t>.</w:t>
            </w:r>
          </w:p>
        </w:tc>
      </w:tr>
      <w:tr w:rsidR="001C6A90" w:rsidRPr="00DB4E06" w14:paraId="0ECF70AA" w14:textId="77777777" w:rsidTr="00886332">
        <w:tc>
          <w:tcPr>
            <w:tcW w:w="4405" w:type="dxa"/>
          </w:tcPr>
          <w:p w14:paraId="1C7C067E" w14:textId="77777777" w:rsidR="001C6A90" w:rsidRPr="008F5C15" w:rsidRDefault="001C6A90" w:rsidP="001C6A90">
            <w:pPr>
              <w:pStyle w:val="Texto"/>
              <w:tabs>
                <w:tab w:val="left" w:pos="1260"/>
                <w:tab w:val="left" w:pos="2520"/>
              </w:tabs>
              <w:spacing w:after="90" w:line="276" w:lineRule="auto"/>
              <w:ind w:firstLine="0"/>
              <w:rPr>
                <w:rFonts w:ascii="Verdana" w:hAnsi="Verdana"/>
                <w:b/>
                <w:sz w:val="16"/>
                <w:szCs w:val="16"/>
                <w:lang w:val="es-MX"/>
              </w:rPr>
            </w:pPr>
            <w:r w:rsidRPr="008F5C15">
              <w:rPr>
                <w:rFonts w:ascii="Verdana" w:hAnsi="Verdana"/>
                <w:b/>
                <w:sz w:val="16"/>
                <w:szCs w:val="16"/>
                <w:lang w:val="es-MX"/>
              </w:rPr>
              <w:t>4.2.19</w:t>
            </w:r>
            <w:r w:rsidRPr="008F5C15">
              <w:rPr>
                <w:rFonts w:ascii="Verdana" w:hAnsi="Verdana"/>
                <w:b/>
                <w:sz w:val="16"/>
                <w:szCs w:val="16"/>
                <w:lang w:val="es-MX"/>
              </w:rPr>
              <w:tab/>
              <w:t>NAE</w:t>
            </w:r>
            <w:r w:rsidRPr="008F5C15">
              <w:rPr>
                <w:rFonts w:ascii="Verdana" w:hAnsi="Verdana"/>
                <w:sz w:val="16"/>
                <w:szCs w:val="16"/>
                <w:lang w:val="es-MX"/>
              </w:rPr>
              <w:tab/>
              <w:t>Nivel de Aseguramiento de la Esterilidad</w:t>
            </w:r>
          </w:p>
        </w:tc>
        <w:tc>
          <w:tcPr>
            <w:tcW w:w="4427" w:type="dxa"/>
            <w:shd w:val="clear" w:color="auto" w:fill="auto"/>
          </w:tcPr>
          <w:p w14:paraId="5D11CC1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4.2.19</w:t>
            </w:r>
            <w:r w:rsidRPr="008F5C15">
              <w:rPr>
                <w:rFonts w:ascii="Verdana" w:hAnsi="Verdana"/>
                <w:sz w:val="16"/>
                <w:szCs w:val="16"/>
                <w:lang w:val="en-US"/>
              </w:rPr>
              <w:t xml:space="preserve"> </w:t>
            </w:r>
            <w:r w:rsidRPr="008F5C15">
              <w:rPr>
                <w:rFonts w:ascii="Verdana" w:hAnsi="Verdana"/>
                <w:b/>
                <w:sz w:val="16"/>
                <w:szCs w:val="16"/>
                <w:lang w:val="en-US"/>
              </w:rPr>
              <w:t xml:space="preserve">SAL </w:t>
            </w:r>
            <w:r w:rsidRPr="008F5C15">
              <w:rPr>
                <w:rFonts w:ascii="Verdana" w:hAnsi="Verdana"/>
                <w:sz w:val="16"/>
                <w:szCs w:val="16"/>
                <w:lang w:val="en-US"/>
              </w:rPr>
              <w:t xml:space="preserve">Sterility Assurance Level </w:t>
            </w:r>
          </w:p>
        </w:tc>
      </w:tr>
      <w:tr w:rsidR="001C6A90" w:rsidRPr="00947A46" w14:paraId="66D38E4A" w14:textId="77777777" w:rsidTr="00886332">
        <w:trPr>
          <w:trHeight w:val="350"/>
        </w:trPr>
        <w:tc>
          <w:tcPr>
            <w:tcW w:w="4405" w:type="dxa"/>
          </w:tcPr>
          <w:p w14:paraId="4721E939"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4.2.20</w:t>
            </w:r>
            <w:r w:rsidRPr="008F5C15">
              <w:rPr>
                <w:rFonts w:ascii="Verdana" w:hAnsi="Verdana"/>
                <w:b/>
                <w:sz w:val="16"/>
                <w:szCs w:val="16"/>
                <w:lang w:val="es-MX"/>
              </w:rPr>
              <w:tab/>
              <w:t>PAT</w:t>
            </w:r>
            <w:r w:rsidRPr="008F5C15">
              <w:rPr>
                <w:rFonts w:ascii="Verdana" w:hAnsi="Verdana"/>
                <w:sz w:val="16"/>
                <w:szCs w:val="16"/>
                <w:lang w:val="es-MX"/>
              </w:rPr>
              <w:tab/>
              <w:t>Tecnología analítica de procesos (por sus siglas en inglés, Process Analytical Technology).</w:t>
            </w:r>
          </w:p>
        </w:tc>
        <w:tc>
          <w:tcPr>
            <w:tcW w:w="4427" w:type="dxa"/>
            <w:shd w:val="clear" w:color="auto" w:fill="auto"/>
          </w:tcPr>
          <w:p w14:paraId="7AFD03C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4.2.20 PAT</w:t>
            </w:r>
            <w:r w:rsidRPr="008F5C15">
              <w:rPr>
                <w:rFonts w:ascii="Verdana" w:hAnsi="Verdana"/>
                <w:sz w:val="16"/>
                <w:szCs w:val="16"/>
                <w:lang w:val="en-US"/>
              </w:rPr>
              <w:t xml:space="preserve"> Process Analytical Technology (for its acronym in English, Process Analytical Technology).</w:t>
            </w:r>
          </w:p>
          <w:p w14:paraId="5786BB7D" w14:textId="77777777" w:rsidR="001C6A90" w:rsidRPr="008F5C15" w:rsidRDefault="001C6A90" w:rsidP="001C6A90">
            <w:pPr>
              <w:pStyle w:val="Texto"/>
              <w:spacing w:line="276" w:lineRule="auto"/>
              <w:ind w:firstLine="0"/>
              <w:rPr>
                <w:rFonts w:ascii="Verdana" w:hAnsi="Verdana"/>
                <w:b/>
                <w:sz w:val="16"/>
                <w:szCs w:val="16"/>
                <w:lang w:val="en-US"/>
              </w:rPr>
            </w:pPr>
          </w:p>
        </w:tc>
      </w:tr>
      <w:tr w:rsidR="001C6A90" w:rsidRPr="00947A46" w14:paraId="5252CC05" w14:textId="77777777" w:rsidTr="00886332">
        <w:tc>
          <w:tcPr>
            <w:tcW w:w="4405" w:type="dxa"/>
          </w:tcPr>
          <w:p w14:paraId="5D068B97" w14:textId="77777777" w:rsidR="001C6A90" w:rsidRPr="008F5C15" w:rsidRDefault="001C6A90" w:rsidP="001C6A90">
            <w:pPr>
              <w:pStyle w:val="Texto"/>
              <w:tabs>
                <w:tab w:val="left" w:pos="1260"/>
                <w:tab w:val="left" w:pos="2520"/>
              </w:tabs>
              <w:spacing w:after="90" w:line="276" w:lineRule="auto"/>
              <w:ind w:firstLine="0"/>
              <w:rPr>
                <w:rFonts w:ascii="Verdana" w:hAnsi="Verdana"/>
                <w:b/>
                <w:sz w:val="16"/>
                <w:szCs w:val="16"/>
                <w:lang w:val="en-US"/>
              </w:rPr>
            </w:pPr>
            <w:r w:rsidRPr="008F5C15">
              <w:rPr>
                <w:rFonts w:ascii="Verdana" w:hAnsi="Verdana"/>
                <w:b/>
                <w:sz w:val="16"/>
                <w:szCs w:val="16"/>
                <w:lang w:val="en-US"/>
              </w:rPr>
              <w:t>4.2.21</w:t>
            </w:r>
            <w:r w:rsidRPr="008F5C15">
              <w:rPr>
                <w:rFonts w:ascii="Verdana" w:hAnsi="Verdana"/>
                <w:b/>
                <w:sz w:val="16"/>
                <w:szCs w:val="16"/>
                <w:lang w:val="en-US"/>
              </w:rPr>
              <w:tab/>
              <w:t>PIC/S</w:t>
            </w:r>
            <w:r w:rsidRPr="008F5C15">
              <w:rPr>
                <w:rFonts w:ascii="Verdana" w:hAnsi="Verdana"/>
                <w:sz w:val="16"/>
                <w:szCs w:val="16"/>
                <w:lang w:val="en-US"/>
              </w:rPr>
              <w:tab/>
              <w:t>Pharmaceutical Inspection Co-operation Scheme.</w:t>
            </w:r>
          </w:p>
        </w:tc>
        <w:tc>
          <w:tcPr>
            <w:tcW w:w="4427" w:type="dxa"/>
            <w:shd w:val="clear" w:color="auto" w:fill="auto"/>
          </w:tcPr>
          <w:p w14:paraId="5F26107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4.2.21 PIC/S</w:t>
            </w:r>
            <w:r w:rsidRPr="008F5C15">
              <w:rPr>
                <w:rFonts w:ascii="Verdana" w:hAnsi="Verdana"/>
                <w:sz w:val="16"/>
                <w:szCs w:val="16"/>
                <w:lang w:val="en-US"/>
              </w:rPr>
              <w:tab/>
              <w:t>Pharmaceutical Inspection Co-operation Scheme.</w:t>
            </w:r>
          </w:p>
        </w:tc>
      </w:tr>
      <w:tr w:rsidR="001C6A90" w:rsidRPr="00262EF8" w14:paraId="340B8732" w14:textId="77777777" w:rsidTr="00886332">
        <w:trPr>
          <w:trHeight w:val="638"/>
        </w:trPr>
        <w:tc>
          <w:tcPr>
            <w:tcW w:w="4405" w:type="dxa"/>
          </w:tcPr>
          <w:p w14:paraId="4D69C265"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4.2.22</w:t>
            </w:r>
            <w:r w:rsidRPr="008F5C15">
              <w:rPr>
                <w:rFonts w:ascii="Verdana" w:hAnsi="Verdana"/>
                <w:b/>
                <w:sz w:val="16"/>
                <w:szCs w:val="16"/>
                <w:lang w:val="es-MX"/>
              </w:rPr>
              <w:tab/>
              <w:t>PMV</w:t>
            </w:r>
            <w:r w:rsidRPr="008F5C15">
              <w:rPr>
                <w:rFonts w:ascii="Verdana" w:hAnsi="Verdana"/>
                <w:sz w:val="16"/>
                <w:szCs w:val="16"/>
                <w:lang w:val="es-MX"/>
              </w:rPr>
              <w:tab/>
              <w:t>Plan maestro de validación.</w:t>
            </w:r>
          </w:p>
        </w:tc>
        <w:tc>
          <w:tcPr>
            <w:tcW w:w="4427" w:type="dxa"/>
          </w:tcPr>
          <w:p w14:paraId="6D5369B7" w14:textId="77777777" w:rsidR="001C6A90" w:rsidRPr="008F5C15" w:rsidRDefault="001C6A90" w:rsidP="001C6A90">
            <w:pPr>
              <w:pStyle w:val="Texto"/>
              <w:tabs>
                <w:tab w:val="left" w:pos="1260"/>
                <w:tab w:val="left" w:pos="2520"/>
              </w:tabs>
              <w:spacing w:after="90" w:line="276" w:lineRule="auto"/>
              <w:ind w:firstLine="0"/>
              <w:rPr>
                <w:rFonts w:ascii="Verdana" w:hAnsi="Verdana"/>
                <w:b/>
                <w:sz w:val="16"/>
                <w:szCs w:val="16"/>
                <w:lang w:val="en-US"/>
              </w:rPr>
            </w:pPr>
            <w:r w:rsidRPr="008F5C15">
              <w:rPr>
                <w:rFonts w:ascii="Verdana" w:hAnsi="Verdana"/>
                <w:b/>
                <w:sz w:val="16"/>
                <w:szCs w:val="16"/>
                <w:lang w:val="en-US"/>
              </w:rPr>
              <w:t>4.2.22 VMP</w:t>
            </w:r>
            <w:r w:rsidRPr="008F5C15">
              <w:rPr>
                <w:rFonts w:ascii="Verdana" w:hAnsi="Verdana"/>
                <w:sz w:val="16"/>
                <w:szCs w:val="16"/>
                <w:lang w:val="en-US"/>
              </w:rPr>
              <w:t xml:space="preserve"> Validation Master Plan</w:t>
            </w:r>
            <w:r w:rsidRPr="008F5C15">
              <w:rPr>
                <w:rFonts w:ascii="Verdana" w:hAnsi="Verdana"/>
                <w:b/>
                <w:sz w:val="16"/>
                <w:szCs w:val="16"/>
                <w:lang w:val="en-US"/>
              </w:rPr>
              <w:t>.</w:t>
            </w:r>
          </w:p>
        </w:tc>
      </w:tr>
      <w:tr w:rsidR="001C6A90" w:rsidRPr="00262EF8" w14:paraId="4BFF5985" w14:textId="77777777" w:rsidTr="00886332">
        <w:tc>
          <w:tcPr>
            <w:tcW w:w="4405" w:type="dxa"/>
          </w:tcPr>
          <w:p w14:paraId="394E4A6D"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t>4.2.23</w:t>
            </w:r>
            <w:r w:rsidRPr="008F5C15">
              <w:rPr>
                <w:rFonts w:ascii="Verdana" w:hAnsi="Verdana"/>
                <w:b/>
                <w:sz w:val="16"/>
                <w:szCs w:val="16"/>
                <w:lang w:val="es-MX"/>
              </w:rPr>
              <w:tab/>
              <w:t>PNO</w:t>
            </w:r>
            <w:r w:rsidRPr="008F5C15">
              <w:rPr>
                <w:rFonts w:ascii="Verdana" w:hAnsi="Verdana"/>
                <w:sz w:val="16"/>
                <w:szCs w:val="16"/>
                <w:lang w:val="es-MX"/>
              </w:rPr>
              <w:tab/>
              <w:t>Procedimiento normalizado de operación.</w:t>
            </w:r>
          </w:p>
        </w:tc>
        <w:tc>
          <w:tcPr>
            <w:tcW w:w="4427" w:type="dxa"/>
          </w:tcPr>
          <w:p w14:paraId="0B8A1975" w14:textId="77777777" w:rsidR="001C6A90" w:rsidRPr="008F5C15" w:rsidRDefault="001C6A90" w:rsidP="001C6A90">
            <w:pPr>
              <w:pStyle w:val="Texto"/>
              <w:tabs>
                <w:tab w:val="left" w:pos="1260"/>
                <w:tab w:val="left" w:pos="2520"/>
              </w:tabs>
              <w:spacing w:after="90" w:line="276" w:lineRule="auto"/>
              <w:ind w:firstLine="0"/>
              <w:rPr>
                <w:rFonts w:ascii="Verdana" w:hAnsi="Verdana"/>
                <w:b/>
                <w:sz w:val="16"/>
                <w:szCs w:val="16"/>
                <w:lang w:val="en-US"/>
              </w:rPr>
            </w:pPr>
            <w:r w:rsidRPr="008F5C15">
              <w:rPr>
                <w:rFonts w:ascii="Verdana" w:hAnsi="Verdana"/>
                <w:b/>
                <w:sz w:val="16"/>
                <w:szCs w:val="16"/>
                <w:lang w:val="en-US"/>
              </w:rPr>
              <w:t xml:space="preserve">4.2.23 SOP </w:t>
            </w:r>
            <w:r w:rsidRPr="008F5C15">
              <w:rPr>
                <w:rFonts w:ascii="Verdana" w:hAnsi="Verdana"/>
                <w:sz w:val="16"/>
                <w:szCs w:val="16"/>
                <w:lang w:val="en-US"/>
              </w:rPr>
              <w:t>Standard</w:t>
            </w:r>
            <w:r w:rsidRPr="008F5C15">
              <w:rPr>
                <w:rFonts w:ascii="Verdana" w:hAnsi="Verdana"/>
                <w:b/>
                <w:sz w:val="16"/>
                <w:szCs w:val="16"/>
                <w:lang w:val="en-US"/>
              </w:rPr>
              <w:t xml:space="preserve"> </w:t>
            </w:r>
            <w:r w:rsidRPr="008F5C15">
              <w:rPr>
                <w:rFonts w:ascii="Verdana" w:hAnsi="Verdana"/>
                <w:sz w:val="16"/>
                <w:szCs w:val="16"/>
                <w:lang w:val="en-US"/>
              </w:rPr>
              <w:t>Operating Procedure</w:t>
            </w:r>
            <w:r w:rsidRPr="008F5C15">
              <w:rPr>
                <w:rFonts w:ascii="Verdana" w:hAnsi="Verdana"/>
                <w:b/>
                <w:sz w:val="16"/>
                <w:szCs w:val="16"/>
                <w:lang w:val="en-US"/>
              </w:rPr>
              <w:t>.</w:t>
            </w:r>
          </w:p>
        </w:tc>
      </w:tr>
      <w:tr w:rsidR="001C6A90" w:rsidRPr="00262EF8" w14:paraId="444A9F9E" w14:textId="77777777" w:rsidTr="00886332">
        <w:tc>
          <w:tcPr>
            <w:tcW w:w="4405" w:type="dxa"/>
          </w:tcPr>
          <w:p w14:paraId="1E1A301D" w14:textId="77777777" w:rsidR="001C6A90" w:rsidRPr="008F5C15" w:rsidRDefault="001C6A90" w:rsidP="001C6A90">
            <w:pPr>
              <w:pStyle w:val="Texto"/>
              <w:tabs>
                <w:tab w:val="left" w:pos="1260"/>
                <w:tab w:val="left" w:pos="2520"/>
              </w:tabs>
              <w:spacing w:after="90" w:line="276" w:lineRule="auto"/>
              <w:ind w:firstLine="0"/>
              <w:rPr>
                <w:rFonts w:ascii="Verdana" w:hAnsi="Verdana"/>
                <w:color w:val="000000"/>
                <w:sz w:val="16"/>
                <w:szCs w:val="16"/>
                <w:lang w:val="es-MX"/>
              </w:rPr>
            </w:pPr>
            <w:r w:rsidRPr="008F5C15">
              <w:rPr>
                <w:rFonts w:ascii="Verdana" w:hAnsi="Verdana"/>
                <w:b/>
                <w:sz w:val="16"/>
                <w:szCs w:val="16"/>
                <w:lang w:val="es-MX"/>
              </w:rPr>
              <w:t>4.2.24</w:t>
            </w:r>
            <w:r w:rsidRPr="008F5C15">
              <w:rPr>
                <w:rFonts w:ascii="Verdana" w:hAnsi="Verdana"/>
                <w:b/>
                <w:sz w:val="16"/>
                <w:szCs w:val="16"/>
                <w:lang w:val="es-MX"/>
              </w:rPr>
              <w:tab/>
            </w:r>
            <w:r w:rsidRPr="008F5C15">
              <w:rPr>
                <w:rFonts w:ascii="Verdana" w:hAnsi="Verdana"/>
                <w:b/>
                <w:color w:val="000000"/>
                <w:sz w:val="16"/>
                <w:szCs w:val="16"/>
                <w:lang w:val="es-MX"/>
              </w:rPr>
              <w:t>RAP</w:t>
            </w:r>
            <w:r w:rsidRPr="008F5C15">
              <w:rPr>
                <w:rFonts w:ascii="Verdana" w:hAnsi="Verdana"/>
                <w:color w:val="000000"/>
                <w:sz w:val="16"/>
                <w:szCs w:val="16"/>
                <w:lang w:val="es-MX"/>
              </w:rPr>
              <w:tab/>
              <w:t>Revisión Anual de Producto.</w:t>
            </w:r>
          </w:p>
        </w:tc>
        <w:tc>
          <w:tcPr>
            <w:tcW w:w="4427" w:type="dxa"/>
          </w:tcPr>
          <w:p w14:paraId="6DB4987B"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n-US"/>
              </w:rPr>
            </w:pPr>
            <w:r w:rsidRPr="008F5C15">
              <w:rPr>
                <w:rFonts w:ascii="Verdana" w:hAnsi="Verdana"/>
                <w:b/>
                <w:sz w:val="16"/>
                <w:szCs w:val="16"/>
                <w:lang w:val="en-US"/>
              </w:rPr>
              <w:t>4.2.24 APR</w:t>
            </w:r>
            <w:r w:rsidRPr="008F5C15">
              <w:rPr>
                <w:rFonts w:ascii="Verdana" w:hAnsi="Verdana"/>
                <w:sz w:val="16"/>
                <w:szCs w:val="16"/>
                <w:lang w:val="en-US"/>
              </w:rPr>
              <w:t xml:space="preserve"> Annual Product Review</w:t>
            </w:r>
          </w:p>
        </w:tc>
      </w:tr>
      <w:tr w:rsidR="001C6A90" w:rsidRPr="00947A46" w14:paraId="4BBF464C" w14:textId="77777777" w:rsidTr="00886332">
        <w:tc>
          <w:tcPr>
            <w:tcW w:w="4405" w:type="dxa"/>
          </w:tcPr>
          <w:p w14:paraId="7DDA50D4" w14:textId="77777777" w:rsidR="001C6A90" w:rsidRPr="008F5C15" w:rsidRDefault="001C6A90" w:rsidP="001C6A90">
            <w:pPr>
              <w:pStyle w:val="Texto"/>
              <w:tabs>
                <w:tab w:val="left" w:pos="1260"/>
                <w:tab w:val="left" w:pos="2520"/>
              </w:tabs>
              <w:spacing w:after="90" w:line="276" w:lineRule="auto"/>
              <w:ind w:firstLine="0"/>
              <w:rPr>
                <w:rFonts w:ascii="Verdana" w:hAnsi="Verdana"/>
                <w:sz w:val="16"/>
                <w:szCs w:val="16"/>
                <w:lang w:val="es-MX"/>
              </w:rPr>
            </w:pPr>
            <w:r w:rsidRPr="008F5C15">
              <w:rPr>
                <w:rFonts w:ascii="Verdana" w:hAnsi="Verdana"/>
                <w:b/>
                <w:sz w:val="16"/>
                <w:szCs w:val="16"/>
                <w:lang w:val="es-MX"/>
              </w:rPr>
              <w:lastRenderedPageBreak/>
              <w:t>4.2.25</w:t>
            </w:r>
            <w:r w:rsidRPr="008F5C15">
              <w:rPr>
                <w:rFonts w:ascii="Verdana" w:hAnsi="Verdana"/>
                <w:b/>
                <w:sz w:val="16"/>
                <w:szCs w:val="16"/>
                <w:lang w:val="es-MX"/>
              </w:rPr>
              <w:tab/>
              <w:t>TSE</w:t>
            </w:r>
            <w:r w:rsidRPr="008F5C15">
              <w:rPr>
                <w:rFonts w:ascii="Verdana" w:hAnsi="Verdana"/>
                <w:sz w:val="16"/>
                <w:szCs w:val="16"/>
                <w:lang w:val="es-MX"/>
              </w:rPr>
              <w:tab/>
              <w:t>Encefalopatía espongiforme transmisible (por sus siglas en inglés, Transmissible Spongiform Encephalopathies).</w:t>
            </w:r>
          </w:p>
        </w:tc>
        <w:tc>
          <w:tcPr>
            <w:tcW w:w="4427" w:type="dxa"/>
          </w:tcPr>
          <w:p w14:paraId="3B5BCC7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4.2.25 TSE </w:t>
            </w:r>
            <w:r w:rsidRPr="008F5C15">
              <w:rPr>
                <w:rFonts w:ascii="Verdana" w:hAnsi="Verdana"/>
                <w:sz w:val="16"/>
                <w:szCs w:val="16"/>
                <w:lang w:val="en-US"/>
              </w:rPr>
              <w:t>Transmissible Spongiform Encephalopathies (for its acronym in English, Transmissible Spongiform encephalopathies).</w:t>
            </w:r>
          </w:p>
        </w:tc>
      </w:tr>
      <w:tr w:rsidR="001C6A90" w:rsidRPr="00262EF8" w14:paraId="0B2D1BA7" w14:textId="77777777" w:rsidTr="00886332">
        <w:tc>
          <w:tcPr>
            <w:tcW w:w="4405" w:type="dxa"/>
          </w:tcPr>
          <w:p w14:paraId="03F8A861" w14:textId="77777777" w:rsidR="001C6A90" w:rsidRPr="008F5C15" w:rsidRDefault="001C6A90" w:rsidP="001C6A90">
            <w:pPr>
              <w:pStyle w:val="Texto"/>
              <w:tabs>
                <w:tab w:val="left" w:pos="1260"/>
                <w:tab w:val="left" w:pos="2520"/>
              </w:tabs>
              <w:spacing w:after="90" w:line="276" w:lineRule="auto"/>
              <w:ind w:firstLine="0"/>
              <w:rPr>
                <w:rFonts w:ascii="Verdana" w:hAnsi="Verdana"/>
                <w:b/>
                <w:spacing w:val="20"/>
                <w:sz w:val="16"/>
                <w:szCs w:val="16"/>
                <w:lang w:val="es-MX"/>
              </w:rPr>
            </w:pPr>
            <w:r w:rsidRPr="008F5C15">
              <w:rPr>
                <w:rFonts w:ascii="Verdana" w:hAnsi="Verdana"/>
                <w:b/>
                <w:sz w:val="16"/>
                <w:szCs w:val="16"/>
                <w:lang w:val="es-MX"/>
              </w:rPr>
              <w:t>4.2.26</w:t>
            </w:r>
            <w:r w:rsidRPr="008F5C15">
              <w:rPr>
                <w:rFonts w:ascii="Verdana" w:hAnsi="Verdana"/>
                <w:sz w:val="16"/>
                <w:szCs w:val="16"/>
                <w:lang w:val="es-MX"/>
              </w:rPr>
              <w:tab/>
            </w:r>
            <w:r w:rsidRPr="008F5C15">
              <w:rPr>
                <w:rFonts w:ascii="Verdana" w:hAnsi="Verdana"/>
                <w:b/>
                <w:sz w:val="16"/>
                <w:szCs w:val="16"/>
                <w:lang w:val="es-MX"/>
              </w:rPr>
              <w:t>UFC</w:t>
            </w:r>
            <w:r w:rsidRPr="008F5C15">
              <w:rPr>
                <w:rFonts w:ascii="Verdana" w:hAnsi="Verdana"/>
                <w:sz w:val="16"/>
                <w:szCs w:val="16"/>
                <w:lang w:val="es-MX"/>
              </w:rPr>
              <w:tab/>
              <w:t>Unidades formadoras de colonias.</w:t>
            </w:r>
          </w:p>
        </w:tc>
        <w:tc>
          <w:tcPr>
            <w:tcW w:w="4427" w:type="dxa"/>
          </w:tcPr>
          <w:p w14:paraId="756051C0" w14:textId="77777777" w:rsidR="001C6A90" w:rsidRPr="008F5C15" w:rsidRDefault="001C6A90" w:rsidP="001C6A90">
            <w:pPr>
              <w:pStyle w:val="Texto"/>
              <w:tabs>
                <w:tab w:val="left" w:pos="1260"/>
                <w:tab w:val="left" w:pos="2520"/>
              </w:tabs>
              <w:spacing w:after="90" w:line="276" w:lineRule="auto"/>
              <w:ind w:firstLine="0"/>
              <w:rPr>
                <w:rFonts w:ascii="Verdana" w:hAnsi="Verdana"/>
                <w:b/>
                <w:sz w:val="16"/>
                <w:szCs w:val="16"/>
                <w:lang w:val="en-US"/>
              </w:rPr>
            </w:pPr>
            <w:r w:rsidRPr="008F5C15">
              <w:rPr>
                <w:rFonts w:ascii="Verdana" w:hAnsi="Verdana"/>
                <w:b/>
                <w:sz w:val="16"/>
                <w:szCs w:val="16"/>
                <w:lang w:val="en-US"/>
              </w:rPr>
              <w:t xml:space="preserve">4.2.26 CFU </w:t>
            </w:r>
            <w:r w:rsidRPr="008F5C15">
              <w:rPr>
                <w:rFonts w:ascii="Verdana" w:hAnsi="Verdana"/>
                <w:sz w:val="16"/>
                <w:szCs w:val="16"/>
                <w:lang w:val="en-US"/>
              </w:rPr>
              <w:t>Colony forming</w:t>
            </w:r>
            <w:r w:rsidRPr="008F5C15">
              <w:rPr>
                <w:rFonts w:ascii="Verdana" w:hAnsi="Verdana"/>
                <w:b/>
                <w:sz w:val="16"/>
                <w:szCs w:val="16"/>
                <w:lang w:val="en-US"/>
              </w:rPr>
              <w:t xml:space="preserve"> </w:t>
            </w:r>
            <w:r w:rsidRPr="008F5C15">
              <w:rPr>
                <w:rFonts w:ascii="Verdana" w:hAnsi="Verdana"/>
                <w:sz w:val="16"/>
                <w:szCs w:val="16"/>
                <w:lang w:val="en-US"/>
              </w:rPr>
              <w:t>units.</w:t>
            </w:r>
          </w:p>
        </w:tc>
      </w:tr>
      <w:tr w:rsidR="001C6A90" w:rsidRPr="00262EF8" w14:paraId="4B446B4E" w14:textId="77777777" w:rsidTr="00886332">
        <w:tc>
          <w:tcPr>
            <w:tcW w:w="4405" w:type="dxa"/>
          </w:tcPr>
          <w:p w14:paraId="5C8A9488" w14:textId="77777777" w:rsidR="001C6A90" w:rsidRPr="008F5C15" w:rsidRDefault="001C6A90" w:rsidP="001C6A90">
            <w:pPr>
              <w:pStyle w:val="Texto"/>
              <w:spacing w:after="90" w:line="276" w:lineRule="auto"/>
              <w:ind w:firstLine="0"/>
              <w:rPr>
                <w:rFonts w:ascii="Verdana" w:hAnsi="Verdana"/>
                <w:b/>
                <w:sz w:val="16"/>
                <w:szCs w:val="16"/>
                <w:lang w:val="es-MX"/>
              </w:rPr>
            </w:pPr>
            <w:r w:rsidRPr="008F5C15">
              <w:rPr>
                <w:rFonts w:ascii="Verdana" w:hAnsi="Verdana"/>
                <w:b/>
                <w:sz w:val="16"/>
                <w:szCs w:val="16"/>
                <w:lang w:val="es-MX"/>
              </w:rPr>
              <w:t>5. Sistema de Gestión de Calidad</w:t>
            </w:r>
          </w:p>
        </w:tc>
        <w:tc>
          <w:tcPr>
            <w:tcW w:w="4427" w:type="dxa"/>
          </w:tcPr>
          <w:p w14:paraId="4B710E75" w14:textId="77777777" w:rsidR="001C6A90" w:rsidRPr="008F5C15" w:rsidRDefault="001C6A90" w:rsidP="001C6A90">
            <w:pPr>
              <w:pStyle w:val="Texto"/>
              <w:spacing w:after="90" w:line="276" w:lineRule="auto"/>
              <w:ind w:firstLine="0"/>
              <w:rPr>
                <w:rFonts w:ascii="Verdana" w:hAnsi="Verdana"/>
                <w:b/>
                <w:sz w:val="16"/>
                <w:szCs w:val="16"/>
                <w:lang w:val="en-US"/>
              </w:rPr>
            </w:pPr>
            <w:r w:rsidRPr="008F5C15">
              <w:rPr>
                <w:rFonts w:ascii="Verdana" w:hAnsi="Verdana"/>
                <w:b/>
                <w:sz w:val="16"/>
                <w:szCs w:val="16"/>
                <w:lang w:val="en-US"/>
              </w:rPr>
              <w:t xml:space="preserve">5. Quality Management System </w:t>
            </w:r>
          </w:p>
        </w:tc>
      </w:tr>
      <w:tr w:rsidR="001C6A90" w:rsidRPr="00262EF8" w14:paraId="5F31D209" w14:textId="77777777" w:rsidTr="00886332">
        <w:tc>
          <w:tcPr>
            <w:tcW w:w="4405" w:type="dxa"/>
          </w:tcPr>
          <w:p w14:paraId="1AD57025"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5.1</w:t>
            </w:r>
            <w:r w:rsidRPr="008F5C15">
              <w:rPr>
                <w:rFonts w:ascii="Verdana" w:hAnsi="Verdana"/>
                <w:sz w:val="16"/>
                <w:szCs w:val="16"/>
                <w:lang w:val="es-MX"/>
              </w:rPr>
              <w:t xml:space="preserve"> Generalidades</w:t>
            </w:r>
          </w:p>
        </w:tc>
        <w:tc>
          <w:tcPr>
            <w:tcW w:w="4427" w:type="dxa"/>
          </w:tcPr>
          <w:p w14:paraId="093C08FF" w14:textId="77777777" w:rsidR="001C6A90" w:rsidRPr="008F5C15" w:rsidRDefault="001C6A90" w:rsidP="001C6A90">
            <w:pPr>
              <w:pStyle w:val="Texto"/>
              <w:spacing w:after="90" w:line="276" w:lineRule="auto"/>
              <w:ind w:firstLine="0"/>
              <w:rPr>
                <w:rFonts w:ascii="Verdana" w:hAnsi="Verdana"/>
                <w:sz w:val="16"/>
                <w:szCs w:val="16"/>
                <w:lang w:val="en-US"/>
              </w:rPr>
            </w:pPr>
            <w:r w:rsidRPr="008F5C15">
              <w:rPr>
                <w:rFonts w:ascii="Verdana" w:hAnsi="Verdana"/>
                <w:b/>
                <w:sz w:val="16"/>
                <w:szCs w:val="16"/>
                <w:lang w:val="en-US"/>
              </w:rPr>
              <w:t xml:space="preserve">5.1 </w:t>
            </w:r>
            <w:r w:rsidRPr="008F5C15">
              <w:rPr>
                <w:rFonts w:ascii="Verdana" w:hAnsi="Verdana"/>
                <w:sz w:val="16"/>
                <w:szCs w:val="16"/>
                <w:lang w:val="en-US"/>
              </w:rPr>
              <w:t>General Provisions</w:t>
            </w:r>
          </w:p>
        </w:tc>
      </w:tr>
      <w:tr w:rsidR="001C6A90" w:rsidRPr="00947A46" w14:paraId="24E7ADF7" w14:textId="77777777" w:rsidTr="00886332">
        <w:tc>
          <w:tcPr>
            <w:tcW w:w="4405" w:type="dxa"/>
          </w:tcPr>
          <w:p w14:paraId="15539457" w14:textId="77777777" w:rsidR="001C6A90" w:rsidRPr="008F5C15" w:rsidRDefault="001C6A90" w:rsidP="001C6A90">
            <w:pPr>
              <w:pStyle w:val="Texto"/>
              <w:spacing w:after="90" w:line="276" w:lineRule="auto"/>
              <w:ind w:firstLine="0"/>
              <w:rPr>
                <w:rFonts w:ascii="Verdana" w:hAnsi="Verdana"/>
                <w:b/>
                <w:sz w:val="16"/>
                <w:szCs w:val="16"/>
                <w:lang w:val="es-MX"/>
              </w:rPr>
            </w:pPr>
            <w:r w:rsidRPr="008F5C15">
              <w:rPr>
                <w:rFonts w:ascii="Verdana" w:hAnsi="Verdana"/>
                <w:b/>
                <w:sz w:val="16"/>
                <w:szCs w:val="16"/>
                <w:lang w:val="es-MX"/>
              </w:rPr>
              <w:t xml:space="preserve">5.1.1 </w:t>
            </w:r>
            <w:r w:rsidRPr="008F5C15">
              <w:rPr>
                <w:rFonts w:ascii="Verdana" w:hAnsi="Verdana"/>
                <w:sz w:val="16"/>
                <w:szCs w:val="16"/>
                <w:lang w:val="es-MX"/>
              </w:rPr>
              <w:t>El Sistema de Gestión de Calidad, representa el conjunto de medidas adoptadas de manera planificada y sistematizada, con el objeto de garantizar que los medicamentos son de la calidad requerida para el uso al que están destinados. La Gestión de Calidad incorpora, por lo tanto, las normas de BPF, BPD, BPAD, BPL y los principios de la Gestión de Riesgos. Incluyendo el uso</w:t>
            </w:r>
            <w:r w:rsidRPr="008F5C15">
              <w:rPr>
                <w:rFonts w:ascii="Verdana" w:hAnsi="Verdana"/>
                <w:color w:val="FF0000"/>
                <w:sz w:val="16"/>
                <w:szCs w:val="16"/>
                <w:lang w:val="es-MX"/>
              </w:rPr>
              <w:t xml:space="preserve"> </w:t>
            </w:r>
            <w:r w:rsidRPr="008F5C15">
              <w:rPr>
                <w:rFonts w:ascii="Verdana" w:hAnsi="Verdana"/>
                <w:sz w:val="16"/>
                <w:szCs w:val="16"/>
                <w:lang w:val="es-MX"/>
              </w:rPr>
              <w:t>de las herramientas apropiadas.</w:t>
            </w:r>
          </w:p>
        </w:tc>
        <w:tc>
          <w:tcPr>
            <w:tcW w:w="4427" w:type="dxa"/>
          </w:tcPr>
          <w:p w14:paraId="426E84C1" w14:textId="77777777" w:rsidR="001C6A90" w:rsidRPr="008F5C15" w:rsidRDefault="001C6A90" w:rsidP="001C6A90">
            <w:pPr>
              <w:pStyle w:val="Texto"/>
              <w:spacing w:after="90" w:line="276" w:lineRule="auto"/>
              <w:ind w:firstLine="0"/>
              <w:rPr>
                <w:rFonts w:ascii="Verdana" w:hAnsi="Verdana"/>
                <w:sz w:val="16"/>
                <w:szCs w:val="16"/>
                <w:lang w:val="en-US"/>
              </w:rPr>
            </w:pPr>
            <w:r w:rsidRPr="008F5C15">
              <w:rPr>
                <w:rFonts w:ascii="Verdana" w:hAnsi="Verdana"/>
                <w:b/>
                <w:sz w:val="16"/>
                <w:szCs w:val="16"/>
                <w:lang w:val="en-US"/>
              </w:rPr>
              <w:t xml:space="preserve">5.1.1 </w:t>
            </w:r>
            <w:r w:rsidRPr="008F5C15">
              <w:rPr>
                <w:rFonts w:ascii="Verdana" w:hAnsi="Verdana"/>
                <w:sz w:val="16"/>
                <w:szCs w:val="16"/>
                <w:lang w:val="en-US"/>
              </w:rPr>
              <w:t xml:space="preserve">The Quality Management System represents the combination of measures adopted in a planned a systematized way, for the purpose of guaranteeing that the drug products are the quality required for the use to which they are designated. The Quality Management incorporates, nevertheless, the standards of GMP (Good Manufacturing Practices), GDP (Good Documentation Practices), GPSD (Good Storage and Distribution Practices), GLP (Good Laboratory Practices). </w:t>
            </w:r>
          </w:p>
        </w:tc>
      </w:tr>
      <w:tr w:rsidR="001C6A90" w:rsidRPr="00947A46" w14:paraId="3C645CEC" w14:textId="77777777" w:rsidTr="00886332">
        <w:tc>
          <w:tcPr>
            <w:tcW w:w="4405" w:type="dxa"/>
          </w:tcPr>
          <w:p w14:paraId="6709AC01"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5.1.2 </w:t>
            </w:r>
            <w:r w:rsidRPr="008F5C15">
              <w:rPr>
                <w:rFonts w:ascii="Verdana" w:hAnsi="Verdana"/>
                <w:color w:val="000000"/>
                <w:sz w:val="16"/>
                <w:szCs w:val="16"/>
                <w:lang w:val="es-MX"/>
              </w:rPr>
              <w:t>La Calidad por Diseño, se aplica a todos los estadios de la vida del producto, desde la fabricación del medicamento en fase de investigación, la transferencia de tecnología, su fabricación comercial, hasta la discontinuación del medicamento. La Gestión de Calidad debe extenderse al periodo de desarrollo farmacéutico, debe favorecer la innovación y la mejora continua, y fortalecer la unión entre el desarrollo farmacéutico y las actividades de fabricación.</w:t>
            </w:r>
          </w:p>
        </w:tc>
        <w:tc>
          <w:tcPr>
            <w:tcW w:w="4427" w:type="dxa"/>
          </w:tcPr>
          <w:p w14:paraId="791882F1" w14:textId="77777777" w:rsidR="001C6A90" w:rsidRPr="008F5C15" w:rsidRDefault="001C6A90" w:rsidP="001C6A90">
            <w:pPr>
              <w:pStyle w:val="Texto"/>
              <w:spacing w:after="90" w:line="276" w:lineRule="auto"/>
              <w:ind w:firstLine="0"/>
              <w:rPr>
                <w:rFonts w:ascii="Verdana" w:hAnsi="Verdana"/>
                <w:sz w:val="16"/>
                <w:szCs w:val="16"/>
                <w:lang w:val="en-US"/>
              </w:rPr>
            </w:pPr>
            <w:r w:rsidRPr="008F5C15">
              <w:rPr>
                <w:rFonts w:ascii="Verdana" w:hAnsi="Verdana"/>
                <w:b/>
                <w:sz w:val="16"/>
                <w:szCs w:val="16"/>
                <w:lang w:val="en-US"/>
              </w:rPr>
              <w:t xml:space="preserve">5.1.2 </w:t>
            </w:r>
            <w:r w:rsidRPr="008F5C15">
              <w:rPr>
                <w:rFonts w:ascii="Verdana" w:hAnsi="Verdana"/>
                <w:sz w:val="16"/>
                <w:szCs w:val="16"/>
                <w:lang w:val="en-US"/>
              </w:rPr>
              <w:t xml:space="preserve">Quality by Design, applies to all the stages of the life of the product, from the manufacture of the drug product in its research phase, the transfer of technology, its commercial manufacture, until the discontinuation of the drug product. The Quality Management System must be extended to the pharmaceutical development period, it must favor innovation and continuous improvement and strengthen the union between the pharmaceutical development and the manufacturing activities. </w:t>
            </w:r>
          </w:p>
        </w:tc>
      </w:tr>
      <w:tr w:rsidR="001C6A90" w:rsidRPr="00947A46" w14:paraId="2C565883" w14:textId="77777777" w:rsidTr="00886332">
        <w:tc>
          <w:tcPr>
            <w:tcW w:w="4405" w:type="dxa"/>
          </w:tcPr>
          <w:p w14:paraId="714DAFD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5.1.3 </w:t>
            </w:r>
            <w:r w:rsidRPr="008F5C15">
              <w:rPr>
                <w:rFonts w:ascii="Verdana" w:hAnsi="Verdana"/>
                <w:sz w:val="16"/>
                <w:szCs w:val="16"/>
                <w:lang w:val="es-MX"/>
              </w:rPr>
              <w:t>Es responsabilidad de la Dirección General o alta dirección implementar y mantener el Sistema de Gestión de Calidad, determinando y proporcionando recursos apropiados (humanos, financieros, instalaciones y equipos adecuados) para mejorar continuamente su efectividad.</w:t>
            </w:r>
          </w:p>
        </w:tc>
        <w:tc>
          <w:tcPr>
            <w:tcW w:w="4427" w:type="dxa"/>
          </w:tcPr>
          <w:p w14:paraId="4C607AD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5.1.3 </w:t>
            </w:r>
            <w:r w:rsidRPr="008F5C15">
              <w:rPr>
                <w:rFonts w:ascii="Verdana" w:hAnsi="Verdana"/>
                <w:sz w:val="16"/>
                <w:szCs w:val="16"/>
                <w:lang w:val="en-US"/>
              </w:rPr>
              <w:t xml:space="preserve">It is the responsibility of the General Office or Upper Management to implement and maintain the Quality Management System, determining and providing the appropriate resources (human, financial, adequate installations and equipment) to continuously improve their effectiveness. </w:t>
            </w:r>
          </w:p>
        </w:tc>
      </w:tr>
      <w:tr w:rsidR="001C6A90" w:rsidRPr="00947A46" w14:paraId="2F61D528" w14:textId="77777777" w:rsidTr="00886332">
        <w:tc>
          <w:tcPr>
            <w:tcW w:w="4405" w:type="dxa"/>
          </w:tcPr>
          <w:p w14:paraId="078E667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5.1.4 </w:t>
            </w:r>
            <w:r w:rsidRPr="008F5C15">
              <w:rPr>
                <w:rFonts w:ascii="Verdana" w:hAnsi="Verdana"/>
                <w:sz w:val="16"/>
                <w:szCs w:val="16"/>
                <w:lang w:val="es-MX"/>
              </w:rPr>
              <w:t>La Gestión de Calidad debe garantizar que:</w:t>
            </w:r>
          </w:p>
        </w:tc>
        <w:tc>
          <w:tcPr>
            <w:tcW w:w="4427" w:type="dxa"/>
          </w:tcPr>
          <w:p w14:paraId="7CFDCB0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 </w:t>
            </w:r>
            <w:r w:rsidRPr="008F5C15">
              <w:rPr>
                <w:rFonts w:ascii="Verdana" w:hAnsi="Verdana"/>
                <w:sz w:val="16"/>
                <w:szCs w:val="16"/>
                <w:lang w:val="en-US"/>
              </w:rPr>
              <w:t xml:space="preserve">The Quality Management System must guarantee that: </w:t>
            </w:r>
          </w:p>
        </w:tc>
      </w:tr>
      <w:tr w:rsidR="001C6A90" w:rsidRPr="00947A46" w14:paraId="6EAA6306" w14:textId="77777777" w:rsidTr="00886332">
        <w:tc>
          <w:tcPr>
            <w:tcW w:w="4405" w:type="dxa"/>
          </w:tcPr>
          <w:p w14:paraId="573B39A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w:t>
            </w:r>
            <w:r w:rsidRPr="008F5C15">
              <w:rPr>
                <w:rFonts w:ascii="Verdana" w:hAnsi="Verdana"/>
                <w:sz w:val="16"/>
                <w:szCs w:val="16"/>
                <w:lang w:val="es-MX"/>
              </w:rPr>
              <w:t xml:space="preserve"> La fabricación de medicamentos se lleva a cabo siguiendo un Sistema de Gestión de Calidad soportado por una política de calidad y por un sistema de documentación que ha sido diseñado, planificado, implantado, mantenido y sometido a mejora continua, que permita que los productos sólo podrán ser comercializados o suministrados una vez que hayan sido liberados por la Unidad de Calidad con los atributos de calidad apropiados.</w:t>
            </w:r>
          </w:p>
        </w:tc>
        <w:tc>
          <w:tcPr>
            <w:tcW w:w="4427" w:type="dxa"/>
          </w:tcPr>
          <w:p w14:paraId="162042A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5.1.4.1 </w:t>
            </w:r>
            <w:r w:rsidRPr="008F5C15">
              <w:rPr>
                <w:rFonts w:ascii="Verdana" w:hAnsi="Verdana"/>
                <w:sz w:val="16"/>
                <w:szCs w:val="16"/>
                <w:lang w:val="en-US"/>
              </w:rPr>
              <w:t xml:space="preserve">The manufacture of drug products is carried out following a Quality Management System supported by a quality policy and by a documentation system that has been designed, planned, implemented, maintained and submitted to continuous improvement that permits the product to only be commercially distributed or supplied once they have been released by the Quality Unit with the appropriate quality attributes. </w:t>
            </w:r>
          </w:p>
        </w:tc>
      </w:tr>
      <w:tr w:rsidR="001C6A90" w:rsidRPr="00947A46" w14:paraId="5C7CE194" w14:textId="77777777" w:rsidTr="00886332">
        <w:tc>
          <w:tcPr>
            <w:tcW w:w="4405" w:type="dxa"/>
          </w:tcPr>
          <w:p w14:paraId="19A5D34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5.1.4.2 </w:t>
            </w:r>
            <w:r w:rsidRPr="008F5C15">
              <w:rPr>
                <w:rFonts w:ascii="Verdana" w:hAnsi="Verdana"/>
                <w:sz w:val="16"/>
                <w:szCs w:val="16"/>
                <w:lang w:val="es-MX"/>
              </w:rPr>
              <w:t>El conocimiento del producto y del proceso se gestiona a través de todo el ciclo de vida del producto.</w:t>
            </w:r>
          </w:p>
        </w:tc>
        <w:tc>
          <w:tcPr>
            <w:tcW w:w="4427" w:type="dxa"/>
          </w:tcPr>
          <w:p w14:paraId="09A6BBB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5.1.4.2 </w:t>
            </w:r>
            <w:r w:rsidRPr="008F5C15">
              <w:rPr>
                <w:rFonts w:ascii="Verdana" w:hAnsi="Verdana"/>
                <w:sz w:val="16"/>
                <w:szCs w:val="16"/>
                <w:lang w:val="en-US"/>
              </w:rPr>
              <w:t xml:space="preserve">The inspection of the product and the process is managed through the entire life cycle of the product. </w:t>
            </w:r>
          </w:p>
        </w:tc>
      </w:tr>
      <w:tr w:rsidR="001C6A90" w:rsidRPr="00947A46" w14:paraId="172C985D" w14:textId="77777777" w:rsidTr="00886332">
        <w:tc>
          <w:tcPr>
            <w:tcW w:w="4405" w:type="dxa"/>
          </w:tcPr>
          <w:p w14:paraId="3DE6D32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5.1.4.3</w:t>
            </w:r>
            <w:r w:rsidRPr="008F5C15">
              <w:rPr>
                <w:rFonts w:ascii="Verdana" w:hAnsi="Verdana"/>
                <w:sz w:val="16"/>
                <w:szCs w:val="16"/>
                <w:lang w:val="es-MX"/>
              </w:rPr>
              <w:t xml:space="preserve"> Los medicamentos se diseñan y desarrollan teniendo en cuenta los requisitos de las BPF.</w:t>
            </w:r>
          </w:p>
        </w:tc>
        <w:tc>
          <w:tcPr>
            <w:tcW w:w="4427" w:type="dxa"/>
          </w:tcPr>
          <w:p w14:paraId="5B3EE6E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5.1.4.3 </w:t>
            </w:r>
            <w:r w:rsidRPr="008F5C15">
              <w:rPr>
                <w:rFonts w:ascii="Verdana" w:hAnsi="Verdana"/>
                <w:sz w:val="16"/>
                <w:szCs w:val="16"/>
                <w:lang w:val="en-US"/>
              </w:rPr>
              <w:t xml:space="preserve">The drug products are designed and developed taking into account the requirements of the GMP (Good Manufacturing Practices). </w:t>
            </w:r>
          </w:p>
        </w:tc>
      </w:tr>
      <w:tr w:rsidR="001C6A90" w:rsidRPr="00947A46" w14:paraId="7E3A8059" w14:textId="77777777" w:rsidTr="00886332">
        <w:tc>
          <w:tcPr>
            <w:tcW w:w="4405" w:type="dxa"/>
          </w:tcPr>
          <w:p w14:paraId="24DDF1F7"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5.1.4.4 </w:t>
            </w:r>
            <w:r w:rsidRPr="008F5C15">
              <w:rPr>
                <w:rFonts w:ascii="Verdana" w:hAnsi="Verdana"/>
                <w:sz w:val="16"/>
                <w:szCs w:val="16"/>
                <w:lang w:val="es-MX"/>
              </w:rPr>
              <w:t>Las operaciones de producción y control de calidad se describen claramente y adoptan las BPF y BPL.</w:t>
            </w:r>
          </w:p>
        </w:tc>
        <w:tc>
          <w:tcPr>
            <w:tcW w:w="4427" w:type="dxa"/>
          </w:tcPr>
          <w:p w14:paraId="719863D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5.1.44 </w:t>
            </w:r>
            <w:r w:rsidRPr="008F5C15">
              <w:rPr>
                <w:rFonts w:ascii="Verdana" w:hAnsi="Verdana"/>
                <w:sz w:val="16"/>
                <w:szCs w:val="16"/>
                <w:lang w:val="en-US"/>
              </w:rPr>
              <w:t xml:space="preserve">The operations of production and quality control are clearly described and adopt the GMP </w:t>
            </w:r>
            <w:r w:rsidRPr="008F5C15">
              <w:rPr>
                <w:rFonts w:ascii="Verdana" w:hAnsi="Verdana"/>
                <w:sz w:val="16"/>
                <w:szCs w:val="16"/>
                <w:lang w:val="en-US"/>
              </w:rPr>
              <w:lastRenderedPageBreak/>
              <w:t xml:space="preserve">(Good Manufacturing Practices) and GLP (Good Laboratory Practices). </w:t>
            </w:r>
          </w:p>
        </w:tc>
      </w:tr>
      <w:tr w:rsidR="001C6A90" w:rsidRPr="00947A46" w14:paraId="275B368E" w14:textId="77777777" w:rsidTr="00886332">
        <w:tc>
          <w:tcPr>
            <w:tcW w:w="4405" w:type="dxa"/>
          </w:tcPr>
          <w:p w14:paraId="255AC95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5.1.4.5</w:t>
            </w:r>
            <w:r w:rsidRPr="008F5C15">
              <w:rPr>
                <w:rFonts w:ascii="Verdana" w:hAnsi="Verdana"/>
                <w:sz w:val="16"/>
                <w:szCs w:val="16"/>
                <w:lang w:val="es-MX"/>
              </w:rPr>
              <w:t xml:space="preserve"> Las responsabilidades del personal en el Sistema de Gestión de Calidad se deben especificar claramente.</w:t>
            </w:r>
          </w:p>
        </w:tc>
        <w:tc>
          <w:tcPr>
            <w:tcW w:w="4427" w:type="dxa"/>
          </w:tcPr>
          <w:p w14:paraId="26EB2E4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5.1.4.5 </w:t>
            </w:r>
            <w:r w:rsidRPr="008F5C15">
              <w:rPr>
                <w:rFonts w:ascii="Verdana" w:hAnsi="Verdana"/>
                <w:sz w:val="16"/>
                <w:szCs w:val="16"/>
                <w:lang w:val="en-US"/>
              </w:rPr>
              <w:t xml:space="preserve">The responsibilities of the personnel in the Quality Management System must be clearly specified. </w:t>
            </w:r>
          </w:p>
        </w:tc>
      </w:tr>
      <w:tr w:rsidR="001C6A90" w:rsidRPr="00947A46" w14:paraId="027205AD" w14:textId="77777777" w:rsidTr="00886332">
        <w:tc>
          <w:tcPr>
            <w:tcW w:w="4405" w:type="dxa"/>
          </w:tcPr>
          <w:p w14:paraId="7148BA7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5.1.4.6</w:t>
            </w:r>
            <w:r w:rsidRPr="008F5C15">
              <w:rPr>
                <w:rFonts w:ascii="Verdana" w:hAnsi="Verdana"/>
                <w:sz w:val="16"/>
                <w:szCs w:val="16"/>
                <w:lang w:val="es-MX"/>
              </w:rPr>
              <w:t xml:space="preserve"> Se toman las medidas oportunas para que la fabricación, suministro, utilización de materias primas, materiales de acondicionamiento, y la selección y seguimiento de los proveedores sean correctos, y que se verifique que cada entrega proviene de la cadena de suministro aprobada.</w:t>
            </w:r>
          </w:p>
        </w:tc>
        <w:tc>
          <w:tcPr>
            <w:tcW w:w="4427" w:type="dxa"/>
          </w:tcPr>
          <w:p w14:paraId="0E26D2C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5.1.4.6 </w:t>
            </w:r>
            <w:r w:rsidRPr="008F5C15">
              <w:rPr>
                <w:rFonts w:ascii="Verdana" w:hAnsi="Verdana"/>
                <w:sz w:val="16"/>
                <w:szCs w:val="16"/>
                <w:lang w:val="en-US"/>
              </w:rPr>
              <w:t xml:space="preserve">Opportune measures are taken so that the fabrication, supply, use of raw materials, conditioning materials and the selection and follow up of the suppliers are correct, and that each delivery from each approved supply chain is verified. </w:t>
            </w:r>
          </w:p>
        </w:tc>
      </w:tr>
      <w:tr w:rsidR="001C6A90" w:rsidRPr="00947A46" w14:paraId="49021018" w14:textId="77777777" w:rsidTr="00886332">
        <w:tc>
          <w:tcPr>
            <w:tcW w:w="4405" w:type="dxa"/>
          </w:tcPr>
          <w:p w14:paraId="6B50735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5.1.4.7</w:t>
            </w:r>
            <w:r w:rsidRPr="008F5C15">
              <w:rPr>
                <w:rFonts w:ascii="Verdana" w:hAnsi="Verdana"/>
                <w:sz w:val="16"/>
                <w:szCs w:val="16"/>
                <w:lang w:val="es-MX"/>
              </w:rPr>
              <w:t xml:space="preserve"> Existen procedimientos o acuerdos técnicos de calidad para asegurar la gestión de las actividades subcontratadas.</w:t>
            </w:r>
          </w:p>
        </w:tc>
        <w:tc>
          <w:tcPr>
            <w:tcW w:w="4427" w:type="dxa"/>
          </w:tcPr>
          <w:p w14:paraId="0865EB5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5.1.4.7 </w:t>
            </w:r>
            <w:r w:rsidRPr="008F5C15">
              <w:rPr>
                <w:rFonts w:ascii="Verdana" w:hAnsi="Verdana"/>
                <w:sz w:val="16"/>
                <w:szCs w:val="16"/>
                <w:lang w:val="en-US"/>
              </w:rPr>
              <w:t xml:space="preserve">Procedures or quality techniques exist to assure the management of the subcontracted activities. </w:t>
            </w:r>
          </w:p>
        </w:tc>
      </w:tr>
      <w:tr w:rsidR="001C6A90" w:rsidRPr="00947A46" w14:paraId="7AC50FA4" w14:textId="77777777" w:rsidTr="00886332">
        <w:tc>
          <w:tcPr>
            <w:tcW w:w="4405" w:type="dxa"/>
          </w:tcPr>
          <w:p w14:paraId="6F3037F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5.1.4.8</w:t>
            </w:r>
            <w:r w:rsidRPr="008F5C15">
              <w:rPr>
                <w:rFonts w:ascii="Verdana" w:hAnsi="Verdana"/>
                <w:sz w:val="16"/>
                <w:szCs w:val="16"/>
                <w:lang w:val="es-MX"/>
              </w:rPr>
              <w:t xml:space="preserve"> Se establece y mantiene un estado de control de la ejecución del proceso y la calidad del producto mediante medidas de monitoreo y los resultados de dichas medidas se tienen en cuenta para la liberación del lote, para la investigación de las desviaciones, y para llevar a cabo acciones preventivas que permitan eliminar la recurrencia.</w:t>
            </w:r>
          </w:p>
        </w:tc>
        <w:tc>
          <w:tcPr>
            <w:tcW w:w="4427" w:type="dxa"/>
          </w:tcPr>
          <w:p w14:paraId="27E0EBD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5.1.4.8 </w:t>
            </w:r>
            <w:r w:rsidRPr="008F5C15">
              <w:rPr>
                <w:rFonts w:ascii="Verdana" w:hAnsi="Verdana"/>
                <w:sz w:val="16"/>
                <w:szCs w:val="16"/>
                <w:lang w:val="en-US"/>
              </w:rPr>
              <w:t xml:space="preserve">A state of control of the execution of the process and the quality of the product through monitoring measures is established and the results of said measures are taken into account for the release of the lot, for the investigation of the deviations, and to carry out the preventive actions that permit eliminating the recurrence. </w:t>
            </w:r>
          </w:p>
        </w:tc>
      </w:tr>
      <w:tr w:rsidR="001C6A90" w:rsidRPr="00947A46" w14:paraId="6D160DDC" w14:textId="77777777" w:rsidTr="00886332">
        <w:tc>
          <w:tcPr>
            <w:tcW w:w="4405" w:type="dxa"/>
          </w:tcPr>
          <w:p w14:paraId="74F5F3A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5.1.4.9</w:t>
            </w:r>
            <w:r w:rsidRPr="008F5C15">
              <w:rPr>
                <w:rFonts w:ascii="Verdana" w:hAnsi="Verdana"/>
                <w:sz w:val="16"/>
                <w:szCs w:val="16"/>
                <w:lang w:val="es-MX"/>
              </w:rPr>
              <w:t xml:space="preserve"> Se llevan a cabo todos los controles necesarios sobre los productos intermedios, así como los controles en proceso y las validaciones;</w:t>
            </w:r>
          </w:p>
        </w:tc>
        <w:tc>
          <w:tcPr>
            <w:tcW w:w="4427" w:type="dxa"/>
          </w:tcPr>
          <w:p w14:paraId="1A91F94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5.1.4.9 </w:t>
            </w:r>
            <w:r w:rsidRPr="008F5C15">
              <w:rPr>
                <w:rFonts w:ascii="Verdana" w:hAnsi="Verdana"/>
                <w:sz w:val="16"/>
                <w:szCs w:val="16"/>
                <w:lang w:val="en-US"/>
              </w:rPr>
              <w:t xml:space="preserve">All the controls necessary must be carried out on the intermediate products, as well as the controls in process and the validations; </w:t>
            </w:r>
          </w:p>
        </w:tc>
      </w:tr>
      <w:tr w:rsidR="001C6A90" w:rsidRPr="00262EF8" w14:paraId="1B8086F8" w14:textId="77777777" w:rsidTr="00886332">
        <w:tc>
          <w:tcPr>
            <w:tcW w:w="4405" w:type="dxa"/>
          </w:tcPr>
          <w:p w14:paraId="021E99A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5.1.4.10</w:t>
            </w:r>
            <w:r w:rsidRPr="008F5C15">
              <w:rPr>
                <w:rFonts w:ascii="Verdana" w:hAnsi="Verdana"/>
                <w:sz w:val="16"/>
                <w:szCs w:val="16"/>
                <w:lang w:val="es-MX"/>
              </w:rPr>
              <w:t xml:space="preserve"> Se facilita la mejora continua.</w:t>
            </w:r>
          </w:p>
        </w:tc>
        <w:tc>
          <w:tcPr>
            <w:tcW w:w="4427" w:type="dxa"/>
          </w:tcPr>
          <w:p w14:paraId="6AFA32E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5.1.4.10 </w:t>
            </w:r>
            <w:r w:rsidRPr="008F5C15">
              <w:rPr>
                <w:rFonts w:ascii="Verdana" w:hAnsi="Verdana"/>
                <w:sz w:val="16"/>
                <w:szCs w:val="16"/>
                <w:lang w:val="en-US"/>
              </w:rPr>
              <w:t xml:space="preserve">Continuous improvement is facilitated </w:t>
            </w:r>
          </w:p>
        </w:tc>
      </w:tr>
      <w:tr w:rsidR="001C6A90" w:rsidRPr="00947A46" w14:paraId="168AB6FB" w14:textId="77777777" w:rsidTr="00886332">
        <w:tc>
          <w:tcPr>
            <w:tcW w:w="4405" w:type="dxa"/>
          </w:tcPr>
          <w:p w14:paraId="2CC68C9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5.1.4.11</w:t>
            </w:r>
            <w:r w:rsidRPr="008F5C15">
              <w:rPr>
                <w:rFonts w:ascii="Verdana" w:hAnsi="Verdana"/>
                <w:sz w:val="16"/>
                <w:szCs w:val="16"/>
                <w:lang w:val="es-MX"/>
              </w:rPr>
              <w:t xml:space="preserve"> Existen medidas implantadas para la evaluación prospectiva de cambios planeados, así como su aprobación previa a la implementación, considerando la notificación y aprobación por las autoridades regulatorias, en su caso.</w:t>
            </w:r>
          </w:p>
        </w:tc>
        <w:tc>
          <w:tcPr>
            <w:tcW w:w="4427" w:type="dxa"/>
          </w:tcPr>
          <w:p w14:paraId="580D6FE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5.1.4.11 </w:t>
            </w:r>
            <w:r w:rsidRPr="008F5C15">
              <w:rPr>
                <w:rFonts w:ascii="Verdana" w:hAnsi="Verdana"/>
                <w:sz w:val="16"/>
                <w:szCs w:val="16"/>
                <w:lang w:val="en-US"/>
              </w:rPr>
              <w:t xml:space="preserve">There are measures implemented for the prospective evaluation of changes planned as well as its approval prior to the implementation, considering the notification and approval by the regulatory authorities, when applicable. </w:t>
            </w:r>
          </w:p>
        </w:tc>
      </w:tr>
      <w:tr w:rsidR="001C6A90" w:rsidRPr="00947A46" w14:paraId="047E0BDD" w14:textId="77777777" w:rsidTr="00886332">
        <w:tc>
          <w:tcPr>
            <w:tcW w:w="4405" w:type="dxa"/>
          </w:tcPr>
          <w:p w14:paraId="629A684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5.1.4.12 </w:t>
            </w:r>
            <w:r w:rsidRPr="008F5C15">
              <w:rPr>
                <w:rFonts w:ascii="Verdana" w:hAnsi="Verdana"/>
                <w:sz w:val="16"/>
                <w:szCs w:val="16"/>
                <w:lang w:val="es-MX"/>
              </w:rPr>
              <w:t xml:space="preserve">Tras la implementación de cualquier cambio planeado, se lleva a cabo una evaluación para confirmar que se han alcanzado los objetivos de calidad. </w:t>
            </w:r>
          </w:p>
        </w:tc>
        <w:tc>
          <w:tcPr>
            <w:tcW w:w="4427" w:type="dxa"/>
          </w:tcPr>
          <w:p w14:paraId="589FC60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5.1.4.12 </w:t>
            </w:r>
            <w:r w:rsidRPr="008F5C15">
              <w:rPr>
                <w:rFonts w:ascii="Verdana" w:hAnsi="Verdana"/>
                <w:sz w:val="16"/>
                <w:szCs w:val="16"/>
                <w:lang w:val="en-US"/>
              </w:rPr>
              <w:t xml:space="preserve">Through the implementation of any planned change, an evaluation is carried out to confirm that the quality objectives have been reached. </w:t>
            </w:r>
          </w:p>
        </w:tc>
      </w:tr>
      <w:tr w:rsidR="001C6A90" w:rsidRPr="00947A46" w14:paraId="25824C91" w14:textId="77777777" w:rsidTr="00886332">
        <w:tc>
          <w:tcPr>
            <w:tcW w:w="4405" w:type="dxa"/>
          </w:tcPr>
          <w:p w14:paraId="7299CBA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5.1.4.13 </w:t>
            </w:r>
            <w:r w:rsidRPr="008F5C15">
              <w:rPr>
                <w:rFonts w:ascii="Verdana" w:hAnsi="Verdana"/>
                <w:sz w:val="16"/>
                <w:szCs w:val="16"/>
                <w:lang w:val="es-MX"/>
              </w:rPr>
              <w:t>Durante la investigación de desviaciones, sospechas de defectos de productos u otro tipo de problemas, debe aplicarse un análisis de la causa raíz. Este análisis puede determinarse en base a los principios de gestión de riesgos. En los casos en los que la causa(s) raíz no pueda determinarse, debe considerarse la causa o causas más probables, y abordar éstas. Deben identificarse y adoptarse acciones correctivas y/o preventivas adecuadas (CAPA) en respuesta a las investigaciones realizadas. La efectividad de estas acciones debe monitorearse y evaluarse, en línea con los principios de gestión de riesgos de la calidad.</w:t>
            </w:r>
          </w:p>
        </w:tc>
        <w:tc>
          <w:tcPr>
            <w:tcW w:w="4427" w:type="dxa"/>
          </w:tcPr>
          <w:p w14:paraId="1127234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5.1.4.13 </w:t>
            </w:r>
            <w:r w:rsidRPr="008F5C15">
              <w:rPr>
                <w:rFonts w:ascii="Verdana" w:hAnsi="Verdana"/>
                <w:sz w:val="16"/>
                <w:szCs w:val="16"/>
                <w:lang w:val="en-US"/>
              </w:rPr>
              <w:t xml:space="preserve">During the research of deviations, suspicions of defects of products or another type of problems, an analysis of the root cause must be applied. This analysis can be determined based on the principles of management of risks. In the cases where the root cause cannot be determined, the most probable cause or causes must be considered and addressed. Adequate corrective and/or preventive actions must be identified and adopted (CAPA) in response to the investigations made. The effectiveness of these actions must be monitored and evaluated, in line with the principles of management of quality risks. </w:t>
            </w:r>
          </w:p>
        </w:tc>
      </w:tr>
      <w:tr w:rsidR="001C6A90" w:rsidRPr="00947A46" w14:paraId="1E0A484D" w14:textId="77777777" w:rsidTr="00886332">
        <w:tc>
          <w:tcPr>
            <w:tcW w:w="4405" w:type="dxa"/>
          </w:tcPr>
          <w:p w14:paraId="12C0195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5.1.4.14 </w:t>
            </w:r>
            <w:r w:rsidRPr="008F5C15">
              <w:rPr>
                <w:rFonts w:ascii="Verdana" w:hAnsi="Verdana"/>
                <w:sz w:val="16"/>
                <w:szCs w:val="16"/>
                <w:lang w:val="es-MX"/>
              </w:rPr>
              <w:t xml:space="preserve">Ningún medicamento se vende o se suministra sin que previamente una persona calificada haya certificado que cada lote de fabricación se ha producido y controlado según los requisitos establecidos en la Autorización de Comercialización y cualquier otra regulación relativa </w:t>
            </w:r>
            <w:r w:rsidRPr="008F5C15">
              <w:rPr>
                <w:rFonts w:ascii="Verdana" w:hAnsi="Verdana"/>
                <w:sz w:val="16"/>
                <w:szCs w:val="16"/>
                <w:lang w:val="es-MX"/>
              </w:rPr>
              <w:lastRenderedPageBreak/>
              <w:t>a la producción, control y liberación de medicamentos.</w:t>
            </w:r>
          </w:p>
        </w:tc>
        <w:tc>
          <w:tcPr>
            <w:tcW w:w="4427" w:type="dxa"/>
          </w:tcPr>
          <w:p w14:paraId="6E99D19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5.1.4.14 </w:t>
            </w:r>
            <w:r w:rsidRPr="008F5C15">
              <w:rPr>
                <w:rFonts w:ascii="Verdana" w:hAnsi="Verdana"/>
                <w:sz w:val="16"/>
                <w:szCs w:val="16"/>
                <w:lang w:val="en-US"/>
              </w:rPr>
              <w:t xml:space="preserve">No drug product is sold or supplied without first a qualified person having certified that each manufacturing lot has been produced and controlled according to the requirements established in the Authorization of Commercial Distribution and any </w:t>
            </w:r>
            <w:r w:rsidRPr="008F5C15">
              <w:rPr>
                <w:rFonts w:ascii="Verdana" w:hAnsi="Verdana"/>
                <w:sz w:val="16"/>
                <w:szCs w:val="16"/>
                <w:lang w:val="en-US"/>
              </w:rPr>
              <w:lastRenderedPageBreak/>
              <w:t xml:space="preserve">other regulation relative to the production, control and release of drug products. </w:t>
            </w:r>
          </w:p>
        </w:tc>
      </w:tr>
      <w:tr w:rsidR="001C6A90" w:rsidRPr="00947A46" w14:paraId="77330D1D" w14:textId="77777777" w:rsidTr="00886332">
        <w:tc>
          <w:tcPr>
            <w:tcW w:w="4405" w:type="dxa"/>
          </w:tcPr>
          <w:p w14:paraId="0B847F8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5.1.4.15</w:t>
            </w:r>
            <w:r w:rsidRPr="008F5C15">
              <w:rPr>
                <w:rFonts w:ascii="Verdana" w:hAnsi="Verdana"/>
                <w:sz w:val="16"/>
                <w:szCs w:val="16"/>
                <w:lang w:val="es-MX"/>
              </w:rPr>
              <w:t xml:space="preserve"> Se adoptan medidas que garantizan, que los medicamentos se almacenan y se distribuyen de tal modo que la calidad se mantiene íntegra durante el periodo de vigencia.</w:t>
            </w:r>
          </w:p>
        </w:tc>
        <w:tc>
          <w:tcPr>
            <w:tcW w:w="4427" w:type="dxa"/>
          </w:tcPr>
          <w:p w14:paraId="751D117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5.1.4.15 </w:t>
            </w:r>
            <w:r w:rsidRPr="008F5C15">
              <w:rPr>
                <w:rFonts w:ascii="Verdana" w:hAnsi="Verdana"/>
                <w:sz w:val="16"/>
                <w:szCs w:val="16"/>
                <w:lang w:val="en-US"/>
              </w:rPr>
              <w:t xml:space="preserve">Measures that guarantee that the drug products are stored and distributed in a way that the quality is integrally maintained during the valid period are adopted. </w:t>
            </w:r>
          </w:p>
        </w:tc>
      </w:tr>
      <w:tr w:rsidR="001C6A90" w:rsidRPr="00947A46" w14:paraId="41E491BF" w14:textId="77777777" w:rsidTr="00886332">
        <w:tc>
          <w:tcPr>
            <w:tcW w:w="4405" w:type="dxa"/>
          </w:tcPr>
          <w:p w14:paraId="7C8B157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5.1.4.16 </w:t>
            </w:r>
            <w:r w:rsidRPr="008F5C15">
              <w:rPr>
                <w:rFonts w:ascii="Verdana" w:hAnsi="Verdana"/>
                <w:sz w:val="16"/>
                <w:szCs w:val="16"/>
                <w:lang w:val="es-MX"/>
              </w:rPr>
              <w:t>Existe un procedimiento de autoinspecciones y/o de auditorías de calidad que evalúa regularmente la eficacia y la aplicación del Sistema de Gestión de Calidad.</w:t>
            </w:r>
          </w:p>
        </w:tc>
        <w:tc>
          <w:tcPr>
            <w:tcW w:w="4427" w:type="dxa"/>
          </w:tcPr>
          <w:p w14:paraId="7EC40AF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5.1.4.16 </w:t>
            </w:r>
            <w:r w:rsidRPr="008F5C15">
              <w:rPr>
                <w:rFonts w:ascii="Verdana" w:hAnsi="Verdana"/>
                <w:sz w:val="16"/>
                <w:szCs w:val="16"/>
                <w:lang w:val="en-US"/>
              </w:rPr>
              <w:t xml:space="preserve">A self-inspection and/or quality audit procedure exists that regularly evaluates the efficiency and the application of the Quality Management System. </w:t>
            </w:r>
          </w:p>
        </w:tc>
      </w:tr>
      <w:tr w:rsidR="001C6A90" w:rsidRPr="00947A46" w14:paraId="72C4CFC2" w14:textId="77777777" w:rsidTr="00B859E3">
        <w:trPr>
          <w:trHeight w:val="432"/>
        </w:trPr>
        <w:tc>
          <w:tcPr>
            <w:tcW w:w="4405" w:type="dxa"/>
          </w:tcPr>
          <w:p w14:paraId="78B8304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5.1.4.17 </w:t>
            </w:r>
            <w:r w:rsidRPr="008F5C15">
              <w:rPr>
                <w:rFonts w:ascii="Verdana" w:hAnsi="Verdana"/>
                <w:sz w:val="16"/>
                <w:szCs w:val="16"/>
                <w:lang w:val="es-MX"/>
              </w:rPr>
              <w:t>Los elementos mínimos que contendrá el Sistema de Gestión de Calidad son:</w:t>
            </w:r>
          </w:p>
        </w:tc>
        <w:tc>
          <w:tcPr>
            <w:tcW w:w="4427" w:type="dxa"/>
          </w:tcPr>
          <w:p w14:paraId="4D207F6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5.1.4.17 </w:t>
            </w:r>
            <w:r w:rsidRPr="008F5C15">
              <w:rPr>
                <w:rFonts w:ascii="Verdana" w:hAnsi="Verdana"/>
                <w:sz w:val="16"/>
                <w:szCs w:val="16"/>
                <w:lang w:val="en-US"/>
              </w:rPr>
              <w:t xml:space="preserve">The minimum elements that the Quality Management System will contain:  </w:t>
            </w:r>
          </w:p>
        </w:tc>
      </w:tr>
      <w:tr w:rsidR="001C6A90" w:rsidRPr="00262EF8" w14:paraId="76E2B5E7" w14:textId="77777777" w:rsidTr="00886332">
        <w:tc>
          <w:tcPr>
            <w:tcW w:w="4405" w:type="dxa"/>
          </w:tcPr>
          <w:p w14:paraId="036345E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5.1.4.17.1</w:t>
            </w:r>
            <w:r w:rsidRPr="008F5C15">
              <w:rPr>
                <w:rFonts w:ascii="Verdana" w:hAnsi="Verdana"/>
                <w:sz w:val="16"/>
                <w:szCs w:val="16"/>
                <w:lang w:val="es-MX"/>
              </w:rPr>
              <w:t xml:space="preserve"> Manual de calidad.</w:t>
            </w:r>
          </w:p>
        </w:tc>
        <w:tc>
          <w:tcPr>
            <w:tcW w:w="4427" w:type="dxa"/>
          </w:tcPr>
          <w:p w14:paraId="127D95A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5.1.4.17.1</w:t>
            </w:r>
            <w:r w:rsidRPr="008F5C15">
              <w:rPr>
                <w:rFonts w:ascii="Verdana" w:hAnsi="Verdana"/>
                <w:sz w:val="16"/>
                <w:szCs w:val="16"/>
                <w:lang w:val="en-US"/>
              </w:rPr>
              <w:t xml:space="preserve"> Quality manual.</w:t>
            </w:r>
          </w:p>
        </w:tc>
      </w:tr>
      <w:tr w:rsidR="001C6A90" w:rsidRPr="00262EF8" w14:paraId="582A967E" w14:textId="77777777" w:rsidTr="00886332">
        <w:tc>
          <w:tcPr>
            <w:tcW w:w="4405" w:type="dxa"/>
          </w:tcPr>
          <w:p w14:paraId="72694C6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5.1.4.17.2</w:t>
            </w:r>
            <w:r w:rsidRPr="008F5C15">
              <w:rPr>
                <w:rFonts w:ascii="Verdana" w:hAnsi="Verdana"/>
                <w:sz w:val="16"/>
                <w:szCs w:val="16"/>
                <w:lang w:val="es-MX"/>
              </w:rPr>
              <w:t xml:space="preserve"> Sistema de Auditorías.</w:t>
            </w:r>
          </w:p>
        </w:tc>
        <w:tc>
          <w:tcPr>
            <w:tcW w:w="4427" w:type="dxa"/>
          </w:tcPr>
          <w:p w14:paraId="4CA45A5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5.1.4.17.2</w:t>
            </w:r>
            <w:r w:rsidRPr="008F5C15">
              <w:rPr>
                <w:rFonts w:ascii="Verdana" w:hAnsi="Verdana"/>
                <w:sz w:val="16"/>
                <w:szCs w:val="16"/>
                <w:lang w:val="en-US"/>
              </w:rPr>
              <w:t xml:space="preserve"> System of audits.</w:t>
            </w:r>
          </w:p>
        </w:tc>
      </w:tr>
      <w:tr w:rsidR="001C6A90" w:rsidRPr="00262EF8" w14:paraId="06E599BF" w14:textId="77777777" w:rsidTr="00886332">
        <w:tc>
          <w:tcPr>
            <w:tcW w:w="4405" w:type="dxa"/>
          </w:tcPr>
          <w:p w14:paraId="74DC464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5.1.4.17.3</w:t>
            </w:r>
            <w:r w:rsidRPr="008F5C15">
              <w:rPr>
                <w:rFonts w:ascii="Verdana" w:hAnsi="Verdana"/>
                <w:sz w:val="16"/>
                <w:szCs w:val="16"/>
                <w:lang w:val="es-MX"/>
              </w:rPr>
              <w:t xml:space="preserve"> Gestión de Quejas.</w:t>
            </w:r>
          </w:p>
        </w:tc>
        <w:tc>
          <w:tcPr>
            <w:tcW w:w="4427" w:type="dxa"/>
          </w:tcPr>
          <w:p w14:paraId="4180D7D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5.1.4.17.3</w:t>
            </w:r>
            <w:r w:rsidRPr="008F5C15">
              <w:rPr>
                <w:rFonts w:ascii="Verdana" w:hAnsi="Verdana"/>
                <w:sz w:val="16"/>
                <w:szCs w:val="16"/>
                <w:lang w:val="en-US"/>
              </w:rPr>
              <w:t xml:space="preserve"> Management of complaints. </w:t>
            </w:r>
          </w:p>
        </w:tc>
      </w:tr>
      <w:tr w:rsidR="001C6A90" w:rsidRPr="00947A46" w14:paraId="1C1112BF" w14:textId="77777777" w:rsidTr="00886332">
        <w:tc>
          <w:tcPr>
            <w:tcW w:w="4405" w:type="dxa"/>
          </w:tcPr>
          <w:p w14:paraId="3147D5C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5.1.4.17.4</w:t>
            </w:r>
            <w:r w:rsidRPr="008F5C15">
              <w:rPr>
                <w:rFonts w:ascii="Verdana" w:hAnsi="Verdana"/>
                <w:sz w:val="16"/>
                <w:szCs w:val="16"/>
                <w:lang w:val="es-MX"/>
              </w:rPr>
              <w:t xml:space="preserve"> Manejo de Producto fuera de especificación o no conforme.</w:t>
            </w:r>
          </w:p>
        </w:tc>
        <w:tc>
          <w:tcPr>
            <w:tcW w:w="4427" w:type="dxa"/>
          </w:tcPr>
          <w:p w14:paraId="2BE21A2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5.1.4.17.4</w:t>
            </w:r>
            <w:r w:rsidRPr="008F5C15">
              <w:rPr>
                <w:rFonts w:ascii="Verdana" w:hAnsi="Verdana"/>
                <w:sz w:val="16"/>
                <w:szCs w:val="16"/>
                <w:lang w:val="en-US"/>
              </w:rPr>
              <w:t xml:space="preserve"> Handling of product outside of specifications or nonconforming product. </w:t>
            </w:r>
          </w:p>
        </w:tc>
      </w:tr>
      <w:tr w:rsidR="001C6A90" w:rsidRPr="00947A46" w14:paraId="5824EC26" w14:textId="77777777" w:rsidTr="00886332">
        <w:tc>
          <w:tcPr>
            <w:tcW w:w="4405" w:type="dxa"/>
          </w:tcPr>
          <w:p w14:paraId="5608EA0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5.1.4.17.5</w:t>
            </w:r>
            <w:r w:rsidRPr="008F5C15">
              <w:rPr>
                <w:rFonts w:ascii="Verdana" w:hAnsi="Verdana"/>
                <w:sz w:val="16"/>
                <w:szCs w:val="16"/>
                <w:lang w:val="es-MX"/>
              </w:rPr>
              <w:t xml:space="preserve"> Manejo de desviaciones y sistema CAPA.</w:t>
            </w:r>
          </w:p>
        </w:tc>
        <w:tc>
          <w:tcPr>
            <w:tcW w:w="4427" w:type="dxa"/>
          </w:tcPr>
          <w:p w14:paraId="2F07C53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5.1.4.17.5</w:t>
            </w:r>
            <w:r w:rsidRPr="008F5C15">
              <w:rPr>
                <w:rFonts w:ascii="Verdana" w:hAnsi="Verdana"/>
                <w:sz w:val="16"/>
                <w:szCs w:val="16"/>
                <w:lang w:val="en-US"/>
              </w:rPr>
              <w:t xml:space="preserve"> Handling of deviations and CAPA system. </w:t>
            </w:r>
          </w:p>
        </w:tc>
      </w:tr>
      <w:tr w:rsidR="001C6A90" w:rsidRPr="00262EF8" w14:paraId="0746B924" w14:textId="77777777" w:rsidTr="00886332">
        <w:tc>
          <w:tcPr>
            <w:tcW w:w="4405" w:type="dxa"/>
          </w:tcPr>
          <w:p w14:paraId="1B84579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5.1.4.17.6</w:t>
            </w:r>
            <w:r w:rsidRPr="008F5C15">
              <w:rPr>
                <w:rFonts w:ascii="Verdana" w:hAnsi="Verdana"/>
                <w:sz w:val="16"/>
                <w:szCs w:val="16"/>
                <w:lang w:val="es-MX"/>
              </w:rPr>
              <w:t xml:space="preserve"> Retiro de producto.</w:t>
            </w:r>
          </w:p>
        </w:tc>
        <w:tc>
          <w:tcPr>
            <w:tcW w:w="4427" w:type="dxa"/>
          </w:tcPr>
          <w:p w14:paraId="3F219B1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5.1.4.17.6</w:t>
            </w:r>
            <w:r w:rsidRPr="008F5C15">
              <w:rPr>
                <w:rFonts w:ascii="Verdana" w:hAnsi="Verdana"/>
                <w:sz w:val="16"/>
                <w:szCs w:val="16"/>
                <w:lang w:val="en-US"/>
              </w:rPr>
              <w:t xml:space="preserve"> Withdrawal of product. </w:t>
            </w:r>
          </w:p>
        </w:tc>
      </w:tr>
      <w:tr w:rsidR="001C6A90" w:rsidRPr="00262EF8" w14:paraId="4FAB1FD4" w14:textId="77777777" w:rsidTr="00886332">
        <w:tc>
          <w:tcPr>
            <w:tcW w:w="4405" w:type="dxa"/>
          </w:tcPr>
          <w:p w14:paraId="3F39450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5.1.4.17.7</w:t>
            </w:r>
            <w:r w:rsidRPr="008F5C15">
              <w:rPr>
                <w:rFonts w:ascii="Verdana" w:hAnsi="Verdana"/>
                <w:sz w:val="16"/>
                <w:szCs w:val="16"/>
                <w:lang w:val="es-MX"/>
              </w:rPr>
              <w:t xml:space="preserve"> Control de cambios.</w:t>
            </w:r>
          </w:p>
        </w:tc>
        <w:tc>
          <w:tcPr>
            <w:tcW w:w="4427" w:type="dxa"/>
          </w:tcPr>
          <w:p w14:paraId="1319610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5.1.4.17.7</w:t>
            </w:r>
            <w:r w:rsidRPr="008F5C15">
              <w:rPr>
                <w:rFonts w:ascii="Verdana" w:hAnsi="Verdana"/>
                <w:sz w:val="16"/>
                <w:szCs w:val="16"/>
                <w:lang w:val="en-US"/>
              </w:rPr>
              <w:t xml:space="preserve"> Control of changes</w:t>
            </w:r>
          </w:p>
        </w:tc>
      </w:tr>
      <w:tr w:rsidR="001C6A90" w:rsidRPr="00262EF8" w14:paraId="01573E36" w14:textId="77777777" w:rsidTr="00886332">
        <w:tc>
          <w:tcPr>
            <w:tcW w:w="4405" w:type="dxa"/>
          </w:tcPr>
          <w:p w14:paraId="72F0F84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5.1.4.17.8</w:t>
            </w:r>
            <w:r w:rsidRPr="008F5C15">
              <w:rPr>
                <w:rFonts w:ascii="Verdana" w:hAnsi="Verdana"/>
                <w:sz w:val="16"/>
                <w:szCs w:val="16"/>
                <w:lang w:val="es-MX"/>
              </w:rPr>
              <w:t xml:space="preserve"> PMV.</w:t>
            </w:r>
          </w:p>
        </w:tc>
        <w:tc>
          <w:tcPr>
            <w:tcW w:w="4427" w:type="dxa"/>
          </w:tcPr>
          <w:p w14:paraId="2170D99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5.1.4.17.8</w:t>
            </w:r>
            <w:r w:rsidRPr="008F5C15">
              <w:rPr>
                <w:rFonts w:ascii="Verdana" w:hAnsi="Verdana"/>
                <w:sz w:val="16"/>
                <w:szCs w:val="16"/>
                <w:lang w:val="en-US"/>
              </w:rPr>
              <w:t xml:space="preserve"> PMV.</w:t>
            </w:r>
          </w:p>
        </w:tc>
      </w:tr>
      <w:tr w:rsidR="001C6A90" w:rsidRPr="00262EF8" w14:paraId="5CD0617B" w14:textId="77777777" w:rsidTr="00886332">
        <w:tc>
          <w:tcPr>
            <w:tcW w:w="4405" w:type="dxa"/>
          </w:tcPr>
          <w:p w14:paraId="0AFA496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5.1.4.17.9</w:t>
            </w:r>
            <w:r w:rsidRPr="008F5C15">
              <w:rPr>
                <w:rFonts w:ascii="Verdana" w:hAnsi="Verdana"/>
                <w:sz w:val="16"/>
                <w:szCs w:val="16"/>
                <w:lang w:val="es-MX"/>
              </w:rPr>
              <w:t xml:space="preserve"> RAP.</w:t>
            </w:r>
          </w:p>
        </w:tc>
        <w:tc>
          <w:tcPr>
            <w:tcW w:w="4427" w:type="dxa"/>
          </w:tcPr>
          <w:p w14:paraId="3EDDC4B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5.1.4.17.9</w:t>
            </w:r>
            <w:r w:rsidRPr="008F5C15">
              <w:rPr>
                <w:rFonts w:ascii="Verdana" w:hAnsi="Verdana"/>
                <w:sz w:val="16"/>
                <w:szCs w:val="16"/>
                <w:lang w:val="en-US"/>
              </w:rPr>
              <w:t xml:space="preserve"> ARP (annual product review)</w:t>
            </w:r>
          </w:p>
        </w:tc>
      </w:tr>
      <w:tr w:rsidR="001C6A90" w:rsidRPr="00262EF8" w14:paraId="72F09F09" w14:textId="77777777" w:rsidTr="00886332">
        <w:tc>
          <w:tcPr>
            <w:tcW w:w="4405" w:type="dxa"/>
          </w:tcPr>
          <w:p w14:paraId="4138884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5.1.4.17.10 </w:t>
            </w:r>
            <w:r w:rsidRPr="008F5C15">
              <w:rPr>
                <w:rFonts w:ascii="Verdana" w:hAnsi="Verdana"/>
                <w:sz w:val="16"/>
                <w:szCs w:val="16"/>
                <w:lang w:val="es-MX"/>
              </w:rPr>
              <w:t>Transferencia de Tecnología.</w:t>
            </w:r>
          </w:p>
        </w:tc>
        <w:tc>
          <w:tcPr>
            <w:tcW w:w="4427" w:type="dxa"/>
          </w:tcPr>
          <w:p w14:paraId="30D1929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5.1.4.17.10 </w:t>
            </w:r>
            <w:r w:rsidRPr="008F5C15">
              <w:rPr>
                <w:rFonts w:ascii="Verdana" w:hAnsi="Verdana"/>
                <w:sz w:val="16"/>
                <w:szCs w:val="16"/>
                <w:lang w:val="en-US"/>
              </w:rPr>
              <w:t>Transfer of technology.</w:t>
            </w:r>
          </w:p>
        </w:tc>
      </w:tr>
      <w:tr w:rsidR="001C6A90" w:rsidRPr="00262EF8" w14:paraId="7E9C8577" w14:textId="77777777" w:rsidTr="00886332">
        <w:tc>
          <w:tcPr>
            <w:tcW w:w="4405" w:type="dxa"/>
          </w:tcPr>
          <w:p w14:paraId="14121EB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5.1.4.17.11</w:t>
            </w:r>
            <w:r w:rsidRPr="008F5C15">
              <w:rPr>
                <w:rFonts w:ascii="Verdana" w:hAnsi="Verdana"/>
                <w:sz w:val="16"/>
                <w:szCs w:val="16"/>
                <w:lang w:val="es-MX"/>
              </w:rPr>
              <w:t xml:space="preserve"> Gestión de Riesgos.</w:t>
            </w:r>
          </w:p>
        </w:tc>
        <w:tc>
          <w:tcPr>
            <w:tcW w:w="4427" w:type="dxa"/>
          </w:tcPr>
          <w:p w14:paraId="16315BD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5.1.4.17.11</w:t>
            </w:r>
            <w:r w:rsidRPr="008F5C15">
              <w:rPr>
                <w:rFonts w:ascii="Verdana" w:hAnsi="Verdana"/>
                <w:sz w:val="16"/>
                <w:szCs w:val="16"/>
                <w:lang w:val="en-US"/>
              </w:rPr>
              <w:t xml:space="preserve"> Management of Risks. </w:t>
            </w:r>
          </w:p>
        </w:tc>
      </w:tr>
      <w:tr w:rsidR="001C6A90" w:rsidRPr="00262EF8" w14:paraId="54E6BB75" w14:textId="77777777" w:rsidTr="00886332">
        <w:tc>
          <w:tcPr>
            <w:tcW w:w="4405" w:type="dxa"/>
          </w:tcPr>
          <w:p w14:paraId="55B921F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5.1.4.17.12 </w:t>
            </w:r>
            <w:r w:rsidRPr="008F5C15">
              <w:rPr>
                <w:rFonts w:ascii="Verdana" w:hAnsi="Verdana"/>
                <w:sz w:val="16"/>
                <w:szCs w:val="16"/>
                <w:lang w:val="es-MX"/>
              </w:rPr>
              <w:t>Control de documentos.</w:t>
            </w:r>
          </w:p>
        </w:tc>
        <w:tc>
          <w:tcPr>
            <w:tcW w:w="4427" w:type="dxa"/>
          </w:tcPr>
          <w:p w14:paraId="3A57C9D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5.1.4.17.12 </w:t>
            </w:r>
            <w:r w:rsidRPr="008F5C15">
              <w:rPr>
                <w:rFonts w:ascii="Verdana" w:hAnsi="Verdana"/>
                <w:sz w:val="16"/>
                <w:szCs w:val="16"/>
                <w:lang w:val="en-US"/>
              </w:rPr>
              <w:t>Control of documents.</w:t>
            </w:r>
          </w:p>
        </w:tc>
      </w:tr>
      <w:tr w:rsidR="001C6A90" w:rsidRPr="00262EF8" w14:paraId="0F1936C1" w14:textId="77777777" w:rsidTr="00886332">
        <w:tc>
          <w:tcPr>
            <w:tcW w:w="4405" w:type="dxa"/>
          </w:tcPr>
          <w:p w14:paraId="32B2517E"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5.1.4.17.13</w:t>
            </w:r>
            <w:r w:rsidRPr="008F5C15">
              <w:rPr>
                <w:rFonts w:ascii="Verdana" w:hAnsi="Verdana"/>
                <w:sz w:val="16"/>
                <w:szCs w:val="16"/>
                <w:lang w:val="es-MX"/>
              </w:rPr>
              <w:t xml:space="preserve"> Devoluciones.</w:t>
            </w:r>
          </w:p>
        </w:tc>
        <w:tc>
          <w:tcPr>
            <w:tcW w:w="4427" w:type="dxa"/>
          </w:tcPr>
          <w:p w14:paraId="7DED2E6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5.1.4.17.13</w:t>
            </w:r>
            <w:r w:rsidRPr="008F5C15">
              <w:rPr>
                <w:rFonts w:ascii="Verdana" w:hAnsi="Verdana"/>
                <w:sz w:val="16"/>
                <w:szCs w:val="16"/>
                <w:lang w:val="en-US"/>
              </w:rPr>
              <w:t xml:space="preserve"> Returns.</w:t>
            </w:r>
          </w:p>
        </w:tc>
      </w:tr>
      <w:tr w:rsidR="001C6A90" w:rsidRPr="00262EF8" w14:paraId="6110D32D" w14:textId="77777777" w:rsidTr="00886332">
        <w:tc>
          <w:tcPr>
            <w:tcW w:w="4405" w:type="dxa"/>
          </w:tcPr>
          <w:p w14:paraId="555632C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5.2 </w:t>
            </w:r>
            <w:r w:rsidRPr="008F5C15">
              <w:rPr>
                <w:rFonts w:ascii="Verdana" w:hAnsi="Verdana"/>
                <w:sz w:val="16"/>
                <w:szCs w:val="16"/>
                <w:lang w:val="es-MX"/>
              </w:rPr>
              <w:t>Documentación.</w:t>
            </w:r>
          </w:p>
        </w:tc>
        <w:tc>
          <w:tcPr>
            <w:tcW w:w="4427" w:type="dxa"/>
          </w:tcPr>
          <w:p w14:paraId="66E7AE2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 </w:t>
            </w:r>
            <w:r w:rsidRPr="008F5C15">
              <w:rPr>
                <w:rFonts w:ascii="Verdana" w:hAnsi="Verdana"/>
                <w:sz w:val="16"/>
                <w:szCs w:val="16"/>
                <w:lang w:val="en-US"/>
              </w:rPr>
              <w:t>Documentation.</w:t>
            </w:r>
          </w:p>
        </w:tc>
      </w:tr>
      <w:tr w:rsidR="001C6A90" w:rsidRPr="00262EF8" w14:paraId="2D8A3B46" w14:textId="77777777" w:rsidTr="00886332">
        <w:tc>
          <w:tcPr>
            <w:tcW w:w="4405" w:type="dxa"/>
          </w:tcPr>
          <w:p w14:paraId="5D824A5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5.2.1 </w:t>
            </w:r>
            <w:r w:rsidRPr="008F5C15">
              <w:rPr>
                <w:rFonts w:ascii="Verdana" w:hAnsi="Verdana"/>
                <w:sz w:val="16"/>
                <w:szCs w:val="16"/>
                <w:lang w:val="es-MX"/>
              </w:rPr>
              <w:t>Generación de la documentación.</w:t>
            </w:r>
          </w:p>
        </w:tc>
        <w:tc>
          <w:tcPr>
            <w:tcW w:w="4427" w:type="dxa"/>
          </w:tcPr>
          <w:p w14:paraId="6A6B32D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5.2.1 </w:t>
            </w:r>
            <w:r w:rsidRPr="008F5C15">
              <w:rPr>
                <w:rFonts w:ascii="Verdana" w:hAnsi="Verdana"/>
                <w:sz w:val="16"/>
                <w:szCs w:val="16"/>
                <w:lang w:val="en-US"/>
              </w:rPr>
              <w:t>Generation of documentation.</w:t>
            </w:r>
          </w:p>
        </w:tc>
      </w:tr>
      <w:tr w:rsidR="001C6A90" w:rsidRPr="00947A46" w14:paraId="5B7CA580" w14:textId="77777777" w:rsidTr="00886332">
        <w:tc>
          <w:tcPr>
            <w:tcW w:w="4405" w:type="dxa"/>
          </w:tcPr>
          <w:p w14:paraId="2B10A5C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5.2.1.1 </w:t>
            </w:r>
            <w:r w:rsidRPr="008F5C15">
              <w:rPr>
                <w:rFonts w:ascii="Verdana" w:hAnsi="Verdana"/>
                <w:sz w:val="16"/>
                <w:szCs w:val="16"/>
                <w:lang w:val="es-MX"/>
              </w:rPr>
              <w:t>Los documentos deben definirse y apegarse a lo establecido. Los requisitos aplican de igual manera a todas las formas de medios de documentación. Los sistemas electrónicos de generación de documentos necesitan entenderse, estar bien documentados, validados, y disponer de controles adecuados.</w:t>
            </w:r>
          </w:p>
        </w:tc>
        <w:tc>
          <w:tcPr>
            <w:tcW w:w="4427" w:type="dxa"/>
          </w:tcPr>
          <w:p w14:paraId="38B38ED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5.2.1.1 </w:t>
            </w:r>
            <w:r w:rsidRPr="008F5C15">
              <w:rPr>
                <w:rFonts w:ascii="Verdana" w:hAnsi="Verdana"/>
                <w:sz w:val="16"/>
                <w:szCs w:val="16"/>
                <w:lang w:val="en-US"/>
              </w:rPr>
              <w:t xml:space="preserve">The documents must be defined and follow closely that already established. The requirements apply equally to all forms of documentation. The electronic systems for the generation of documents need to be easily understood, be well documented, validated and have available the adequate controls. </w:t>
            </w:r>
          </w:p>
        </w:tc>
      </w:tr>
      <w:tr w:rsidR="001C6A90" w:rsidRPr="00947A46" w14:paraId="1806C17E" w14:textId="77777777" w:rsidTr="00886332">
        <w:tc>
          <w:tcPr>
            <w:tcW w:w="4405" w:type="dxa"/>
          </w:tcPr>
          <w:p w14:paraId="57E60AF2"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5.2.1.2 </w:t>
            </w:r>
            <w:r w:rsidRPr="008F5C15">
              <w:rPr>
                <w:rFonts w:ascii="Verdana" w:hAnsi="Verdana"/>
                <w:sz w:val="16"/>
                <w:szCs w:val="16"/>
                <w:lang w:val="es-MX"/>
              </w:rPr>
              <w:t>Los documentos del sistema deben estar escritos en idioma español. Cuando los documentos estén en dos idiomas o más, siempre deben incluir la versión en español. Algunos documentos pueden existir en forma híbrida, por ejemplo, parte en formato electrónico y otros en papel.</w:t>
            </w:r>
          </w:p>
        </w:tc>
        <w:tc>
          <w:tcPr>
            <w:tcW w:w="4427" w:type="dxa"/>
          </w:tcPr>
          <w:p w14:paraId="2F3ED1E3"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5.2.1.2 </w:t>
            </w:r>
            <w:r w:rsidRPr="008F5C15">
              <w:rPr>
                <w:rFonts w:ascii="Verdana" w:hAnsi="Verdana"/>
                <w:sz w:val="16"/>
                <w:szCs w:val="16"/>
                <w:lang w:val="en-US"/>
              </w:rPr>
              <w:t xml:space="preserve">The documents of the system must be written in Spanish. When the documents are in two languages or more, the version in Spanish always must be included. Some documents can exist in a hybrid format, for example, part electronically and others on paper. </w:t>
            </w:r>
          </w:p>
        </w:tc>
      </w:tr>
      <w:tr w:rsidR="001C6A90" w:rsidRPr="00947A46" w14:paraId="26611990" w14:textId="77777777" w:rsidTr="00886332">
        <w:tc>
          <w:tcPr>
            <w:tcW w:w="4405" w:type="dxa"/>
          </w:tcPr>
          <w:p w14:paraId="5639B1F3"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sz w:val="16"/>
                <w:szCs w:val="16"/>
                <w:lang w:val="es-MX"/>
              </w:rPr>
              <w:t>Los documentos que contienen instrucciones deben redactarse de manera ordenada y ser fáciles de comprobar. El estilo y lenguaje de los documentos debe concordar con su intención de uso.</w:t>
            </w:r>
          </w:p>
        </w:tc>
        <w:tc>
          <w:tcPr>
            <w:tcW w:w="4427" w:type="dxa"/>
          </w:tcPr>
          <w:p w14:paraId="7E6C9370"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sz w:val="16"/>
                <w:szCs w:val="16"/>
                <w:lang w:val="en-US"/>
              </w:rPr>
              <w:t xml:space="preserve">The documents that contain instructions must be redacted in an ordered manner and be easy to verify. The style and language of the documents must concord with the intention of their use. </w:t>
            </w:r>
          </w:p>
        </w:tc>
      </w:tr>
      <w:tr w:rsidR="001C6A90" w:rsidRPr="00262EF8" w14:paraId="43DA5885" w14:textId="77777777" w:rsidTr="00886332">
        <w:tc>
          <w:tcPr>
            <w:tcW w:w="4405" w:type="dxa"/>
          </w:tcPr>
          <w:p w14:paraId="761E761C"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5.2.2 </w:t>
            </w:r>
            <w:r w:rsidRPr="008F5C15">
              <w:rPr>
                <w:rFonts w:ascii="Verdana" w:hAnsi="Verdana"/>
                <w:sz w:val="16"/>
                <w:szCs w:val="16"/>
                <w:lang w:val="es-MX"/>
              </w:rPr>
              <w:t>Control de la documentación.</w:t>
            </w:r>
          </w:p>
        </w:tc>
        <w:tc>
          <w:tcPr>
            <w:tcW w:w="4427" w:type="dxa"/>
          </w:tcPr>
          <w:p w14:paraId="09A61759"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5.2.2 </w:t>
            </w:r>
            <w:r w:rsidRPr="008F5C15">
              <w:rPr>
                <w:rFonts w:ascii="Verdana" w:hAnsi="Verdana"/>
                <w:sz w:val="16"/>
                <w:szCs w:val="16"/>
                <w:lang w:val="en-US"/>
              </w:rPr>
              <w:t xml:space="preserve">Control of documentation. </w:t>
            </w:r>
          </w:p>
        </w:tc>
      </w:tr>
      <w:tr w:rsidR="001C6A90" w:rsidRPr="00947A46" w14:paraId="75EC8A63" w14:textId="77777777" w:rsidTr="00886332">
        <w:tc>
          <w:tcPr>
            <w:tcW w:w="4405" w:type="dxa"/>
          </w:tcPr>
          <w:p w14:paraId="2A82C015"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5.2.2.1 </w:t>
            </w:r>
            <w:r w:rsidRPr="008F5C15">
              <w:rPr>
                <w:rFonts w:ascii="Verdana" w:hAnsi="Verdana"/>
                <w:sz w:val="16"/>
                <w:szCs w:val="16"/>
                <w:lang w:val="es-MX"/>
              </w:rPr>
              <w:t xml:space="preserve">Las relaciones y las medidas de control para los documentos maestros, las copias oficiales, el </w:t>
            </w:r>
            <w:r w:rsidRPr="008F5C15">
              <w:rPr>
                <w:rFonts w:ascii="Verdana" w:hAnsi="Verdana"/>
                <w:sz w:val="16"/>
                <w:szCs w:val="16"/>
                <w:lang w:val="es-MX"/>
              </w:rPr>
              <w:lastRenderedPageBreak/>
              <w:t>manejo de datos y registros se tienen que establecer tanto para los sistemas híbridos como para los homogéneos.</w:t>
            </w:r>
          </w:p>
        </w:tc>
        <w:tc>
          <w:tcPr>
            <w:tcW w:w="4427" w:type="dxa"/>
          </w:tcPr>
          <w:p w14:paraId="750FB054"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5.2.2.1 </w:t>
            </w:r>
            <w:r w:rsidRPr="008F5C15">
              <w:rPr>
                <w:rFonts w:ascii="Verdana" w:hAnsi="Verdana"/>
                <w:sz w:val="16"/>
                <w:szCs w:val="16"/>
                <w:lang w:val="en-US"/>
              </w:rPr>
              <w:t xml:space="preserve">The reports and control measures for the master document, the official copies, the handling of </w:t>
            </w:r>
            <w:r w:rsidRPr="008F5C15">
              <w:rPr>
                <w:rFonts w:ascii="Verdana" w:hAnsi="Verdana"/>
                <w:sz w:val="16"/>
                <w:szCs w:val="16"/>
                <w:lang w:val="en-US"/>
              </w:rPr>
              <w:lastRenderedPageBreak/>
              <w:t xml:space="preserve">the data and records have to be established for the hybrid systems as well as for the homogenous systems. </w:t>
            </w:r>
          </w:p>
        </w:tc>
      </w:tr>
      <w:tr w:rsidR="001C6A90" w:rsidRPr="00947A46" w14:paraId="3851D700" w14:textId="77777777" w:rsidTr="00886332">
        <w:tc>
          <w:tcPr>
            <w:tcW w:w="4405" w:type="dxa"/>
          </w:tcPr>
          <w:p w14:paraId="0E85EC2F" w14:textId="77777777" w:rsidR="001C6A90" w:rsidRPr="008F5C15" w:rsidRDefault="001C6A90" w:rsidP="001C6A90">
            <w:pPr>
              <w:pStyle w:val="Texto"/>
              <w:spacing w:after="80" w:line="276" w:lineRule="auto"/>
              <w:ind w:firstLine="0"/>
              <w:rPr>
                <w:rFonts w:ascii="Verdana" w:hAnsi="Verdana"/>
                <w:b/>
                <w:sz w:val="16"/>
                <w:szCs w:val="16"/>
                <w:lang w:val="es-MX"/>
              </w:rPr>
            </w:pPr>
            <w:r w:rsidRPr="008F5C15">
              <w:rPr>
                <w:rFonts w:ascii="Verdana" w:hAnsi="Verdana"/>
                <w:b/>
                <w:sz w:val="16"/>
                <w:szCs w:val="16"/>
                <w:lang w:val="es-MX"/>
              </w:rPr>
              <w:lastRenderedPageBreak/>
              <w:t xml:space="preserve">5.2.2.2 </w:t>
            </w:r>
            <w:r w:rsidRPr="008F5C15">
              <w:rPr>
                <w:rFonts w:ascii="Verdana" w:hAnsi="Verdana"/>
                <w:sz w:val="16"/>
                <w:szCs w:val="16"/>
                <w:lang w:val="es-MX"/>
              </w:rPr>
              <w:t>Deben implementarse controles adecuados para documentos electrónicos tales como plantillas, formularios y documentos maestros. Debe disponerse de controles adecuados para asegurar la integridad de los registros a lo largo del periodo de retención.</w:t>
            </w:r>
          </w:p>
        </w:tc>
        <w:tc>
          <w:tcPr>
            <w:tcW w:w="4427" w:type="dxa"/>
          </w:tcPr>
          <w:p w14:paraId="42C2700F"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5.2.2.2 </w:t>
            </w:r>
            <w:r w:rsidRPr="008F5C15">
              <w:rPr>
                <w:rFonts w:ascii="Verdana" w:hAnsi="Verdana"/>
                <w:sz w:val="16"/>
                <w:szCs w:val="16"/>
                <w:lang w:val="en-US"/>
              </w:rPr>
              <w:t xml:space="preserve">Adequate controls must be implemented for electronic documents such as formats, forms, and master documents. Adequate controls must be available to assure the integrity of the records the length of the period of retention. </w:t>
            </w:r>
          </w:p>
        </w:tc>
      </w:tr>
      <w:tr w:rsidR="001C6A90" w:rsidRPr="00947A46" w14:paraId="10934F28" w14:textId="77777777" w:rsidTr="00886332">
        <w:tc>
          <w:tcPr>
            <w:tcW w:w="4405" w:type="dxa"/>
          </w:tcPr>
          <w:p w14:paraId="36B1F5E4"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5.2.2.3 </w:t>
            </w:r>
            <w:r w:rsidRPr="008F5C15">
              <w:rPr>
                <w:rFonts w:ascii="Verdana" w:hAnsi="Verdana"/>
                <w:sz w:val="16"/>
                <w:szCs w:val="16"/>
                <w:lang w:val="es-MX"/>
              </w:rPr>
              <w:t>Los documentos deben diseñarse, prepararse, revisarse y distribuirse de acuerdo a lo establecido en el Sistema de Gestión de Calidad.</w:t>
            </w:r>
          </w:p>
        </w:tc>
        <w:tc>
          <w:tcPr>
            <w:tcW w:w="4427" w:type="dxa"/>
          </w:tcPr>
          <w:p w14:paraId="6432EBF7"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5.2.2.3 </w:t>
            </w:r>
            <w:r w:rsidRPr="008F5C15">
              <w:rPr>
                <w:rFonts w:ascii="Verdana" w:hAnsi="Verdana"/>
                <w:sz w:val="16"/>
                <w:szCs w:val="16"/>
                <w:lang w:val="en-US"/>
              </w:rPr>
              <w:t xml:space="preserve">The documents must be designed, prepared, reviewed, and distributed according to that established in the Quality Management System. </w:t>
            </w:r>
          </w:p>
        </w:tc>
      </w:tr>
      <w:tr w:rsidR="001C6A90" w:rsidRPr="00947A46" w14:paraId="26A32CD1" w14:textId="77777777" w:rsidTr="00886332">
        <w:tc>
          <w:tcPr>
            <w:tcW w:w="4405" w:type="dxa"/>
          </w:tcPr>
          <w:p w14:paraId="7E505EA2"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5.2.2.4 </w:t>
            </w:r>
            <w:r w:rsidRPr="008F5C15">
              <w:rPr>
                <w:rFonts w:ascii="Verdana" w:hAnsi="Verdana"/>
                <w:sz w:val="16"/>
                <w:szCs w:val="16"/>
                <w:lang w:val="es-MX"/>
              </w:rPr>
              <w:t>Deben cumplir con las partes aplicables de las especificaciones de producto, de los expedientes de autorización de fabricación y comercialización. La reproducción de documentos de trabajo a partir de documentos originales no debe permitir la introducción de ningún error en el proceso de reproducción.</w:t>
            </w:r>
          </w:p>
        </w:tc>
        <w:tc>
          <w:tcPr>
            <w:tcW w:w="4427" w:type="dxa"/>
          </w:tcPr>
          <w:p w14:paraId="6C4B7A64"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5.2.2.4 </w:t>
            </w:r>
            <w:r w:rsidRPr="008F5C15">
              <w:rPr>
                <w:rFonts w:ascii="Verdana" w:hAnsi="Verdana"/>
                <w:sz w:val="16"/>
                <w:szCs w:val="16"/>
                <w:lang w:val="en-US"/>
              </w:rPr>
              <w:t xml:space="preserve">The applicable parts of the product specifications must comply with the authorization and commercial distribution files. The reproduction of work documents from the original documents must not permit the introduction of any error in the reproduction process. </w:t>
            </w:r>
          </w:p>
        </w:tc>
      </w:tr>
      <w:tr w:rsidR="001C6A90" w:rsidRPr="00262EF8" w14:paraId="68F172E6" w14:textId="77777777" w:rsidTr="00886332">
        <w:tc>
          <w:tcPr>
            <w:tcW w:w="4405" w:type="dxa"/>
          </w:tcPr>
          <w:p w14:paraId="5CFB0359" w14:textId="77777777" w:rsidR="001C6A90" w:rsidRPr="008F5C15" w:rsidRDefault="001C6A90" w:rsidP="001C6A90">
            <w:pPr>
              <w:pStyle w:val="Texto"/>
              <w:spacing w:after="86" w:line="276" w:lineRule="auto"/>
              <w:ind w:firstLine="0"/>
              <w:rPr>
                <w:rFonts w:ascii="Verdana" w:hAnsi="Verdana"/>
                <w:b/>
                <w:sz w:val="16"/>
                <w:szCs w:val="16"/>
                <w:lang w:val="es-MX"/>
              </w:rPr>
            </w:pPr>
            <w:r w:rsidRPr="008F5C15">
              <w:rPr>
                <w:rFonts w:ascii="Verdana" w:hAnsi="Verdana"/>
                <w:b/>
                <w:sz w:val="16"/>
                <w:szCs w:val="16"/>
                <w:lang w:val="es-MX"/>
              </w:rPr>
              <w:t xml:space="preserve">5.2.3. </w:t>
            </w:r>
            <w:r w:rsidRPr="008F5C15">
              <w:rPr>
                <w:rFonts w:ascii="Verdana" w:hAnsi="Verdana"/>
                <w:sz w:val="16"/>
                <w:szCs w:val="16"/>
                <w:lang w:val="es-MX"/>
              </w:rPr>
              <w:t>Resguardo de documentos.</w:t>
            </w:r>
          </w:p>
        </w:tc>
        <w:tc>
          <w:tcPr>
            <w:tcW w:w="4427" w:type="dxa"/>
          </w:tcPr>
          <w:p w14:paraId="24BC5ABB" w14:textId="77777777" w:rsidR="001C6A90" w:rsidRPr="008F5C15" w:rsidRDefault="001C6A90" w:rsidP="001C6A90">
            <w:pPr>
              <w:pStyle w:val="Texto"/>
              <w:spacing w:after="86" w:line="276" w:lineRule="auto"/>
              <w:ind w:firstLine="0"/>
              <w:rPr>
                <w:rFonts w:ascii="Verdana" w:hAnsi="Verdana"/>
                <w:sz w:val="16"/>
                <w:szCs w:val="16"/>
                <w:lang w:val="en-US"/>
              </w:rPr>
            </w:pPr>
            <w:r w:rsidRPr="008F5C15">
              <w:rPr>
                <w:rFonts w:ascii="Verdana" w:hAnsi="Verdana"/>
                <w:b/>
                <w:sz w:val="16"/>
                <w:szCs w:val="16"/>
                <w:lang w:val="en-US"/>
              </w:rPr>
              <w:t xml:space="preserve">5.2.3. </w:t>
            </w:r>
            <w:r w:rsidRPr="008F5C15">
              <w:rPr>
                <w:rFonts w:ascii="Verdana" w:hAnsi="Verdana"/>
                <w:sz w:val="16"/>
                <w:szCs w:val="16"/>
                <w:lang w:val="en-US"/>
              </w:rPr>
              <w:t>Safeguarding of documents</w:t>
            </w:r>
          </w:p>
        </w:tc>
      </w:tr>
      <w:tr w:rsidR="001C6A90" w:rsidRPr="00947A46" w14:paraId="3C28B0EE" w14:textId="77777777" w:rsidTr="00886332">
        <w:tc>
          <w:tcPr>
            <w:tcW w:w="4405" w:type="dxa"/>
          </w:tcPr>
          <w:p w14:paraId="11D1DFE3" w14:textId="77777777" w:rsidR="001C6A90" w:rsidRPr="008F5C15" w:rsidRDefault="001C6A90" w:rsidP="001C6A90">
            <w:pPr>
              <w:pStyle w:val="Texto"/>
              <w:spacing w:after="86" w:line="276" w:lineRule="auto"/>
              <w:ind w:firstLine="0"/>
              <w:rPr>
                <w:rFonts w:ascii="Verdana" w:hAnsi="Verdana"/>
                <w:sz w:val="16"/>
                <w:szCs w:val="16"/>
                <w:lang w:val="es-MX"/>
              </w:rPr>
            </w:pPr>
            <w:r w:rsidRPr="008F5C15">
              <w:rPr>
                <w:rFonts w:ascii="Verdana" w:hAnsi="Verdana"/>
                <w:b/>
                <w:sz w:val="16"/>
                <w:szCs w:val="16"/>
                <w:lang w:val="es-MX"/>
              </w:rPr>
              <w:t xml:space="preserve">5.2.3.1 </w:t>
            </w:r>
            <w:r w:rsidRPr="008F5C15">
              <w:rPr>
                <w:rFonts w:ascii="Verdana" w:hAnsi="Verdana"/>
                <w:sz w:val="16"/>
                <w:szCs w:val="16"/>
                <w:lang w:val="es-MX"/>
              </w:rPr>
              <w:t>Debe definirse claramente el lugar de resguardo de todos los documentos relacionados a la fabricación de los medicamentos. Deben implementarse medidas de control que aseguren la integridad de los documentos durante todo el periodo de resguardo y evaluar dichas medidas.</w:t>
            </w:r>
          </w:p>
        </w:tc>
        <w:tc>
          <w:tcPr>
            <w:tcW w:w="4427" w:type="dxa"/>
          </w:tcPr>
          <w:p w14:paraId="3B86C462" w14:textId="77777777" w:rsidR="001C6A90" w:rsidRPr="008F5C15" w:rsidRDefault="001C6A90" w:rsidP="001C6A90">
            <w:pPr>
              <w:pStyle w:val="Texto"/>
              <w:spacing w:after="86" w:line="276" w:lineRule="auto"/>
              <w:ind w:firstLine="0"/>
              <w:rPr>
                <w:rFonts w:ascii="Verdana" w:hAnsi="Verdana"/>
                <w:sz w:val="16"/>
                <w:szCs w:val="16"/>
                <w:lang w:val="en-US"/>
              </w:rPr>
            </w:pPr>
            <w:r w:rsidRPr="008F5C15">
              <w:rPr>
                <w:rFonts w:ascii="Verdana" w:hAnsi="Verdana"/>
                <w:b/>
                <w:sz w:val="16"/>
                <w:szCs w:val="16"/>
                <w:lang w:val="en-US"/>
              </w:rPr>
              <w:t xml:space="preserve">5.2.3.1 </w:t>
            </w:r>
            <w:r w:rsidRPr="008F5C15">
              <w:rPr>
                <w:rFonts w:ascii="Verdana" w:hAnsi="Verdana"/>
                <w:sz w:val="16"/>
                <w:szCs w:val="16"/>
                <w:lang w:val="en-US"/>
              </w:rPr>
              <w:t xml:space="preserve">The place for safekeeping of all the documents related to the manufacture of drug products must be defined clearly. Control measures must be implemented that assure the integrity of the documents during the entire safeguarding period and evaluate said measures. </w:t>
            </w:r>
          </w:p>
        </w:tc>
      </w:tr>
      <w:tr w:rsidR="001C6A90" w:rsidRPr="00947A46" w14:paraId="2053E4F3" w14:textId="77777777" w:rsidTr="00886332">
        <w:tc>
          <w:tcPr>
            <w:tcW w:w="4405" w:type="dxa"/>
          </w:tcPr>
          <w:p w14:paraId="00185F53" w14:textId="77777777" w:rsidR="001C6A90" w:rsidRPr="008F5C15" w:rsidRDefault="001C6A90" w:rsidP="001C6A90">
            <w:pPr>
              <w:pStyle w:val="Texto"/>
              <w:spacing w:after="86" w:line="276" w:lineRule="auto"/>
              <w:ind w:firstLine="0"/>
              <w:rPr>
                <w:rFonts w:ascii="Verdana" w:hAnsi="Verdana"/>
                <w:sz w:val="16"/>
                <w:szCs w:val="16"/>
                <w:lang w:val="es-MX"/>
              </w:rPr>
            </w:pPr>
            <w:r w:rsidRPr="008F5C15">
              <w:rPr>
                <w:rFonts w:ascii="Verdana" w:hAnsi="Verdana"/>
                <w:b/>
                <w:sz w:val="16"/>
                <w:szCs w:val="16"/>
                <w:lang w:val="es-MX"/>
              </w:rPr>
              <w:t>5.2.3.2</w:t>
            </w:r>
            <w:r w:rsidRPr="008F5C15">
              <w:rPr>
                <w:rFonts w:ascii="Verdana" w:hAnsi="Verdana"/>
                <w:sz w:val="16"/>
                <w:szCs w:val="16"/>
                <w:lang w:val="es-MX"/>
              </w:rPr>
              <w:t xml:space="preserve"> Debe mantenerse en resguardo el expediente de fabricación de cada lote fabricado al menos un año después de su fecha de caducidad o cinco años después de que el lote fue liberado por el Responsable Sanitario o su equivalente en el extranjero. En este caso se debe conservar por el periodo que sea más largo.</w:t>
            </w:r>
          </w:p>
        </w:tc>
        <w:tc>
          <w:tcPr>
            <w:tcW w:w="4427" w:type="dxa"/>
          </w:tcPr>
          <w:p w14:paraId="420DA3DB" w14:textId="77777777" w:rsidR="001C6A90" w:rsidRPr="008F5C15" w:rsidRDefault="001C6A90" w:rsidP="001C6A90">
            <w:pPr>
              <w:pStyle w:val="Texto"/>
              <w:spacing w:after="86" w:line="276" w:lineRule="auto"/>
              <w:ind w:firstLine="0"/>
              <w:rPr>
                <w:rFonts w:ascii="Verdana" w:hAnsi="Verdana"/>
                <w:sz w:val="16"/>
                <w:szCs w:val="16"/>
                <w:lang w:val="en-US"/>
              </w:rPr>
            </w:pPr>
            <w:r w:rsidRPr="008F5C15">
              <w:rPr>
                <w:rFonts w:ascii="Verdana" w:hAnsi="Verdana"/>
                <w:b/>
                <w:sz w:val="16"/>
                <w:szCs w:val="16"/>
                <w:lang w:val="en-US"/>
              </w:rPr>
              <w:t xml:space="preserve">5.2.3.2 </w:t>
            </w:r>
            <w:r w:rsidRPr="008F5C15">
              <w:rPr>
                <w:rFonts w:ascii="Verdana" w:hAnsi="Verdana"/>
                <w:sz w:val="16"/>
                <w:szCs w:val="16"/>
                <w:lang w:val="en-US"/>
              </w:rPr>
              <w:t>The file for the manufacture of each lot manufactured must be maintained in safeguarding for at least one year after its expiration date or five years after the lot was released by the Person responsible for sanitary compliance or his/her equivalent outside of Mexico. In this case, it must be conserved for whichever is longer.</w:t>
            </w:r>
          </w:p>
        </w:tc>
      </w:tr>
      <w:tr w:rsidR="001C6A90" w:rsidRPr="00947A46" w14:paraId="38F44696" w14:textId="77777777" w:rsidTr="00886332">
        <w:tc>
          <w:tcPr>
            <w:tcW w:w="4405" w:type="dxa"/>
          </w:tcPr>
          <w:p w14:paraId="4D82FDF7" w14:textId="77777777" w:rsidR="001C6A90" w:rsidRPr="008F5C15" w:rsidRDefault="001C6A90" w:rsidP="001C6A90">
            <w:pPr>
              <w:pStyle w:val="Texto"/>
              <w:spacing w:after="86" w:line="276" w:lineRule="auto"/>
              <w:ind w:firstLine="0"/>
              <w:rPr>
                <w:rFonts w:ascii="Verdana" w:hAnsi="Verdana"/>
                <w:sz w:val="16"/>
                <w:szCs w:val="16"/>
                <w:lang w:val="es-MX"/>
              </w:rPr>
            </w:pPr>
            <w:r w:rsidRPr="008F5C15">
              <w:rPr>
                <w:rFonts w:ascii="Verdana" w:hAnsi="Verdana"/>
                <w:b/>
                <w:sz w:val="16"/>
                <w:szCs w:val="16"/>
                <w:lang w:val="es-MX"/>
              </w:rPr>
              <w:t>5.2.3.3</w:t>
            </w:r>
            <w:r w:rsidRPr="008F5C15">
              <w:rPr>
                <w:rFonts w:ascii="Verdana" w:hAnsi="Verdana"/>
                <w:sz w:val="16"/>
                <w:szCs w:val="16"/>
                <w:lang w:val="es-MX"/>
              </w:rPr>
              <w:t xml:space="preserve"> Para otro tipo de documentos, el periodo de conservación dependerá de la actividad que la documentación sustente. La documentación crítica, incluyendo los datos primarios (por ejemplo relativos a validación o estabilidad), que respaldan la información del Registro Sanitario o autorización de comercialización debe conservarse mientras la autorización sigue vigente. Puede considerarse aceptable retirar cierta documentación (por ejemplo, datos primarios para respaldar un informe de validación o de estabilidad) cuando los datos se hayan reemplazado por un nuevo paquete completo de datos.</w:t>
            </w:r>
          </w:p>
        </w:tc>
        <w:tc>
          <w:tcPr>
            <w:tcW w:w="4427" w:type="dxa"/>
          </w:tcPr>
          <w:p w14:paraId="3555D5B5" w14:textId="77777777" w:rsidR="001C6A90" w:rsidRPr="008F5C15" w:rsidRDefault="001C6A90" w:rsidP="001C6A90">
            <w:pPr>
              <w:pStyle w:val="Texto"/>
              <w:spacing w:after="86" w:line="276" w:lineRule="auto"/>
              <w:ind w:firstLine="0"/>
              <w:rPr>
                <w:rFonts w:ascii="Verdana" w:hAnsi="Verdana"/>
                <w:sz w:val="16"/>
                <w:szCs w:val="16"/>
                <w:lang w:val="en-US"/>
              </w:rPr>
            </w:pPr>
            <w:r w:rsidRPr="008F5C15">
              <w:rPr>
                <w:rFonts w:ascii="Verdana" w:hAnsi="Verdana"/>
                <w:b/>
                <w:sz w:val="16"/>
                <w:szCs w:val="16"/>
                <w:lang w:val="en-US"/>
              </w:rPr>
              <w:t xml:space="preserve">5.2.3.3 </w:t>
            </w:r>
            <w:r w:rsidRPr="008F5C15">
              <w:rPr>
                <w:rFonts w:ascii="Verdana" w:hAnsi="Verdana"/>
                <w:sz w:val="16"/>
                <w:szCs w:val="16"/>
                <w:lang w:val="en-US"/>
              </w:rPr>
              <w:t xml:space="preserve">For other types of documents, the conservation period will depend on the activity that the document sustains. The critical documentation, including the primary data (for example the data related to validation or stability) that support the information of the Person responsible for sanitary compliance or authorization of commercial distribution must be conserved while the authorization remains current. It can be considered acceptable to withdraw certain documentation (for example, primary data for supporting a report of validation or stability) when the date have been replaced by a complete new data packet. </w:t>
            </w:r>
          </w:p>
        </w:tc>
      </w:tr>
      <w:tr w:rsidR="001C6A90" w:rsidRPr="00947A46" w14:paraId="346A1A6E" w14:textId="77777777" w:rsidTr="00886332">
        <w:tc>
          <w:tcPr>
            <w:tcW w:w="4405" w:type="dxa"/>
          </w:tcPr>
          <w:p w14:paraId="0E44CD6D" w14:textId="77777777" w:rsidR="001C6A90" w:rsidRPr="008F5C15" w:rsidRDefault="001C6A90" w:rsidP="001C6A90">
            <w:pPr>
              <w:pStyle w:val="Texto"/>
              <w:spacing w:after="86" w:line="276" w:lineRule="auto"/>
              <w:ind w:firstLine="0"/>
              <w:rPr>
                <w:rFonts w:ascii="Verdana" w:hAnsi="Verdana"/>
                <w:b/>
                <w:sz w:val="16"/>
                <w:szCs w:val="16"/>
                <w:lang w:val="es-MX"/>
              </w:rPr>
            </w:pPr>
            <w:r w:rsidRPr="008F5C15">
              <w:rPr>
                <w:rFonts w:ascii="Verdana" w:hAnsi="Verdana"/>
                <w:b/>
                <w:sz w:val="16"/>
                <w:szCs w:val="16"/>
                <w:lang w:val="es-MX"/>
              </w:rPr>
              <w:t>5.2.3.4</w:t>
            </w:r>
            <w:r w:rsidRPr="008F5C15">
              <w:rPr>
                <w:rFonts w:ascii="Verdana" w:hAnsi="Verdana"/>
                <w:sz w:val="16"/>
                <w:szCs w:val="16"/>
                <w:lang w:val="es-MX"/>
              </w:rPr>
              <w:t xml:space="preserve"> Se debe documentar una justificación para esto y tenerse en cuenta los requisitos de conservación de la documentación de lote; por ejemplo, en el caso de datos de procesos de validación, los datos primarios acompañantes deben conservarse por un periodo al menos tan extenso como el de los registros de todos los lotes cuya liberación se apoya en ese ejercicio de validación.</w:t>
            </w:r>
          </w:p>
        </w:tc>
        <w:tc>
          <w:tcPr>
            <w:tcW w:w="4427" w:type="dxa"/>
          </w:tcPr>
          <w:p w14:paraId="0089756A" w14:textId="77777777" w:rsidR="001C6A90" w:rsidRPr="008F5C15" w:rsidRDefault="001C6A90" w:rsidP="001C6A90">
            <w:pPr>
              <w:pStyle w:val="Texto"/>
              <w:spacing w:after="86" w:line="276" w:lineRule="auto"/>
              <w:ind w:firstLine="0"/>
              <w:rPr>
                <w:rFonts w:ascii="Verdana" w:hAnsi="Verdana"/>
                <w:sz w:val="16"/>
                <w:szCs w:val="16"/>
                <w:lang w:val="en-US"/>
              </w:rPr>
            </w:pPr>
            <w:r w:rsidRPr="008F5C15">
              <w:rPr>
                <w:rFonts w:ascii="Verdana" w:hAnsi="Verdana"/>
                <w:b/>
                <w:sz w:val="16"/>
                <w:szCs w:val="16"/>
                <w:lang w:val="en-US"/>
              </w:rPr>
              <w:t xml:space="preserve">5.2.3.4 </w:t>
            </w:r>
            <w:r w:rsidRPr="008F5C15">
              <w:rPr>
                <w:rFonts w:ascii="Verdana" w:hAnsi="Verdana"/>
                <w:sz w:val="16"/>
                <w:szCs w:val="16"/>
                <w:lang w:val="en-US"/>
              </w:rPr>
              <w:t xml:space="preserve">A justification for this must be documented and the requirements for conservation of the documentation of the lot taken into account; for example, in the case of data for validation processes, the primary accompanying data must be conserved for a period at least as extensive as that of the records of all the lots whose release is supported in that validation exercise.  </w:t>
            </w:r>
          </w:p>
        </w:tc>
      </w:tr>
      <w:tr w:rsidR="001C6A90" w:rsidRPr="00947A46" w14:paraId="1958340A" w14:textId="77777777" w:rsidTr="00886332">
        <w:tc>
          <w:tcPr>
            <w:tcW w:w="4405" w:type="dxa"/>
          </w:tcPr>
          <w:p w14:paraId="6584CD4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5.2.3.5</w:t>
            </w:r>
            <w:r w:rsidRPr="008F5C15">
              <w:rPr>
                <w:rFonts w:ascii="Verdana" w:hAnsi="Verdana"/>
                <w:sz w:val="16"/>
                <w:szCs w:val="16"/>
                <w:lang w:val="es-MX"/>
              </w:rPr>
              <w:t xml:space="preserve"> Para productos en investigación, la documentación debe conservarse en resguardo al menos cinco años después de que la empresa haya registrado el producto en el último país.</w:t>
            </w:r>
          </w:p>
        </w:tc>
        <w:tc>
          <w:tcPr>
            <w:tcW w:w="4427" w:type="dxa"/>
          </w:tcPr>
          <w:p w14:paraId="32C3B73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5.2.3.5 </w:t>
            </w:r>
            <w:r w:rsidRPr="008F5C15">
              <w:rPr>
                <w:rFonts w:ascii="Verdana" w:hAnsi="Verdana"/>
                <w:sz w:val="16"/>
                <w:szCs w:val="16"/>
                <w:lang w:val="en-US"/>
              </w:rPr>
              <w:t xml:space="preserve">For products under research, the documentation must be conserved in safeguarding at least five years after the Company has registered the product in the last country. </w:t>
            </w:r>
          </w:p>
        </w:tc>
      </w:tr>
      <w:tr w:rsidR="001C6A90" w:rsidRPr="00947A46" w14:paraId="1699D934" w14:textId="77777777" w:rsidTr="00607123">
        <w:trPr>
          <w:trHeight w:val="810"/>
        </w:trPr>
        <w:tc>
          <w:tcPr>
            <w:tcW w:w="4405" w:type="dxa"/>
          </w:tcPr>
          <w:p w14:paraId="67D1178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5.2.3.6</w:t>
            </w:r>
            <w:r w:rsidRPr="008F5C15">
              <w:rPr>
                <w:rFonts w:ascii="Verdana" w:hAnsi="Verdana"/>
                <w:sz w:val="16"/>
                <w:szCs w:val="16"/>
                <w:lang w:val="es-MX"/>
              </w:rPr>
              <w:t xml:space="preserve"> Cualquier tipo de resguardo distinto al tiempo mencionado debe fundamentarse con base en las disposiciones jurídicas aplicables.</w:t>
            </w:r>
          </w:p>
        </w:tc>
        <w:tc>
          <w:tcPr>
            <w:tcW w:w="4427" w:type="dxa"/>
          </w:tcPr>
          <w:p w14:paraId="5B819E1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5.2.3.6 </w:t>
            </w:r>
            <w:r w:rsidRPr="008F5C15">
              <w:rPr>
                <w:rFonts w:ascii="Verdana" w:hAnsi="Verdana"/>
                <w:sz w:val="16"/>
                <w:szCs w:val="16"/>
                <w:lang w:val="en-US"/>
              </w:rPr>
              <w:t xml:space="preserve">Any type of safeguarding distinct from the time mentioned must founded based on the applicable legal provisions. </w:t>
            </w:r>
          </w:p>
        </w:tc>
      </w:tr>
      <w:tr w:rsidR="001C6A90" w:rsidRPr="00607123" w14:paraId="0A547B5E" w14:textId="77777777" w:rsidTr="00886332">
        <w:tc>
          <w:tcPr>
            <w:tcW w:w="4405" w:type="dxa"/>
          </w:tcPr>
          <w:p w14:paraId="272E705E"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5.2.4 BPD. </w:t>
            </w:r>
            <w:r w:rsidRPr="008F5C15">
              <w:rPr>
                <w:rFonts w:ascii="Verdana" w:hAnsi="Verdana"/>
                <w:sz w:val="16"/>
                <w:szCs w:val="16"/>
                <w:lang w:val="es-MX"/>
              </w:rPr>
              <w:t>(Buenas prácticas de Documentación)</w:t>
            </w:r>
          </w:p>
        </w:tc>
        <w:tc>
          <w:tcPr>
            <w:tcW w:w="4427" w:type="dxa"/>
          </w:tcPr>
          <w:p w14:paraId="3B997CC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5.2.4 GDP</w:t>
            </w:r>
            <w:r w:rsidRPr="008F5C15">
              <w:rPr>
                <w:rFonts w:ascii="Verdana" w:hAnsi="Verdana"/>
                <w:sz w:val="16"/>
                <w:szCs w:val="16"/>
                <w:lang w:val="en-US"/>
              </w:rPr>
              <w:t xml:space="preserve"> (Good Documentation Practices)</w:t>
            </w:r>
          </w:p>
        </w:tc>
      </w:tr>
      <w:tr w:rsidR="001C6A90" w:rsidRPr="00947A46" w14:paraId="22F34FD3" w14:textId="77777777" w:rsidTr="00886332">
        <w:tc>
          <w:tcPr>
            <w:tcW w:w="4405" w:type="dxa"/>
          </w:tcPr>
          <w:p w14:paraId="660D8AE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5.2.4.1 </w:t>
            </w:r>
            <w:r w:rsidRPr="008F5C15">
              <w:rPr>
                <w:rFonts w:ascii="Verdana" w:hAnsi="Verdana"/>
                <w:sz w:val="16"/>
                <w:szCs w:val="16"/>
                <w:lang w:val="es-MX"/>
              </w:rPr>
              <w:t>Los documentos que contienen instrucciones deben ser aprobados, firmados y fechados. Todos los tipos de documentos deben definirse y apegarse a lo establecido. Los requisitos aplican de igual manera a todas las formas de medios de documentación.</w:t>
            </w:r>
          </w:p>
        </w:tc>
        <w:tc>
          <w:tcPr>
            <w:tcW w:w="4427" w:type="dxa"/>
          </w:tcPr>
          <w:p w14:paraId="3096C43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5.2.4.1 </w:t>
            </w:r>
            <w:r w:rsidRPr="008F5C15">
              <w:rPr>
                <w:rFonts w:ascii="Verdana" w:hAnsi="Verdana"/>
                <w:sz w:val="16"/>
                <w:szCs w:val="16"/>
                <w:lang w:val="en-US"/>
              </w:rPr>
              <w:t>The documents that contain instructions must be approved, signed and dated. All types of documents must be defined and follow that established. The requirements apply equally to all the forms of documentation media.</w:t>
            </w:r>
          </w:p>
        </w:tc>
      </w:tr>
      <w:tr w:rsidR="001C6A90" w:rsidRPr="00947A46" w14:paraId="5AA1E660" w14:textId="77777777" w:rsidTr="00886332">
        <w:tc>
          <w:tcPr>
            <w:tcW w:w="4405" w:type="dxa"/>
          </w:tcPr>
          <w:p w14:paraId="6B4A083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5.2.4.2 </w:t>
            </w:r>
            <w:r w:rsidRPr="008F5C15">
              <w:rPr>
                <w:rFonts w:ascii="Verdana" w:hAnsi="Verdana"/>
                <w:sz w:val="16"/>
                <w:szCs w:val="16"/>
                <w:lang w:val="es-MX"/>
              </w:rPr>
              <w:t>Los documentos del Sistema de Gestión de Calidad deben revisarse periódicamente y mantenerse actualizados.</w:t>
            </w:r>
          </w:p>
        </w:tc>
        <w:tc>
          <w:tcPr>
            <w:tcW w:w="4427" w:type="dxa"/>
          </w:tcPr>
          <w:p w14:paraId="12296F5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5.2.4.2 </w:t>
            </w:r>
            <w:r w:rsidRPr="008F5C15">
              <w:rPr>
                <w:rFonts w:ascii="Verdana" w:hAnsi="Verdana"/>
                <w:sz w:val="16"/>
                <w:szCs w:val="16"/>
                <w:lang w:val="en-US"/>
              </w:rPr>
              <w:t xml:space="preserve">The documents of the Quality Management System must be reviewed periodically and maintained up to date. </w:t>
            </w:r>
          </w:p>
        </w:tc>
      </w:tr>
      <w:tr w:rsidR="001C6A90" w:rsidRPr="00947A46" w14:paraId="05C1F7ED" w14:textId="77777777" w:rsidTr="00886332">
        <w:tc>
          <w:tcPr>
            <w:tcW w:w="4405" w:type="dxa"/>
          </w:tcPr>
          <w:p w14:paraId="100FD56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5.2.4.3</w:t>
            </w:r>
            <w:r w:rsidRPr="008F5C15">
              <w:rPr>
                <w:rFonts w:ascii="Verdana" w:hAnsi="Verdana"/>
                <w:sz w:val="16"/>
                <w:szCs w:val="16"/>
                <w:lang w:val="es-MX"/>
              </w:rPr>
              <w:t xml:space="preserve"> Los documentos no deben ser manuscritos; sin embargo, cuando los documentos requieran la introducción de datos, debe dejarse espacio suficiente para permitir la realización de dichas entradas.</w:t>
            </w:r>
          </w:p>
        </w:tc>
        <w:tc>
          <w:tcPr>
            <w:tcW w:w="4427" w:type="dxa"/>
          </w:tcPr>
          <w:p w14:paraId="4A7BADA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5.2.4.3 </w:t>
            </w:r>
            <w:r w:rsidRPr="008F5C15">
              <w:rPr>
                <w:rFonts w:ascii="Verdana" w:hAnsi="Verdana"/>
                <w:sz w:val="16"/>
                <w:szCs w:val="16"/>
                <w:lang w:val="en-US"/>
              </w:rPr>
              <w:t xml:space="preserve">The documents must not be manuscripts, nevertheless, when the documents require the introduction of data, sufficient space must be left to permit the execution of said entries. </w:t>
            </w:r>
          </w:p>
        </w:tc>
      </w:tr>
      <w:tr w:rsidR="001C6A90" w:rsidRPr="00947A46" w14:paraId="055A6433" w14:textId="77777777" w:rsidTr="00886332">
        <w:tc>
          <w:tcPr>
            <w:tcW w:w="4405" w:type="dxa"/>
          </w:tcPr>
          <w:p w14:paraId="7D50F62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Los registros escritos a mano en documentos, deben realizarse de forma clara, legible e indeleble.</w:t>
            </w:r>
          </w:p>
        </w:tc>
        <w:tc>
          <w:tcPr>
            <w:tcW w:w="4427" w:type="dxa"/>
          </w:tcPr>
          <w:p w14:paraId="2600BCD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 handwritten records in documents, must be made clearly, legibly and indelibly. </w:t>
            </w:r>
          </w:p>
        </w:tc>
      </w:tr>
      <w:tr w:rsidR="001C6A90" w:rsidRPr="00947A46" w14:paraId="201FA716" w14:textId="77777777" w:rsidTr="00886332">
        <w:tc>
          <w:tcPr>
            <w:tcW w:w="4405" w:type="dxa"/>
          </w:tcPr>
          <w:p w14:paraId="77C299F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El registro de actividades debe realizarse al momento de la actividad respetando el orden cronológico.</w:t>
            </w:r>
          </w:p>
        </w:tc>
        <w:tc>
          <w:tcPr>
            <w:tcW w:w="4427" w:type="dxa"/>
          </w:tcPr>
          <w:p w14:paraId="7F98B33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 record of activities must be made at the moment of the activity respecting the chronological order. </w:t>
            </w:r>
          </w:p>
        </w:tc>
      </w:tr>
      <w:tr w:rsidR="001C6A90" w:rsidRPr="00947A46" w14:paraId="25E1AB93" w14:textId="77777777" w:rsidTr="00886332">
        <w:tc>
          <w:tcPr>
            <w:tcW w:w="4405" w:type="dxa"/>
          </w:tcPr>
          <w:p w14:paraId="7959BEB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5.2.4.4 </w:t>
            </w:r>
            <w:r w:rsidRPr="008F5C15">
              <w:rPr>
                <w:rFonts w:ascii="Verdana" w:hAnsi="Verdana"/>
                <w:sz w:val="16"/>
                <w:szCs w:val="16"/>
                <w:lang w:val="es-MX"/>
              </w:rPr>
              <w:t>Cualquier corrección al registro de una actividad o a un documento debe ser firmado y fechado y permitir la lectura de la información original.</w:t>
            </w:r>
          </w:p>
        </w:tc>
        <w:tc>
          <w:tcPr>
            <w:tcW w:w="4427" w:type="dxa"/>
          </w:tcPr>
          <w:p w14:paraId="02F5AC5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5.2.4.4 </w:t>
            </w:r>
            <w:r w:rsidRPr="008F5C15">
              <w:rPr>
                <w:rFonts w:ascii="Verdana" w:hAnsi="Verdana"/>
                <w:sz w:val="16"/>
                <w:szCs w:val="16"/>
                <w:lang w:val="en-US"/>
              </w:rPr>
              <w:t xml:space="preserve">Any correction to the record of an activity or a document must be signed and dated and permit the reading of the original information. </w:t>
            </w:r>
          </w:p>
        </w:tc>
      </w:tr>
      <w:tr w:rsidR="001C6A90" w:rsidRPr="00947A46" w14:paraId="436BEF22" w14:textId="77777777" w:rsidTr="00886332">
        <w:tc>
          <w:tcPr>
            <w:tcW w:w="4405" w:type="dxa"/>
          </w:tcPr>
          <w:p w14:paraId="5D7FE6B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5.2.4.5 </w:t>
            </w:r>
            <w:r w:rsidRPr="008F5C15">
              <w:rPr>
                <w:rFonts w:ascii="Verdana" w:hAnsi="Verdana"/>
                <w:sz w:val="16"/>
                <w:szCs w:val="16"/>
                <w:lang w:val="es-MX"/>
              </w:rPr>
              <w:t>Cuando se requiera una explicación del motivo de la corrección debe documentarse; estos registros deben contener la fecha e identificar quién realizó la actividad.</w:t>
            </w:r>
          </w:p>
        </w:tc>
        <w:tc>
          <w:tcPr>
            <w:tcW w:w="4427" w:type="dxa"/>
          </w:tcPr>
          <w:p w14:paraId="0EC1FF4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5.2.4.5 </w:t>
            </w:r>
            <w:r w:rsidRPr="008F5C15">
              <w:rPr>
                <w:rFonts w:ascii="Verdana" w:hAnsi="Verdana"/>
                <w:sz w:val="16"/>
                <w:szCs w:val="16"/>
                <w:lang w:val="en-US"/>
              </w:rPr>
              <w:t>When an explanation is required of the reason for the correction, it must be documented: these records must contain the date and identify the party who performed the activity.</w:t>
            </w:r>
          </w:p>
        </w:tc>
      </w:tr>
      <w:tr w:rsidR="001C6A90" w:rsidRPr="00947A46" w14:paraId="57D8DD96" w14:textId="77777777" w:rsidTr="00886332">
        <w:tc>
          <w:tcPr>
            <w:tcW w:w="4405" w:type="dxa"/>
          </w:tcPr>
          <w:p w14:paraId="1EC1D41B" w14:textId="77777777" w:rsidR="001C6A90" w:rsidRPr="008F5C15" w:rsidRDefault="001C6A90" w:rsidP="001C6A90">
            <w:pPr>
              <w:pStyle w:val="Texto"/>
              <w:spacing w:after="86" w:line="276" w:lineRule="auto"/>
              <w:ind w:firstLine="0"/>
              <w:rPr>
                <w:rFonts w:ascii="Verdana" w:hAnsi="Verdana"/>
                <w:sz w:val="16"/>
                <w:szCs w:val="16"/>
                <w:lang w:val="es-MX"/>
              </w:rPr>
            </w:pPr>
            <w:r w:rsidRPr="008F5C15">
              <w:rPr>
                <w:rFonts w:ascii="Verdana" w:hAnsi="Verdana"/>
                <w:b/>
                <w:sz w:val="16"/>
                <w:szCs w:val="16"/>
                <w:lang w:val="es-MX"/>
              </w:rPr>
              <w:t xml:space="preserve">5.2.4.6 </w:t>
            </w:r>
            <w:r w:rsidRPr="008F5C15">
              <w:rPr>
                <w:rFonts w:ascii="Verdana" w:hAnsi="Verdana"/>
                <w:sz w:val="16"/>
                <w:szCs w:val="16"/>
                <w:lang w:val="es-MX"/>
              </w:rPr>
              <w:t>Debe existir un mecanismo que permita identificar las firmas y rúbricas del personal que ejecuta la operación.</w:t>
            </w:r>
          </w:p>
        </w:tc>
        <w:tc>
          <w:tcPr>
            <w:tcW w:w="4427" w:type="dxa"/>
          </w:tcPr>
          <w:p w14:paraId="0CF2C0BD" w14:textId="77777777" w:rsidR="001C6A90" w:rsidRPr="008F5C15" w:rsidRDefault="001C6A90" w:rsidP="001C6A90">
            <w:pPr>
              <w:pStyle w:val="Texto"/>
              <w:spacing w:after="86" w:line="276" w:lineRule="auto"/>
              <w:ind w:firstLine="0"/>
              <w:rPr>
                <w:rFonts w:ascii="Verdana" w:hAnsi="Verdana"/>
                <w:sz w:val="16"/>
                <w:szCs w:val="16"/>
                <w:lang w:val="en-US"/>
              </w:rPr>
            </w:pPr>
            <w:r w:rsidRPr="008F5C15">
              <w:rPr>
                <w:rFonts w:ascii="Verdana" w:hAnsi="Verdana"/>
                <w:b/>
                <w:sz w:val="16"/>
                <w:szCs w:val="16"/>
                <w:lang w:val="en-US"/>
              </w:rPr>
              <w:t xml:space="preserve">5.2.4.6 </w:t>
            </w:r>
            <w:r w:rsidRPr="008F5C15">
              <w:rPr>
                <w:rFonts w:ascii="Verdana" w:hAnsi="Verdana"/>
                <w:sz w:val="16"/>
                <w:szCs w:val="16"/>
                <w:lang w:val="en-US"/>
              </w:rPr>
              <w:t xml:space="preserve">There must exist a mechanism that permits identifying the signatures and seal of the personnel that executes the operation. </w:t>
            </w:r>
          </w:p>
        </w:tc>
      </w:tr>
      <w:tr w:rsidR="001C6A90" w:rsidRPr="00262EF8" w14:paraId="635B81BF" w14:textId="77777777" w:rsidTr="00886332">
        <w:tc>
          <w:tcPr>
            <w:tcW w:w="4405" w:type="dxa"/>
          </w:tcPr>
          <w:p w14:paraId="35B9B5E9" w14:textId="77777777" w:rsidR="001C6A90" w:rsidRPr="008F5C15" w:rsidRDefault="001C6A90" w:rsidP="001C6A90">
            <w:pPr>
              <w:pStyle w:val="Texto"/>
              <w:spacing w:after="86" w:line="276" w:lineRule="auto"/>
              <w:ind w:firstLine="0"/>
              <w:rPr>
                <w:rFonts w:ascii="Verdana" w:hAnsi="Verdana"/>
                <w:sz w:val="16"/>
                <w:szCs w:val="16"/>
                <w:lang w:val="es-MX"/>
              </w:rPr>
            </w:pPr>
            <w:r w:rsidRPr="008F5C15">
              <w:rPr>
                <w:rFonts w:ascii="Verdana" w:hAnsi="Verdana"/>
                <w:b/>
                <w:sz w:val="16"/>
                <w:szCs w:val="16"/>
                <w:lang w:val="es-MX"/>
              </w:rPr>
              <w:t xml:space="preserve">5.2.5 </w:t>
            </w:r>
            <w:r w:rsidRPr="008F5C15">
              <w:rPr>
                <w:rFonts w:ascii="Verdana" w:hAnsi="Verdana"/>
                <w:sz w:val="16"/>
                <w:szCs w:val="16"/>
                <w:lang w:val="es-MX"/>
              </w:rPr>
              <w:t>Tipos de documentos.</w:t>
            </w:r>
          </w:p>
        </w:tc>
        <w:tc>
          <w:tcPr>
            <w:tcW w:w="4427" w:type="dxa"/>
          </w:tcPr>
          <w:p w14:paraId="30846D22" w14:textId="77777777" w:rsidR="001C6A90" w:rsidRPr="008F5C15" w:rsidRDefault="001C6A90" w:rsidP="001C6A90">
            <w:pPr>
              <w:pStyle w:val="Texto"/>
              <w:spacing w:after="86" w:line="276" w:lineRule="auto"/>
              <w:ind w:firstLine="0"/>
              <w:rPr>
                <w:rFonts w:ascii="Verdana" w:hAnsi="Verdana"/>
                <w:sz w:val="16"/>
                <w:szCs w:val="16"/>
                <w:lang w:val="en-US"/>
              </w:rPr>
            </w:pPr>
            <w:r w:rsidRPr="008F5C15">
              <w:rPr>
                <w:rFonts w:ascii="Verdana" w:hAnsi="Verdana"/>
                <w:b/>
                <w:sz w:val="16"/>
                <w:szCs w:val="16"/>
                <w:lang w:val="en-US"/>
              </w:rPr>
              <w:t xml:space="preserve">5.2.5 </w:t>
            </w:r>
            <w:r w:rsidRPr="008F5C15">
              <w:rPr>
                <w:rFonts w:ascii="Verdana" w:hAnsi="Verdana"/>
                <w:sz w:val="16"/>
                <w:szCs w:val="16"/>
                <w:lang w:val="en-US"/>
              </w:rPr>
              <w:t>Types of documents.</w:t>
            </w:r>
          </w:p>
        </w:tc>
      </w:tr>
      <w:tr w:rsidR="001C6A90" w:rsidRPr="00947A46" w14:paraId="3188C203" w14:textId="77777777" w:rsidTr="00886332">
        <w:trPr>
          <w:trHeight w:val="530"/>
        </w:trPr>
        <w:tc>
          <w:tcPr>
            <w:tcW w:w="4405" w:type="dxa"/>
          </w:tcPr>
          <w:p w14:paraId="488D78C4" w14:textId="77777777" w:rsidR="001C6A90" w:rsidRPr="008F5C15" w:rsidRDefault="001C6A90" w:rsidP="001C6A90">
            <w:pPr>
              <w:pStyle w:val="Texto"/>
              <w:spacing w:after="86" w:line="276" w:lineRule="auto"/>
              <w:ind w:firstLine="0"/>
              <w:rPr>
                <w:rFonts w:ascii="Verdana" w:hAnsi="Verdana"/>
                <w:sz w:val="16"/>
                <w:szCs w:val="16"/>
                <w:lang w:val="es-MX"/>
              </w:rPr>
            </w:pPr>
            <w:r w:rsidRPr="008F5C15">
              <w:rPr>
                <w:rFonts w:ascii="Verdana" w:hAnsi="Verdana"/>
                <w:sz w:val="16"/>
                <w:szCs w:val="16"/>
                <w:lang w:val="es-MX"/>
              </w:rPr>
              <w:t>Los documentos que conforman el sistema de documentación incluyen, pero no se limitan a:</w:t>
            </w:r>
          </w:p>
        </w:tc>
        <w:tc>
          <w:tcPr>
            <w:tcW w:w="4427" w:type="dxa"/>
          </w:tcPr>
          <w:p w14:paraId="765EE51F" w14:textId="77777777" w:rsidR="001C6A90" w:rsidRPr="008F5C15" w:rsidRDefault="001C6A90" w:rsidP="001C6A90">
            <w:pPr>
              <w:pStyle w:val="Texto"/>
              <w:spacing w:after="86" w:line="276" w:lineRule="auto"/>
              <w:ind w:firstLine="0"/>
              <w:rPr>
                <w:rFonts w:ascii="Verdana" w:hAnsi="Verdana"/>
                <w:sz w:val="16"/>
                <w:szCs w:val="16"/>
                <w:lang w:val="en-US"/>
              </w:rPr>
            </w:pPr>
            <w:r w:rsidRPr="008F5C15">
              <w:rPr>
                <w:rFonts w:ascii="Verdana" w:hAnsi="Verdana"/>
                <w:sz w:val="16"/>
                <w:szCs w:val="16"/>
                <w:lang w:val="en-US"/>
              </w:rPr>
              <w:t xml:space="preserve">The documents that form the documentation system include but are not limited to: </w:t>
            </w:r>
          </w:p>
        </w:tc>
      </w:tr>
      <w:tr w:rsidR="001C6A90" w:rsidRPr="00262EF8" w14:paraId="65A6B059" w14:textId="77777777" w:rsidTr="00886332">
        <w:tc>
          <w:tcPr>
            <w:tcW w:w="4405" w:type="dxa"/>
          </w:tcPr>
          <w:p w14:paraId="6687A85B" w14:textId="77777777" w:rsidR="001C6A90" w:rsidRPr="008F5C15" w:rsidRDefault="001C6A90" w:rsidP="001C6A90">
            <w:pPr>
              <w:pStyle w:val="Texto"/>
              <w:spacing w:after="86" w:line="276" w:lineRule="auto"/>
              <w:ind w:firstLine="0"/>
              <w:rPr>
                <w:rFonts w:ascii="Verdana" w:hAnsi="Verdana"/>
                <w:b/>
                <w:sz w:val="16"/>
                <w:szCs w:val="16"/>
                <w:lang w:val="es-MX"/>
              </w:rPr>
            </w:pPr>
            <w:r w:rsidRPr="008F5C15">
              <w:rPr>
                <w:rFonts w:ascii="Verdana" w:hAnsi="Verdana"/>
                <w:b/>
                <w:sz w:val="16"/>
                <w:szCs w:val="16"/>
                <w:lang w:val="es-MX"/>
              </w:rPr>
              <w:t xml:space="preserve">5.2.5.1 </w:t>
            </w:r>
            <w:r w:rsidRPr="008F5C15">
              <w:rPr>
                <w:rFonts w:ascii="Verdana" w:hAnsi="Verdana"/>
                <w:sz w:val="16"/>
                <w:szCs w:val="16"/>
                <w:lang w:val="es-MX"/>
              </w:rPr>
              <w:t>Manual de Calidad.</w:t>
            </w:r>
          </w:p>
        </w:tc>
        <w:tc>
          <w:tcPr>
            <w:tcW w:w="4427" w:type="dxa"/>
          </w:tcPr>
          <w:p w14:paraId="7D529EE5" w14:textId="77777777" w:rsidR="001C6A90" w:rsidRPr="008F5C15" w:rsidRDefault="001C6A90" w:rsidP="001C6A90">
            <w:pPr>
              <w:pStyle w:val="Texto"/>
              <w:spacing w:after="86" w:line="276" w:lineRule="auto"/>
              <w:ind w:firstLine="0"/>
              <w:rPr>
                <w:rFonts w:ascii="Verdana" w:hAnsi="Verdana"/>
                <w:sz w:val="16"/>
                <w:szCs w:val="16"/>
                <w:lang w:val="en-US"/>
              </w:rPr>
            </w:pPr>
            <w:r w:rsidRPr="008F5C15">
              <w:rPr>
                <w:rFonts w:ascii="Verdana" w:hAnsi="Verdana"/>
                <w:b/>
                <w:sz w:val="16"/>
                <w:szCs w:val="16"/>
                <w:lang w:val="en-US"/>
              </w:rPr>
              <w:t xml:space="preserve">5.2.5.1 </w:t>
            </w:r>
            <w:r w:rsidRPr="008F5C15">
              <w:rPr>
                <w:rFonts w:ascii="Verdana" w:hAnsi="Verdana"/>
                <w:sz w:val="16"/>
                <w:szCs w:val="16"/>
                <w:lang w:val="en-US"/>
              </w:rPr>
              <w:t>Quality manual.</w:t>
            </w:r>
          </w:p>
        </w:tc>
      </w:tr>
      <w:tr w:rsidR="001C6A90" w:rsidRPr="00947A46" w14:paraId="2E35AF68" w14:textId="77777777" w:rsidTr="00886332">
        <w:tc>
          <w:tcPr>
            <w:tcW w:w="4405" w:type="dxa"/>
          </w:tcPr>
          <w:p w14:paraId="46C83B98" w14:textId="77777777" w:rsidR="001C6A90" w:rsidRPr="008F5C15" w:rsidRDefault="001C6A90" w:rsidP="001C6A90">
            <w:pPr>
              <w:pStyle w:val="Texto"/>
              <w:spacing w:after="86" w:line="276" w:lineRule="auto"/>
              <w:ind w:firstLine="0"/>
              <w:rPr>
                <w:rFonts w:ascii="Verdana" w:hAnsi="Verdana"/>
                <w:sz w:val="16"/>
                <w:szCs w:val="16"/>
                <w:lang w:val="es-MX"/>
              </w:rPr>
            </w:pPr>
            <w:r w:rsidRPr="008F5C15">
              <w:rPr>
                <w:rFonts w:ascii="Verdana" w:hAnsi="Verdana"/>
                <w:sz w:val="16"/>
                <w:szCs w:val="16"/>
                <w:lang w:val="es-MX"/>
              </w:rPr>
              <w:t>Se debe contar con un Manual de Calidad o documento que contenga la descripción del Sistema de Gestión de Calidad, incluyendo las responsabilidades de la dirección.</w:t>
            </w:r>
          </w:p>
        </w:tc>
        <w:tc>
          <w:tcPr>
            <w:tcW w:w="4427" w:type="dxa"/>
          </w:tcPr>
          <w:p w14:paraId="0AA31A54" w14:textId="77777777" w:rsidR="001C6A90" w:rsidRPr="008F5C15" w:rsidRDefault="001C6A90" w:rsidP="001C6A90">
            <w:pPr>
              <w:pStyle w:val="Texto"/>
              <w:spacing w:after="86" w:line="276" w:lineRule="auto"/>
              <w:ind w:firstLine="0"/>
              <w:rPr>
                <w:rFonts w:ascii="Verdana" w:hAnsi="Verdana"/>
                <w:sz w:val="16"/>
                <w:szCs w:val="16"/>
                <w:lang w:val="en-US"/>
              </w:rPr>
            </w:pPr>
            <w:r w:rsidRPr="008F5C15">
              <w:rPr>
                <w:rFonts w:ascii="Verdana" w:hAnsi="Verdana"/>
                <w:sz w:val="16"/>
                <w:szCs w:val="16"/>
                <w:lang w:val="en-US"/>
              </w:rPr>
              <w:t xml:space="preserve">There must be a Quality Manual or document that contains the description of the Quality Management System, including the responsibilities of the management. </w:t>
            </w:r>
          </w:p>
        </w:tc>
      </w:tr>
      <w:tr w:rsidR="001C6A90" w:rsidRPr="00947A46" w14:paraId="685DB57F" w14:textId="77777777" w:rsidTr="00886332">
        <w:tc>
          <w:tcPr>
            <w:tcW w:w="4405" w:type="dxa"/>
          </w:tcPr>
          <w:p w14:paraId="5C96E6AC" w14:textId="77777777" w:rsidR="001C6A90" w:rsidRPr="008F5C15" w:rsidRDefault="001C6A90" w:rsidP="001C6A90">
            <w:pPr>
              <w:pStyle w:val="Texto"/>
              <w:spacing w:after="86" w:line="276" w:lineRule="auto"/>
              <w:ind w:firstLine="0"/>
              <w:rPr>
                <w:rFonts w:ascii="Verdana" w:hAnsi="Verdana"/>
                <w:sz w:val="16"/>
                <w:szCs w:val="16"/>
                <w:lang w:val="es-MX"/>
              </w:rPr>
            </w:pPr>
            <w:r w:rsidRPr="008F5C15">
              <w:rPr>
                <w:rFonts w:ascii="Verdana" w:hAnsi="Verdana"/>
                <w:sz w:val="16"/>
                <w:szCs w:val="16"/>
                <w:lang w:val="es-MX"/>
              </w:rPr>
              <w:t>El Manual debe asegurar la revisión periódica del Sistema de Gestión de Calidad.</w:t>
            </w:r>
          </w:p>
        </w:tc>
        <w:tc>
          <w:tcPr>
            <w:tcW w:w="4427" w:type="dxa"/>
          </w:tcPr>
          <w:p w14:paraId="241C2FAD" w14:textId="77777777" w:rsidR="001C6A90" w:rsidRPr="008F5C15" w:rsidRDefault="001C6A90" w:rsidP="001C6A90">
            <w:pPr>
              <w:pStyle w:val="Texto"/>
              <w:spacing w:after="86" w:line="276" w:lineRule="auto"/>
              <w:ind w:firstLine="0"/>
              <w:rPr>
                <w:rFonts w:ascii="Verdana" w:hAnsi="Verdana"/>
                <w:sz w:val="16"/>
                <w:szCs w:val="16"/>
                <w:lang w:val="en-US"/>
              </w:rPr>
            </w:pPr>
            <w:r w:rsidRPr="008F5C15">
              <w:rPr>
                <w:rFonts w:ascii="Verdana" w:hAnsi="Verdana"/>
                <w:sz w:val="16"/>
                <w:szCs w:val="16"/>
                <w:lang w:val="en-US"/>
              </w:rPr>
              <w:t xml:space="preserve">The Manual must assure the periodical review of the Quality Management System. </w:t>
            </w:r>
          </w:p>
        </w:tc>
      </w:tr>
      <w:tr w:rsidR="001C6A90" w:rsidRPr="00262EF8" w14:paraId="2528AA41" w14:textId="77777777" w:rsidTr="00886332">
        <w:tc>
          <w:tcPr>
            <w:tcW w:w="4405" w:type="dxa"/>
          </w:tcPr>
          <w:p w14:paraId="6E08A512" w14:textId="77777777" w:rsidR="001C6A90" w:rsidRPr="008F5C15" w:rsidRDefault="001C6A90" w:rsidP="001C6A90">
            <w:pPr>
              <w:pStyle w:val="Texto"/>
              <w:spacing w:after="86" w:line="276" w:lineRule="auto"/>
              <w:ind w:firstLine="0"/>
              <w:rPr>
                <w:rFonts w:ascii="Verdana" w:hAnsi="Verdana"/>
                <w:sz w:val="16"/>
                <w:szCs w:val="16"/>
                <w:lang w:val="es-MX"/>
              </w:rPr>
            </w:pPr>
            <w:r w:rsidRPr="008F5C15">
              <w:rPr>
                <w:rFonts w:ascii="Verdana" w:hAnsi="Verdana"/>
                <w:b/>
                <w:sz w:val="16"/>
                <w:szCs w:val="16"/>
                <w:lang w:val="es-MX"/>
              </w:rPr>
              <w:t xml:space="preserve">5.2.5.2 </w:t>
            </w:r>
            <w:r w:rsidRPr="008F5C15">
              <w:rPr>
                <w:rFonts w:ascii="Verdana" w:hAnsi="Verdana"/>
                <w:sz w:val="16"/>
                <w:szCs w:val="16"/>
                <w:lang w:val="es-MX"/>
              </w:rPr>
              <w:t>EMSF.</w:t>
            </w:r>
          </w:p>
        </w:tc>
        <w:tc>
          <w:tcPr>
            <w:tcW w:w="4427" w:type="dxa"/>
          </w:tcPr>
          <w:p w14:paraId="5CB19EDF" w14:textId="77777777" w:rsidR="001C6A90" w:rsidRPr="008F5C15" w:rsidRDefault="001C6A90" w:rsidP="001C6A90">
            <w:pPr>
              <w:pStyle w:val="Texto"/>
              <w:spacing w:after="86" w:line="276" w:lineRule="auto"/>
              <w:ind w:firstLine="0"/>
              <w:rPr>
                <w:rFonts w:ascii="Verdana" w:hAnsi="Verdana"/>
                <w:b/>
                <w:sz w:val="16"/>
                <w:szCs w:val="16"/>
                <w:lang w:val="en-US"/>
              </w:rPr>
            </w:pPr>
            <w:r w:rsidRPr="008F5C15">
              <w:rPr>
                <w:rFonts w:ascii="Verdana" w:hAnsi="Verdana"/>
                <w:b/>
                <w:sz w:val="16"/>
                <w:szCs w:val="16"/>
                <w:lang w:val="en-US"/>
              </w:rPr>
              <w:t xml:space="preserve">5.2.5.2 </w:t>
            </w:r>
            <w:r w:rsidRPr="008F5C15">
              <w:rPr>
                <w:rFonts w:ascii="Verdana" w:hAnsi="Verdana"/>
                <w:sz w:val="16"/>
                <w:szCs w:val="16"/>
                <w:lang w:val="en-US"/>
              </w:rPr>
              <w:t>MSMF.</w:t>
            </w:r>
          </w:p>
        </w:tc>
      </w:tr>
      <w:tr w:rsidR="001C6A90" w:rsidRPr="00947A46" w14:paraId="44BE603C" w14:textId="77777777" w:rsidTr="00886332">
        <w:tc>
          <w:tcPr>
            <w:tcW w:w="4405" w:type="dxa"/>
          </w:tcPr>
          <w:p w14:paraId="24183FE7" w14:textId="77777777" w:rsidR="001C6A90" w:rsidRPr="008F5C15" w:rsidRDefault="001C6A90" w:rsidP="001C6A90">
            <w:pPr>
              <w:pStyle w:val="Texto"/>
              <w:spacing w:line="276" w:lineRule="auto"/>
              <w:ind w:firstLine="0"/>
              <w:rPr>
                <w:rFonts w:ascii="Verdana" w:hAnsi="Verdana"/>
                <w:b/>
                <w:spacing w:val="20"/>
                <w:sz w:val="16"/>
                <w:szCs w:val="16"/>
                <w:lang w:val="es-MX"/>
              </w:rPr>
            </w:pPr>
            <w:r w:rsidRPr="008F5C15">
              <w:rPr>
                <w:rFonts w:ascii="Verdana" w:hAnsi="Verdana"/>
                <w:sz w:val="16"/>
                <w:szCs w:val="16"/>
                <w:lang w:val="es-MX"/>
              </w:rPr>
              <w:lastRenderedPageBreak/>
              <w:t xml:space="preserve">Se debe contar con un EMSF, que describa las actividades relacionadas al cumplimiento de  BPF, a efecto de proporcionar el contenido del EMSF, además de lo descrito en este punto, los  destinatarios de esta Norma tendrán disponible para la elaboración del EMSF la página de internet </w:t>
            </w:r>
            <w:hyperlink r:id="rId8" w:history="1">
              <w:r w:rsidRPr="008F5C15">
                <w:rPr>
                  <w:rStyle w:val="Hyperlink"/>
                  <w:rFonts w:ascii="Verdana" w:hAnsi="Verdana"/>
                  <w:sz w:val="16"/>
                  <w:szCs w:val="16"/>
                  <w:lang w:val="es-MX"/>
                </w:rPr>
                <w:t>http://www.cofepris.gob.mx/AS/Paginas/Establecimientos%20y%20productos%20biologicos/Certificado BuenasPracticasFabricacion.aspx</w:t>
              </w:r>
            </w:hyperlink>
            <w:r w:rsidRPr="008F5C15">
              <w:rPr>
                <w:rFonts w:ascii="Verdana" w:hAnsi="Verdana"/>
                <w:sz w:val="16"/>
                <w:szCs w:val="16"/>
                <w:lang w:val="es-MX"/>
              </w:rPr>
              <w:t xml:space="preserve">  en la que se incluyen las Notas explicativas para los fabricantes farmacéuticos sobre la preparación del EMSF, establecidas por la PIC/S.</w:t>
            </w:r>
          </w:p>
        </w:tc>
        <w:tc>
          <w:tcPr>
            <w:tcW w:w="4427" w:type="dxa"/>
          </w:tcPr>
          <w:p w14:paraId="515854E9" w14:textId="77777777" w:rsidR="001C6A90" w:rsidRPr="008F5C15" w:rsidRDefault="001C6A90" w:rsidP="001C6A90">
            <w:pPr>
              <w:pStyle w:val="Texto"/>
              <w:spacing w:line="220" w:lineRule="exact"/>
              <w:ind w:firstLine="0"/>
              <w:rPr>
                <w:rFonts w:ascii="Verdana" w:hAnsi="Verdana"/>
                <w:sz w:val="16"/>
                <w:szCs w:val="16"/>
                <w:lang w:val="en-US" w:eastAsia="es-MX"/>
              </w:rPr>
            </w:pPr>
            <w:r w:rsidRPr="008F5C15">
              <w:rPr>
                <w:rFonts w:ascii="Verdana" w:hAnsi="Verdana"/>
                <w:sz w:val="16"/>
                <w:szCs w:val="16"/>
                <w:lang w:val="en-US"/>
              </w:rPr>
              <w:t xml:space="preserve">There must be an MSMF that describes the activities related to the compliance of the GMP (Good Manufacturing Practices), for the purpose of providing the content of the MSMF, in addition to that described this point, the recipients of this Standard will have an Internet site available for the preparation of the MSMF at: </w:t>
            </w:r>
            <w:hyperlink r:id="rId9" w:history="1">
              <w:r w:rsidRPr="008F5C15">
                <w:rPr>
                  <w:rStyle w:val="Hyperlink"/>
                  <w:rFonts w:ascii="Verdana" w:hAnsi="Verdana"/>
                  <w:sz w:val="16"/>
                  <w:szCs w:val="16"/>
                  <w:lang w:val="en-US"/>
                </w:rPr>
                <w:t>http://www.cofepris.gob.mx/AS/Paginas/Establecimientos%20y%20productos%20biologicos/Certificado BuenasPracticasFabricacion.aspx</w:t>
              </w:r>
            </w:hyperlink>
            <w:r w:rsidRPr="008F5C15">
              <w:rPr>
                <w:rFonts w:ascii="Verdana" w:hAnsi="Verdana"/>
                <w:sz w:val="16"/>
                <w:szCs w:val="16"/>
                <w:lang w:val="en-US"/>
              </w:rPr>
              <w:t>, in which are included the Explanatory Notes for the pharmaceutical manufacturers on the preparation of the MSMF, established by the PIC/S.</w:t>
            </w:r>
          </w:p>
        </w:tc>
      </w:tr>
      <w:tr w:rsidR="001C6A90" w:rsidRPr="00947A46" w14:paraId="7A38D64C" w14:textId="77777777" w:rsidTr="00886332">
        <w:tc>
          <w:tcPr>
            <w:tcW w:w="4405" w:type="dxa"/>
          </w:tcPr>
          <w:p w14:paraId="567EC5B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5.2.5.2.1 </w:t>
            </w:r>
            <w:r w:rsidRPr="008F5C15">
              <w:rPr>
                <w:rFonts w:ascii="Verdana" w:hAnsi="Verdana"/>
                <w:sz w:val="16"/>
                <w:szCs w:val="16"/>
                <w:lang w:val="es-MX"/>
              </w:rPr>
              <w:t>Están obligados a presentar el EMSF, todos aquellos establecimientos que cuenten con licencia sanitaria con giro de Fabrica o Laboratorio de Medicamentos o Productos Biológicos para uso Humano; Almacén de Acondicionamiento de Medicamentos o Productos Biológicos para uso Humano, que en su licencia cuenten con autorización para realizar acondicionamiento primario y/o que cuente con laboratorio de control de calidad y que sea Representante Legal y filial en México del titular o solicitante del Registro Sanitario en México; Almacenes de Depósito y Distribución de Medicamentos o Productos Biológicos para uso Humano, que cuenten con laboratorio de control de calidad y que sea Representante legal y filial en México del titular o solicitante del Registro Sanitario en México; Laboratorio de control químico, biológico, farmacéutico o de toxicología, para el estudio, experimentación de medicamentos y materias primas, que sea Representante Legal y filial en México del titular o solicitante del registro del medicamento.</w:t>
            </w:r>
          </w:p>
        </w:tc>
        <w:tc>
          <w:tcPr>
            <w:tcW w:w="4427" w:type="dxa"/>
          </w:tcPr>
          <w:p w14:paraId="58742192" w14:textId="77777777" w:rsidR="001C6A90" w:rsidRPr="008F5C15" w:rsidRDefault="001C6A90" w:rsidP="001C6A90">
            <w:pPr>
              <w:pStyle w:val="Texto"/>
              <w:spacing w:line="220" w:lineRule="exact"/>
              <w:ind w:firstLine="0"/>
              <w:rPr>
                <w:rFonts w:ascii="Verdana" w:hAnsi="Verdana"/>
                <w:sz w:val="16"/>
                <w:szCs w:val="16"/>
                <w:lang w:val="en-US"/>
              </w:rPr>
            </w:pPr>
            <w:r w:rsidRPr="008F5C15">
              <w:rPr>
                <w:rFonts w:ascii="Verdana" w:hAnsi="Verdana"/>
                <w:b/>
                <w:sz w:val="16"/>
                <w:szCs w:val="16"/>
                <w:lang w:val="en-US"/>
              </w:rPr>
              <w:t>5.2.5.2.1</w:t>
            </w:r>
            <w:r w:rsidRPr="008F5C15">
              <w:rPr>
                <w:rFonts w:ascii="Verdana" w:hAnsi="Verdana"/>
                <w:sz w:val="16"/>
                <w:szCs w:val="16"/>
                <w:lang w:val="en-US"/>
              </w:rPr>
              <w:t xml:space="preserve"> They are obligated to present the MSMF, all those establishments that have a sanitary license with a Factory or Laboratory of Drug products or Biological Products for Human use; Conditioning Warehouse for Drug Products or Biological Products for Human use, that in their license have authorization for performing the primary conditioning and/or that have a quality control laboratory and that is the Legal Representative and affiliate in Mexico of the holder or applicant for the Sanitary Registration in Mexico; Deposit Warehouses and Distribution of Drug Products or Biological Products for Human use, that have a quality control laboratory and that is a legal representative and affiliate in Mexico of the holder or application of the Sanitary Registration in Mexico; chemical, biological, pharmaceutical or toxicological control laboratory for the study and experimentation of drug products and raw materials, that is a legal Representative and affiliate in Mexico of the holder or applicant for the registration of the drug product. </w:t>
            </w:r>
          </w:p>
        </w:tc>
      </w:tr>
      <w:tr w:rsidR="001C6A90" w:rsidRPr="00947A46" w14:paraId="5E6ACD64" w14:textId="77777777" w:rsidTr="00886332">
        <w:tc>
          <w:tcPr>
            <w:tcW w:w="4405" w:type="dxa"/>
          </w:tcPr>
          <w:p w14:paraId="71820FE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Cuando se trate de un almacén de acondicionamiento o laboratorio de control de calidad, que pertenezcan a una Fábrica o Laboratorio de Medicamentos o productos Biológicos para uso Humano, pero que por cuestiones de espacio se haya tenido que ubicar en un domicilio diferente; el responsable de entregar el EMSF será quien cuente con la licencia sanitaria como fabricante incluyendo la información del(los) sitio(s), que se encuentran en otros domicilios.</w:t>
            </w:r>
          </w:p>
        </w:tc>
        <w:tc>
          <w:tcPr>
            <w:tcW w:w="4427" w:type="dxa"/>
          </w:tcPr>
          <w:p w14:paraId="25A8F925" w14:textId="77777777" w:rsidR="001C6A90" w:rsidRPr="008F5C15" w:rsidRDefault="001C6A90" w:rsidP="001C6A90">
            <w:pPr>
              <w:pStyle w:val="Texto"/>
              <w:spacing w:line="220" w:lineRule="exact"/>
              <w:ind w:firstLine="0"/>
              <w:rPr>
                <w:rFonts w:ascii="Verdana" w:hAnsi="Verdana"/>
                <w:sz w:val="16"/>
                <w:szCs w:val="16"/>
                <w:lang w:val="en-US"/>
              </w:rPr>
            </w:pPr>
            <w:r w:rsidRPr="008F5C15">
              <w:rPr>
                <w:rFonts w:ascii="Verdana" w:hAnsi="Verdana"/>
                <w:sz w:val="16"/>
                <w:szCs w:val="16"/>
                <w:lang w:val="en-US"/>
              </w:rPr>
              <w:t xml:space="preserve">When it is regarding a conditioning warehouse or quality control laboratory that belong to a Factory or Laboratory of Drug Products or Biological products for Human use, but that for questions of space has had to be located in a different domicile; the person responsible for delivering the MSMF will be the party who has the sanitary license as a manufacturer including the information of the site(s) that are found at other addresses. </w:t>
            </w:r>
          </w:p>
        </w:tc>
      </w:tr>
      <w:tr w:rsidR="001C6A90" w:rsidRPr="00262EF8" w14:paraId="3ADDDC22" w14:textId="77777777" w:rsidTr="00886332">
        <w:tc>
          <w:tcPr>
            <w:tcW w:w="4405" w:type="dxa"/>
          </w:tcPr>
          <w:p w14:paraId="4256641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5.2.5.2.2 </w:t>
            </w:r>
            <w:r w:rsidRPr="008F5C15">
              <w:rPr>
                <w:rFonts w:ascii="Verdana" w:hAnsi="Verdana"/>
                <w:sz w:val="16"/>
                <w:szCs w:val="16"/>
                <w:lang w:val="es-MX"/>
              </w:rPr>
              <w:t>Mantenimiento del EMSF.</w:t>
            </w:r>
          </w:p>
        </w:tc>
        <w:tc>
          <w:tcPr>
            <w:tcW w:w="4427" w:type="dxa"/>
          </w:tcPr>
          <w:p w14:paraId="0749F237" w14:textId="77777777" w:rsidR="001C6A90" w:rsidRPr="008F5C15" w:rsidRDefault="001C6A90" w:rsidP="001C6A90">
            <w:pPr>
              <w:pStyle w:val="Texto"/>
              <w:spacing w:line="220" w:lineRule="exact"/>
              <w:ind w:firstLine="0"/>
              <w:rPr>
                <w:rFonts w:ascii="Verdana" w:hAnsi="Verdana"/>
                <w:sz w:val="16"/>
                <w:szCs w:val="16"/>
                <w:lang w:val="en-US"/>
              </w:rPr>
            </w:pPr>
            <w:r w:rsidRPr="008F5C15">
              <w:rPr>
                <w:rFonts w:ascii="Verdana" w:hAnsi="Verdana"/>
                <w:b/>
                <w:sz w:val="16"/>
                <w:szCs w:val="16"/>
                <w:lang w:val="en-US"/>
              </w:rPr>
              <w:t xml:space="preserve">5.2.5.2.2 </w:t>
            </w:r>
            <w:r w:rsidRPr="008F5C15">
              <w:rPr>
                <w:rFonts w:ascii="Verdana" w:hAnsi="Verdana"/>
                <w:sz w:val="16"/>
                <w:szCs w:val="16"/>
                <w:lang w:val="en-US"/>
              </w:rPr>
              <w:t xml:space="preserve">Maintenance of the MSMF. </w:t>
            </w:r>
          </w:p>
        </w:tc>
      </w:tr>
      <w:tr w:rsidR="001C6A90" w:rsidRPr="00947A46" w14:paraId="4B13BEDC" w14:textId="77777777" w:rsidTr="00886332">
        <w:tc>
          <w:tcPr>
            <w:tcW w:w="4405" w:type="dxa"/>
          </w:tcPr>
          <w:p w14:paraId="6C52C80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Cualquier cambio técnico al contenido del EMSF deberá ser evaluado mediante el Sistema de Control de Cambios, tratándose de un cambio mayor se deberá actualizar el EMSF y notificar a la COFEPRIS mediante la actualización del documento.</w:t>
            </w:r>
          </w:p>
        </w:tc>
        <w:tc>
          <w:tcPr>
            <w:tcW w:w="4427" w:type="dxa"/>
          </w:tcPr>
          <w:p w14:paraId="3ECFF5C1" w14:textId="77777777" w:rsidR="001C6A90" w:rsidRPr="008F5C15" w:rsidRDefault="001C6A90" w:rsidP="001C6A90">
            <w:pPr>
              <w:pStyle w:val="Texto"/>
              <w:spacing w:line="220" w:lineRule="exact"/>
              <w:ind w:firstLine="0"/>
              <w:rPr>
                <w:rFonts w:ascii="Verdana" w:hAnsi="Verdana"/>
                <w:sz w:val="16"/>
                <w:szCs w:val="16"/>
                <w:lang w:val="en-US"/>
              </w:rPr>
            </w:pPr>
            <w:r w:rsidRPr="008F5C15">
              <w:rPr>
                <w:rFonts w:ascii="Verdana" w:hAnsi="Verdana"/>
                <w:sz w:val="16"/>
                <w:szCs w:val="16"/>
                <w:lang w:val="en-US"/>
              </w:rPr>
              <w:t xml:space="preserve">Any technical change to the content of the MSMF must be evaluated through the Control of Changes System, with respect to a major change, the MSMF must be updated and COFEPRIS be notified through the updating of the document. </w:t>
            </w:r>
          </w:p>
        </w:tc>
      </w:tr>
      <w:tr w:rsidR="001C6A90" w:rsidRPr="00947A46" w14:paraId="47E8E878" w14:textId="77777777" w:rsidTr="00886332">
        <w:tc>
          <w:tcPr>
            <w:tcW w:w="4405" w:type="dxa"/>
          </w:tcPr>
          <w:p w14:paraId="4F8DDE4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5.2.5.2.2.1 </w:t>
            </w:r>
            <w:r w:rsidRPr="008F5C15">
              <w:rPr>
                <w:rFonts w:ascii="Verdana" w:hAnsi="Verdana"/>
                <w:sz w:val="16"/>
                <w:szCs w:val="16"/>
                <w:lang w:val="es-MX"/>
              </w:rPr>
              <w:t>Se consideran cambios mayores los que se describen a continuación, de manera enunciativa más no limitativa:</w:t>
            </w:r>
          </w:p>
        </w:tc>
        <w:tc>
          <w:tcPr>
            <w:tcW w:w="4427" w:type="dxa"/>
          </w:tcPr>
          <w:p w14:paraId="10953A43" w14:textId="77777777" w:rsidR="001C6A90" w:rsidRPr="008F5C15" w:rsidRDefault="001C6A90" w:rsidP="001C6A90">
            <w:pPr>
              <w:pStyle w:val="Texto"/>
              <w:spacing w:line="220" w:lineRule="exact"/>
              <w:ind w:firstLine="0"/>
              <w:rPr>
                <w:rFonts w:ascii="Verdana" w:hAnsi="Verdana"/>
                <w:sz w:val="16"/>
                <w:szCs w:val="16"/>
                <w:lang w:val="en-US"/>
              </w:rPr>
            </w:pPr>
            <w:r w:rsidRPr="008F5C15">
              <w:rPr>
                <w:rFonts w:ascii="Verdana" w:hAnsi="Verdana"/>
                <w:b/>
                <w:sz w:val="16"/>
                <w:szCs w:val="16"/>
                <w:lang w:val="en-US"/>
              </w:rPr>
              <w:t xml:space="preserve">5.2.5.2.2.1 </w:t>
            </w:r>
            <w:r w:rsidRPr="008F5C15">
              <w:rPr>
                <w:rFonts w:ascii="Verdana" w:hAnsi="Verdana"/>
                <w:sz w:val="16"/>
                <w:szCs w:val="16"/>
                <w:lang w:val="en-US"/>
              </w:rPr>
              <w:t xml:space="preserve">Major changes are considered those that are described in the following, including but not limited to: </w:t>
            </w:r>
          </w:p>
        </w:tc>
      </w:tr>
      <w:tr w:rsidR="001C6A90" w:rsidRPr="00947A46" w14:paraId="726AA564" w14:textId="77777777" w:rsidTr="00886332">
        <w:tc>
          <w:tcPr>
            <w:tcW w:w="4405" w:type="dxa"/>
          </w:tcPr>
          <w:p w14:paraId="4D2B0C0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5.2.5.2.2.1.1 </w:t>
            </w:r>
            <w:r w:rsidRPr="008F5C15">
              <w:rPr>
                <w:rFonts w:ascii="Verdana" w:hAnsi="Verdana"/>
                <w:sz w:val="16"/>
                <w:szCs w:val="16"/>
                <w:lang w:val="es-MX"/>
              </w:rPr>
              <w:t>Cambio del Responsable Sanitario, del responsable de la unidad de producción y/o responsable de la unidad de calidad.</w:t>
            </w:r>
          </w:p>
        </w:tc>
        <w:tc>
          <w:tcPr>
            <w:tcW w:w="4427" w:type="dxa"/>
          </w:tcPr>
          <w:p w14:paraId="077A1B01" w14:textId="77777777" w:rsidR="001C6A90" w:rsidRPr="008F5C15" w:rsidRDefault="001C6A90" w:rsidP="001C6A90">
            <w:pPr>
              <w:pStyle w:val="Texto"/>
              <w:spacing w:line="220" w:lineRule="exact"/>
              <w:ind w:firstLine="0"/>
              <w:rPr>
                <w:rFonts w:ascii="Verdana" w:hAnsi="Verdana"/>
                <w:sz w:val="16"/>
                <w:szCs w:val="16"/>
                <w:lang w:val="en-US"/>
              </w:rPr>
            </w:pPr>
            <w:r w:rsidRPr="008F5C15">
              <w:rPr>
                <w:rFonts w:ascii="Verdana" w:hAnsi="Verdana"/>
                <w:b/>
                <w:sz w:val="16"/>
                <w:szCs w:val="16"/>
                <w:lang w:val="en-US"/>
              </w:rPr>
              <w:t xml:space="preserve">5.2.5.2.2.1.1 </w:t>
            </w:r>
            <w:r w:rsidRPr="008F5C15">
              <w:rPr>
                <w:rFonts w:ascii="Verdana" w:hAnsi="Verdana"/>
                <w:sz w:val="16"/>
                <w:szCs w:val="16"/>
                <w:lang w:val="en-US"/>
              </w:rPr>
              <w:t xml:space="preserve">Change of the Person responsible for the production unit and/or the person responsible for the quality unit. </w:t>
            </w:r>
          </w:p>
        </w:tc>
      </w:tr>
      <w:tr w:rsidR="001C6A90" w:rsidRPr="00262EF8" w14:paraId="0BA9167A" w14:textId="77777777" w:rsidTr="00886332">
        <w:tc>
          <w:tcPr>
            <w:tcW w:w="4405" w:type="dxa"/>
          </w:tcPr>
          <w:p w14:paraId="0057D7B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5.2.5.2.2.1.2 </w:t>
            </w:r>
            <w:r w:rsidRPr="008F5C15">
              <w:rPr>
                <w:rFonts w:ascii="Verdana" w:hAnsi="Verdana"/>
                <w:sz w:val="16"/>
                <w:szCs w:val="16"/>
                <w:lang w:val="es-MX"/>
              </w:rPr>
              <w:t>Cambios en sistemas críticos.</w:t>
            </w:r>
          </w:p>
        </w:tc>
        <w:tc>
          <w:tcPr>
            <w:tcW w:w="4427" w:type="dxa"/>
          </w:tcPr>
          <w:p w14:paraId="44FBD1B6" w14:textId="77777777" w:rsidR="001C6A90" w:rsidRPr="008F5C15" w:rsidRDefault="001C6A90" w:rsidP="001C6A90">
            <w:pPr>
              <w:pStyle w:val="Texto"/>
              <w:spacing w:line="220" w:lineRule="exact"/>
              <w:ind w:firstLine="0"/>
              <w:rPr>
                <w:rFonts w:ascii="Verdana" w:hAnsi="Verdana"/>
                <w:sz w:val="16"/>
                <w:szCs w:val="16"/>
                <w:lang w:val="en-US"/>
              </w:rPr>
            </w:pPr>
            <w:r w:rsidRPr="008F5C15">
              <w:rPr>
                <w:rFonts w:ascii="Verdana" w:hAnsi="Verdana"/>
                <w:b/>
                <w:sz w:val="16"/>
                <w:szCs w:val="16"/>
                <w:lang w:val="en-US"/>
              </w:rPr>
              <w:t xml:space="preserve">5.2.5.2.2.1.2 </w:t>
            </w:r>
            <w:r w:rsidRPr="008F5C15">
              <w:rPr>
                <w:rFonts w:ascii="Verdana" w:hAnsi="Verdana"/>
                <w:sz w:val="16"/>
                <w:szCs w:val="16"/>
                <w:lang w:val="en-US"/>
              </w:rPr>
              <w:t xml:space="preserve">Changes in critical systems. </w:t>
            </w:r>
          </w:p>
        </w:tc>
      </w:tr>
      <w:tr w:rsidR="001C6A90" w:rsidRPr="00947A46" w14:paraId="24341925" w14:textId="77777777" w:rsidTr="00886332">
        <w:tc>
          <w:tcPr>
            <w:tcW w:w="4405" w:type="dxa"/>
          </w:tcPr>
          <w:p w14:paraId="70D002A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5.2.5.2.2.1.3 </w:t>
            </w:r>
            <w:r w:rsidRPr="008F5C15">
              <w:rPr>
                <w:rFonts w:ascii="Verdana" w:hAnsi="Verdana"/>
                <w:sz w:val="16"/>
                <w:szCs w:val="16"/>
                <w:lang w:val="es-MX"/>
              </w:rPr>
              <w:t>Modificaciones a las líneas de fabricación.</w:t>
            </w:r>
          </w:p>
        </w:tc>
        <w:tc>
          <w:tcPr>
            <w:tcW w:w="4427" w:type="dxa"/>
          </w:tcPr>
          <w:p w14:paraId="77020985" w14:textId="77777777" w:rsidR="001C6A90" w:rsidRPr="008F5C15" w:rsidRDefault="001C6A90" w:rsidP="001C6A90">
            <w:pPr>
              <w:pStyle w:val="Texto"/>
              <w:spacing w:line="220" w:lineRule="exact"/>
              <w:ind w:firstLine="0"/>
              <w:rPr>
                <w:rFonts w:ascii="Verdana" w:hAnsi="Verdana"/>
                <w:sz w:val="16"/>
                <w:szCs w:val="16"/>
                <w:lang w:val="en-US"/>
              </w:rPr>
            </w:pPr>
            <w:r w:rsidRPr="008F5C15">
              <w:rPr>
                <w:rFonts w:ascii="Verdana" w:hAnsi="Verdana"/>
                <w:b/>
                <w:sz w:val="16"/>
                <w:szCs w:val="16"/>
                <w:lang w:val="en-US"/>
              </w:rPr>
              <w:t xml:space="preserve">5.2.5.2.2.1.3 </w:t>
            </w:r>
            <w:r w:rsidRPr="008F5C15">
              <w:rPr>
                <w:rFonts w:ascii="Verdana" w:hAnsi="Verdana"/>
                <w:sz w:val="16"/>
                <w:szCs w:val="16"/>
                <w:lang w:val="en-US"/>
              </w:rPr>
              <w:t xml:space="preserve">Modifications to the manufacturing lines.  </w:t>
            </w:r>
          </w:p>
        </w:tc>
      </w:tr>
      <w:tr w:rsidR="001C6A90" w:rsidRPr="00947A46" w14:paraId="6B6947DD" w14:textId="77777777" w:rsidTr="00886332">
        <w:tc>
          <w:tcPr>
            <w:tcW w:w="4405" w:type="dxa"/>
          </w:tcPr>
          <w:p w14:paraId="7DB5749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5.2.5.2.2.1.4 </w:t>
            </w:r>
            <w:r w:rsidRPr="008F5C15">
              <w:rPr>
                <w:rFonts w:ascii="Verdana" w:hAnsi="Verdana"/>
                <w:sz w:val="16"/>
                <w:szCs w:val="16"/>
                <w:lang w:val="es-MX"/>
              </w:rPr>
              <w:t>Modificaciones en las instalaciones que impacten la calidad de los productos.</w:t>
            </w:r>
          </w:p>
        </w:tc>
        <w:tc>
          <w:tcPr>
            <w:tcW w:w="4427" w:type="dxa"/>
          </w:tcPr>
          <w:p w14:paraId="354677A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5.2.5.2.2.1.4 </w:t>
            </w:r>
            <w:r w:rsidRPr="008F5C15">
              <w:rPr>
                <w:rFonts w:ascii="Verdana" w:hAnsi="Verdana"/>
                <w:sz w:val="16"/>
                <w:szCs w:val="16"/>
                <w:lang w:val="en-US"/>
              </w:rPr>
              <w:t xml:space="preserve">Modifications in the installations that impact in the quality of the products. </w:t>
            </w:r>
          </w:p>
        </w:tc>
      </w:tr>
      <w:tr w:rsidR="001C6A90" w:rsidRPr="00947A46" w14:paraId="715D8CEA" w14:textId="77777777" w:rsidTr="00886332">
        <w:tc>
          <w:tcPr>
            <w:tcW w:w="4405" w:type="dxa"/>
          </w:tcPr>
          <w:p w14:paraId="40F6CF5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5.2.5.2.2.1.5 </w:t>
            </w:r>
            <w:r w:rsidRPr="008F5C15">
              <w:rPr>
                <w:rFonts w:ascii="Verdana" w:hAnsi="Verdana"/>
                <w:sz w:val="16"/>
                <w:szCs w:val="16"/>
                <w:lang w:val="es-MX"/>
              </w:rPr>
              <w:t>Inclusión de nuevas moléculas que ameriten nueva validación de limpieza.</w:t>
            </w:r>
          </w:p>
        </w:tc>
        <w:tc>
          <w:tcPr>
            <w:tcW w:w="4427" w:type="dxa"/>
          </w:tcPr>
          <w:p w14:paraId="577CFF5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5.2.5.2.2.1.5 </w:t>
            </w:r>
            <w:r w:rsidRPr="008F5C15">
              <w:rPr>
                <w:rFonts w:ascii="Verdana" w:hAnsi="Verdana"/>
                <w:sz w:val="16"/>
                <w:szCs w:val="16"/>
                <w:lang w:val="en-US"/>
              </w:rPr>
              <w:t xml:space="preserve">Inclusion of new molecules that merit new validation of cleaning. </w:t>
            </w:r>
          </w:p>
        </w:tc>
      </w:tr>
      <w:tr w:rsidR="001C6A90" w:rsidRPr="00947A46" w14:paraId="1F3B41FE" w14:textId="77777777" w:rsidTr="00886332">
        <w:tc>
          <w:tcPr>
            <w:tcW w:w="4405" w:type="dxa"/>
          </w:tcPr>
          <w:p w14:paraId="2CF3F00F"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5.2.5.2.2.2 </w:t>
            </w:r>
            <w:r w:rsidRPr="008F5C15">
              <w:rPr>
                <w:rFonts w:ascii="Verdana" w:hAnsi="Verdana"/>
                <w:sz w:val="16"/>
                <w:szCs w:val="16"/>
                <w:lang w:val="es-MX"/>
              </w:rPr>
              <w:t>Si existen cambios menores, el EMSF deberá actualizarse al menos cada dos años y notificarse a la COFEPRIS.</w:t>
            </w:r>
          </w:p>
        </w:tc>
        <w:tc>
          <w:tcPr>
            <w:tcW w:w="4427" w:type="dxa"/>
          </w:tcPr>
          <w:p w14:paraId="254D3D7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5.2.5.2.2.2 </w:t>
            </w:r>
            <w:r w:rsidRPr="008F5C15">
              <w:rPr>
                <w:rFonts w:ascii="Verdana" w:hAnsi="Verdana"/>
                <w:sz w:val="16"/>
                <w:szCs w:val="16"/>
                <w:lang w:val="en-US"/>
              </w:rPr>
              <w:t xml:space="preserve">If minor changes exist, the MSMF must be updated at least every two years and COFEPRIS be notified. </w:t>
            </w:r>
          </w:p>
        </w:tc>
      </w:tr>
      <w:tr w:rsidR="001C6A90" w:rsidRPr="00947A46" w14:paraId="53E4FDCF" w14:textId="77777777" w:rsidTr="00886332">
        <w:tc>
          <w:tcPr>
            <w:tcW w:w="4405" w:type="dxa"/>
          </w:tcPr>
          <w:p w14:paraId="3F5F5F40"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5.2.5.3 </w:t>
            </w:r>
            <w:r w:rsidRPr="008F5C15">
              <w:rPr>
                <w:rFonts w:ascii="Verdana" w:hAnsi="Verdana"/>
                <w:sz w:val="16"/>
                <w:szCs w:val="16"/>
                <w:lang w:val="es-MX"/>
              </w:rPr>
              <w:t>Especificaciones y certificados de análisis.</w:t>
            </w:r>
          </w:p>
        </w:tc>
        <w:tc>
          <w:tcPr>
            <w:tcW w:w="4427" w:type="dxa"/>
          </w:tcPr>
          <w:p w14:paraId="48D5FA0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 </w:t>
            </w:r>
            <w:r w:rsidRPr="008F5C15">
              <w:rPr>
                <w:rFonts w:ascii="Verdana" w:hAnsi="Verdana"/>
                <w:sz w:val="16"/>
                <w:szCs w:val="16"/>
                <w:lang w:val="en-US"/>
              </w:rPr>
              <w:t xml:space="preserve">Specifications and certificates of analysis. </w:t>
            </w:r>
          </w:p>
        </w:tc>
      </w:tr>
      <w:tr w:rsidR="001C6A90" w:rsidRPr="00947A46" w14:paraId="6E384CA0" w14:textId="77777777" w:rsidTr="00886332">
        <w:tc>
          <w:tcPr>
            <w:tcW w:w="4405" w:type="dxa"/>
          </w:tcPr>
          <w:p w14:paraId="12E9DB4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5.2.5.3.1 </w:t>
            </w:r>
            <w:r w:rsidRPr="008F5C15">
              <w:rPr>
                <w:rFonts w:ascii="Verdana" w:hAnsi="Verdana"/>
                <w:sz w:val="16"/>
                <w:szCs w:val="16"/>
                <w:lang w:val="es-MX"/>
              </w:rPr>
              <w:t>Deben existir especificaciones para los insumos, producto a granel y producto terminado y el certificado de análisis debe cumplir con las características señaladas en el punto 3.33 de esta Norma.</w:t>
            </w:r>
          </w:p>
        </w:tc>
        <w:tc>
          <w:tcPr>
            <w:tcW w:w="4427" w:type="dxa"/>
          </w:tcPr>
          <w:p w14:paraId="308EB81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5.2.5.3.1 </w:t>
            </w:r>
            <w:r w:rsidRPr="008F5C15">
              <w:rPr>
                <w:rFonts w:ascii="Verdana" w:hAnsi="Verdana"/>
                <w:sz w:val="16"/>
                <w:szCs w:val="16"/>
                <w:lang w:val="en-US"/>
              </w:rPr>
              <w:t xml:space="preserve">Specifications must exist for the materials, bulk product and finished product and the certificate of analysis must comply with the characteristics stipulated in point 3.33 of this Standard. </w:t>
            </w:r>
          </w:p>
        </w:tc>
      </w:tr>
      <w:tr w:rsidR="001C6A90" w:rsidRPr="00947A46" w14:paraId="3E298917" w14:textId="77777777" w:rsidTr="00886332">
        <w:tc>
          <w:tcPr>
            <w:tcW w:w="4405" w:type="dxa"/>
          </w:tcPr>
          <w:p w14:paraId="00E077E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5.2.5.3.2 </w:t>
            </w:r>
            <w:r w:rsidRPr="008F5C15">
              <w:rPr>
                <w:rFonts w:ascii="Verdana" w:hAnsi="Verdana"/>
                <w:sz w:val="16"/>
                <w:szCs w:val="16"/>
                <w:lang w:val="es-MX"/>
              </w:rPr>
              <w:t>Las especificaciones de materias primas, materiales de envase y de empaque deben incluir al menos:</w:t>
            </w:r>
          </w:p>
        </w:tc>
        <w:tc>
          <w:tcPr>
            <w:tcW w:w="4427" w:type="dxa"/>
          </w:tcPr>
          <w:p w14:paraId="3E64DAC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5.2.5.3.2 </w:t>
            </w:r>
            <w:r w:rsidRPr="008F5C15">
              <w:rPr>
                <w:rFonts w:ascii="Verdana" w:hAnsi="Verdana"/>
                <w:sz w:val="16"/>
                <w:szCs w:val="16"/>
                <w:lang w:val="en-US"/>
              </w:rPr>
              <w:t xml:space="preserve">The specifications of raw materials, containment and packaging materials must include at least: </w:t>
            </w:r>
          </w:p>
        </w:tc>
      </w:tr>
      <w:tr w:rsidR="001C6A90" w:rsidRPr="00947A46" w14:paraId="394CD566" w14:textId="77777777" w:rsidTr="00886332">
        <w:tc>
          <w:tcPr>
            <w:tcW w:w="4405" w:type="dxa"/>
          </w:tcPr>
          <w:p w14:paraId="5A7D0E4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5.2.5.3.2.1 </w:t>
            </w:r>
            <w:r w:rsidRPr="008F5C15">
              <w:rPr>
                <w:rFonts w:ascii="Verdana" w:hAnsi="Verdana"/>
                <w:sz w:val="16"/>
                <w:szCs w:val="16"/>
                <w:lang w:val="es-MX"/>
              </w:rPr>
              <w:t>Descripción de los materiales: Nombre, código interno, referencia (FEUM, si aplica).</w:t>
            </w:r>
          </w:p>
        </w:tc>
        <w:tc>
          <w:tcPr>
            <w:tcW w:w="4427" w:type="dxa"/>
          </w:tcPr>
          <w:p w14:paraId="0A9961E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5.2.5.3.2.1 </w:t>
            </w:r>
            <w:r w:rsidRPr="008F5C15">
              <w:rPr>
                <w:rFonts w:ascii="Verdana" w:hAnsi="Verdana"/>
                <w:sz w:val="16"/>
                <w:szCs w:val="16"/>
                <w:lang w:val="en-US"/>
              </w:rPr>
              <w:t>Description of the materials: Name, internal code, reference (</w:t>
            </w:r>
            <w:r w:rsidRPr="008F5C15">
              <w:rPr>
                <w:rFonts w:ascii="Verdana" w:hAnsi="Verdana"/>
                <w:b/>
                <w:sz w:val="16"/>
                <w:szCs w:val="16"/>
                <w:lang w:val="en-US"/>
              </w:rPr>
              <w:t>FEUM</w:t>
            </w:r>
            <w:r w:rsidRPr="008F5C15">
              <w:rPr>
                <w:rFonts w:ascii="Verdana" w:hAnsi="Verdana"/>
                <w:sz w:val="16"/>
                <w:szCs w:val="16"/>
                <w:lang w:val="en-US"/>
              </w:rPr>
              <w:t xml:space="preserve"> Pharmacopoeia of the United Mexican States.</w:t>
            </w:r>
          </w:p>
        </w:tc>
      </w:tr>
      <w:tr w:rsidR="001C6A90" w:rsidRPr="00947A46" w14:paraId="562D66F1" w14:textId="77777777" w:rsidTr="00886332">
        <w:tc>
          <w:tcPr>
            <w:tcW w:w="4405" w:type="dxa"/>
          </w:tcPr>
          <w:p w14:paraId="53A369A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5.2.5.3.2.2 </w:t>
            </w:r>
            <w:r w:rsidRPr="008F5C15">
              <w:rPr>
                <w:rFonts w:ascii="Verdana" w:hAnsi="Verdana"/>
                <w:sz w:val="16"/>
                <w:szCs w:val="16"/>
                <w:lang w:val="es-MX"/>
              </w:rPr>
              <w:t>Fabricante aprobado para el fármaco.</w:t>
            </w:r>
          </w:p>
        </w:tc>
        <w:tc>
          <w:tcPr>
            <w:tcW w:w="4427" w:type="dxa"/>
          </w:tcPr>
          <w:p w14:paraId="3F19A72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5.2.5.3.2.2 </w:t>
            </w:r>
            <w:r w:rsidRPr="008F5C15">
              <w:rPr>
                <w:rFonts w:ascii="Verdana" w:hAnsi="Verdana"/>
                <w:sz w:val="16"/>
                <w:szCs w:val="16"/>
                <w:lang w:val="en-US"/>
              </w:rPr>
              <w:t>Manufacturer approved for the drug substance.</w:t>
            </w:r>
          </w:p>
        </w:tc>
      </w:tr>
      <w:tr w:rsidR="001C6A90" w:rsidRPr="00947A46" w14:paraId="2F6FC2C1" w14:textId="77777777" w:rsidTr="00886332">
        <w:tc>
          <w:tcPr>
            <w:tcW w:w="4405" w:type="dxa"/>
          </w:tcPr>
          <w:p w14:paraId="26D3101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5.2.5.3.2.3 </w:t>
            </w:r>
            <w:r w:rsidRPr="008F5C15">
              <w:rPr>
                <w:rFonts w:ascii="Verdana" w:hAnsi="Verdana"/>
                <w:sz w:val="16"/>
                <w:szCs w:val="16"/>
                <w:lang w:val="es-MX"/>
              </w:rPr>
              <w:t>Fabricante aprobado de los aditivos y</w:t>
            </w:r>
            <w:r w:rsidRPr="008F5C15">
              <w:rPr>
                <w:rFonts w:ascii="Verdana" w:hAnsi="Verdana"/>
                <w:b/>
                <w:sz w:val="16"/>
                <w:szCs w:val="16"/>
                <w:lang w:val="es-MX"/>
              </w:rPr>
              <w:t xml:space="preserve"> </w:t>
            </w:r>
            <w:r w:rsidRPr="008F5C15">
              <w:rPr>
                <w:rFonts w:ascii="Verdana" w:hAnsi="Verdana"/>
                <w:sz w:val="16"/>
                <w:szCs w:val="16"/>
                <w:lang w:val="es-MX"/>
              </w:rPr>
              <w:t>del envase primario.</w:t>
            </w:r>
          </w:p>
        </w:tc>
        <w:tc>
          <w:tcPr>
            <w:tcW w:w="4427" w:type="dxa"/>
          </w:tcPr>
          <w:p w14:paraId="0A1DAC8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5.2.5.3.2.3 </w:t>
            </w:r>
            <w:r w:rsidRPr="008F5C15">
              <w:rPr>
                <w:rFonts w:ascii="Verdana" w:hAnsi="Verdana"/>
                <w:sz w:val="16"/>
                <w:szCs w:val="16"/>
                <w:lang w:val="en-US"/>
              </w:rPr>
              <w:t>Manufacturer approved for the additives and the primary package.</w:t>
            </w:r>
          </w:p>
        </w:tc>
      </w:tr>
      <w:tr w:rsidR="001C6A90" w:rsidRPr="00947A46" w14:paraId="45C4C25B" w14:textId="77777777" w:rsidTr="00886332">
        <w:tc>
          <w:tcPr>
            <w:tcW w:w="4405" w:type="dxa"/>
          </w:tcPr>
          <w:p w14:paraId="6D8F438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5.2.5.3.2.4 </w:t>
            </w:r>
            <w:r w:rsidRPr="008F5C15">
              <w:rPr>
                <w:rFonts w:ascii="Verdana" w:hAnsi="Verdana"/>
                <w:sz w:val="16"/>
                <w:szCs w:val="16"/>
                <w:lang w:val="es-MX"/>
              </w:rPr>
              <w:t>Proveedor aprobado de los demás insumos.</w:t>
            </w:r>
          </w:p>
        </w:tc>
        <w:tc>
          <w:tcPr>
            <w:tcW w:w="4427" w:type="dxa"/>
          </w:tcPr>
          <w:p w14:paraId="2C1F3F1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5.2.5.3.2.4 </w:t>
            </w:r>
            <w:r w:rsidRPr="008F5C15">
              <w:rPr>
                <w:rFonts w:ascii="Verdana" w:hAnsi="Verdana"/>
                <w:sz w:val="16"/>
                <w:szCs w:val="16"/>
                <w:lang w:val="en-US"/>
              </w:rPr>
              <w:t>Supplier approved of the other materials.</w:t>
            </w:r>
          </w:p>
        </w:tc>
      </w:tr>
      <w:tr w:rsidR="001C6A90" w:rsidRPr="00947A46" w14:paraId="038E85D0" w14:textId="77777777" w:rsidTr="00886332">
        <w:tc>
          <w:tcPr>
            <w:tcW w:w="4405" w:type="dxa"/>
          </w:tcPr>
          <w:p w14:paraId="2860E4D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5.2.5.3.2.5 </w:t>
            </w:r>
            <w:r w:rsidRPr="008F5C15">
              <w:rPr>
                <w:rFonts w:ascii="Verdana" w:hAnsi="Verdana"/>
                <w:sz w:val="16"/>
                <w:szCs w:val="16"/>
                <w:lang w:val="es-MX"/>
              </w:rPr>
              <w:t>Una muestra de los materiales impresos.</w:t>
            </w:r>
          </w:p>
        </w:tc>
        <w:tc>
          <w:tcPr>
            <w:tcW w:w="4427" w:type="dxa"/>
          </w:tcPr>
          <w:p w14:paraId="2837E66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5.2.5.3.2.5 </w:t>
            </w:r>
            <w:r w:rsidRPr="008F5C15">
              <w:rPr>
                <w:rFonts w:ascii="Verdana" w:hAnsi="Verdana"/>
                <w:sz w:val="16"/>
                <w:szCs w:val="16"/>
                <w:lang w:val="en-US"/>
              </w:rPr>
              <w:t xml:space="preserve">A sample of the printed materials. </w:t>
            </w:r>
          </w:p>
        </w:tc>
      </w:tr>
      <w:tr w:rsidR="001C6A90" w:rsidRPr="00947A46" w14:paraId="0280737C" w14:textId="77777777" w:rsidTr="00886332">
        <w:tc>
          <w:tcPr>
            <w:tcW w:w="4405" w:type="dxa"/>
          </w:tcPr>
          <w:p w14:paraId="0DB03D3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5.2.5.3.2.6 </w:t>
            </w:r>
            <w:r w:rsidRPr="008F5C15">
              <w:rPr>
                <w:rFonts w:ascii="Verdana" w:hAnsi="Verdana"/>
                <w:sz w:val="16"/>
                <w:szCs w:val="16"/>
                <w:lang w:val="es-MX"/>
              </w:rPr>
              <w:t>Instrucciones para el muestreo y pruebas a realizar.</w:t>
            </w:r>
          </w:p>
        </w:tc>
        <w:tc>
          <w:tcPr>
            <w:tcW w:w="4427" w:type="dxa"/>
          </w:tcPr>
          <w:p w14:paraId="3D29AA8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5.2.5.3.2.6 </w:t>
            </w:r>
            <w:r w:rsidRPr="008F5C15">
              <w:rPr>
                <w:rFonts w:ascii="Verdana" w:hAnsi="Verdana"/>
                <w:sz w:val="16"/>
                <w:szCs w:val="16"/>
                <w:lang w:val="en-US"/>
              </w:rPr>
              <w:t xml:space="preserve">Instructions for the sampling and tests to be made. </w:t>
            </w:r>
          </w:p>
        </w:tc>
      </w:tr>
      <w:tr w:rsidR="001C6A90" w:rsidRPr="00947A46" w14:paraId="63D9DCCC" w14:textId="77777777" w:rsidTr="00886332">
        <w:tc>
          <w:tcPr>
            <w:tcW w:w="4405" w:type="dxa"/>
          </w:tcPr>
          <w:p w14:paraId="14DB1F7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5.2.5.3.2.7 </w:t>
            </w:r>
            <w:r w:rsidRPr="008F5C15">
              <w:rPr>
                <w:rFonts w:ascii="Verdana" w:hAnsi="Verdana"/>
                <w:sz w:val="16"/>
                <w:szCs w:val="16"/>
                <w:lang w:val="es-MX"/>
              </w:rPr>
              <w:t>Los límites de aceptación para las determinaciones cuali y cuantitativas.</w:t>
            </w:r>
          </w:p>
        </w:tc>
        <w:tc>
          <w:tcPr>
            <w:tcW w:w="4427" w:type="dxa"/>
          </w:tcPr>
          <w:p w14:paraId="35539DC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5.2.5.3.2.7 </w:t>
            </w:r>
            <w:r w:rsidRPr="008F5C15">
              <w:rPr>
                <w:rFonts w:ascii="Verdana" w:hAnsi="Verdana"/>
                <w:sz w:val="16"/>
                <w:szCs w:val="16"/>
                <w:lang w:val="en-US"/>
              </w:rPr>
              <w:t>The limits of acceptance for the qualitative and quantitative determinations.</w:t>
            </w:r>
          </w:p>
        </w:tc>
      </w:tr>
      <w:tr w:rsidR="001C6A90" w:rsidRPr="00262EF8" w14:paraId="503D9561" w14:textId="77777777" w:rsidTr="00886332">
        <w:tc>
          <w:tcPr>
            <w:tcW w:w="4405" w:type="dxa"/>
          </w:tcPr>
          <w:p w14:paraId="37F86CB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5.2.5.3.2.8 </w:t>
            </w:r>
            <w:r w:rsidRPr="008F5C15">
              <w:rPr>
                <w:rFonts w:ascii="Verdana" w:hAnsi="Verdana"/>
                <w:sz w:val="16"/>
                <w:szCs w:val="16"/>
                <w:lang w:val="es-MX"/>
              </w:rPr>
              <w:t>Condiciones de almacenamiento.</w:t>
            </w:r>
          </w:p>
        </w:tc>
        <w:tc>
          <w:tcPr>
            <w:tcW w:w="4427" w:type="dxa"/>
          </w:tcPr>
          <w:p w14:paraId="506F132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5.2.5.3.2.8 </w:t>
            </w:r>
            <w:r w:rsidRPr="008F5C15">
              <w:rPr>
                <w:rFonts w:ascii="Verdana" w:hAnsi="Verdana"/>
                <w:sz w:val="16"/>
                <w:szCs w:val="16"/>
                <w:lang w:val="en-US"/>
              </w:rPr>
              <w:t>Storage conditions.</w:t>
            </w:r>
          </w:p>
        </w:tc>
      </w:tr>
      <w:tr w:rsidR="001C6A90" w:rsidRPr="00947A46" w14:paraId="5FAC3A0D" w14:textId="77777777" w:rsidTr="00886332">
        <w:tc>
          <w:tcPr>
            <w:tcW w:w="4405" w:type="dxa"/>
          </w:tcPr>
          <w:p w14:paraId="6598938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5.2.5.3.2.9 </w:t>
            </w:r>
            <w:r w:rsidRPr="008F5C15">
              <w:rPr>
                <w:rFonts w:ascii="Verdana" w:hAnsi="Verdana"/>
                <w:sz w:val="16"/>
                <w:szCs w:val="16"/>
                <w:lang w:val="es-MX"/>
              </w:rPr>
              <w:t>Periodo de reanálisis y número de reanálisis.</w:t>
            </w:r>
          </w:p>
        </w:tc>
        <w:tc>
          <w:tcPr>
            <w:tcW w:w="4427" w:type="dxa"/>
          </w:tcPr>
          <w:p w14:paraId="295FEA4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5.2.5.3.2.9 </w:t>
            </w:r>
            <w:r w:rsidRPr="008F5C15">
              <w:rPr>
                <w:rFonts w:ascii="Verdana" w:hAnsi="Verdana"/>
                <w:sz w:val="16"/>
                <w:szCs w:val="16"/>
                <w:lang w:val="en-US"/>
              </w:rPr>
              <w:t xml:space="preserve">Reanalysis period and reanalysis number. </w:t>
            </w:r>
          </w:p>
        </w:tc>
      </w:tr>
      <w:tr w:rsidR="001C6A90" w:rsidRPr="00947A46" w14:paraId="086EC253" w14:textId="77777777" w:rsidTr="00886332">
        <w:tc>
          <w:tcPr>
            <w:tcW w:w="4405" w:type="dxa"/>
          </w:tcPr>
          <w:p w14:paraId="6D3BF9C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5.2.5.3.2.10 </w:t>
            </w:r>
            <w:r w:rsidRPr="008F5C15">
              <w:rPr>
                <w:rFonts w:ascii="Verdana" w:hAnsi="Verdana"/>
                <w:sz w:val="16"/>
                <w:szCs w:val="16"/>
                <w:lang w:val="es-MX"/>
              </w:rPr>
              <w:t>Precauciones para el manejo del material.</w:t>
            </w:r>
          </w:p>
        </w:tc>
        <w:tc>
          <w:tcPr>
            <w:tcW w:w="4427" w:type="dxa"/>
          </w:tcPr>
          <w:p w14:paraId="30E97D0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5.2.5.3.2.10 </w:t>
            </w:r>
            <w:r w:rsidRPr="008F5C15">
              <w:rPr>
                <w:rFonts w:ascii="Verdana" w:hAnsi="Verdana"/>
                <w:sz w:val="16"/>
                <w:szCs w:val="16"/>
                <w:lang w:val="en-US"/>
              </w:rPr>
              <w:t xml:space="preserve">Precautions for the handling of the material. </w:t>
            </w:r>
          </w:p>
        </w:tc>
      </w:tr>
      <w:tr w:rsidR="001C6A90" w:rsidRPr="00947A46" w14:paraId="7767EF8E" w14:textId="77777777" w:rsidTr="00886332">
        <w:tc>
          <w:tcPr>
            <w:tcW w:w="4405" w:type="dxa"/>
          </w:tcPr>
          <w:p w14:paraId="1C21ADE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5.2.5.3.3 </w:t>
            </w:r>
            <w:r w:rsidRPr="008F5C15">
              <w:rPr>
                <w:rFonts w:ascii="Verdana" w:hAnsi="Verdana"/>
                <w:sz w:val="16"/>
                <w:szCs w:val="16"/>
                <w:lang w:val="es-MX"/>
              </w:rPr>
              <w:t>Deben existir especificaciones para producto intermedio y a granel, incluyendo el tiempo máximo y las condiciones de almacenamiento.</w:t>
            </w:r>
          </w:p>
        </w:tc>
        <w:tc>
          <w:tcPr>
            <w:tcW w:w="4427" w:type="dxa"/>
          </w:tcPr>
          <w:p w14:paraId="5318BF1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5.2.5.3.3 </w:t>
            </w:r>
            <w:r w:rsidRPr="008F5C15">
              <w:rPr>
                <w:rFonts w:ascii="Verdana" w:hAnsi="Verdana"/>
                <w:sz w:val="16"/>
                <w:szCs w:val="16"/>
                <w:lang w:val="en-US"/>
              </w:rPr>
              <w:t xml:space="preserve">Specifications must exist for intermediate product and bulk product, including the maximum time and the storage conditions. </w:t>
            </w:r>
          </w:p>
        </w:tc>
      </w:tr>
      <w:tr w:rsidR="001C6A90" w:rsidRPr="00947A46" w14:paraId="7B5CB59F" w14:textId="77777777" w:rsidTr="00886332">
        <w:tc>
          <w:tcPr>
            <w:tcW w:w="4405" w:type="dxa"/>
          </w:tcPr>
          <w:p w14:paraId="695E13B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5.2.5.3.4 </w:t>
            </w:r>
            <w:r w:rsidRPr="008F5C15">
              <w:rPr>
                <w:rFonts w:ascii="Verdana" w:hAnsi="Verdana"/>
                <w:sz w:val="16"/>
                <w:szCs w:val="16"/>
                <w:lang w:val="es-MX"/>
              </w:rPr>
              <w:t>Las especificaciones de producto terminado deben incluir al menos lo siguiente:</w:t>
            </w:r>
          </w:p>
        </w:tc>
        <w:tc>
          <w:tcPr>
            <w:tcW w:w="4427" w:type="dxa"/>
          </w:tcPr>
          <w:p w14:paraId="5928554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5.2.5.3.4 </w:t>
            </w:r>
            <w:r w:rsidRPr="008F5C15">
              <w:rPr>
                <w:rFonts w:ascii="Verdana" w:hAnsi="Verdana"/>
                <w:sz w:val="16"/>
                <w:szCs w:val="16"/>
                <w:lang w:val="en-US"/>
              </w:rPr>
              <w:t xml:space="preserve">The finished product specifications must include at least the following: </w:t>
            </w:r>
          </w:p>
        </w:tc>
      </w:tr>
      <w:tr w:rsidR="001C6A90" w:rsidRPr="00947A46" w14:paraId="758A400B" w14:textId="77777777" w:rsidTr="00886332">
        <w:tc>
          <w:tcPr>
            <w:tcW w:w="4405" w:type="dxa"/>
          </w:tcPr>
          <w:p w14:paraId="2EB0886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5.2.5.3.4.1 </w:t>
            </w:r>
            <w:r w:rsidRPr="008F5C15">
              <w:rPr>
                <w:rFonts w:ascii="Verdana" w:hAnsi="Verdana"/>
                <w:sz w:val="16"/>
                <w:szCs w:val="16"/>
                <w:lang w:val="es-MX"/>
              </w:rPr>
              <w:t>Nombre genérico del producto y código interno asignado.</w:t>
            </w:r>
          </w:p>
        </w:tc>
        <w:tc>
          <w:tcPr>
            <w:tcW w:w="4427" w:type="dxa"/>
          </w:tcPr>
          <w:p w14:paraId="456CAF3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5.2.5.3.4.1 </w:t>
            </w:r>
            <w:r w:rsidRPr="008F5C15">
              <w:rPr>
                <w:rFonts w:ascii="Verdana" w:hAnsi="Verdana"/>
                <w:sz w:val="16"/>
                <w:szCs w:val="16"/>
                <w:lang w:val="en-US"/>
              </w:rPr>
              <w:t xml:space="preserve">Generic name of the product and internal code assigned. </w:t>
            </w:r>
          </w:p>
        </w:tc>
      </w:tr>
      <w:tr w:rsidR="001C6A90" w:rsidRPr="00947A46" w14:paraId="3EA510A1" w14:textId="77777777" w:rsidTr="00886332">
        <w:tc>
          <w:tcPr>
            <w:tcW w:w="4405" w:type="dxa"/>
          </w:tcPr>
          <w:p w14:paraId="53C7E44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5.2.5.3.4.2 </w:t>
            </w:r>
            <w:r w:rsidRPr="008F5C15">
              <w:rPr>
                <w:rFonts w:ascii="Verdana" w:hAnsi="Verdana"/>
                <w:sz w:val="16"/>
                <w:szCs w:val="16"/>
                <w:lang w:val="es-MX"/>
              </w:rPr>
              <w:t>Forma farmacéutica y envase primario.</w:t>
            </w:r>
          </w:p>
        </w:tc>
        <w:tc>
          <w:tcPr>
            <w:tcW w:w="4427" w:type="dxa"/>
          </w:tcPr>
          <w:p w14:paraId="368C47A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5.2.5.3.4.2 </w:t>
            </w:r>
            <w:r w:rsidRPr="008F5C15">
              <w:rPr>
                <w:rFonts w:ascii="Verdana" w:hAnsi="Verdana"/>
                <w:sz w:val="16"/>
                <w:szCs w:val="16"/>
                <w:lang w:val="en-US"/>
              </w:rPr>
              <w:t xml:space="preserve">Pharmaceutical form and primary package. </w:t>
            </w:r>
          </w:p>
        </w:tc>
      </w:tr>
      <w:tr w:rsidR="001C6A90" w:rsidRPr="00262EF8" w14:paraId="50619205" w14:textId="77777777" w:rsidTr="00886332">
        <w:tc>
          <w:tcPr>
            <w:tcW w:w="4405" w:type="dxa"/>
          </w:tcPr>
          <w:p w14:paraId="5D7BD73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5.2.5.3.4.3 </w:t>
            </w:r>
            <w:r w:rsidRPr="008F5C15">
              <w:rPr>
                <w:rFonts w:ascii="Verdana" w:hAnsi="Verdana"/>
                <w:sz w:val="16"/>
                <w:szCs w:val="16"/>
                <w:lang w:val="es-MX"/>
              </w:rPr>
              <w:t>Instrucciones para el muestreo.</w:t>
            </w:r>
          </w:p>
        </w:tc>
        <w:tc>
          <w:tcPr>
            <w:tcW w:w="4427" w:type="dxa"/>
          </w:tcPr>
          <w:p w14:paraId="72FC33F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5.2.5.3.4.3 </w:t>
            </w:r>
            <w:r w:rsidRPr="008F5C15">
              <w:rPr>
                <w:rFonts w:ascii="Verdana" w:hAnsi="Verdana"/>
                <w:sz w:val="16"/>
                <w:szCs w:val="16"/>
                <w:lang w:val="en-US"/>
              </w:rPr>
              <w:t>Sampling instructions.</w:t>
            </w:r>
          </w:p>
        </w:tc>
      </w:tr>
      <w:tr w:rsidR="001C6A90" w:rsidRPr="00262EF8" w14:paraId="3D9F5292" w14:textId="77777777" w:rsidTr="00886332">
        <w:tc>
          <w:tcPr>
            <w:tcW w:w="4405" w:type="dxa"/>
          </w:tcPr>
          <w:p w14:paraId="4A2BB23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5.2.5.3.4.4 </w:t>
            </w:r>
            <w:r w:rsidRPr="008F5C15">
              <w:rPr>
                <w:rFonts w:ascii="Verdana" w:hAnsi="Verdana"/>
                <w:sz w:val="16"/>
                <w:szCs w:val="16"/>
                <w:lang w:val="es-MX"/>
              </w:rPr>
              <w:t>Método de análisis.</w:t>
            </w:r>
          </w:p>
        </w:tc>
        <w:tc>
          <w:tcPr>
            <w:tcW w:w="4427" w:type="dxa"/>
          </w:tcPr>
          <w:p w14:paraId="095FDC9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5.2.5.3.4.4 </w:t>
            </w:r>
            <w:r w:rsidRPr="008F5C15">
              <w:rPr>
                <w:rFonts w:ascii="Verdana" w:hAnsi="Verdana"/>
                <w:sz w:val="16"/>
                <w:szCs w:val="16"/>
                <w:lang w:val="en-US"/>
              </w:rPr>
              <w:t>Method of analysis.</w:t>
            </w:r>
          </w:p>
        </w:tc>
      </w:tr>
      <w:tr w:rsidR="001C6A90" w:rsidRPr="00947A46" w14:paraId="55A08B62" w14:textId="77777777" w:rsidTr="00886332">
        <w:tc>
          <w:tcPr>
            <w:tcW w:w="4405" w:type="dxa"/>
          </w:tcPr>
          <w:p w14:paraId="242F753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5.2.5.3.4.5 </w:t>
            </w:r>
            <w:r w:rsidRPr="008F5C15">
              <w:rPr>
                <w:rFonts w:ascii="Verdana" w:hAnsi="Verdana"/>
                <w:sz w:val="16"/>
                <w:szCs w:val="16"/>
                <w:lang w:val="es-MX"/>
              </w:rPr>
              <w:t>Límites de aceptación para las determinaciones cuali y cuantitativas.</w:t>
            </w:r>
          </w:p>
        </w:tc>
        <w:tc>
          <w:tcPr>
            <w:tcW w:w="4427" w:type="dxa"/>
          </w:tcPr>
          <w:p w14:paraId="4BB0B87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5.2.5.3.4.5 </w:t>
            </w:r>
            <w:r w:rsidRPr="008F5C15">
              <w:rPr>
                <w:rFonts w:ascii="Verdana" w:hAnsi="Verdana"/>
                <w:sz w:val="16"/>
                <w:szCs w:val="16"/>
                <w:lang w:val="en-US"/>
              </w:rPr>
              <w:t xml:space="preserve">Acceptance limits for the qualitative and quantitative determinations. </w:t>
            </w:r>
          </w:p>
        </w:tc>
      </w:tr>
      <w:tr w:rsidR="001C6A90" w:rsidRPr="00262EF8" w14:paraId="196095DD" w14:textId="77777777" w:rsidTr="00886332">
        <w:tc>
          <w:tcPr>
            <w:tcW w:w="4405" w:type="dxa"/>
          </w:tcPr>
          <w:p w14:paraId="0B10219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5.2.5.3.4.6 </w:t>
            </w:r>
            <w:r w:rsidRPr="008F5C15">
              <w:rPr>
                <w:rFonts w:ascii="Verdana" w:hAnsi="Verdana"/>
                <w:sz w:val="16"/>
                <w:szCs w:val="16"/>
                <w:lang w:val="es-MX"/>
              </w:rPr>
              <w:t>Condiciones de almacenamiento.</w:t>
            </w:r>
          </w:p>
        </w:tc>
        <w:tc>
          <w:tcPr>
            <w:tcW w:w="4427" w:type="dxa"/>
          </w:tcPr>
          <w:p w14:paraId="04E67D4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5.2.5.3.4.6 </w:t>
            </w:r>
            <w:r w:rsidRPr="008F5C15">
              <w:rPr>
                <w:rFonts w:ascii="Verdana" w:hAnsi="Verdana"/>
                <w:sz w:val="16"/>
                <w:szCs w:val="16"/>
                <w:lang w:val="en-US"/>
              </w:rPr>
              <w:t>Storage conditions.</w:t>
            </w:r>
          </w:p>
        </w:tc>
      </w:tr>
      <w:tr w:rsidR="001C6A90" w:rsidRPr="00947A46" w14:paraId="556C922E" w14:textId="77777777" w:rsidTr="00886332">
        <w:tc>
          <w:tcPr>
            <w:tcW w:w="4405" w:type="dxa"/>
          </w:tcPr>
          <w:p w14:paraId="2961F1F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5.2.5.3.4.7 </w:t>
            </w:r>
            <w:r w:rsidRPr="008F5C15">
              <w:rPr>
                <w:rFonts w:ascii="Verdana" w:hAnsi="Verdana"/>
                <w:sz w:val="16"/>
                <w:szCs w:val="16"/>
                <w:lang w:val="es-MX"/>
              </w:rPr>
              <w:t>Periodo de caducidad del producto.</w:t>
            </w:r>
          </w:p>
        </w:tc>
        <w:tc>
          <w:tcPr>
            <w:tcW w:w="4427" w:type="dxa"/>
          </w:tcPr>
          <w:p w14:paraId="2D8B55F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5.2.5.3.4.7 </w:t>
            </w:r>
            <w:r w:rsidRPr="008F5C15">
              <w:rPr>
                <w:rFonts w:ascii="Verdana" w:hAnsi="Verdana"/>
                <w:sz w:val="16"/>
                <w:szCs w:val="16"/>
                <w:lang w:val="en-US"/>
              </w:rPr>
              <w:t>Expiration date of the product.</w:t>
            </w:r>
          </w:p>
        </w:tc>
      </w:tr>
      <w:tr w:rsidR="001C6A90" w:rsidRPr="00947A46" w14:paraId="02760791" w14:textId="77777777" w:rsidTr="00886332">
        <w:tc>
          <w:tcPr>
            <w:tcW w:w="4405" w:type="dxa"/>
          </w:tcPr>
          <w:p w14:paraId="4130DF2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5.2.5.3.4.8 </w:t>
            </w:r>
            <w:r w:rsidRPr="008F5C15">
              <w:rPr>
                <w:rFonts w:ascii="Verdana" w:hAnsi="Verdana"/>
                <w:sz w:val="16"/>
                <w:szCs w:val="16"/>
                <w:lang w:val="es-MX"/>
              </w:rPr>
              <w:t>Precauciones para el manejo del producto.</w:t>
            </w:r>
          </w:p>
        </w:tc>
        <w:tc>
          <w:tcPr>
            <w:tcW w:w="4427" w:type="dxa"/>
          </w:tcPr>
          <w:p w14:paraId="0AEEB3D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5.2.5.3.4.8 </w:t>
            </w:r>
            <w:r w:rsidRPr="008F5C15">
              <w:rPr>
                <w:rFonts w:ascii="Verdana" w:hAnsi="Verdana"/>
                <w:sz w:val="16"/>
                <w:szCs w:val="16"/>
                <w:lang w:val="en-US"/>
              </w:rPr>
              <w:t xml:space="preserve">Precautions for the handling of the product. </w:t>
            </w:r>
          </w:p>
        </w:tc>
      </w:tr>
      <w:tr w:rsidR="001C6A90" w:rsidRPr="00262EF8" w14:paraId="10463048" w14:textId="77777777" w:rsidTr="00886332">
        <w:tc>
          <w:tcPr>
            <w:tcW w:w="4405" w:type="dxa"/>
          </w:tcPr>
          <w:p w14:paraId="050CEB98"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5.2.5.4 </w:t>
            </w:r>
            <w:r w:rsidRPr="008F5C15">
              <w:rPr>
                <w:rFonts w:ascii="Verdana" w:hAnsi="Verdana"/>
                <w:sz w:val="16"/>
                <w:szCs w:val="16"/>
                <w:lang w:val="es-MX"/>
              </w:rPr>
              <w:t>Orden maestra de producción.</w:t>
            </w:r>
          </w:p>
        </w:tc>
        <w:tc>
          <w:tcPr>
            <w:tcW w:w="4427" w:type="dxa"/>
          </w:tcPr>
          <w:p w14:paraId="5BB6D64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5.2.5.4</w:t>
            </w:r>
            <w:r w:rsidRPr="008F5C15">
              <w:rPr>
                <w:rFonts w:ascii="Verdana" w:hAnsi="Verdana"/>
                <w:sz w:val="16"/>
                <w:szCs w:val="16"/>
                <w:lang w:val="en-US"/>
              </w:rPr>
              <w:t xml:space="preserve"> Master production order.</w:t>
            </w:r>
          </w:p>
        </w:tc>
      </w:tr>
      <w:tr w:rsidR="001C6A90" w:rsidRPr="00947A46" w14:paraId="1B4C30A3" w14:textId="77777777" w:rsidTr="00886332">
        <w:tc>
          <w:tcPr>
            <w:tcW w:w="4405" w:type="dxa"/>
          </w:tcPr>
          <w:p w14:paraId="6FB6F8F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5.2.5.4.1 </w:t>
            </w:r>
            <w:r w:rsidRPr="008F5C15">
              <w:rPr>
                <w:rFonts w:ascii="Verdana" w:hAnsi="Verdana"/>
                <w:sz w:val="16"/>
                <w:szCs w:val="16"/>
                <w:lang w:val="es-MX"/>
              </w:rPr>
              <w:t>Deben existir por escrito una orden e instrucciones maestras de producción por cada producto y tamaño de lote a fabricar, estos documentos maestros servirán para generar los documentos de trabajo.</w:t>
            </w:r>
          </w:p>
        </w:tc>
        <w:tc>
          <w:tcPr>
            <w:tcW w:w="4427" w:type="dxa"/>
          </w:tcPr>
          <w:p w14:paraId="59793DF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5.2.5.4.1 </w:t>
            </w:r>
            <w:r w:rsidRPr="008F5C15">
              <w:rPr>
                <w:rFonts w:ascii="Verdana" w:hAnsi="Verdana"/>
                <w:sz w:val="16"/>
                <w:szCs w:val="16"/>
                <w:lang w:val="en-US"/>
              </w:rPr>
              <w:t>There must be a written order and master instructions of production for each product and size of lot to be manufactured, these master documents will serve to generate the other work documents.</w:t>
            </w:r>
          </w:p>
        </w:tc>
      </w:tr>
      <w:tr w:rsidR="001C6A90" w:rsidRPr="00947A46" w14:paraId="7DF2B30E" w14:textId="77777777" w:rsidTr="00886332">
        <w:tc>
          <w:tcPr>
            <w:tcW w:w="4405" w:type="dxa"/>
          </w:tcPr>
          <w:p w14:paraId="54F29E4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5.2.5.4.2 </w:t>
            </w:r>
            <w:r w:rsidRPr="008F5C15">
              <w:rPr>
                <w:rFonts w:ascii="Verdana" w:hAnsi="Verdana"/>
                <w:sz w:val="16"/>
                <w:szCs w:val="16"/>
                <w:lang w:val="es-MX"/>
              </w:rPr>
              <w:t>La orden de producción debe incluir al menos:</w:t>
            </w:r>
          </w:p>
        </w:tc>
        <w:tc>
          <w:tcPr>
            <w:tcW w:w="4427" w:type="dxa"/>
          </w:tcPr>
          <w:p w14:paraId="7AADF09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5.2.5.4.2 </w:t>
            </w:r>
            <w:r w:rsidRPr="008F5C15">
              <w:rPr>
                <w:rFonts w:ascii="Verdana" w:hAnsi="Verdana"/>
                <w:sz w:val="16"/>
                <w:szCs w:val="16"/>
                <w:lang w:val="en-US"/>
              </w:rPr>
              <w:t>The production order must at least contain the following:</w:t>
            </w:r>
          </w:p>
        </w:tc>
      </w:tr>
      <w:tr w:rsidR="001C6A90" w:rsidRPr="00947A46" w14:paraId="7A58E695" w14:textId="77777777" w:rsidTr="00886332">
        <w:tc>
          <w:tcPr>
            <w:tcW w:w="4405" w:type="dxa"/>
          </w:tcPr>
          <w:p w14:paraId="62CC0BE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5.2.5.4.2.1 </w:t>
            </w:r>
            <w:r w:rsidRPr="008F5C15">
              <w:rPr>
                <w:rFonts w:ascii="Verdana" w:hAnsi="Verdana"/>
                <w:sz w:val="16"/>
                <w:szCs w:val="16"/>
                <w:lang w:val="es-MX"/>
              </w:rPr>
              <w:t>Denominación genérica del producto y un código interno asignado.</w:t>
            </w:r>
          </w:p>
        </w:tc>
        <w:tc>
          <w:tcPr>
            <w:tcW w:w="4427" w:type="dxa"/>
          </w:tcPr>
          <w:p w14:paraId="48F1ABC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5.2.5.4.2.1 </w:t>
            </w:r>
            <w:r w:rsidRPr="008F5C15">
              <w:rPr>
                <w:rFonts w:ascii="Verdana" w:hAnsi="Verdana"/>
                <w:sz w:val="16"/>
                <w:szCs w:val="16"/>
                <w:lang w:val="en-US"/>
              </w:rPr>
              <w:t>Generic name of the product and an assigned internal code.</w:t>
            </w:r>
          </w:p>
        </w:tc>
      </w:tr>
      <w:tr w:rsidR="001C6A90" w:rsidRPr="00FB74DA" w14:paraId="1254D234" w14:textId="77777777" w:rsidTr="00886332">
        <w:tc>
          <w:tcPr>
            <w:tcW w:w="4405" w:type="dxa"/>
          </w:tcPr>
          <w:p w14:paraId="3F92DFC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5.2.5.4.2.2 </w:t>
            </w:r>
            <w:r w:rsidRPr="008F5C15">
              <w:rPr>
                <w:rFonts w:ascii="Verdana" w:hAnsi="Verdana"/>
                <w:sz w:val="16"/>
                <w:szCs w:val="16"/>
                <w:lang w:val="es-MX"/>
              </w:rPr>
              <w:t>Forma farmacéutica.</w:t>
            </w:r>
          </w:p>
        </w:tc>
        <w:tc>
          <w:tcPr>
            <w:tcW w:w="4427" w:type="dxa"/>
          </w:tcPr>
          <w:p w14:paraId="009FED0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5.2.5.4.2.2 </w:t>
            </w:r>
            <w:r w:rsidRPr="008F5C15">
              <w:rPr>
                <w:rFonts w:ascii="Verdana" w:hAnsi="Verdana"/>
                <w:sz w:val="16"/>
                <w:szCs w:val="16"/>
                <w:lang w:val="en-US"/>
              </w:rPr>
              <w:t>Pharmaceutical form.</w:t>
            </w:r>
          </w:p>
        </w:tc>
      </w:tr>
      <w:tr w:rsidR="001C6A90" w:rsidRPr="00262EF8" w14:paraId="6C191A5B" w14:textId="77777777" w:rsidTr="00886332">
        <w:tc>
          <w:tcPr>
            <w:tcW w:w="4405" w:type="dxa"/>
          </w:tcPr>
          <w:p w14:paraId="5B10D24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5.2.5.4.2.3 </w:t>
            </w:r>
            <w:r w:rsidRPr="008F5C15">
              <w:rPr>
                <w:rFonts w:ascii="Verdana" w:hAnsi="Verdana"/>
                <w:sz w:val="16"/>
                <w:szCs w:val="16"/>
                <w:lang w:val="es-MX"/>
              </w:rPr>
              <w:t>Concentración.</w:t>
            </w:r>
          </w:p>
        </w:tc>
        <w:tc>
          <w:tcPr>
            <w:tcW w:w="4427" w:type="dxa"/>
          </w:tcPr>
          <w:p w14:paraId="2F5F0A4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5.2.5.4.2.3 </w:t>
            </w:r>
            <w:r w:rsidRPr="008F5C15">
              <w:rPr>
                <w:rFonts w:ascii="Verdana" w:hAnsi="Verdana"/>
                <w:sz w:val="16"/>
                <w:szCs w:val="16"/>
                <w:lang w:val="en-US"/>
              </w:rPr>
              <w:t>Concentration.</w:t>
            </w:r>
          </w:p>
        </w:tc>
      </w:tr>
      <w:tr w:rsidR="001C6A90" w:rsidRPr="00262EF8" w14:paraId="1976D697" w14:textId="77777777" w:rsidTr="00886332">
        <w:tc>
          <w:tcPr>
            <w:tcW w:w="4405" w:type="dxa"/>
          </w:tcPr>
          <w:p w14:paraId="1A14FE7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5.2.5.4.2.4 </w:t>
            </w:r>
            <w:r w:rsidRPr="008F5C15">
              <w:rPr>
                <w:rFonts w:ascii="Verdana" w:hAnsi="Verdana"/>
                <w:sz w:val="16"/>
                <w:szCs w:val="16"/>
                <w:lang w:val="es-MX"/>
              </w:rPr>
              <w:t>Tamaño de lote.</w:t>
            </w:r>
          </w:p>
        </w:tc>
        <w:tc>
          <w:tcPr>
            <w:tcW w:w="4427" w:type="dxa"/>
          </w:tcPr>
          <w:p w14:paraId="3273A46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5.2.5.4.2.4 </w:t>
            </w:r>
            <w:r w:rsidRPr="008F5C15">
              <w:rPr>
                <w:rFonts w:ascii="Verdana" w:hAnsi="Verdana"/>
                <w:sz w:val="16"/>
                <w:szCs w:val="16"/>
                <w:lang w:val="en-US"/>
              </w:rPr>
              <w:t>Size of the lot.</w:t>
            </w:r>
          </w:p>
        </w:tc>
      </w:tr>
      <w:tr w:rsidR="001C6A90" w:rsidRPr="00947A46" w14:paraId="02393BD9" w14:textId="77777777" w:rsidTr="00886332">
        <w:tc>
          <w:tcPr>
            <w:tcW w:w="4405" w:type="dxa"/>
          </w:tcPr>
          <w:p w14:paraId="7F132A2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5.2.5.4.2.5 </w:t>
            </w:r>
            <w:r w:rsidRPr="008F5C15">
              <w:rPr>
                <w:rFonts w:ascii="Verdana" w:hAnsi="Verdana"/>
                <w:sz w:val="16"/>
                <w:szCs w:val="16"/>
                <w:lang w:val="es-MX"/>
              </w:rPr>
              <w:t>Fórmula del producto con la lista de materias primas, materiales, código y cantidades, incluidas aquellas que no aparezcan en el producto terminado.</w:t>
            </w:r>
          </w:p>
        </w:tc>
        <w:tc>
          <w:tcPr>
            <w:tcW w:w="4427" w:type="dxa"/>
          </w:tcPr>
          <w:p w14:paraId="1D452F6D"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5.2.5.4.2.5</w:t>
            </w:r>
            <w:r w:rsidRPr="008F5C15">
              <w:rPr>
                <w:rFonts w:ascii="Verdana" w:hAnsi="Verdana"/>
                <w:sz w:val="16"/>
                <w:szCs w:val="16"/>
                <w:lang w:val="en-US"/>
              </w:rPr>
              <w:t xml:space="preserve"> Formula of the product with the list of raw materials, materials, code and amounts, including those which do not appear in the finished product.</w:t>
            </w:r>
          </w:p>
        </w:tc>
      </w:tr>
      <w:tr w:rsidR="001C6A90" w:rsidRPr="00947A46" w14:paraId="7D478CF2" w14:textId="77777777" w:rsidTr="00886332">
        <w:tc>
          <w:tcPr>
            <w:tcW w:w="4405" w:type="dxa"/>
          </w:tcPr>
          <w:p w14:paraId="68B99FB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5.2.5.4.2.6 </w:t>
            </w:r>
            <w:r w:rsidRPr="008F5C15">
              <w:rPr>
                <w:rFonts w:ascii="Verdana" w:hAnsi="Verdana"/>
                <w:sz w:val="16"/>
                <w:szCs w:val="16"/>
                <w:lang w:val="es-MX"/>
              </w:rPr>
              <w:t>Rendimiento esperado con los límites de aceptación para cada etapa del proceso.</w:t>
            </w:r>
          </w:p>
        </w:tc>
        <w:tc>
          <w:tcPr>
            <w:tcW w:w="4427" w:type="dxa"/>
          </w:tcPr>
          <w:p w14:paraId="3432007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5.2.5.4.2.6 </w:t>
            </w:r>
            <w:r w:rsidRPr="008F5C15">
              <w:rPr>
                <w:rFonts w:ascii="Verdana" w:hAnsi="Verdana"/>
                <w:sz w:val="16"/>
                <w:szCs w:val="16"/>
                <w:lang w:val="en-US"/>
              </w:rPr>
              <w:t>Expected yield with the acceptance limits for each stage of the process.</w:t>
            </w:r>
          </w:p>
        </w:tc>
      </w:tr>
      <w:tr w:rsidR="001C6A90" w:rsidRPr="00947A46" w14:paraId="52FD6595" w14:textId="77777777" w:rsidTr="00886332">
        <w:tc>
          <w:tcPr>
            <w:tcW w:w="4405" w:type="dxa"/>
          </w:tcPr>
          <w:p w14:paraId="3CF70BF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5.2.5.4.3 </w:t>
            </w:r>
            <w:r w:rsidRPr="008F5C15">
              <w:rPr>
                <w:rFonts w:ascii="Verdana" w:hAnsi="Verdana"/>
                <w:sz w:val="16"/>
                <w:szCs w:val="16"/>
                <w:lang w:val="es-MX"/>
              </w:rPr>
              <w:t>Las instrucciones de producción deben incluir al menos:</w:t>
            </w:r>
          </w:p>
        </w:tc>
        <w:tc>
          <w:tcPr>
            <w:tcW w:w="4427" w:type="dxa"/>
            <w:shd w:val="clear" w:color="auto" w:fill="auto"/>
          </w:tcPr>
          <w:p w14:paraId="6C92B38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5.2.5.4.3 </w:t>
            </w:r>
            <w:r w:rsidRPr="008F5C15">
              <w:rPr>
                <w:rFonts w:ascii="Verdana" w:hAnsi="Verdana"/>
                <w:sz w:val="16"/>
                <w:szCs w:val="16"/>
                <w:lang w:val="en-US"/>
              </w:rPr>
              <w:t>The production instructions must at least include:</w:t>
            </w:r>
          </w:p>
        </w:tc>
      </w:tr>
      <w:tr w:rsidR="001C6A90" w:rsidRPr="00947A46" w14:paraId="1278ED78" w14:textId="77777777" w:rsidTr="00886332">
        <w:tc>
          <w:tcPr>
            <w:tcW w:w="4405" w:type="dxa"/>
          </w:tcPr>
          <w:p w14:paraId="5E2ED99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5.2.5.4.3.1 </w:t>
            </w:r>
            <w:r w:rsidRPr="008F5C15">
              <w:rPr>
                <w:rFonts w:ascii="Verdana" w:hAnsi="Verdana"/>
                <w:sz w:val="16"/>
                <w:szCs w:val="16"/>
                <w:lang w:val="es-MX"/>
              </w:rPr>
              <w:t>El área en que se realiza cada etapa del proceso.</w:t>
            </w:r>
          </w:p>
        </w:tc>
        <w:tc>
          <w:tcPr>
            <w:tcW w:w="4427" w:type="dxa"/>
            <w:shd w:val="clear" w:color="auto" w:fill="auto"/>
          </w:tcPr>
          <w:p w14:paraId="465DAB1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5.2.5.4.3.1 </w:t>
            </w:r>
            <w:r w:rsidRPr="008F5C15">
              <w:rPr>
                <w:rFonts w:ascii="Verdana" w:hAnsi="Verdana"/>
                <w:sz w:val="16"/>
                <w:szCs w:val="16"/>
                <w:lang w:val="en-US"/>
              </w:rPr>
              <w:t>The area in which each stage of the process is performed.</w:t>
            </w:r>
          </w:p>
        </w:tc>
      </w:tr>
      <w:tr w:rsidR="001C6A90" w:rsidRPr="00947A46" w14:paraId="224BAF56" w14:textId="77777777" w:rsidTr="00886332">
        <w:tc>
          <w:tcPr>
            <w:tcW w:w="4405" w:type="dxa"/>
          </w:tcPr>
          <w:p w14:paraId="443AC7D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5.2.5.4.3.2 </w:t>
            </w:r>
            <w:r w:rsidRPr="008F5C15">
              <w:rPr>
                <w:rFonts w:ascii="Verdana" w:hAnsi="Verdana"/>
                <w:sz w:val="16"/>
                <w:szCs w:val="16"/>
                <w:lang w:val="es-MX"/>
              </w:rPr>
              <w:t>Los equipos a utilizar.</w:t>
            </w:r>
          </w:p>
        </w:tc>
        <w:tc>
          <w:tcPr>
            <w:tcW w:w="4427" w:type="dxa"/>
            <w:shd w:val="clear" w:color="auto" w:fill="auto"/>
          </w:tcPr>
          <w:p w14:paraId="1E118C9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5.2.5.4.3.2 </w:t>
            </w:r>
            <w:r w:rsidRPr="008F5C15">
              <w:rPr>
                <w:rFonts w:ascii="Verdana" w:hAnsi="Verdana"/>
                <w:sz w:val="16"/>
                <w:szCs w:val="16"/>
                <w:lang w:val="en-US"/>
              </w:rPr>
              <w:t>The equipment to be used.</w:t>
            </w:r>
          </w:p>
        </w:tc>
      </w:tr>
      <w:tr w:rsidR="001C6A90" w:rsidRPr="00947A46" w14:paraId="67BD9CF3" w14:textId="77777777" w:rsidTr="00886332">
        <w:tc>
          <w:tcPr>
            <w:tcW w:w="4405" w:type="dxa"/>
          </w:tcPr>
          <w:p w14:paraId="4C92435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5.2.5.4.3.3 </w:t>
            </w:r>
            <w:r w:rsidRPr="008F5C15">
              <w:rPr>
                <w:rFonts w:ascii="Verdana" w:hAnsi="Verdana"/>
                <w:sz w:val="16"/>
                <w:szCs w:val="16"/>
                <w:lang w:val="es-MX"/>
              </w:rPr>
              <w:t>Los métodos o las referencias cruzadas para la preparación de los equipos críticos del proceso de producción como son las operaciones de limpieza, armado, calibración, esterilización, entre otras.</w:t>
            </w:r>
          </w:p>
        </w:tc>
        <w:tc>
          <w:tcPr>
            <w:tcW w:w="4427" w:type="dxa"/>
            <w:shd w:val="clear" w:color="auto" w:fill="auto"/>
          </w:tcPr>
          <w:p w14:paraId="222E5D4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5.2.5.4.3.3 </w:t>
            </w:r>
            <w:r w:rsidRPr="008F5C15">
              <w:rPr>
                <w:rFonts w:ascii="Verdana" w:hAnsi="Verdana"/>
                <w:sz w:val="16"/>
                <w:szCs w:val="16"/>
                <w:lang w:val="en-US"/>
              </w:rPr>
              <w:t>The methods or cross references for the preparation of critical equipment of the production process, such as the operations of cleaning, assembly, calibration, sterilization, among others.</w:t>
            </w:r>
          </w:p>
        </w:tc>
      </w:tr>
      <w:tr w:rsidR="001C6A90" w:rsidRPr="00947A46" w14:paraId="62FD166D" w14:textId="77777777" w:rsidTr="00886332">
        <w:tc>
          <w:tcPr>
            <w:tcW w:w="4405" w:type="dxa"/>
          </w:tcPr>
          <w:p w14:paraId="703AF18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5.2.5.4.3.4 </w:t>
            </w:r>
            <w:r w:rsidRPr="008F5C15">
              <w:rPr>
                <w:rFonts w:ascii="Verdana" w:hAnsi="Verdana"/>
                <w:sz w:val="16"/>
                <w:szCs w:val="16"/>
                <w:lang w:val="es-MX"/>
              </w:rPr>
              <w:t>El despeje del área a utilizar que asegure que esté libre de productos anteriores, equipos y materiales no necesarios.</w:t>
            </w:r>
          </w:p>
        </w:tc>
        <w:tc>
          <w:tcPr>
            <w:tcW w:w="4427" w:type="dxa"/>
            <w:shd w:val="clear" w:color="auto" w:fill="auto"/>
          </w:tcPr>
          <w:p w14:paraId="20511E1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5.2.5.4.3.4</w:t>
            </w:r>
            <w:r w:rsidRPr="008F5C15">
              <w:rPr>
                <w:rFonts w:ascii="Verdana" w:hAnsi="Verdana"/>
                <w:sz w:val="16"/>
                <w:szCs w:val="16"/>
                <w:lang w:val="en-US"/>
              </w:rPr>
              <w:t xml:space="preserve"> The clearing of areas to be used, ensuring that they are free of previous products, equipment and unnecessary materials.</w:t>
            </w:r>
          </w:p>
        </w:tc>
      </w:tr>
      <w:tr w:rsidR="001C6A90" w:rsidRPr="00947A46" w14:paraId="41899034" w14:textId="77777777" w:rsidTr="00886332">
        <w:tc>
          <w:tcPr>
            <w:tcW w:w="4405" w:type="dxa"/>
          </w:tcPr>
          <w:p w14:paraId="22522FE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5.2.5.4.3.5 </w:t>
            </w:r>
            <w:r w:rsidRPr="008F5C15">
              <w:rPr>
                <w:rFonts w:ascii="Verdana" w:hAnsi="Verdana"/>
                <w:sz w:val="16"/>
                <w:szCs w:val="16"/>
                <w:lang w:val="es-MX"/>
              </w:rPr>
              <w:t>Verificación de que el área está en condiciones de limpieza para iniciar la producción del producto.</w:t>
            </w:r>
          </w:p>
        </w:tc>
        <w:tc>
          <w:tcPr>
            <w:tcW w:w="4427" w:type="dxa"/>
            <w:shd w:val="clear" w:color="auto" w:fill="auto"/>
          </w:tcPr>
          <w:p w14:paraId="4604CF1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5.2.5.4.3.5</w:t>
            </w:r>
            <w:r w:rsidRPr="008F5C15">
              <w:rPr>
                <w:rFonts w:ascii="Verdana" w:hAnsi="Verdana"/>
                <w:sz w:val="16"/>
                <w:szCs w:val="16"/>
                <w:lang w:val="en-US"/>
              </w:rPr>
              <w:t xml:space="preserve"> Verification that the area is in clean conditions in order to start the production of the product.</w:t>
            </w:r>
          </w:p>
        </w:tc>
      </w:tr>
      <w:tr w:rsidR="001C6A90" w:rsidRPr="00947A46" w14:paraId="241CE59B" w14:textId="77777777" w:rsidTr="00886332">
        <w:tc>
          <w:tcPr>
            <w:tcW w:w="4405" w:type="dxa"/>
          </w:tcPr>
          <w:p w14:paraId="556DF57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5.2.5.4.3.6 </w:t>
            </w:r>
            <w:r w:rsidRPr="008F5C15">
              <w:rPr>
                <w:rFonts w:ascii="Verdana" w:hAnsi="Verdana"/>
                <w:sz w:val="16"/>
                <w:szCs w:val="16"/>
                <w:lang w:val="es-MX"/>
              </w:rPr>
              <w:t>Instrucciones detalladas de cómo realizar cada etapa del proceso, los parámetros críticos del proceso como pueden ser tiempos, temperaturas, velocidades, por citar algunos ejemplos.</w:t>
            </w:r>
          </w:p>
        </w:tc>
        <w:tc>
          <w:tcPr>
            <w:tcW w:w="4427" w:type="dxa"/>
            <w:shd w:val="clear" w:color="auto" w:fill="auto"/>
          </w:tcPr>
          <w:p w14:paraId="766F3A4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5.2.5.4.3.6 </w:t>
            </w:r>
            <w:r w:rsidRPr="008F5C15">
              <w:rPr>
                <w:rFonts w:ascii="Verdana" w:hAnsi="Verdana"/>
                <w:sz w:val="16"/>
                <w:szCs w:val="16"/>
                <w:lang w:val="en-US"/>
              </w:rPr>
              <w:t xml:space="preserve">Detailed instructions as to how to perform each stage of the process, the critical process parameters such as timetables, temperatures, speeds, to cite several examples. </w:t>
            </w:r>
          </w:p>
        </w:tc>
      </w:tr>
      <w:tr w:rsidR="001C6A90" w:rsidRPr="00947A46" w14:paraId="483FE115" w14:textId="77777777" w:rsidTr="00886332">
        <w:tc>
          <w:tcPr>
            <w:tcW w:w="4405" w:type="dxa"/>
          </w:tcPr>
          <w:p w14:paraId="03A13D5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5.2.5.4.3.7 </w:t>
            </w:r>
            <w:r w:rsidRPr="008F5C15">
              <w:rPr>
                <w:rFonts w:ascii="Verdana" w:hAnsi="Verdana"/>
                <w:sz w:val="16"/>
                <w:szCs w:val="16"/>
                <w:lang w:val="es-MX"/>
              </w:rPr>
              <w:t>Los controles en proceso a realizar, la frecuencia y los límites de aceptación.</w:t>
            </w:r>
          </w:p>
        </w:tc>
        <w:tc>
          <w:tcPr>
            <w:tcW w:w="4427" w:type="dxa"/>
            <w:shd w:val="clear" w:color="auto" w:fill="auto"/>
          </w:tcPr>
          <w:p w14:paraId="5BBBA1E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5.2.5.4.3.7</w:t>
            </w:r>
            <w:r w:rsidRPr="008F5C15">
              <w:rPr>
                <w:rFonts w:ascii="Verdana" w:hAnsi="Verdana"/>
                <w:sz w:val="16"/>
                <w:szCs w:val="16"/>
                <w:lang w:val="en-US"/>
              </w:rPr>
              <w:t xml:space="preserve"> The controls of the processes to be performed, frequency and acceptance limits.</w:t>
            </w:r>
          </w:p>
        </w:tc>
      </w:tr>
      <w:tr w:rsidR="001C6A90" w:rsidRPr="00947A46" w14:paraId="64B9B2EA" w14:textId="77777777" w:rsidTr="00886332">
        <w:tc>
          <w:tcPr>
            <w:tcW w:w="4405" w:type="dxa"/>
          </w:tcPr>
          <w:p w14:paraId="55AAB04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5.2.5.4.3.8 </w:t>
            </w:r>
            <w:r w:rsidRPr="008F5C15">
              <w:rPr>
                <w:rFonts w:ascii="Verdana" w:hAnsi="Verdana"/>
                <w:sz w:val="16"/>
                <w:szCs w:val="16"/>
                <w:lang w:val="es-MX"/>
              </w:rPr>
              <w:t>Condiciones específicas necesarias para el manejo y almacenamiento, de acuerdo a la naturaleza del producto.</w:t>
            </w:r>
          </w:p>
        </w:tc>
        <w:tc>
          <w:tcPr>
            <w:tcW w:w="4427" w:type="dxa"/>
            <w:shd w:val="clear" w:color="auto" w:fill="auto"/>
          </w:tcPr>
          <w:p w14:paraId="10388E5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5.2.5.4.3.8 </w:t>
            </w:r>
            <w:r w:rsidRPr="008F5C15">
              <w:rPr>
                <w:rFonts w:ascii="Verdana" w:hAnsi="Verdana"/>
                <w:sz w:val="16"/>
                <w:szCs w:val="16"/>
                <w:lang w:val="en-US"/>
              </w:rPr>
              <w:t>Specific conditions necessary for handling and storage, in accordance with the nature of the product.</w:t>
            </w:r>
          </w:p>
        </w:tc>
      </w:tr>
      <w:tr w:rsidR="001C6A90" w:rsidRPr="007C12BA" w14:paraId="0747F65A" w14:textId="77777777" w:rsidTr="00886332">
        <w:tc>
          <w:tcPr>
            <w:tcW w:w="4405" w:type="dxa"/>
          </w:tcPr>
          <w:p w14:paraId="431198E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 </w:t>
            </w:r>
            <w:r w:rsidRPr="008F5C15">
              <w:rPr>
                <w:rFonts w:ascii="Verdana" w:hAnsi="Verdana"/>
                <w:sz w:val="16"/>
                <w:szCs w:val="16"/>
                <w:lang w:val="es-MX"/>
              </w:rPr>
              <w:t>Orden maestra de acondicionamiento.</w:t>
            </w:r>
          </w:p>
        </w:tc>
        <w:tc>
          <w:tcPr>
            <w:tcW w:w="4427" w:type="dxa"/>
            <w:shd w:val="clear" w:color="auto" w:fill="auto"/>
          </w:tcPr>
          <w:p w14:paraId="1523538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5.2.5.5 </w:t>
            </w:r>
            <w:r w:rsidRPr="008F5C15">
              <w:rPr>
                <w:rFonts w:ascii="Verdana" w:hAnsi="Verdana"/>
                <w:sz w:val="16"/>
                <w:szCs w:val="16"/>
                <w:lang w:val="en-US"/>
              </w:rPr>
              <w:t>Conditioning master order.</w:t>
            </w:r>
          </w:p>
        </w:tc>
      </w:tr>
      <w:tr w:rsidR="001C6A90" w:rsidRPr="00947A46" w14:paraId="68023AEB" w14:textId="77777777" w:rsidTr="00886332">
        <w:tc>
          <w:tcPr>
            <w:tcW w:w="4405" w:type="dxa"/>
          </w:tcPr>
          <w:p w14:paraId="6EC296C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5.2.5.5.1 </w:t>
            </w:r>
            <w:r w:rsidRPr="008F5C15">
              <w:rPr>
                <w:rFonts w:ascii="Verdana" w:hAnsi="Verdana"/>
                <w:sz w:val="16"/>
                <w:szCs w:val="16"/>
                <w:lang w:val="es-MX"/>
              </w:rPr>
              <w:t>Deben existir una orden e instrucciones maestras para el acondicionamiento para cada producto y por un tamaño de lote estimado, estos documentos maestros servirán para generar los documentos de trabajo.</w:t>
            </w:r>
          </w:p>
        </w:tc>
        <w:tc>
          <w:tcPr>
            <w:tcW w:w="4427" w:type="dxa"/>
            <w:shd w:val="clear" w:color="auto" w:fill="auto"/>
          </w:tcPr>
          <w:p w14:paraId="3A1F90C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5.2.5.5.1</w:t>
            </w:r>
            <w:r w:rsidRPr="008F5C15">
              <w:rPr>
                <w:rFonts w:ascii="Verdana" w:hAnsi="Verdana"/>
                <w:sz w:val="16"/>
                <w:szCs w:val="16"/>
                <w:lang w:val="en-US"/>
              </w:rPr>
              <w:t xml:space="preserve"> There must be a master order and instructions for the conditioning for each product and for each lot size, these master documents will serve to generate the work documents.</w:t>
            </w:r>
          </w:p>
        </w:tc>
      </w:tr>
      <w:tr w:rsidR="001C6A90" w:rsidRPr="00947A46" w14:paraId="1F06422F" w14:textId="77777777" w:rsidTr="00886332">
        <w:tc>
          <w:tcPr>
            <w:tcW w:w="4405" w:type="dxa"/>
          </w:tcPr>
          <w:p w14:paraId="389B49A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5.2.5.5.2 </w:t>
            </w:r>
            <w:r w:rsidRPr="008F5C15">
              <w:rPr>
                <w:rFonts w:ascii="Verdana" w:hAnsi="Verdana"/>
                <w:sz w:val="16"/>
                <w:szCs w:val="16"/>
                <w:lang w:val="es-MX"/>
              </w:rPr>
              <w:t>La orden maestra de acondicionamiento debe incluir al menos lo siguiente:</w:t>
            </w:r>
          </w:p>
        </w:tc>
        <w:tc>
          <w:tcPr>
            <w:tcW w:w="4427" w:type="dxa"/>
            <w:shd w:val="clear" w:color="auto" w:fill="auto"/>
          </w:tcPr>
          <w:p w14:paraId="38653DF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5.2.5.5.2 </w:t>
            </w:r>
            <w:r w:rsidRPr="008F5C15">
              <w:rPr>
                <w:rFonts w:ascii="Verdana" w:hAnsi="Verdana"/>
                <w:sz w:val="16"/>
                <w:szCs w:val="16"/>
                <w:lang w:val="en-US"/>
              </w:rPr>
              <w:t>The conditioning master order must at least contain the following:</w:t>
            </w:r>
          </w:p>
        </w:tc>
      </w:tr>
      <w:tr w:rsidR="001C6A90" w:rsidRPr="00947A46" w14:paraId="6C774900" w14:textId="77777777" w:rsidTr="00886332">
        <w:tc>
          <w:tcPr>
            <w:tcW w:w="4405" w:type="dxa"/>
          </w:tcPr>
          <w:p w14:paraId="4E25D3A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5.2.5.5.2.1 </w:t>
            </w:r>
            <w:r w:rsidRPr="008F5C15">
              <w:rPr>
                <w:rFonts w:ascii="Verdana" w:hAnsi="Verdana"/>
                <w:sz w:val="16"/>
                <w:szCs w:val="16"/>
                <w:lang w:val="es-MX"/>
              </w:rPr>
              <w:t>Denominación genérica del producto y, en su caso, denominación distintiva, código interno asignado.</w:t>
            </w:r>
          </w:p>
        </w:tc>
        <w:tc>
          <w:tcPr>
            <w:tcW w:w="4427" w:type="dxa"/>
            <w:shd w:val="clear" w:color="auto" w:fill="auto"/>
          </w:tcPr>
          <w:p w14:paraId="1C365C15" w14:textId="77777777" w:rsidR="001C6A90" w:rsidRPr="008F5C15" w:rsidRDefault="001C6A90" w:rsidP="001C6A90">
            <w:pPr>
              <w:pStyle w:val="Texto"/>
              <w:spacing w:line="276" w:lineRule="auto"/>
              <w:ind w:firstLine="0"/>
              <w:rPr>
                <w:b/>
                <w:lang w:val="en-US"/>
              </w:rPr>
            </w:pPr>
            <w:r w:rsidRPr="008F5C15">
              <w:rPr>
                <w:rFonts w:ascii="Verdana" w:hAnsi="Verdana"/>
                <w:b/>
                <w:sz w:val="16"/>
                <w:szCs w:val="16"/>
                <w:lang w:val="en-US"/>
              </w:rPr>
              <w:t xml:space="preserve">5.2.5.5.2.1 </w:t>
            </w:r>
            <w:r w:rsidRPr="008F5C15">
              <w:rPr>
                <w:rFonts w:ascii="Verdana" w:hAnsi="Verdana"/>
                <w:sz w:val="16"/>
                <w:szCs w:val="16"/>
                <w:lang w:val="en-US"/>
              </w:rPr>
              <w:t>Generic name of the product and, when applicable, distinctive name, assigned internal code.</w:t>
            </w:r>
          </w:p>
        </w:tc>
      </w:tr>
      <w:tr w:rsidR="001C6A90" w:rsidRPr="007C12BA" w14:paraId="0745B76B" w14:textId="77777777" w:rsidTr="00886332">
        <w:tc>
          <w:tcPr>
            <w:tcW w:w="4405" w:type="dxa"/>
          </w:tcPr>
          <w:p w14:paraId="373867C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5.2.5.5.2.2 </w:t>
            </w:r>
            <w:r w:rsidRPr="008F5C15">
              <w:rPr>
                <w:rFonts w:ascii="Verdana" w:hAnsi="Verdana"/>
                <w:sz w:val="16"/>
                <w:szCs w:val="16"/>
                <w:lang w:val="es-MX"/>
              </w:rPr>
              <w:t>Lote del producto a granel.</w:t>
            </w:r>
          </w:p>
        </w:tc>
        <w:tc>
          <w:tcPr>
            <w:tcW w:w="4427" w:type="dxa"/>
            <w:shd w:val="clear" w:color="auto" w:fill="auto"/>
          </w:tcPr>
          <w:p w14:paraId="09F1408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5.2.5.5.2.2 </w:t>
            </w:r>
            <w:r w:rsidRPr="008F5C15">
              <w:rPr>
                <w:rFonts w:ascii="Verdana" w:hAnsi="Verdana"/>
                <w:sz w:val="16"/>
                <w:szCs w:val="16"/>
                <w:lang w:val="en-US"/>
              </w:rPr>
              <w:t>Bulk product lot.</w:t>
            </w:r>
          </w:p>
        </w:tc>
      </w:tr>
      <w:tr w:rsidR="001C6A90" w:rsidRPr="00262EF8" w14:paraId="241E6EA7" w14:textId="77777777" w:rsidTr="00886332">
        <w:tc>
          <w:tcPr>
            <w:tcW w:w="4405" w:type="dxa"/>
          </w:tcPr>
          <w:p w14:paraId="189A29B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5.2.5.5.2.3 </w:t>
            </w:r>
            <w:r w:rsidRPr="008F5C15">
              <w:rPr>
                <w:rFonts w:ascii="Verdana" w:hAnsi="Verdana"/>
                <w:sz w:val="16"/>
                <w:szCs w:val="16"/>
                <w:lang w:val="es-MX"/>
              </w:rPr>
              <w:t>Forma farmacéutica.</w:t>
            </w:r>
          </w:p>
        </w:tc>
        <w:tc>
          <w:tcPr>
            <w:tcW w:w="4427" w:type="dxa"/>
            <w:shd w:val="clear" w:color="auto" w:fill="auto"/>
          </w:tcPr>
          <w:p w14:paraId="6D3EFA8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5.2.5.5.2.3 </w:t>
            </w:r>
            <w:r w:rsidRPr="008F5C15">
              <w:rPr>
                <w:rFonts w:ascii="Verdana" w:hAnsi="Verdana"/>
                <w:sz w:val="16"/>
                <w:szCs w:val="16"/>
                <w:lang w:val="en-US"/>
              </w:rPr>
              <w:t>Pharmaceutical form.</w:t>
            </w:r>
          </w:p>
        </w:tc>
      </w:tr>
      <w:tr w:rsidR="001C6A90" w:rsidRPr="00262EF8" w14:paraId="11D76752" w14:textId="77777777" w:rsidTr="00886332">
        <w:tc>
          <w:tcPr>
            <w:tcW w:w="4405" w:type="dxa"/>
          </w:tcPr>
          <w:p w14:paraId="3E87D38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5.2.5.5.2.4 </w:t>
            </w:r>
            <w:r w:rsidRPr="008F5C15">
              <w:rPr>
                <w:rFonts w:ascii="Verdana" w:hAnsi="Verdana"/>
                <w:sz w:val="16"/>
                <w:szCs w:val="16"/>
                <w:lang w:val="es-MX"/>
              </w:rPr>
              <w:t>Presentación final.</w:t>
            </w:r>
          </w:p>
        </w:tc>
        <w:tc>
          <w:tcPr>
            <w:tcW w:w="4427" w:type="dxa"/>
            <w:shd w:val="clear" w:color="auto" w:fill="auto"/>
          </w:tcPr>
          <w:p w14:paraId="7BCA101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5.2.5.5.2.4 </w:t>
            </w:r>
            <w:r w:rsidRPr="008F5C15">
              <w:rPr>
                <w:rFonts w:ascii="Verdana" w:hAnsi="Verdana"/>
                <w:sz w:val="16"/>
                <w:szCs w:val="16"/>
                <w:lang w:val="en-US"/>
              </w:rPr>
              <w:t>Final presentation.</w:t>
            </w:r>
          </w:p>
        </w:tc>
      </w:tr>
      <w:tr w:rsidR="001C6A90" w:rsidRPr="00947A46" w14:paraId="6F4CF8FD" w14:textId="77777777" w:rsidTr="00886332">
        <w:tc>
          <w:tcPr>
            <w:tcW w:w="4405" w:type="dxa"/>
          </w:tcPr>
          <w:p w14:paraId="0FA3741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5.2.5.5.2.5 </w:t>
            </w:r>
            <w:r w:rsidRPr="008F5C15">
              <w:rPr>
                <w:rFonts w:ascii="Verdana" w:hAnsi="Verdana"/>
                <w:sz w:val="16"/>
                <w:szCs w:val="16"/>
                <w:lang w:val="es-MX"/>
              </w:rPr>
              <w:t>Descripción y tamaño del envase primario.</w:t>
            </w:r>
          </w:p>
        </w:tc>
        <w:tc>
          <w:tcPr>
            <w:tcW w:w="4427" w:type="dxa"/>
            <w:shd w:val="clear" w:color="auto" w:fill="auto"/>
          </w:tcPr>
          <w:p w14:paraId="0CA9F5F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5.2.5.5.2.5 </w:t>
            </w:r>
            <w:r w:rsidRPr="008F5C15">
              <w:rPr>
                <w:rFonts w:ascii="Verdana" w:hAnsi="Verdana"/>
                <w:sz w:val="16"/>
                <w:szCs w:val="16"/>
                <w:lang w:val="en-US"/>
              </w:rPr>
              <w:t>Description and size of the primary container.</w:t>
            </w:r>
          </w:p>
        </w:tc>
      </w:tr>
      <w:tr w:rsidR="001C6A90" w:rsidRPr="00947A46" w14:paraId="299076FE" w14:textId="77777777" w:rsidTr="00886332">
        <w:tc>
          <w:tcPr>
            <w:tcW w:w="4405" w:type="dxa"/>
          </w:tcPr>
          <w:p w14:paraId="76F8E4F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5.2.5.5.2.6 </w:t>
            </w:r>
            <w:r w:rsidRPr="008F5C15">
              <w:rPr>
                <w:rFonts w:ascii="Verdana" w:hAnsi="Verdana"/>
                <w:sz w:val="16"/>
                <w:szCs w:val="16"/>
                <w:lang w:val="es-MX"/>
              </w:rPr>
              <w:t>Lista completa de todos los materiales necesarios para el acondicionamiento del producto y su embalaje, que incluya códigos, cantidades y si aplica la referencia cruzada a sus especificaciones.</w:t>
            </w:r>
          </w:p>
        </w:tc>
        <w:tc>
          <w:tcPr>
            <w:tcW w:w="4427" w:type="dxa"/>
            <w:shd w:val="clear" w:color="auto" w:fill="auto"/>
          </w:tcPr>
          <w:p w14:paraId="4574B6A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5.2.5.5.2.6 </w:t>
            </w:r>
            <w:r w:rsidRPr="008F5C15">
              <w:rPr>
                <w:rFonts w:ascii="Verdana" w:hAnsi="Verdana"/>
                <w:sz w:val="16"/>
                <w:szCs w:val="16"/>
                <w:lang w:val="en-US"/>
              </w:rPr>
              <w:t xml:space="preserve">Complete list of all the materials necessary for the conditioning of the product and its packaging, which includes codes, amounts, and if applicable, the cross reference to its specifications. </w:t>
            </w:r>
          </w:p>
        </w:tc>
      </w:tr>
      <w:tr w:rsidR="001C6A90" w:rsidRPr="00947A46" w14:paraId="39508A30" w14:textId="77777777" w:rsidTr="00886332">
        <w:tc>
          <w:tcPr>
            <w:tcW w:w="4405" w:type="dxa"/>
          </w:tcPr>
          <w:p w14:paraId="2631C2F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5.2.5.5.2.7 </w:t>
            </w:r>
            <w:r w:rsidRPr="008F5C15">
              <w:rPr>
                <w:rFonts w:ascii="Verdana" w:hAnsi="Verdana"/>
                <w:sz w:val="16"/>
                <w:szCs w:val="16"/>
                <w:lang w:val="es-MX"/>
              </w:rPr>
              <w:t>Rendimiento esperado con los límites de aceptación para cada etapa del proceso.</w:t>
            </w:r>
          </w:p>
        </w:tc>
        <w:tc>
          <w:tcPr>
            <w:tcW w:w="4427" w:type="dxa"/>
            <w:shd w:val="clear" w:color="auto" w:fill="auto"/>
          </w:tcPr>
          <w:p w14:paraId="5E107B2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5.2.5.5.2.7 </w:t>
            </w:r>
            <w:r w:rsidRPr="008F5C15">
              <w:rPr>
                <w:rFonts w:ascii="Verdana" w:hAnsi="Verdana"/>
                <w:sz w:val="16"/>
                <w:szCs w:val="16"/>
                <w:lang w:val="en-US"/>
              </w:rPr>
              <w:t>Expected yield with the acceptance limits for each stage of the process.</w:t>
            </w:r>
          </w:p>
        </w:tc>
      </w:tr>
      <w:tr w:rsidR="001C6A90" w:rsidRPr="00947A46" w14:paraId="258D7B4F" w14:textId="77777777" w:rsidTr="00886332">
        <w:tc>
          <w:tcPr>
            <w:tcW w:w="4405" w:type="dxa"/>
          </w:tcPr>
          <w:p w14:paraId="61D22E2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5.2.5.5.3 </w:t>
            </w:r>
            <w:r w:rsidRPr="008F5C15">
              <w:rPr>
                <w:rFonts w:ascii="Verdana" w:hAnsi="Verdana"/>
                <w:sz w:val="16"/>
                <w:szCs w:val="16"/>
                <w:lang w:val="es-MX"/>
              </w:rPr>
              <w:t>La orden de acondicionamiento debe incluir al menos lo siguiente:</w:t>
            </w:r>
          </w:p>
        </w:tc>
        <w:tc>
          <w:tcPr>
            <w:tcW w:w="4427" w:type="dxa"/>
          </w:tcPr>
          <w:p w14:paraId="57424CE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5.2.5.5.3 </w:t>
            </w:r>
            <w:r w:rsidRPr="008F5C15">
              <w:rPr>
                <w:rFonts w:ascii="Verdana" w:hAnsi="Verdana"/>
                <w:sz w:val="16"/>
                <w:szCs w:val="16"/>
                <w:lang w:val="en-US"/>
              </w:rPr>
              <w:t>The conditioning order must at least include the following:</w:t>
            </w:r>
          </w:p>
        </w:tc>
      </w:tr>
      <w:tr w:rsidR="001C6A90" w:rsidRPr="00947A46" w14:paraId="783D269C" w14:textId="77777777" w:rsidTr="00886332">
        <w:tc>
          <w:tcPr>
            <w:tcW w:w="4405" w:type="dxa"/>
          </w:tcPr>
          <w:p w14:paraId="3FC0586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5.2.5.5.3.1 </w:t>
            </w:r>
            <w:r w:rsidRPr="008F5C15">
              <w:rPr>
                <w:rFonts w:ascii="Verdana" w:hAnsi="Verdana"/>
                <w:sz w:val="16"/>
                <w:szCs w:val="16"/>
                <w:lang w:val="es-MX"/>
              </w:rPr>
              <w:t>Representación gráfica del embalaje del producto o la referencia cruzada para su consulta.</w:t>
            </w:r>
          </w:p>
        </w:tc>
        <w:tc>
          <w:tcPr>
            <w:tcW w:w="4427" w:type="dxa"/>
          </w:tcPr>
          <w:p w14:paraId="510CEF1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5.2.5.5.3.1</w:t>
            </w:r>
            <w:r w:rsidRPr="008F5C15">
              <w:rPr>
                <w:rFonts w:ascii="Verdana" w:hAnsi="Verdana"/>
                <w:sz w:val="16"/>
                <w:szCs w:val="16"/>
                <w:lang w:val="en-US"/>
              </w:rPr>
              <w:t xml:space="preserve"> Graphic representation of the packaging of the product or the cross reference for its consultation.</w:t>
            </w:r>
          </w:p>
        </w:tc>
      </w:tr>
      <w:tr w:rsidR="001C6A90" w:rsidRPr="00947A46" w14:paraId="4479CB85" w14:textId="77777777" w:rsidTr="00886332">
        <w:tc>
          <w:tcPr>
            <w:tcW w:w="4405" w:type="dxa"/>
          </w:tcPr>
          <w:p w14:paraId="5CFF260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5.2.5.5.3.2 </w:t>
            </w:r>
            <w:r w:rsidRPr="008F5C15">
              <w:rPr>
                <w:rFonts w:ascii="Verdana" w:hAnsi="Verdana"/>
                <w:sz w:val="16"/>
                <w:szCs w:val="16"/>
                <w:lang w:val="es-MX"/>
              </w:rPr>
              <w:t>Despeje del área de trabajo que asegure que está libre de productos anteriores o materiales no necesarios.</w:t>
            </w:r>
          </w:p>
        </w:tc>
        <w:tc>
          <w:tcPr>
            <w:tcW w:w="4427" w:type="dxa"/>
          </w:tcPr>
          <w:p w14:paraId="4362E86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5.2.5.5.3.2 </w:t>
            </w:r>
            <w:r w:rsidRPr="008F5C15">
              <w:rPr>
                <w:rFonts w:ascii="Verdana" w:hAnsi="Verdana"/>
                <w:sz w:val="16"/>
                <w:szCs w:val="16"/>
                <w:lang w:val="en-US"/>
              </w:rPr>
              <w:t>Clearing of areas to be used, ensuring that they are free of previous products, equipment and unnecessary materials.</w:t>
            </w:r>
          </w:p>
        </w:tc>
      </w:tr>
      <w:tr w:rsidR="001C6A90" w:rsidRPr="00947A46" w14:paraId="3FC4DACA" w14:textId="77777777" w:rsidTr="00886332">
        <w:tc>
          <w:tcPr>
            <w:tcW w:w="4405" w:type="dxa"/>
          </w:tcPr>
          <w:p w14:paraId="0F8197F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5.2.5.5.3.3 </w:t>
            </w:r>
            <w:r w:rsidRPr="008F5C15">
              <w:rPr>
                <w:rFonts w:ascii="Verdana" w:hAnsi="Verdana"/>
                <w:sz w:val="16"/>
                <w:szCs w:val="16"/>
                <w:lang w:val="es-MX"/>
              </w:rPr>
              <w:t>Verificación de que el área está en condiciones de limpieza para iniciar el acondicionamiento del producto.</w:t>
            </w:r>
          </w:p>
        </w:tc>
        <w:tc>
          <w:tcPr>
            <w:tcW w:w="4427" w:type="dxa"/>
          </w:tcPr>
          <w:p w14:paraId="79AEBE3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5.2.5.5.3.3</w:t>
            </w:r>
            <w:r w:rsidRPr="008F5C15">
              <w:rPr>
                <w:rFonts w:ascii="Verdana" w:hAnsi="Verdana"/>
                <w:sz w:val="16"/>
                <w:szCs w:val="16"/>
                <w:lang w:val="en-US"/>
              </w:rPr>
              <w:t xml:space="preserve"> Verification that the area is in clean conditions in order to start the conditioning of the product.</w:t>
            </w:r>
          </w:p>
        </w:tc>
      </w:tr>
      <w:tr w:rsidR="001C6A90" w:rsidRPr="00947A46" w14:paraId="247869F9" w14:textId="77777777" w:rsidTr="00886332">
        <w:tc>
          <w:tcPr>
            <w:tcW w:w="4405" w:type="dxa"/>
          </w:tcPr>
          <w:p w14:paraId="7E0A4CD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5.2.5.5.3.4 </w:t>
            </w:r>
            <w:r w:rsidRPr="008F5C15">
              <w:rPr>
                <w:rFonts w:ascii="Verdana" w:hAnsi="Verdana"/>
                <w:sz w:val="16"/>
                <w:szCs w:val="16"/>
                <w:lang w:val="es-MX"/>
              </w:rPr>
              <w:t>Instrucciones detalladas de cómo realizar cada etapa del proceso y el equipo a utilizar, incluyendo los parámetros críticos del proceso.</w:t>
            </w:r>
          </w:p>
        </w:tc>
        <w:tc>
          <w:tcPr>
            <w:tcW w:w="4427" w:type="dxa"/>
          </w:tcPr>
          <w:p w14:paraId="6C3410E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5.2.5.5.3.4</w:t>
            </w:r>
            <w:r w:rsidRPr="008F5C15">
              <w:rPr>
                <w:rFonts w:ascii="Verdana" w:hAnsi="Verdana"/>
                <w:sz w:val="16"/>
                <w:szCs w:val="16"/>
                <w:lang w:val="en-US"/>
              </w:rPr>
              <w:t xml:space="preserve"> Detailed instructions as to how to perform each stage of the process and the equipment to use, including the critical parameters of the process.</w:t>
            </w:r>
          </w:p>
        </w:tc>
      </w:tr>
      <w:tr w:rsidR="001C6A90" w:rsidRPr="00947A46" w14:paraId="55684417" w14:textId="77777777" w:rsidTr="00886332">
        <w:tc>
          <w:tcPr>
            <w:tcW w:w="4405" w:type="dxa"/>
          </w:tcPr>
          <w:p w14:paraId="3A862E0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5.2.5.5.3.5 </w:t>
            </w:r>
            <w:r w:rsidRPr="008F5C15">
              <w:rPr>
                <w:rFonts w:ascii="Verdana" w:hAnsi="Verdana"/>
                <w:sz w:val="16"/>
                <w:szCs w:val="16"/>
                <w:lang w:val="es-MX"/>
              </w:rPr>
              <w:t xml:space="preserve">Los controles en proceso a realizar, instrucciones para el muestreo, la frecuencia y los </w:t>
            </w:r>
            <w:r w:rsidRPr="008F5C15">
              <w:rPr>
                <w:rFonts w:ascii="Verdana" w:hAnsi="Verdana"/>
                <w:sz w:val="16"/>
                <w:szCs w:val="16"/>
                <w:lang w:val="es-MX"/>
              </w:rPr>
              <w:lastRenderedPageBreak/>
              <w:t>límites de aceptación y referencias cruzadas a los procedimientos u otros documentos.</w:t>
            </w:r>
          </w:p>
        </w:tc>
        <w:tc>
          <w:tcPr>
            <w:tcW w:w="4427" w:type="dxa"/>
          </w:tcPr>
          <w:p w14:paraId="48A0A1B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lastRenderedPageBreak/>
              <w:t>5.2.5.5.3.5</w:t>
            </w:r>
            <w:r w:rsidRPr="008F5C15">
              <w:rPr>
                <w:rFonts w:ascii="Verdana" w:hAnsi="Verdana"/>
                <w:sz w:val="16"/>
                <w:szCs w:val="16"/>
                <w:lang w:val="en-US"/>
              </w:rPr>
              <w:t xml:space="preserve"> The controls of the processes to be performed, instructions for sampling, frequency and </w:t>
            </w:r>
            <w:r w:rsidRPr="008F5C15">
              <w:rPr>
                <w:rFonts w:ascii="Verdana" w:hAnsi="Verdana"/>
                <w:sz w:val="16"/>
                <w:szCs w:val="16"/>
                <w:lang w:val="en-US"/>
              </w:rPr>
              <w:lastRenderedPageBreak/>
              <w:t>acceptance limits and cross reference to procedures or other documents.</w:t>
            </w:r>
          </w:p>
        </w:tc>
      </w:tr>
      <w:tr w:rsidR="001C6A90" w:rsidRPr="00947A46" w14:paraId="4E3B23E7" w14:textId="77777777" w:rsidTr="00886332">
        <w:tc>
          <w:tcPr>
            <w:tcW w:w="4405" w:type="dxa"/>
          </w:tcPr>
          <w:p w14:paraId="1C090E0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5.2.5.5.3.6 </w:t>
            </w:r>
            <w:r w:rsidRPr="008F5C15">
              <w:rPr>
                <w:rFonts w:ascii="Verdana" w:hAnsi="Verdana"/>
                <w:sz w:val="16"/>
                <w:szCs w:val="16"/>
                <w:lang w:val="es-MX"/>
              </w:rPr>
              <w:t>Instrucciones para la conciliación de materiales impresos.</w:t>
            </w:r>
          </w:p>
        </w:tc>
        <w:tc>
          <w:tcPr>
            <w:tcW w:w="4427" w:type="dxa"/>
          </w:tcPr>
          <w:p w14:paraId="226D17E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5.2.5.5.3.6</w:t>
            </w:r>
            <w:r w:rsidRPr="008F5C15">
              <w:rPr>
                <w:rFonts w:ascii="Verdana" w:hAnsi="Verdana"/>
                <w:sz w:val="16"/>
                <w:szCs w:val="16"/>
                <w:lang w:val="en-US"/>
              </w:rPr>
              <w:t xml:space="preserve"> Instructions for the conciliation of printed materials.</w:t>
            </w:r>
          </w:p>
        </w:tc>
      </w:tr>
      <w:tr w:rsidR="001C6A90" w:rsidRPr="00947A46" w14:paraId="13B834FD" w14:textId="77777777" w:rsidTr="00886332">
        <w:tc>
          <w:tcPr>
            <w:tcW w:w="4405" w:type="dxa"/>
          </w:tcPr>
          <w:p w14:paraId="4DDD421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5.2.5.5.3.7 </w:t>
            </w:r>
            <w:r w:rsidRPr="008F5C15">
              <w:rPr>
                <w:rFonts w:ascii="Verdana" w:hAnsi="Verdana"/>
                <w:sz w:val="16"/>
                <w:szCs w:val="16"/>
                <w:lang w:val="es-MX"/>
              </w:rPr>
              <w:t>Las condiciones de almacenamiento para el producto terminado.</w:t>
            </w:r>
          </w:p>
        </w:tc>
        <w:tc>
          <w:tcPr>
            <w:tcW w:w="4427" w:type="dxa"/>
          </w:tcPr>
          <w:p w14:paraId="3C3D38C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5.2.5.5.3.7 </w:t>
            </w:r>
            <w:r w:rsidRPr="008F5C15">
              <w:rPr>
                <w:rFonts w:ascii="Verdana" w:hAnsi="Verdana"/>
                <w:sz w:val="16"/>
                <w:szCs w:val="16"/>
                <w:lang w:val="en-US"/>
              </w:rPr>
              <w:t>The storage conditions for the finished product.</w:t>
            </w:r>
          </w:p>
        </w:tc>
      </w:tr>
      <w:tr w:rsidR="001C6A90" w:rsidRPr="00947A46" w14:paraId="62622477" w14:textId="77777777" w:rsidTr="00886332">
        <w:tc>
          <w:tcPr>
            <w:tcW w:w="4405" w:type="dxa"/>
          </w:tcPr>
          <w:p w14:paraId="1CD589B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5.2.5.5.3.8 </w:t>
            </w:r>
            <w:r w:rsidRPr="008F5C15">
              <w:rPr>
                <w:rFonts w:ascii="Verdana" w:hAnsi="Verdana"/>
                <w:sz w:val="16"/>
                <w:szCs w:val="16"/>
                <w:lang w:val="es-MX"/>
              </w:rPr>
              <w:t>Condiciones específicas necesarias para el manejo y almacenamiento, de acuerdo a la naturaleza del producto.</w:t>
            </w:r>
          </w:p>
        </w:tc>
        <w:tc>
          <w:tcPr>
            <w:tcW w:w="4427" w:type="dxa"/>
          </w:tcPr>
          <w:p w14:paraId="4710964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5.2.5.5.3.8 </w:t>
            </w:r>
            <w:r w:rsidRPr="008F5C15">
              <w:rPr>
                <w:rFonts w:ascii="Verdana" w:hAnsi="Verdana"/>
                <w:sz w:val="16"/>
                <w:szCs w:val="16"/>
                <w:lang w:val="en-US"/>
              </w:rPr>
              <w:t>Specific conditions necessary for handling and storage, in accordance with the nature of the product.</w:t>
            </w:r>
          </w:p>
        </w:tc>
      </w:tr>
      <w:tr w:rsidR="001C6A90" w:rsidRPr="00947A46" w14:paraId="52AA7445" w14:textId="77777777" w:rsidTr="00886332">
        <w:tc>
          <w:tcPr>
            <w:tcW w:w="4405" w:type="dxa"/>
          </w:tcPr>
          <w:p w14:paraId="6A1DE10A"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5.2.5.6 </w:t>
            </w:r>
            <w:r w:rsidRPr="008F5C15">
              <w:rPr>
                <w:rFonts w:ascii="Verdana" w:hAnsi="Verdana"/>
                <w:sz w:val="16"/>
                <w:szCs w:val="16"/>
                <w:lang w:val="es-MX"/>
              </w:rPr>
              <w:t>Expediente de fabricación del producto</w:t>
            </w:r>
            <w:r w:rsidRPr="008F5C15">
              <w:rPr>
                <w:rFonts w:ascii="Verdana" w:hAnsi="Verdana"/>
                <w:b/>
                <w:sz w:val="16"/>
                <w:szCs w:val="16"/>
                <w:lang w:val="es-MX"/>
              </w:rPr>
              <w:t>.</w:t>
            </w:r>
          </w:p>
        </w:tc>
        <w:tc>
          <w:tcPr>
            <w:tcW w:w="4427" w:type="dxa"/>
          </w:tcPr>
          <w:p w14:paraId="174F277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5.2.5.6 </w:t>
            </w:r>
            <w:r w:rsidRPr="008F5C15">
              <w:rPr>
                <w:rFonts w:ascii="Verdana" w:hAnsi="Verdana"/>
                <w:sz w:val="16"/>
                <w:szCs w:val="16"/>
                <w:lang w:val="en-US"/>
              </w:rPr>
              <w:t>Manufacturing of the product file.</w:t>
            </w:r>
          </w:p>
        </w:tc>
      </w:tr>
      <w:tr w:rsidR="001C6A90" w:rsidRPr="00947A46" w14:paraId="3E2F4F52" w14:textId="77777777" w:rsidTr="00886332">
        <w:tc>
          <w:tcPr>
            <w:tcW w:w="4405" w:type="dxa"/>
          </w:tcPr>
          <w:p w14:paraId="703B6C0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5.2.5.6.1 </w:t>
            </w:r>
            <w:r w:rsidRPr="008F5C15">
              <w:rPr>
                <w:rFonts w:ascii="Verdana" w:hAnsi="Verdana"/>
                <w:sz w:val="16"/>
                <w:szCs w:val="16"/>
                <w:lang w:val="es-MX"/>
              </w:rPr>
              <w:t>Debe existir un expediente de fabricación por cada lote de producto, acorde con las condiciones autorizadas en el Registro Sanitario y contener la orden e instrucciones de producción y de acondicionamiento con el registro de las actividades.</w:t>
            </w:r>
          </w:p>
        </w:tc>
        <w:tc>
          <w:tcPr>
            <w:tcW w:w="4427" w:type="dxa"/>
          </w:tcPr>
          <w:p w14:paraId="32AD51F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5.2.5.6.1 </w:t>
            </w:r>
            <w:r w:rsidRPr="008F5C15">
              <w:rPr>
                <w:rFonts w:ascii="Verdana" w:hAnsi="Verdana"/>
                <w:sz w:val="16"/>
                <w:szCs w:val="16"/>
                <w:lang w:val="en-US"/>
              </w:rPr>
              <w:t>There must be a manufacturing file for every product lot, in accordance with the conditions authorized in the Sanitary Registration and contain the production order and instructions and the conditioning order with the record of the activities.</w:t>
            </w:r>
          </w:p>
        </w:tc>
      </w:tr>
      <w:tr w:rsidR="001C6A90" w:rsidRPr="00947A46" w14:paraId="5B0F0214" w14:textId="77777777" w:rsidTr="00886332">
        <w:tc>
          <w:tcPr>
            <w:tcW w:w="4405" w:type="dxa"/>
          </w:tcPr>
          <w:p w14:paraId="3802D2A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5.2.5.6.2 </w:t>
            </w:r>
            <w:r w:rsidRPr="008F5C15">
              <w:rPr>
                <w:rFonts w:ascii="Verdana" w:hAnsi="Verdana"/>
                <w:sz w:val="16"/>
                <w:szCs w:val="16"/>
                <w:lang w:val="es-MX"/>
              </w:rPr>
              <w:t>Este expediente debe contener al menos lo siguiente:</w:t>
            </w:r>
          </w:p>
        </w:tc>
        <w:tc>
          <w:tcPr>
            <w:tcW w:w="4427" w:type="dxa"/>
          </w:tcPr>
          <w:p w14:paraId="5F58570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5.2.5.6.2 </w:t>
            </w:r>
            <w:r w:rsidRPr="008F5C15">
              <w:rPr>
                <w:rFonts w:ascii="Verdana" w:hAnsi="Verdana"/>
                <w:sz w:val="16"/>
                <w:szCs w:val="16"/>
                <w:lang w:val="en-US"/>
              </w:rPr>
              <w:t>This file must at least contain the following:</w:t>
            </w:r>
          </w:p>
        </w:tc>
      </w:tr>
      <w:tr w:rsidR="001C6A90" w:rsidRPr="00FC28A7" w14:paraId="12DD0A04" w14:textId="77777777" w:rsidTr="00886332">
        <w:tc>
          <w:tcPr>
            <w:tcW w:w="4405" w:type="dxa"/>
          </w:tcPr>
          <w:p w14:paraId="69CF99F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5.2.5.6.2.1 </w:t>
            </w:r>
            <w:r w:rsidRPr="008F5C15">
              <w:rPr>
                <w:rFonts w:ascii="Verdana" w:hAnsi="Verdana"/>
                <w:sz w:val="16"/>
                <w:szCs w:val="16"/>
                <w:lang w:val="es-MX"/>
              </w:rPr>
              <w:t>Orden e instrucciones de producción.</w:t>
            </w:r>
          </w:p>
        </w:tc>
        <w:tc>
          <w:tcPr>
            <w:tcW w:w="4427" w:type="dxa"/>
            <w:shd w:val="clear" w:color="auto" w:fill="auto"/>
          </w:tcPr>
          <w:p w14:paraId="5C53B89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5.2.5.6.2.1 </w:t>
            </w:r>
            <w:r w:rsidRPr="008F5C15">
              <w:rPr>
                <w:rFonts w:ascii="Verdana" w:hAnsi="Verdana"/>
                <w:sz w:val="16"/>
                <w:szCs w:val="16"/>
                <w:lang w:val="en-US"/>
              </w:rPr>
              <w:t>Productions order and instructions.</w:t>
            </w:r>
          </w:p>
        </w:tc>
      </w:tr>
      <w:tr w:rsidR="001C6A90" w:rsidRPr="00262EF8" w14:paraId="1EA90465" w14:textId="77777777" w:rsidTr="00886332">
        <w:tc>
          <w:tcPr>
            <w:tcW w:w="4405" w:type="dxa"/>
          </w:tcPr>
          <w:p w14:paraId="44D605C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5.2.5.6.2.2 </w:t>
            </w:r>
            <w:r w:rsidRPr="008F5C15">
              <w:rPr>
                <w:rFonts w:ascii="Verdana" w:hAnsi="Verdana"/>
                <w:sz w:val="16"/>
                <w:szCs w:val="16"/>
                <w:lang w:val="es-MX"/>
              </w:rPr>
              <w:t>Número de lote del producto.</w:t>
            </w:r>
          </w:p>
        </w:tc>
        <w:tc>
          <w:tcPr>
            <w:tcW w:w="4427" w:type="dxa"/>
            <w:shd w:val="clear" w:color="auto" w:fill="auto"/>
          </w:tcPr>
          <w:p w14:paraId="61A8AAB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5.2.5.6.2.2 </w:t>
            </w:r>
            <w:r w:rsidRPr="008F5C15">
              <w:rPr>
                <w:rFonts w:ascii="Verdana" w:hAnsi="Verdana"/>
                <w:sz w:val="16"/>
                <w:szCs w:val="16"/>
                <w:lang w:val="en-US"/>
              </w:rPr>
              <w:t>Product lot number.</w:t>
            </w:r>
          </w:p>
        </w:tc>
      </w:tr>
      <w:tr w:rsidR="001C6A90" w:rsidRPr="00947A46" w14:paraId="487AA5CE" w14:textId="77777777" w:rsidTr="00886332">
        <w:tc>
          <w:tcPr>
            <w:tcW w:w="4405" w:type="dxa"/>
          </w:tcPr>
          <w:p w14:paraId="551A641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5.2.5.6.2.3 </w:t>
            </w:r>
            <w:r w:rsidRPr="008F5C15">
              <w:rPr>
                <w:rFonts w:ascii="Verdana" w:hAnsi="Verdana"/>
                <w:sz w:val="16"/>
                <w:szCs w:val="16"/>
                <w:lang w:val="es-MX"/>
              </w:rPr>
              <w:t>Números de lotes y cantidades surtidas de todos los materiales incluidos en la fórmula.</w:t>
            </w:r>
          </w:p>
        </w:tc>
        <w:tc>
          <w:tcPr>
            <w:tcW w:w="4427" w:type="dxa"/>
            <w:shd w:val="clear" w:color="auto" w:fill="auto"/>
          </w:tcPr>
          <w:p w14:paraId="707EB88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5.2.5.6.2.3</w:t>
            </w:r>
            <w:r w:rsidRPr="008F5C15">
              <w:rPr>
                <w:rFonts w:ascii="Verdana" w:hAnsi="Verdana"/>
                <w:sz w:val="16"/>
                <w:szCs w:val="16"/>
                <w:lang w:val="en-US"/>
              </w:rPr>
              <w:t xml:space="preserve"> Lot numbers and assorted amounts of all the materials included in the formula.</w:t>
            </w:r>
          </w:p>
        </w:tc>
      </w:tr>
      <w:tr w:rsidR="001C6A90" w:rsidRPr="00947A46" w14:paraId="11E10A56" w14:textId="77777777" w:rsidTr="00886332">
        <w:tc>
          <w:tcPr>
            <w:tcW w:w="4405" w:type="dxa"/>
          </w:tcPr>
          <w:p w14:paraId="2437ACA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5.2.5.6.2.4 </w:t>
            </w:r>
            <w:r w:rsidRPr="008F5C15">
              <w:rPr>
                <w:rFonts w:ascii="Verdana" w:hAnsi="Verdana"/>
                <w:sz w:val="16"/>
                <w:szCs w:val="16"/>
                <w:lang w:val="es-MX"/>
              </w:rPr>
              <w:t>Fechas y horas de inicio y término de las etapas más importantes de la producción.</w:t>
            </w:r>
          </w:p>
        </w:tc>
        <w:tc>
          <w:tcPr>
            <w:tcW w:w="4427" w:type="dxa"/>
            <w:shd w:val="clear" w:color="auto" w:fill="auto"/>
          </w:tcPr>
          <w:p w14:paraId="06E81E5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5.2.5.6.2.4</w:t>
            </w:r>
            <w:r w:rsidRPr="008F5C15">
              <w:rPr>
                <w:rFonts w:ascii="Verdana" w:hAnsi="Verdana"/>
                <w:sz w:val="16"/>
                <w:szCs w:val="16"/>
                <w:lang w:val="en-US"/>
              </w:rPr>
              <w:t xml:space="preserve"> Dates and time of the start and finish of the most important stages of the production.</w:t>
            </w:r>
          </w:p>
        </w:tc>
      </w:tr>
      <w:tr w:rsidR="001C6A90" w:rsidRPr="00947A46" w14:paraId="560F8A6C" w14:textId="77777777" w:rsidTr="00886332">
        <w:tc>
          <w:tcPr>
            <w:tcW w:w="4405" w:type="dxa"/>
          </w:tcPr>
          <w:p w14:paraId="01563C1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5.2.5.6.2.5 </w:t>
            </w:r>
            <w:r w:rsidRPr="008F5C15">
              <w:rPr>
                <w:rFonts w:ascii="Verdana" w:hAnsi="Verdana"/>
                <w:sz w:val="16"/>
                <w:szCs w:val="16"/>
                <w:lang w:val="es-MX"/>
              </w:rPr>
              <w:t>Identificación de quién ejecutó la operación con la inicial del nombre y primer apellido, esta información debe ser trazable a un registro de operadores y supervisores de las áreas de producción.</w:t>
            </w:r>
          </w:p>
        </w:tc>
        <w:tc>
          <w:tcPr>
            <w:tcW w:w="4427" w:type="dxa"/>
            <w:shd w:val="clear" w:color="auto" w:fill="auto"/>
          </w:tcPr>
          <w:p w14:paraId="644C16B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5.2.5.6.2.5</w:t>
            </w:r>
            <w:r w:rsidRPr="008F5C15">
              <w:rPr>
                <w:rFonts w:ascii="Verdana" w:hAnsi="Verdana"/>
                <w:sz w:val="16"/>
                <w:szCs w:val="16"/>
                <w:lang w:val="en-US"/>
              </w:rPr>
              <w:t xml:space="preserve"> Identification of who performed the initial operation, with the initial of the first name and first last name, this information must be traceable to a record of operators and supervisors of the production areas.</w:t>
            </w:r>
          </w:p>
        </w:tc>
      </w:tr>
      <w:tr w:rsidR="001C6A90" w:rsidRPr="00262EF8" w14:paraId="52F4A369" w14:textId="77777777" w:rsidTr="00886332">
        <w:tc>
          <w:tcPr>
            <w:tcW w:w="4405" w:type="dxa"/>
          </w:tcPr>
          <w:p w14:paraId="2D3E3BC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5.2.5.6.2.6 </w:t>
            </w:r>
            <w:r w:rsidRPr="008F5C15">
              <w:rPr>
                <w:rFonts w:ascii="Verdana" w:hAnsi="Verdana"/>
                <w:sz w:val="16"/>
                <w:szCs w:val="16"/>
                <w:lang w:val="es-MX"/>
              </w:rPr>
              <w:t>Registros de la supervisión.</w:t>
            </w:r>
          </w:p>
        </w:tc>
        <w:tc>
          <w:tcPr>
            <w:tcW w:w="4427" w:type="dxa"/>
            <w:shd w:val="clear" w:color="auto" w:fill="auto"/>
          </w:tcPr>
          <w:p w14:paraId="47884CB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5.2.5.6.2.6 </w:t>
            </w:r>
            <w:r w:rsidRPr="008F5C15">
              <w:rPr>
                <w:rFonts w:ascii="Verdana" w:hAnsi="Verdana"/>
                <w:sz w:val="16"/>
                <w:szCs w:val="16"/>
                <w:lang w:val="en-US"/>
              </w:rPr>
              <w:t>Supervision records.</w:t>
            </w:r>
          </w:p>
        </w:tc>
      </w:tr>
      <w:tr w:rsidR="001C6A90" w:rsidRPr="00947A46" w14:paraId="128A11BC" w14:textId="77777777" w:rsidTr="00886332">
        <w:tc>
          <w:tcPr>
            <w:tcW w:w="4405" w:type="dxa"/>
          </w:tcPr>
          <w:p w14:paraId="0E2DC83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5.2.5.6.2.7 </w:t>
            </w:r>
            <w:r w:rsidRPr="008F5C15">
              <w:rPr>
                <w:rFonts w:ascii="Verdana" w:hAnsi="Verdana"/>
                <w:sz w:val="16"/>
                <w:szCs w:val="16"/>
                <w:lang w:val="es-MX"/>
              </w:rPr>
              <w:t>Registro de los controles en proceso con los resultados obtenidos y las personas que lo realizaron (inicial del nombre y primer apellido).</w:t>
            </w:r>
          </w:p>
        </w:tc>
        <w:tc>
          <w:tcPr>
            <w:tcW w:w="4427" w:type="dxa"/>
            <w:shd w:val="clear" w:color="auto" w:fill="auto"/>
          </w:tcPr>
          <w:p w14:paraId="0D65B98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5.2.5.6.2.7</w:t>
            </w:r>
            <w:r w:rsidRPr="008F5C15">
              <w:rPr>
                <w:rFonts w:ascii="Verdana" w:hAnsi="Verdana"/>
                <w:sz w:val="16"/>
                <w:szCs w:val="16"/>
                <w:lang w:val="en-US"/>
              </w:rPr>
              <w:t xml:space="preserve"> Record of the controls in process with the obtained results and the persons who performed it (initial of the first name and first last name).</w:t>
            </w:r>
          </w:p>
        </w:tc>
      </w:tr>
      <w:tr w:rsidR="001C6A90" w:rsidRPr="00947A46" w14:paraId="5603104A" w14:textId="77777777" w:rsidTr="00886332">
        <w:tc>
          <w:tcPr>
            <w:tcW w:w="4405" w:type="dxa"/>
          </w:tcPr>
          <w:p w14:paraId="55D70F8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5.2.5.6.2.8 </w:t>
            </w:r>
            <w:r w:rsidRPr="008F5C15">
              <w:rPr>
                <w:rFonts w:ascii="Verdana" w:hAnsi="Verdana"/>
                <w:sz w:val="16"/>
                <w:szCs w:val="16"/>
                <w:lang w:val="es-MX"/>
              </w:rPr>
              <w:t>Rendimientos obtenidos durante las distintas etapas de producción.</w:t>
            </w:r>
          </w:p>
        </w:tc>
        <w:tc>
          <w:tcPr>
            <w:tcW w:w="4427" w:type="dxa"/>
            <w:shd w:val="clear" w:color="auto" w:fill="auto"/>
          </w:tcPr>
          <w:p w14:paraId="367C34D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5.2.5.6.2.8 </w:t>
            </w:r>
            <w:r w:rsidRPr="008F5C15">
              <w:rPr>
                <w:rFonts w:ascii="Verdana" w:hAnsi="Verdana"/>
                <w:sz w:val="16"/>
                <w:szCs w:val="16"/>
                <w:lang w:val="en-US"/>
              </w:rPr>
              <w:t>Yield obtained during the different stages of the process.</w:t>
            </w:r>
          </w:p>
        </w:tc>
      </w:tr>
      <w:tr w:rsidR="001C6A90" w:rsidRPr="00947A46" w14:paraId="2E2FDBD9" w14:textId="77777777" w:rsidTr="00886332">
        <w:tc>
          <w:tcPr>
            <w:tcW w:w="4405" w:type="dxa"/>
          </w:tcPr>
          <w:p w14:paraId="4E94C2F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5.2.5.6.2.9 </w:t>
            </w:r>
            <w:r w:rsidRPr="008F5C15">
              <w:rPr>
                <w:rFonts w:ascii="Verdana" w:hAnsi="Verdana"/>
                <w:sz w:val="16"/>
                <w:szCs w:val="16"/>
                <w:lang w:val="es-MX"/>
              </w:rPr>
              <w:t>Cualquier desviación a las instrucciones de producción debe ser registrada, investigada y evaluada. La investigación debe ser concluida para la liberación del lote.</w:t>
            </w:r>
          </w:p>
        </w:tc>
        <w:tc>
          <w:tcPr>
            <w:tcW w:w="4427" w:type="dxa"/>
            <w:shd w:val="clear" w:color="auto" w:fill="auto"/>
          </w:tcPr>
          <w:p w14:paraId="3C08870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5.2.5.6.2.9 </w:t>
            </w:r>
            <w:r w:rsidRPr="008F5C15">
              <w:rPr>
                <w:rFonts w:ascii="Verdana" w:hAnsi="Verdana"/>
                <w:sz w:val="16"/>
                <w:szCs w:val="16"/>
                <w:lang w:val="en-US"/>
              </w:rPr>
              <w:t>Any deviation to the production instructions must be registered, investigated and assessed. The investigation must be concluded for the release of the lot.</w:t>
            </w:r>
          </w:p>
        </w:tc>
      </w:tr>
      <w:tr w:rsidR="001C6A90" w:rsidRPr="00947A46" w14:paraId="4D54138B" w14:textId="77777777" w:rsidTr="00886332">
        <w:tc>
          <w:tcPr>
            <w:tcW w:w="4405" w:type="dxa"/>
          </w:tcPr>
          <w:p w14:paraId="7D11ED4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5.2.5.6.2.10 </w:t>
            </w:r>
            <w:r w:rsidRPr="008F5C15">
              <w:rPr>
                <w:rFonts w:ascii="Verdana" w:hAnsi="Verdana"/>
                <w:sz w:val="16"/>
                <w:szCs w:val="16"/>
                <w:lang w:val="es-MX"/>
              </w:rPr>
              <w:t>Cada expediente de producción debe estar firmado de conformidad por el Responsable Sanitario o persona calificada que certifique que el producto fue producido cumpliendo las BPF.</w:t>
            </w:r>
          </w:p>
        </w:tc>
        <w:tc>
          <w:tcPr>
            <w:tcW w:w="4427" w:type="dxa"/>
            <w:shd w:val="clear" w:color="auto" w:fill="auto"/>
          </w:tcPr>
          <w:p w14:paraId="33C951C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5.2.5.6.2.10 </w:t>
            </w:r>
            <w:r w:rsidRPr="008F5C15">
              <w:rPr>
                <w:rFonts w:ascii="Verdana" w:hAnsi="Verdana"/>
                <w:sz w:val="16"/>
                <w:szCs w:val="16"/>
                <w:lang w:val="en-US"/>
              </w:rPr>
              <w:t>Each production file must be signed by the Responsible Health Worker or the Authorized Person, in agreement that the product was developed in compliance with GMP.</w:t>
            </w:r>
          </w:p>
        </w:tc>
      </w:tr>
      <w:tr w:rsidR="001C6A90" w:rsidRPr="00262EF8" w14:paraId="21B44EE9" w14:textId="77777777" w:rsidTr="00886332">
        <w:tc>
          <w:tcPr>
            <w:tcW w:w="4405" w:type="dxa"/>
          </w:tcPr>
          <w:p w14:paraId="2D7E8ED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5.2.5.6.3 </w:t>
            </w:r>
            <w:r w:rsidRPr="008F5C15">
              <w:rPr>
                <w:rFonts w:ascii="Verdana" w:hAnsi="Verdana"/>
                <w:sz w:val="16"/>
                <w:szCs w:val="16"/>
                <w:lang w:val="es-MX"/>
              </w:rPr>
              <w:t>Expediente de acondicionamiento.</w:t>
            </w:r>
          </w:p>
        </w:tc>
        <w:tc>
          <w:tcPr>
            <w:tcW w:w="4427" w:type="dxa"/>
            <w:shd w:val="clear" w:color="auto" w:fill="auto"/>
          </w:tcPr>
          <w:p w14:paraId="6B39C12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5.2.5.6.3 </w:t>
            </w:r>
            <w:r w:rsidRPr="008F5C15">
              <w:rPr>
                <w:rFonts w:ascii="Verdana" w:hAnsi="Verdana"/>
                <w:sz w:val="16"/>
                <w:szCs w:val="16"/>
                <w:lang w:val="en-US"/>
              </w:rPr>
              <w:t>Conditioning file.</w:t>
            </w:r>
          </w:p>
        </w:tc>
      </w:tr>
      <w:tr w:rsidR="001C6A90" w:rsidRPr="00947A46" w14:paraId="0977748C" w14:textId="77777777" w:rsidTr="00886332">
        <w:tc>
          <w:tcPr>
            <w:tcW w:w="4405" w:type="dxa"/>
          </w:tcPr>
          <w:p w14:paraId="1D4414C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5.2.5.6.3.1 </w:t>
            </w:r>
            <w:r w:rsidRPr="008F5C15">
              <w:rPr>
                <w:rFonts w:ascii="Verdana" w:hAnsi="Verdana"/>
                <w:sz w:val="16"/>
                <w:szCs w:val="16"/>
                <w:lang w:val="es-MX"/>
              </w:rPr>
              <w:t>Debe existir un expediente de acondicionamiento por cada lote de producto y éste debe corresponder a las condiciones autorizadas en el Registro Sanitario, contener las instrucciones y el registro de las actividades realizadas para el acondicionamiento.</w:t>
            </w:r>
          </w:p>
        </w:tc>
        <w:tc>
          <w:tcPr>
            <w:tcW w:w="4427" w:type="dxa"/>
            <w:shd w:val="clear" w:color="auto" w:fill="auto"/>
          </w:tcPr>
          <w:p w14:paraId="57DE628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5.2.5.6.3.1</w:t>
            </w:r>
            <w:r w:rsidRPr="008F5C15">
              <w:rPr>
                <w:rFonts w:ascii="Verdana" w:hAnsi="Verdana"/>
                <w:sz w:val="16"/>
                <w:szCs w:val="16"/>
                <w:lang w:val="en-US"/>
              </w:rPr>
              <w:t xml:space="preserve"> There must be a conditioning file for every lot of product and it must correspond to the conditions authorized in the Sanitary Registration, contain the instructions and the record of activities performed for the conditioning.</w:t>
            </w:r>
          </w:p>
        </w:tc>
      </w:tr>
      <w:tr w:rsidR="001C6A90" w:rsidRPr="00947A46" w14:paraId="76C7ACE9" w14:textId="77777777" w:rsidTr="00886332">
        <w:tc>
          <w:tcPr>
            <w:tcW w:w="4405" w:type="dxa"/>
          </w:tcPr>
          <w:p w14:paraId="46BED09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5.2.5.6.3.2 </w:t>
            </w:r>
            <w:r w:rsidRPr="008F5C15">
              <w:rPr>
                <w:rFonts w:ascii="Verdana" w:hAnsi="Verdana"/>
                <w:sz w:val="16"/>
                <w:szCs w:val="16"/>
                <w:lang w:val="es-MX"/>
              </w:rPr>
              <w:t>El expediente de acondicionamiento se deberá integrar al expediente de fabricación del lote debe contener al menos lo siguiente:</w:t>
            </w:r>
          </w:p>
        </w:tc>
        <w:tc>
          <w:tcPr>
            <w:tcW w:w="4427" w:type="dxa"/>
            <w:shd w:val="clear" w:color="auto" w:fill="auto"/>
          </w:tcPr>
          <w:p w14:paraId="2155E1E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5.2.5.6.3.2 </w:t>
            </w:r>
            <w:r w:rsidRPr="008F5C15">
              <w:rPr>
                <w:rFonts w:ascii="Verdana" w:hAnsi="Verdana"/>
                <w:sz w:val="16"/>
                <w:szCs w:val="16"/>
                <w:lang w:val="en-US"/>
              </w:rPr>
              <w:t xml:space="preserve">The conditioning file of the lot must be integrated into the manufacturing of the lot must contain at least the following: </w:t>
            </w:r>
          </w:p>
        </w:tc>
      </w:tr>
      <w:tr w:rsidR="001C6A90" w:rsidRPr="00262EF8" w14:paraId="49C2B3A5" w14:textId="77777777" w:rsidTr="00886332">
        <w:tc>
          <w:tcPr>
            <w:tcW w:w="4405" w:type="dxa"/>
          </w:tcPr>
          <w:p w14:paraId="6541529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5.2.5.6.3.2.1 </w:t>
            </w:r>
            <w:r w:rsidRPr="008F5C15">
              <w:rPr>
                <w:rFonts w:ascii="Verdana" w:hAnsi="Verdana"/>
                <w:sz w:val="16"/>
                <w:szCs w:val="16"/>
                <w:lang w:val="es-MX"/>
              </w:rPr>
              <w:t>Orden e instrucciones de acondicionamiento.</w:t>
            </w:r>
          </w:p>
        </w:tc>
        <w:tc>
          <w:tcPr>
            <w:tcW w:w="4427" w:type="dxa"/>
            <w:shd w:val="clear" w:color="auto" w:fill="auto"/>
          </w:tcPr>
          <w:p w14:paraId="160B478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5.2.5.6.3.2.1 </w:t>
            </w:r>
            <w:r w:rsidRPr="008F5C15">
              <w:rPr>
                <w:rFonts w:ascii="Verdana" w:hAnsi="Verdana"/>
                <w:sz w:val="16"/>
                <w:szCs w:val="16"/>
                <w:lang w:val="en-US"/>
              </w:rPr>
              <w:t>Conditioning order and instructions.</w:t>
            </w:r>
          </w:p>
        </w:tc>
      </w:tr>
      <w:tr w:rsidR="001C6A90" w:rsidRPr="00947A46" w14:paraId="4DB3CE87" w14:textId="77777777" w:rsidTr="00886332">
        <w:tc>
          <w:tcPr>
            <w:tcW w:w="4405" w:type="dxa"/>
          </w:tcPr>
          <w:p w14:paraId="4D7298F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5.2.5.6.3.2.2 </w:t>
            </w:r>
            <w:r w:rsidRPr="008F5C15">
              <w:rPr>
                <w:rFonts w:ascii="Verdana" w:hAnsi="Verdana"/>
                <w:sz w:val="16"/>
                <w:szCs w:val="16"/>
                <w:lang w:val="es-MX"/>
              </w:rPr>
              <w:t>Número de lote del producto.</w:t>
            </w:r>
          </w:p>
        </w:tc>
        <w:tc>
          <w:tcPr>
            <w:tcW w:w="4427" w:type="dxa"/>
            <w:shd w:val="clear" w:color="auto" w:fill="auto"/>
          </w:tcPr>
          <w:p w14:paraId="4063BF6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5.2.5.6.3.2.2</w:t>
            </w:r>
            <w:r w:rsidRPr="008F5C15">
              <w:rPr>
                <w:rFonts w:ascii="Verdana" w:hAnsi="Verdana"/>
                <w:sz w:val="16"/>
                <w:szCs w:val="16"/>
                <w:lang w:val="en-US"/>
              </w:rPr>
              <w:t xml:space="preserve"> Lot number of the product.</w:t>
            </w:r>
          </w:p>
        </w:tc>
      </w:tr>
      <w:tr w:rsidR="001C6A90" w:rsidRPr="00947A46" w14:paraId="6C79DA67" w14:textId="77777777" w:rsidTr="00886332">
        <w:tc>
          <w:tcPr>
            <w:tcW w:w="4405" w:type="dxa"/>
          </w:tcPr>
          <w:p w14:paraId="0606FCA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5.2.5.6.3.2.3 </w:t>
            </w:r>
            <w:r w:rsidRPr="008F5C15">
              <w:rPr>
                <w:rFonts w:ascii="Verdana" w:hAnsi="Verdana"/>
                <w:sz w:val="16"/>
                <w:szCs w:val="16"/>
                <w:lang w:val="es-MX"/>
              </w:rPr>
              <w:t>Número de lote y cantidad del producto a granel.</w:t>
            </w:r>
          </w:p>
        </w:tc>
        <w:tc>
          <w:tcPr>
            <w:tcW w:w="4427" w:type="dxa"/>
            <w:shd w:val="clear" w:color="auto" w:fill="auto"/>
          </w:tcPr>
          <w:p w14:paraId="5516F31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5.2.5.6.3.2.3 </w:t>
            </w:r>
            <w:r w:rsidRPr="008F5C15">
              <w:rPr>
                <w:rFonts w:ascii="Verdana" w:hAnsi="Verdana"/>
                <w:sz w:val="16"/>
                <w:szCs w:val="16"/>
                <w:lang w:val="en-US"/>
              </w:rPr>
              <w:t>Lot number and amount of the bulk product.</w:t>
            </w:r>
          </w:p>
        </w:tc>
      </w:tr>
      <w:tr w:rsidR="001C6A90" w:rsidRPr="00947A46" w14:paraId="148C30EE" w14:textId="77777777" w:rsidTr="00886332">
        <w:tc>
          <w:tcPr>
            <w:tcW w:w="4405" w:type="dxa"/>
          </w:tcPr>
          <w:p w14:paraId="19BCA21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5.2.5.6.3.2.4 </w:t>
            </w:r>
            <w:r w:rsidRPr="008F5C15">
              <w:rPr>
                <w:rFonts w:ascii="Verdana" w:hAnsi="Verdana"/>
                <w:sz w:val="16"/>
                <w:szCs w:val="16"/>
                <w:lang w:val="es-MX"/>
              </w:rPr>
              <w:t>Números de lote y cantidades de los materiales de envase y empaque.</w:t>
            </w:r>
          </w:p>
        </w:tc>
        <w:tc>
          <w:tcPr>
            <w:tcW w:w="4427" w:type="dxa"/>
            <w:shd w:val="clear" w:color="auto" w:fill="auto"/>
          </w:tcPr>
          <w:p w14:paraId="74A261B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5.2.5.6.3.2.4 </w:t>
            </w:r>
            <w:r w:rsidRPr="008F5C15">
              <w:rPr>
                <w:rFonts w:ascii="Verdana" w:hAnsi="Verdana"/>
                <w:sz w:val="16"/>
                <w:szCs w:val="16"/>
                <w:lang w:val="en-US"/>
              </w:rPr>
              <w:t>Lot numbers and amounts of container and packaging materials.</w:t>
            </w:r>
          </w:p>
        </w:tc>
      </w:tr>
      <w:tr w:rsidR="001C6A90" w:rsidRPr="00947A46" w14:paraId="29C6C203" w14:textId="77777777" w:rsidTr="00886332">
        <w:tc>
          <w:tcPr>
            <w:tcW w:w="4405" w:type="dxa"/>
          </w:tcPr>
          <w:p w14:paraId="613DE6D0"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5.2.5.6.3.2.5 </w:t>
            </w:r>
            <w:r w:rsidRPr="008F5C15">
              <w:rPr>
                <w:rFonts w:ascii="Verdana" w:hAnsi="Verdana"/>
                <w:sz w:val="16"/>
                <w:szCs w:val="16"/>
                <w:lang w:val="es-MX"/>
              </w:rPr>
              <w:t>La conciliación de materiales de envase y empaque para determinar la cantidad utilizada, la enviada a destrucción y los materiales devueltos.</w:t>
            </w:r>
          </w:p>
        </w:tc>
        <w:tc>
          <w:tcPr>
            <w:tcW w:w="4427" w:type="dxa"/>
            <w:shd w:val="clear" w:color="auto" w:fill="auto"/>
          </w:tcPr>
          <w:p w14:paraId="1ECC96E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5.2.5.6.3.2.5 </w:t>
            </w:r>
            <w:r w:rsidRPr="008F5C15">
              <w:rPr>
                <w:rFonts w:ascii="Verdana" w:hAnsi="Verdana"/>
                <w:sz w:val="16"/>
                <w:szCs w:val="16"/>
                <w:lang w:val="en-US"/>
              </w:rPr>
              <w:t>Conciliation of container and packaging materials in order to determine the used amount, that sent for destruction and returned materials</w:t>
            </w:r>
          </w:p>
        </w:tc>
      </w:tr>
      <w:tr w:rsidR="001C6A90" w:rsidRPr="00947A46" w14:paraId="148EA122" w14:textId="77777777" w:rsidTr="00886332">
        <w:tc>
          <w:tcPr>
            <w:tcW w:w="4405" w:type="dxa"/>
          </w:tcPr>
          <w:p w14:paraId="490DC49B"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5.2.5.6.3.2.6 </w:t>
            </w:r>
            <w:r w:rsidRPr="008F5C15">
              <w:rPr>
                <w:rFonts w:ascii="Verdana" w:hAnsi="Verdana"/>
                <w:sz w:val="16"/>
                <w:szCs w:val="16"/>
                <w:lang w:val="es-MX"/>
              </w:rPr>
              <w:t>Fecha y hora de inicio y término de las etapas del acondicionamiento.</w:t>
            </w:r>
          </w:p>
        </w:tc>
        <w:tc>
          <w:tcPr>
            <w:tcW w:w="4427" w:type="dxa"/>
            <w:shd w:val="clear" w:color="auto" w:fill="auto"/>
          </w:tcPr>
          <w:p w14:paraId="303C4E2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5.2.5.6.3.2.6</w:t>
            </w:r>
            <w:r w:rsidRPr="008F5C15">
              <w:rPr>
                <w:rFonts w:ascii="Verdana" w:hAnsi="Verdana"/>
                <w:sz w:val="16"/>
                <w:szCs w:val="16"/>
                <w:lang w:val="en-US"/>
              </w:rPr>
              <w:t xml:space="preserve"> Date and time of the start and finish of the conditioning stages.</w:t>
            </w:r>
          </w:p>
        </w:tc>
      </w:tr>
      <w:tr w:rsidR="001C6A90" w:rsidRPr="00947A46" w14:paraId="7C95CD3D" w14:textId="77777777" w:rsidTr="00886332">
        <w:tc>
          <w:tcPr>
            <w:tcW w:w="4405" w:type="dxa"/>
          </w:tcPr>
          <w:p w14:paraId="3EC857F7"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5.2.5.6.3.2.7 </w:t>
            </w:r>
            <w:r w:rsidRPr="008F5C15">
              <w:rPr>
                <w:rFonts w:ascii="Verdana" w:hAnsi="Verdana"/>
                <w:sz w:val="16"/>
                <w:szCs w:val="16"/>
                <w:lang w:val="es-MX"/>
              </w:rPr>
              <w:t>Identificación de quién ejecutó la operación con la inicial del nombre y primer apellido, esta información debe ser trazable a un registro de operadores y supervisores de las áreas de acondicionamiento.</w:t>
            </w:r>
          </w:p>
        </w:tc>
        <w:tc>
          <w:tcPr>
            <w:tcW w:w="4427" w:type="dxa"/>
            <w:shd w:val="clear" w:color="auto" w:fill="auto"/>
          </w:tcPr>
          <w:p w14:paraId="26E3649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5.2.5.6.3.2.7 </w:t>
            </w:r>
            <w:r w:rsidRPr="008F5C15">
              <w:rPr>
                <w:rFonts w:ascii="Verdana" w:hAnsi="Verdana"/>
                <w:sz w:val="16"/>
                <w:szCs w:val="16"/>
                <w:lang w:val="en-US"/>
              </w:rPr>
              <w:t>Identification of who performed the initial operation, with the initial of the first name and first last name, this information must be traceable to a record of operators and supervisors of the conditioning areas.</w:t>
            </w:r>
          </w:p>
        </w:tc>
      </w:tr>
      <w:tr w:rsidR="001C6A90" w:rsidRPr="00262EF8" w14:paraId="07119C1E" w14:textId="77777777" w:rsidTr="00886332">
        <w:tc>
          <w:tcPr>
            <w:tcW w:w="4405" w:type="dxa"/>
          </w:tcPr>
          <w:p w14:paraId="19EF90B4"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5.2.5.6.3.2.8 </w:t>
            </w:r>
            <w:r w:rsidRPr="008F5C15">
              <w:rPr>
                <w:rFonts w:ascii="Verdana" w:hAnsi="Verdana"/>
                <w:sz w:val="16"/>
                <w:szCs w:val="16"/>
                <w:lang w:val="es-MX"/>
              </w:rPr>
              <w:t>Registros de la supervisión.</w:t>
            </w:r>
          </w:p>
        </w:tc>
        <w:tc>
          <w:tcPr>
            <w:tcW w:w="4427" w:type="dxa"/>
            <w:shd w:val="clear" w:color="auto" w:fill="auto"/>
          </w:tcPr>
          <w:p w14:paraId="168F007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5.2.5.6.3.2.8 </w:t>
            </w:r>
            <w:r w:rsidRPr="008F5C15">
              <w:rPr>
                <w:rFonts w:ascii="Verdana" w:hAnsi="Verdana"/>
                <w:sz w:val="16"/>
                <w:szCs w:val="16"/>
                <w:lang w:val="en-US"/>
              </w:rPr>
              <w:t>Supervision records.</w:t>
            </w:r>
          </w:p>
        </w:tc>
      </w:tr>
      <w:tr w:rsidR="001C6A90" w:rsidRPr="00947A46" w14:paraId="2BB673A7" w14:textId="77777777" w:rsidTr="00886332">
        <w:tc>
          <w:tcPr>
            <w:tcW w:w="4405" w:type="dxa"/>
          </w:tcPr>
          <w:p w14:paraId="499ED7EE"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5.2.5.6.3.2.9 </w:t>
            </w:r>
            <w:r w:rsidRPr="008F5C15">
              <w:rPr>
                <w:rFonts w:ascii="Verdana" w:hAnsi="Verdana"/>
                <w:sz w:val="16"/>
                <w:szCs w:val="16"/>
                <w:lang w:val="es-MX"/>
              </w:rPr>
              <w:t>Registro de los controles en proceso con los resultados obtenidos y las personas que lo realizaron (inicial del nombre y primer apellido).</w:t>
            </w:r>
          </w:p>
        </w:tc>
        <w:tc>
          <w:tcPr>
            <w:tcW w:w="4427" w:type="dxa"/>
            <w:shd w:val="clear" w:color="auto" w:fill="auto"/>
          </w:tcPr>
          <w:p w14:paraId="6DCEA5A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5.2.5.6.3.2.9</w:t>
            </w:r>
            <w:r w:rsidRPr="008F5C15">
              <w:rPr>
                <w:rFonts w:ascii="Verdana" w:hAnsi="Verdana"/>
                <w:sz w:val="16"/>
                <w:szCs w:val="16"/>
                <w:lang w:val="en-US"/>
              </w:rPr>
              <w:t xml:space="preserve"> Record of the controls in process with the obtained results and the persons who performed it (initial of the first name and first last name). </w:t>
            </w:r>
          </w:p>
        </w:tc>
      </w:tr>
      <w:tr w:rsidR="001C6A90" w:rsidRPr="00947A46" w14:paraId="51EA43D1" w14:textId="77777777" w:rsidTr="00886332">
        <w:tc>
          <w:tcPr>
            <w:tcW w:w="4405" w:type="dxa"/>
          </w:tcPr>
          <w:p w14:paraId="117FA21E"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5.2.5.6.3.2.10 </w:t>
            </w:r>
            <w:r w:rsidRPr="008F5C15">
              <w:rPr>
                <w:rFonts w:ascii="Verdana" w:hAnsi="Verdana"/>
                <w:sz w:val="16"/>
                <w:szCs w:val="16"/>
                <w:lang w:val="es-MX"/>
              </w:rPr>
              <w:t>Rendimientos obtenidos durante las distintas etapas de acondicionamiento.</w:t>
            </w:r>
          </w:p>
        </w:tc>
        <w:tc>
          <w:tcPr>
            <w:tcW w:w="4427" w:type="dxa"/>
            <w:shd w:val="clear" w:color="auto" w:fill="auto"/>
          </w:tcPr>
          <w:p w14:paraId="687B013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5.2.5.6.3.2.10 </w:t>
            </w:r>
            <w:r w:rsidRPr="008F5C15">
              <w:rPr>
                <w:rFonts w:ascii="Verdana" w:hAnsi="Verdana"/>
                <w:sz w:val="16"/>
                <w:szCs w:val="16"/>
                <w:lang w:val="en-US"/>
              </w:rPr>
              <w:t>Yield obtained during the different stages of the conditioning process.</w:t>
            </w:r>
          </w:p>
        </w:tc>
      </w:tr>
      <w:tr w:rsidR="001C6A90" w:rsidRPr="00947A46" w14:paraId="4F26AF18" w14:textId="77777777" w:rsidTr="00886332">
        <w:tc>
          <w:tcPr>
            <w:tcW w:w="4405" w:type="dxa"/>
          </w:tcPr>
          <w:p w14:paraId="2338828B"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5.2.5.6.3.2.11 </w:t>
            </w:r>
            <w:r w:rsidRPr="008F5C15">
              <w:rPr>
                <w:rFonts w:ascii="Verdana" w:hAnsi="Verdana"/>
                <w:sz w:val="16"/>
                <w:szCs w:val="16"/>
                <w:lang w:val="es-MX"/>
              </w:rPr>
              <w:t>Cualquier desviación a las instrucciones de acondicionamiento debe ser registrada, investigada y evaluada. La investigación debe ser concluida para la liberación del lote.</w:t>
            </w:r>
          </w:p>
        </w:tc>
        <w:tc>
          <w:tcPr>
            <w:tcW w:w="4427" w:type="dxa"/>
            <w:shd w:val="clear" w:color="auto" w:fill="auto"/>
          </w:tcPr>
          <w:p w14:paraId="49F4CB4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5.2.5.6.3.2.11 </w:t>
            </w:r>
            <w:r w:rsidRPr="008F5C15">
              <w:rPr>
                <w:rFonts w:ascii="Verdana" w:hAnsi="Verdana"/>
                <w:sz w:val="16"/>
                <w:szCs w:val="16"/>
                <w:lang w:val="en-US"/>
              </w:rPr>
              <w:t>Any deviation to the production instructions must be registered, investigated and assessed. The investigation must be concluded for the release of the lot.</w:t>
            </w:r>
          </w:p>
        </w:tc>
      </w:tr>
      <w:tr w:rsidR="001C6A90" w:rsidRPr="00947A46" w14:paraId="44BA2BBD" w14:textId="77777777" w:rsidTr="00886332">
        <w:tc>
          <w:tcPr>
            <w:tcW w:w="4405" w:type="dxa"/>
          </w:tcPr>
          <w:p w14:paraId="1A17F8D3"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5.2.5.6.3.2.12 </w:t>
            </w:r>
            <w:r w:rsidRPr="008F5C15">
              <w:rPr>
                <w:rFonts w:ascii="Verdana" w:hAnsi="Verdana"/>
                <w:sz w:val="16"/>
                <w:szCs w:val="16"/>
                <w:lang w:val="es-MX"/>
              </w:rPr>
              <w:t>Cada expediente de acondicionamiento debe estar firmado de conformidad por el Responsable Sanitario o persona calificada para certificar que el producto fue acondicionado cumpliendo las BPF.</w:t>
            </w:r>
          </w:p>
        </w:tc>
        <w:tc>
          <w:tcPr>
            <w:tcW w:w="4427" w:type="dxa"/>
            <w:shd w:val="clear" w:color="auto" w:fill="auto"/>
          </w:tcPr>
          <w:p w14:paraId="24B1669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5.2.5.6.3.2.12 </w:t>
            </w:r>
            <w:r w:rsidRPr="008F5C15">
              <w:rPr>
                <w:rFonts w:ascii="Verdana" w:hAnsi="Verdana"/>
                <w:sz w:val="16"/>
                <w:szCs w:val="16"/>
                <w:lang w:val="en-US"/>
              </w:rPr>
              <w:t>Each conditioning file must be signed by the Responsible Health Worker or the Authorized Person in agreement that the product was developed in compliance with GMP.</w:t>
            </w:r>
          </w:p>
        </w:tc>
      </w:tr>
      <w:tr w:rsidR="001C6A90" w:rsidRPr="00262EF8" w14:paraId="2BF7B04C" w14:textId="77777777" w:rsidTr="00886332">
        <w:tc>
          <w:tcPr>
            <w:tcW w:w="4405" w:type="dxa"/>
          </w:tcPr>
          <w:p w14:paraId="352CCCEC" w14:textId="77777777" w:rsidR="001C6A90" w:rsidRPr="008F5C15" w:rsidRDefault="001C6A90" w:rsidP="001C6A90">
            <w:pPr>
              <w:pStyle w:val="Texto"/>
              <w:spacing w:after="90" w:line="276" w:lineRule="auto"/>
              <w:ind w:firstLine="0"/>
              <w:rPr>
                <w:rFonts w:ascii="Verdana" w:hAnsi="Verdana"/>
                <w:b/>
                <w:sz w:val="16"/>
                <w:szCs w:val="16"/>
                <w:lang w:val="es-MX"/>
              </w:rPr>
            </w:pPr>
            <w:r w:rsidRPr="008F5C15">
              <w:rPr>
                <w:rFonts w:ascii="Verdana" w:hAnsi="Verdana"/>
                <w:b/>
                <w:sz w:val="16"/>
                <w:szCs w:val="16"/>
                <w:lang w:val="es-MX"/>
              </w:rPr>
              <w:t xml:space="preserve">5.2.5.7 </w:t>
            </w:r>
            <w:r w:rsidRPr="008F5C15">
              <w:rPr>
                <w:rFonts w:ascii="Verdana" w:hAnsi="Verdana"/>
                <w:sz w:val="16"/>
                <w:szCs w:val="16"/>
                <w:lang w:val="es-MX"/>
              </w:rPr>
              <w:t>Métodos analíticos y de prueba.</w:t>
            </w:r>
          </w:p>
        </w:tc>
        <w:tc>
          <w:tcPr>
            <w:tcW w:w="4427" w:type="dxa"/>
            <w:shd w:val="clear" w:color="auto" w:fill="auto"/>
          </w:tcPr>
          <w:p w14:paraId="12BE5CB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5.2.5.7 </w:t>
            </w:r>
            <w:r w:rsidRPr="008F5C15">
              <w:rPr>
                <w:rFonts w:ascii="Verdana" w:hAnsi="Verdana"/>
                <w:sz w:val="16"/>
                <w:szCs w:val="16"/>
                <w:lang w:val="en-US"/>
              </w:rPr>
              <w:t xml:space="preserve">Analytical and testing methods. </w:t>
            </w:r>
          </w:p>
        </w:tc>
      </w:tr>
      <w:tr w:rsidR="001C6A90" w:rsidRPr="00947A46" w14:paraId="2DDD51BA" w14:textId="77777777" w:rsidTr="00886332">
        <w:tc>
          <w:tcPr>
            <w:tcW w:w="4405" w:type="dxa"/>
          </w:tcPr>
          <w:p w14:paraId="583328F4"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5.2.5.7.1 </w:t>
            </w:r>
            <w:r w:rsidRPr="008F5C15">
              <w:rPr>
                <w:rFonts w:ascii="Verdana" w:hAnsi="Verdana"/>
                <w:sz w:val="16"/>
                <w:szCs w:val="16"/>
                <w:lang w:val="es-MX"/>
              </w:rPr>
              <w:t>Deben existir procedimientos escritos que describan los métodos, equipos e instrumentos utilizados para el análisis o evaluación de los insumos y productos en las diferentes etapas de fabricación.</w:t>
            </w:r>
          </w:p>
        </w:tc>
        <w:tc>
          <w:tcPr>
            <w:tcW w:w="4427" w:type="dxa"/>
            <w:shd w:val="clear" w:color="auto" w:fill="auto"/>
          </w:tcPr>
          <w:p w14:paraId="3DB6EE3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5.2.5.7.1 </w:t>
            </w:r>
            <w:r w:rsidRPr="008F5C15">
              <w:rPr>
                <w:rFonts w:ascii="Verdana" w:hAnsi="Verdana"/>
                <w:sz w:val="16"/>
                <w:szCs w:val="16"/>
                <w:lang w:val="en-US"/>
              </w:rPr>
              <w:t>There must be written procedures which describe the methods, equipment and instruments used for the analysis or evaluation of materials and products in the different stages of manufacture.</w:t>
            </w:r>
          </w:p>
        </w:tc>
      </w:tr>
      <w:tr w:rsidR="001C6A90" w:rsidRPr="00947A46" w14:paraId="394FCE15" w14:textId="77777777" w:rsidTr="00886332">
        <w:tc>
          <w:tcPr>
            <w:tcW w:w="4405" w:type="dxa"/>
          </w:tcPr>
          <w:p w14:paraId="1E952AAF"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5.2.5.7.2. </w:t>
            </w:r>
            <w:r w:rsidRPr="008F5C15">
              <w:rPr>
                <w:rFonts w:ascii="Verdana" w:hAnsi="Verdana"/>
                <w:sz w:val="16"/>
                <w:szCs w:val="16"/>
                <w:lang w:val="es-MX"/>
              </w:rPr>
              <w:t>Se debe conservar el registro de los análisis y evaluaciones realizadas.</w:t>
            </w:r>
          </w:p>
        </w:tc>
        <w:tc>
          <w:tcPr>
            <w:tcW w:w="4427" w:type="dxa"/>
            <w:shd w:val="clear" w:color="auto" w:fill="auto"/>
          </w:tcPr>
          <w:p w14:paraId="5B93347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5.2.5.7.2</w:t>
            </w:r>
            <w:r w:rsidRPr="008F5C15">
              <w:rPr>
                <w:rFonts w:ascii="Verdana" w:hAnsi="Verdana"/>
                <w:sz w:val="16"/>
                <w:szCs w:val="16"/>
                <w:lang w:val="en-US"/>
              </w:rPr>
              <w:t xml:space="preserve"> A record of the performed analysis and evaluations must be kept.</w:t>
            </w:r>
          </w:p>
        </w:tc>
      </w:tr>
      <w:tr w:rsidR="001C6A90" w:rsidRPr="00947A46" w14:paraId="18C885E2" w14:textId="77777777" w:rsidTr="00886332">
        <w:tc>
          <w:tcPr>
            <w:tcW w:w="4405" w:type="dxa"/>
          </w:tcPr>
          <w:p w14:paraId="45A1DF35"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5.2.5.8 </w:t>
            </w:r>
            <w:r w:rsidRPr="008F5C15">
              <w:rPr>
                <w:rFonts w:ascii="Verdana" w:hAnsi="Verdana"/>
                <w:sz w:val="16"/>
                <w:szCs w:val="16"/>
                <w:lang w:val="es-MX"/>
              </w:rPr>
              <w:t>Otros documentos relacionados al cumplimiento de BPF.</w:t>
            </w:r>
          </w:p>
        </w:tc>
        <w:tc>
          <w:tcPr>
            <w:tcW w:w="4427" w:type="dxa"/>
            <w:shd w:val="clear" w:color="auto" w:fill="auto"/>
          </w:tcPr>
          <w:p w14:paraId="6DFCDD73"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 </w:t>
            </w:r>
            <w:r w:rsidRPr="008F5C15">
              <w:rPr>
                <w:rFonts w:ascii="Verdana" w:hAnsi="Verdana"/>
                <w:sz w:val="16"/>
                <w:szCs w:val="16"/>
                <w:lang w:val="en-US"/>
              </w:rPr>
              <w:t>Other documents related with compliance to GMP.</w:t>
            </w:r>
          </w:p>
        </w:tc>
      </w:tr>
      <w:tr w:rsidR="001C6A90" w:rsidRPr="00947A46" w14:paraId="6EB718D3" w14:textId="77777777" w:rsidTr="00886332">
        <w:tc>
          <w:tcPr>
            <w:tcW w:w="4405" w:type="dxa"/>
          </w:tcPr>
          <w:p w14:paraId="5FC4E160" w14:textId="77777777" w:rsidR="001C6A90" w:rsidRPr="008F5C15" w:rsidRDefault="001C6A90" w:rsidP="001C6A90">
            <w:pPr>
              <w:pStyle w:val="Texto"/>
              <w:spacing w:after="90" w:line="276" w:lineRule="auto"/>
              <w:ind w:firstLine="0"/>
              <w:rPr>
                <w:rFonts w:ascii="Verdana" w:hAnsi="Verdana"/>
                <w:sz w:val="16"/>
                <w:szCs w:val="16"/>
                <w:lang w:val="es-MX"/>
              </w:rPr>
            </w:pPr>
            <w:r w:rsidRPr="008F5C15">
              <w:rPr>
                <w:rFonts w:ascii="Verdana" w:hAnsi="Verdana"/>
                <w:b/>
                <w:sz w:val="16"/>
                <w:szCs w:val="16"/>
                <w:lang w:val="es-MX"/>
              </w:rPr>
              <w:t xml:space="preserve">5.2.5.8.1 </w:t>
            </w:r>
            <w:r w:rsidRPr="008F5C15">
              <w:rPr>
                <w:rFonts w:ascii="Verdana" w:hAnsi="Verdana"/>
                <w:sz w:val="16"/>
                <w:szCs w:val="16"/>
                <w:lang w:val="es-MX"/>
              </w:rPr>
              <w:t xml:space="preserve">Debe estar disponible documentación escrita relacionada al cumplimiento de BPF para el personal responsable de las actividades descritas en éstos, esta documentación debe corresponder al </w:t>
            </w:r>
            <w:r w:rsidRPr="008F5C15">
              <w:rPr>
                <w:rFonts w:ascii="Verdana" w:hAnsi="Verdana"/>
                <w:sz w:val="16"/>
                <w:szCs w:val="16"/>
                <w:lang w:val="es-MX"/>
              </w:rPr>
              <w:lastRenderedPageBreak/>
              <w:t>nivel asignado en el Sistema de Gestión de Calidad y puede estar en forma de políticas, PNO, protocolos, instructivos de trabajo, reportes, acuerdos entre otros.</w:t>
            </w:r>
          </w:p>
        </w:tc>
        <w:tc>
          <w:tcPr>
            <w:tcW w:w="4427" w:type="dxa"/>
            <w:shd w:val="clear" w:color="auto" w:fill="auto"/>
          </w:tcPr>
          <w:p w14:paraId="1F071B82"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5.2.5.8.1 </w:t>
            </w:r>
            <w:r w:rsidRPr="008F5C15">
              <w:rPr>
                <w:rFonts w:ascii="Verdana" w:hAnsi="Verdana"/>
                <w:sz w:val="16"/>
                <w:szCs w:val="16"/>
                <w:lang w:val="en-US"/>
              </w:rPr>
              <w:t xml:space="preserve">Written documentation related to compliance with GMP must be available to all personnel responsible of the activities described within these, this documentation must correspond to </w:t>
            </w:r>
            <w:r w:rsidRPr="008F5C15">
              <w:rPr>
                <w:rFonts w:ascii="Verdana" w:hAnsi="Verdana"/>
                <w:sz w:val="16"/>
                <w:szCs w:val="16"/>
                <w:lang w:val="en-US"/>
              </w:rPr>
              <w:lastRenderedPageBreak/>
              <w:t>the level assigned in the quality management system and can be in the form of policies, SOP, protocols, work instructions, reports, among others.</w:t>
            </w:r>
          </w:p>
        </w:tc>
      </w:tr>
      <w:tr w:rsidR="001C6A90" w:rsidRPr="00947A46" w14:paraId="2B3A3985" w14:textId="77777777" w:rsidTr="00886332">
        <w:tc>
          <w:tcPr>
            <w:tcW w:w="4405" w:type="dxa"/>
          </w:tcPr>
          <w:p w14:paraId="0140454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5.2.5.8.2 </w:t>
            </w:r>
            <w:r w:rsidRPr="008F5C15">
              <w:rPr>
                <w:rFonts w:ascii="Verdana" w:hAnsi="Verdana"/>
                <w:sz w:val="16"/>
                <w:szCs w:val="16"/>
                <w:lang w:val="es-MX"/>
              </w:rPr>
              <w:t>Debe existir la evidencia documentada de la utilización de estos documentos o la realización de las actividades que en ellos se describan.</w:t>
            </w:r>
          </w:p>
        </w:tc>
        <w:tc>
          <w:tcPr>
            <w:tcW w:w="4427" w:type="dxa"/>
            <w:shd w:val="clear" w:color="auto" w:fill="auto"/>
          </w:tcPr>
          <w:p w14:paraId="19AD5FA0"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5.2.5.8.2</w:t>
            </w:r>
            <w:r w:rsidRPr="008F5C15">
              <w:rPr>
                <w:rFonts w:ascii="Verdana" w:hAnsi="Verdana"/>
                <w:sz w:val="16"/>
                <w:szCs w:val="16"/>
                <w:lang w:val="en-US"/>
              </w:rPr>
              <w:t xml:space="preserve"> There must be documented evidence of the use of these documents or of the performance of the activities described within them.</w:t>
            </w:r>
          </w:p>
        </w:tc>
      </w:tr>
      <w:tr w:rsidR="001C6A90" w:rsidRPr="00947A46" w14:paraId="12E844FF" w14:textId="77777777" w:rsidTr="00886332">
        <w:tc>
          <w:tcPr>
            <w:tcW w:w="4405" w:type="dxa"/>
          </w:tcPr>
          <w:p w14:paraId="73BD71BA" w14:textId="77777777" w:rsidR="001C6A90" w:rsidRPr="008F5C15" w:rsidRDefault="001C6A90" w:rsidP="001C6A90">
            <w:pPr>
              <w:pStyle w:val="Texto"/>
              <w:spacing w:line="276" w:lineRule="auto"/>
              <w:ind w:firstLine="0"/>
              <w:rPr>
                <w:rFonts w:ascii="Verdana" w:hAnsi="Verdana"/>
                <w:b/>
                <w:spacing w:val="20"/>
                <w:sz w:val="16"/>
                <w:szCs w:val="16"/>
                <w:lang w:val="es-MX"/>
              </w:rPr>
            </w:pPr>
            <w:r w:rsidRPr="008F5C15">
              <w:rPr>
                <w:rFonts w:ascii="Verdana" w:hAnsi="Verdana"/>
                <w:b/>
                <w:sz w:val="16"/>
                <w:szCs w:val="16"/>
                <w:lang w:val="es-MX"/>
              </w:rPr>
              <w:t xml:space="preserve">5.2.5.8.3 </w:t>
            </w:r>
            <w:r w:rsidRPr="008F5C15">
              <w:rPr>
                <w:rFonts w:ascii="Verdana" w:hAnsi="Verdana"/>
                <w:sz w:val="16"/>
                <w:szCs w:val="16"/>
                <w:lang w:val="es-MX"/>
              </w:rPr>
              <w:t>Debe existir documentación escrita para las siguientes actividades o procesos, esta lista no es limitativa y pueden existir más documentos relacionados:</w:t>
            </w:r>
          </w:p>
        </w:tc>
        <w:tc>
          <w:tcPr>
            <w:tcW w:w="4427" w:type="dxa"/>
            <w:shd w:val="clear" w:color="auto" w:fill="auto"/>
          </w:tcPr>
          <w:p w14:paraId="45C0DCED"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w:t>
            </w:r>
            <w:r w:rsidRPr="008F5C15">
              <w:rPr>
                <w:rFonts w:ascii="Verdana" w:hAnsi="Verdana"/>
                <w:sz w:val="16"/>
                <w:szCs w:val="16"/>
                <w:lang w:val="en-US"/>
              </w:rPr>
              <w:t xml:space="preserve"> There must be written documentation for the following activities or process, this list is not limited and there can be more related documents:</w:t>
            </w:r>
          </w:p>
        </w:tc>
      </w:tr>
      <w:tr w:rsidR="001C6A90" w:rsidRPr="00947A46" w14:paraId="059D7FFC" w14:textId="77777777" w:rsidTr="00886332">
        <w:tc>
          <w:tcPr>
            <w:tcW w:w="4405" w:type="dxa"/>
          </w:tcPr>
          <w:p w14:paraId="73AB966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5.2.5.8.3.1 </w:t>
            </w:r>
            <w:r w:rsidRPr="008F5C15">
              <w:rPr>
                <w:rFonts w:ascii="Verdana" w:hAnsi="Verdana"/>
                <w:sz w:val="16"/>
                <w:szCs w:val="16"/>
                <w:lang w:val="es-MX"/>
              </w:rPr>
              <w:t>Limpieza y sanitización de áreas, equipos y sistemas críticos.</w:t>
            </w:r>
          </w:p>
        </w:tc>
        <w:tc>
          <w:tcPr>
            <w:tcW w:w="4427" w:type="dxa"/>
            <w:shd w:val="clear" w:color="auto" w:fill="auto"/>
          </w:tcPr>
          <w:p w14:paraId="18B57D88"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5.2.5.8.3.1 </w:t>
            </w:r>
            <w:r w:rsidRPr="008F5C15">
              <w:rPr>
                <w:rFonts w:ascii="Verdana" w:hAnsi="Verdana"/>
                <w:sz w:val="16"/>
                <w:szCs w:val="16"/>
                <w:lang w:val="en-US"/>
              </w:rPr>
              <w:t>Cleaning and sanitizing of areas, equipment and critical systems.</w:t>
            </w:r>
          </w:p>
        </w:tc>
      </w:tr>
      <w:tr w:rsidR="001C6A90" w:rsidRPr="00947A46" w14:paraId="323806B1" w14:textId="77777777" w:rsidTr="00886332">
        <w:tc>
          <w:tcPr>
            <w:tcW w:w="4405" w:type="dxa"/>
          </w:tcPr>
          <w:p w14:paraId="0643952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5.2.5.8.3.2 </w:t>
            </w:r>
            <w:r w:rsidRPr="008F5C15">
              <w:rPr>
                <w:rFonts w:ascii="Verdana" w:hAnsi="Verdana"/>
                <w:sz w:val="16"/>
                <w:szCs w:val="16"/>
                <w:lang w:val="es-MX"/>
              </w:rPr>
              <w:t>Operación y mantenimiento de equipos e instrumentos.</w:t>
            </w:r>
          </w:p>
        </w:tc>
        <w:tc>
          <w:tcPr>
            <w:tcW w:w="4427" w:type="dxa"/>
            <w:shd w:val="clear" w:color="auto" w:fill="auto"/>
          </w:tcPr>
          <w:p w14:paraId="69BDD241"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5.2.5.8.3.2</w:t>
            </w:r>
            <w:r w:rsidRPr="008F5C15">
              <w:rPr>
                <w:rFonts w:ascii="Verdana" w:hAnsi="Verdana"/>
                <w:sz w:val="16"/>
                <w:szCs w:val="16"/>
                <w:lang w:val="en-US"/>
              </w:rPr>
              <w:t xml:space="preserve"> Operation and maintenance of equipment and instruments.</w:t>
            </w:r>
          </w:p>
        </w:tc>
      </w:tr>
      <w:tr w:rsidR="001C6A90" w:rsidRPr="00947A46" w14:paraId="232AF7A5" w14:textId="77777777" w:rsidTr="00886332">
        <w:tc>
          <w:tcPr>
            <w:tcW w:w="4405" w:type="dxa"/>
          </w:tcPr>
          <w:p w14:paraId="2A65908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5.2.5.8.3.3 </w:t>
            </w:r>
            <w:r w:rsidRPr="008F5C15">
              <w:rPr>
                <w:rFonts w:ascii="Verdana" w:hAnsi="Verdana"/>
                <w:sz w:val="16"/>
                <w:szCs w:val="16"/>
                <w:lang w:val="es-MX"/>
              </w:rPr>
              <w:t>Calificación de equipos y sistemas y validación de procesos.</w:t>
            </w:r>
          </w:p>
        </w:tc>
        <w:tc>
          <w:tcPr>
            <w:tcW w:w="4427" w:type="dxa"/>
            <w:shd w:val="clear" w:color="auto" w:fill="auto"/>
          </w:tcPr>
          <w:p w14:paraId="1566C89D"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5.2.5.8.3.3</w:t>
            </w:r>
            <w:r w:rsidRPr="008F5C15">
              <w:rPr>
                <w:rFonts w:ascii="Verdana" w:hAnsi="Verdana"/>
                <w:sz w:val="16"/>
                <w:szCs w:val="16"/>
                <w:lang w:val="en-US"/>
              </w:rPr>
              <w:t xml:space="preserve"> Qualification of equipment and systems and validation of processes.</w:t>
            </w:r>
          </w:p>
        </w:tc>
      </w:tr>
      <w:tr w:rsidR="001C6A90" w:rsidRPr="00947A46" w14:paraId="7F035956" w14:textId="77777777" w:rsidTr="00886332">
        <w:tc>
          <w:tcPr>
            <w:tcW w:w="4405" w:type="dxa"/>
          </w:tcPr>
          <w:p w14:paraId="426B28C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5.2.5.8.3.4 </w:t>
            </w:r>
            <w:r w:rsidRPr="008F5C15">
              <w:rPr>
                <w:rFonts w:ascii="Verdana" w:hAnsi="Verdana"/>
                <w:sz w:val="16"/>
                <w:szCs w:val="16"/>
                <w:lang w:val="es-MX"/>
              </w:rPr>
              <w:t>Capacitación, calificación y verificación de la efectividad de la capacitación del personal en BPF, higiene, vestido y temas técnicos relacionados a su actividad.</w:t>
            </w:r>
          </w:p>
        </w:tc>
        <w:tc>
          <w:tcPr>
            <w:tcW w:w="4427" w:type="dxa"/>
            <w:shd w:val="clear" w:color="auto" w:fill="auto"/>
          </w:tcPr>
          <w:p w14:paraId="2408C1E6"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5.2.5.8.3.4 </w:t>
            </w:r>
            <w:r w:rsidRPr="008F5C15">
              <w:rPr>
                <w:rFonts w:ascii="Verdana" w:hAnsi="Verdana"/>
                <w:sz w:val="16"/>
                <w:szCs w:val="16"/>
                <w:lang w:val="en-US"/>
              </w:rPr>
              <w:t>Training, qualification and verification of the effectiveness GMP personnel training, hygiene, clothing and technical issues related to their activity.</w:t>
            </w:r>
          </w:p>
        </w:tc>
      </w:tr>
      <w:tr w:rsidR="001C6A90" w:rsidRPr="00947A46" w14:paraId="19FB2278" w14:textId="77777777" w:rsidTr="00886332">
        <w:tc>
          <w:tcPr>
            <w:tcW w:w="4405" w:type="dxa"/>
          </w:tcPr>
          <w:p w14:paraId="3E872EB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5.2.5.8.3.5 </w:t>
            </w:r>
            <w:r w:rsidRPr="008F5C15">
              <w:rPr>
                <w:rFonts w:ascii="Verdana" w:hAnsi="Verdana"/>
                <w:sz w:val="16"/>
                <w:szCs w:val="16"/>
                <w:lang w:val="es-MX"/>
              </w:rPr>
              <w:t>Lista de firmas con inicial del nombre y primer apellido y/o iniciales del personal involucrado en la fabricación de los medicamentos en todas sus etapas.</w:t>
            </w:r>
          </w:p>
        </w:tc>
        <w:tc>
          <w:tcPr>
            <w:tcW w:w="4427" w:type="dxa"/>
            <w:shd w:val="clear" w:color="auto" w:fill="auto"/>
          </w:tcPr>
          <w:p w14:paraId="63178FF9"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5.2.5.8.3.5 </w:t>
            </w:r>
            <w:r w:rsidRPr="008F5C15">
              <w:rPr>
                <w:rFonts w:ascii="Verdana" w:hAnsi="Verdana"/>
                <w:sz w:val="16"/>
                <w:szCs w:val="16"/>
                <w:lang w:val="en-US"/>
              </w:rPr>
              <w:t>Lists of signatures with the initial of the first and last name or initials of the personnel involved in the manufacture of drug products during all its stages.</w:t>
            </w:r>
          </w:p>
        </w:tc>
      </w:tr>
      <w:tr w:rsidR="001C6A90" w:rsidRPr="00262EF8" w14:paraId="202DCC14" w14:textId="77777777" w:rsidTr="00886332">
        <w:tc>
          <w:tcPr>
            <w:tcW w:w="4405" w:type="dxa"/>
          </w:tcPr>
          <w:p w14:paraId="5266155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5.2.5.8.3.6 </w:t>
            </w:r>
            <w:r w:rsidRPr="008F5C15">
              <w:rPr>
                <w:rFonts w:ascii="Verdana" w:hAnsi="Verdana"/>
                <w:sz w:val="16"/>
                <w:szCs w:val="16"/>
                <w:lang w:val="es-MX"/>
              </w:rPr>
              <w:t>Transferencia de tecnología.</w:t>
            </w:r>
          </w:p>
        </w:tc>
        <w:tc>
          <w:tcPr>
            <w:tcW w:w="4427" w:type="dxa"/>
            <w:shd w:val="clear" w:color="auto" w:fill="auto"/>
          </w:tcPr>
          <w:p w14:paraId="314E3401"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5.2.5.8.3.6</w:t>
            </w:r>
            <w:r w:rsidRPr="008F5C15">
              <w:rPr>
                <w:rFonts w:ascii="Verdana" w:hAnsi="Verdana"/>
                <w:sz w:val="16"/>
                <w:szCs w:val="16"/>
                <w:lang w:val="en-US"/>
              </w:rPr>
              <w:t xml:space="preserve"> Technology transfer. </w:t>
            </w:r>
          </w:p>
        </w:tc>
      </w:tr>
      <w:tr w:rsidR="001C6A90" w:rsidRPr="00262EF8" w14:paraId="323A6F53" w14:textId="77777777" w:rsidTr="00886332">
        <w:tc>
          <w:tcPr>
            <w:tcW w:w="4405" w:type="dxa"/>
          </w:tcPr>
          <w:p w14:paraId="17FADA3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5.2.5.8.3.7 </w:t>
            </w:r>
            <w:r w:rsidRPr="008F5C15">
              <w:rPr>
                <w:rFonts w:ascii="Verdana" w:hAnsi="Verdana"/>
                <w:sz w:val="16"/>
                <w:szCs w:val="16"/>
                <w:lang w:val="es-MX"/>
              </w:rPr>
              <w:t>Monitoreo ambiental.</w:t>
            </w:r>
          </w:p>
        </w:tc>
        <w:tc>
          <w:tcPr>
            <w:tcW w:w="4427" w:type="dxa"/>
            <w:shd w:val="clear" w:color="auto" w:fill="auto"/>
          </w:tcPr>
          <w:p w14:paraId="0D91ECE9"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5.2.5.8.3.7</w:t>
            </w:r>
            <w:r w:rsidRPr="008F5C15">
              <w:rPr>
                <w:rFonts w:ascii="Verdana" w:hAnsi="Verdana"/>
                <w:sz w:val="16"/>
                <w:szCs w:val="16"/>
                <w:lang w:val="en-US"/>
              </w:rPr>
              <w:t xml:space="preserve"> Environmental monitoring.</w:t>
            </w:r>
          </w:p>
        </w:tc>
      </w:tr>
      <w:tr w:rsidR="001C6A90" w:rsidRPr="00262EF8" w14:paraId="48A2DF97" w14:textId="77777777" w:rsidTr="00886332">
        <w:tc>
          <w:tcPr>
            <w:tcW w:w="4405" w:type="dxa"/>
          </w:tcPr>
          <w:p w14:paraId="06CDA45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5.2.5.8.3.8 </w:t>
            </w:r>
            <w:r w:rsidRPr="008F5C15">
              <w:rPr>
                <w:rFonts w:ascii="Verdana" w:hAnsi="Verdana"/>
                <w:sz w:val="16"/>
                <w:szCs w:val="16"/>
                <w:lang w:val="es-MX"/>
              </w:rPr>
              <w:t>Control de plagas.</w:t>
            </w:r>
          </w:p>
        </w:tc>
        <w:tc>
          <w:tcPr>
            <w:tcW w:w="4427" w:type="dxa"/>
            <w:shd w:val="clear" w:color="auto" w:fill="auto"/>
          </w:tcPr>
          <w:p w14:paraId="1A264146"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5.2.5.8.3.8 </w:t>
            </w:r>
            <w:r w:rsidRPr="008F5C15">
              <w:rPr>
                <w:rFonts w:ascii="Verdana" w:hAnsi="Verdana"/>
                <w:sz w:val="16"/>
                <w:szCs w:val="16"/>
                <w:lang w:val="en-US"/>
              </w:rPr>
              <w:t>Pest control.</w:t>
            </w:r>
          </w:p>
        </w:tc>
      </w:tr>
      <w:tr w:rsidR="001C6A90" w:rsidRPr="00947A46" w14:paraId="12CA70FD" w14:textId="77777777" w:rsidTr="00886332">
        <w:tc>
          <w:tcPr>
            <w:tcW w:w="4405" w:type="dxa"/>
          </w:tcPr>
          <w:p w14:paraId="2B68706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5.2.5.8.3.9 </w:t>
            </w:r>
            <w:r w:rsidRPr="008F5C15">
              <w:rPr>
                <w:rFonts w:ascii="Verdana" w:hAnsi="Verdana"/>
                <w:sz w:val="16"/>
                <w:szCs w:val="16"/>
                <w:lang w:val="es-MX"/>
              </w:rPr>
              <w:t>Investigación de desviaciones o no conformidades.</w:t>
            </w:r>
          </w:p>
        </w:tc>
        <w:tc>
          <w:tcPr>
            <w:tcW w:w="4427" w:type="dxa"/>
            <w:shd w:val="clear" w:color="auto" w:fill="auto"/>
          </w:tcPr>
          <w:p w14:paraId="60AE1E3A"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5.2.5.8.3.9 </w:t>
            </w:r>
            <w:r w:rsidRPr="008F5C15">
              <w:rPr>
                <w:rFonts w:ascii="Verdana" w:hAnsi="Verdana"/>
                <w:sz w:val="16"/>
                <w:szCs w:val="16"/>
                <w:lang w:val="en-US"/>
              </w:rPr>
              <w:t>Investigation of deviations or noncompliance.</w:t>
            </w:r>
          </w:p>
        </w:tc>
      </w:tr>
      <w:tr w:rsidR="001C6A90" w:rsidRPr="00262EF8" w14:paraId="5BAEC881" w14:textId="77777777" w:rsidTr="00886332">
        <w:tc>
          <w:tcPr>
            <w:tcW w:w="4405" w:type="dxa"/>
          </w:tcPr>
          <w:p w14:paraId="7B5D4C2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5.2.5.8.3.10 </w:t>
            </w:r>
            <w:r w:rsidRPr="008F5C15">
              <w:rPr>
                <w:rFonts w:ascii="Verdana" w:hAnsi="Verdana"/>
                <w:sz w:val="16"/>
                <w:szCs w:val="16"/>
                <w:lang w:val="es-MX"/>
              </w:rPr>
              <w:t>Reporte de quejas.</w:t>
            </w:r>
          </w:p>
        </w:tc>
        <w:tc>
          <w:tcPr>
            <w:tcW w:w="4427" w:type="dxa"/>
            <w:shd w:val="clear" w:color="auto" w:fill="auto"/>
          </w:tcPr>
          <w:p w14:paraId="4540A2B5"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5.2.5.8.3.10 </w:t>
            </w:r>
            <w:r w:rsidRPr="008F5C15">
              <w:rPr>
                <w:rFonts w:ascii="Verdana" w:hAnsi="Verdana"/>
                <w:sz w:val="16"/>
                <w:szCs w:val="16"/>
                <w:lang w:val="en-US"/>
              </w:rPr>
              <w:t>Report of</w:t>
            </w:r>
            <w:r w:rsidRPr="008F5C15">
              <w:rPr>
                <w:rFonts w:ascii="Verdana" w:hAnsi="Verdana"/>
                <w:b/>
                <w:sz w:val="16"/>
                <w:szCs w:val="16"/>
                <w:lang w:val="en-US"/>
              </w:rPr>
              <w:t xml:space="preserve"> </w:t>
            </w:r>
            <w:r w:rsidRPr="008F5C15">
              <w:rPr>
                <w:rFonts w:ascii="Verdana" w:hAnsi="Verdana"/>
                <w:sz w:val="16"/>
                <w:szCs w:val="16"/>
                <w:lang w:val="en-US"/>
              </w:rPr>
              <w:t>Complaints.</w:t>
            </w:r>
          </w:p>
        </w:tc>
      </w:tr>
      <w:tr w:rsidR="001C6A90" w:rsidRPr="00262EF8" w14:paraId="540FBF8F" w14:textId="77777777" w:rsidTr="00886332">
        <w:tc>
          <w:tcPr>
            <w:tcW w:w="4405" w:type="dxa"/>
          </w:tcPr>
          <w:p w14:paraId="5B4ED30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5.2.5.8.3.11 </w:t>
            </w:r>
            <w:r w:rsidRPr="008F5C15">
              <w:rPr>
                <w:rFonts w:ascii="Verdana" w:hAnsi="Verdana"/>
                <w:sz w:val="16"/>
                <w:szCs w:val="16"/>
                <w:lang w:val="es-MX"/>
              </w:rPr>
              <w:t>Reporte de control de cambios.</w:t>
            </w:r>
          </w:p>
        </w:tc>
        <w:tc>
          <w:tcPr>
            <w:tcW w:w="4427" w:type="dxa"/>
            <w:shd w:val="clear" w:color="auto" w:fill="auto"/>
          </w:tcPr>
          <w:p w14:paraId="7A02AF65" w14:textId="77777777" w:rsidR="001C6A90" w:rsidRPr="008F5C15" w:rsidRDefault="001C6A90" w:rsidP="001C6A90">
            <w:pPr>
              <w:pStyle w:val="Texto"/>
              <w:spacing w:after="88" w:line="276" w:lineRule="auto"/>
              <w:ind w:firstLine="0"/>
              <w:rPr>
                <w:rFonts w:ascii="Verdana" w:hAnsi="Verdana"/>
                <w:b/>
                <w:sz w:val="16"/>
                <w:szCs w:val="16"/>
                <w:lang w:val="en-US"/>
              </w:rPr>
            </w:pPr>
            <w:r w:rsidRPr="008F5C15">
              <w:rPr>
                <w:rFonts w:ascii="Verdana" w:hAnsi="Verdana"/>
                <w:b/>
                <w:sz w:val="16"/>
                <w:szCs w:val="16"/>
                <w:lang w:val="en-US"/>
              </w:rPr>
              <w:t xml:space="preserve">5.2.5.8.3.11 </w:t>
            </w:r>
            <w:r w:rsidRPr="008F5C15">
              <w:rPr>
                <w:rFonts w:ascii="Verdana" w:hAnsi="Verdana"/>
                <w:sz w:val="16"/>
                <w:szCs w:val="16"/>
                <w:lang w:val="en-US"/>
              </w:rPr>
              <w:t xml:space="preserve">Control of changes. </w:t>
            </w:r>
          </w:p>
        </w:tc>
      </w:tr>
      <w:tr w:rsidR="001C6A90" w:rsidRPr="00262EF8" w14:paraId="11CA1B62" w14:textId="77777777" w:rsidTr="00886332">
        <w:tc>
          <w:tcPr>
            <w:tcW w:w="4405" w:type="dxa"/>
          </w:tcPr>
          <w:p w14:paraId="7B34B32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5.2.5.8.3.12 </w:t>
            </w:r>
            <w:r w:rsidRPr="008F5C15">
              <w:rPr>
                <w:rFonts w:ascii="Verdana" w:hAnsi="Verdana"/>
                <w:sz w:val="16"/>
                <w:szCs w:val="16"/>
                <w:lang w:val="es-MX"/>
              </w:rPr>
              <w:t>Devolución de productos.</w:t>
            </w:r>
          </w:p>
        </w:tc>
        <w:tc>
          <w:tcPr>
            <w:tcW w:w="4427" w:type="dxa"/>
            <w:shd w:val="clear" w:color="auto" w:fill="auto"/>
          </w:tcPr>
          <w:p w14:paraId="2FCACA92"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5.2.5.8.3.12</w:t>
            </w:r>
            <w:r w:rsidRPr="008F5C15">
              <w:rPr>
                <w:rFonts w:ascii="Verdana" w:hAnsi="Verdana"/>
                <w:sz w:val="16"/>
                <w:szCs w:val="16"/>
                <w:lang w:val="en-US"/>
              </w:rPr>
              <w:t xml:space="preserve"> Product return.</w:t>
            </w:r>
          </w:p>
        </w:tc>
      </w:tr>
      <w:tr w:rsidR="001C6A90" w:rsidRPr="00947A46" w14:paraId="2D2C4FF1" w14:textId="77777777" w:rsidTr="00886332">
        <w:tc>
          <w:tcPr>
            <w:tcW w:w="4405" w:type="dxa"/>
          </w:tcPr>
          <w:p w14:paraId="1189380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5.2.5.8.3.13 </w:t>
            </w:r>
            <w:r w:rsidRPr="008F5C15">
              <w:rPr>
                <w:rFonts w:ascii="Verdana" w:hAnsi="Verdana"/>
                <w:sz w:val="16"/>
                <w:szCs w:val="16"/>
                <w:lang w:val="es-MX"/>
              </w:rPr>
              <w:t>Retiro de producto del mercado.</w:t>
            </w:r>
          </w:p>
        </w:tc>
        <w:tc>
          <w:tcPr>
            <w:tcW w:w="4427" w:type="dxa"/>
            <w:shd w:val="clear" w:color="auto" w:fill="auto"/>
          </w:tcPr>
          <w:p w14:paraId="583610B8"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5.2.5.8.3.12 </w:t>
            </w:r>
            <w:r w:rsidRPr="008F5C15">
              <w:rPr>
                <w:rFonts w:ascii="Verdana" w:hAnsi="Verdana"/>
                <w:sz w:val="16"/>
                <w:szCs w:val="16"/>
                <w:lang w:val="en-US"/>
              </w:rPr>
              <w:t>Withdrawal of the product from the market.</w:t>
            </w:r>
          </w:p>
        </w:tc>
      </w:tr>
      <w:tr w:rsidR="001C6A90" w:rsidRPr="00947A46" w14:paraId="4F4CA721" w14:textId="77777777" w:rsidTr="00886332">
        <w:tc>
          <w:tcPr>
            <w:tcW w:w="4405" w:type="dxa"/>
          </w:tcPr>
          <w:p w14:paraId="1803960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5.2.5.8.3.14 </w:t>
            </w:r>
            <w:r w:rsidRPr="008F5C15">
              <w:rPr>
                <w:rFonts w:ascii="Verdana" w:hAnsi="Verdana"/>
                <w:sz w:val="16"/>
                <w:szCs w:val="16"/>
                <w:lang w:val="es-MX"/>
              </w:rPr>
              <w:t>Reporte de Autoinspección, auditorías a proveedores, auditorías de entidades regulatorias, auditoría de clientes.</w:t>
            </w:r>
          </w:p>
        </w:tc>
        <w:tc>
          <w:tcPr>
            <w:tcW w:w="4427" w:type="dxa"/>
            <w:shd w:val="clear" w:color="auto" w:fill="auto"/>
          </w:tcPr>
          <w:p w14:paraId="5C9EB32D"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5.2.5.8.3.14 </w:t>
            </w:r>
            <w:r w:rsidRPr="008F5C15">
              <w:rPr>
                <w:rFonts w:ascii="Verdana" w:hAnsi="Verdana"/>
                <w:sz w:val="16"/>
                <w:szCs w:val="16"/>
                <w:lang w:val="en-US"/>
              </w:rPr>
              <w:t xml:space="preserve">Report of Self-inspection, audits to suppliers, audits on regulatory entities, audit of clients. </w:t>
            </w:r>
          </w:p>
        </w:tc>
      </w:tr>
      <w:tr w:rsidR="001C6A90" w:rsidRPr="00947A46" w14:paraId="11330D09" w14:textId="77777777" w:rsidTr="00886332">
        <w:tc>
          <w:tcPr>
            <w:tcW w:w="4405" w:type="dxa"/>
          </w:tcPr>
          <w:p w14:paraId="4AB4786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5.2.5.8.3.15 </w:t>
            </w:r>
            <w:r w:rsidRPr="008F5C15">
              <w:rPr>
                <w:rFonts w:ascii="Verdana" w:hAnsi="Verdana"/>
                <w:sz w:val="16"/>
                <w:szCs w:val="16"/>
                <w:lang w:val="es-MX"/>
              </w:rPr>
              <w:t>Compra de insumos y órdenes de compra de productos importados, facturas, permisos de importación/ exportación.</w:t>
            </w:r>
          </w:p>
        </w:tc>
        <w:tc>
          <w:tcPr>
            <w:tcW w:w="4427" w:type="dxa"/>
            <w:shd w:val="clear" w:color="auto" w:fill="auto"/>
          </w:tcPr>
          <w:p w14:paraId="087BD1FA"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5.2.5.8.3.15</w:t>
            </w:r>
            <w:r w:rsidRPr="008F5C15">
              <w:rPr>
                <w:rFonts w:ascii="Verdana" w:hAnsi="Verdana"/>
                <w:sz w:val="16"/>
                <w:szCs w:val="16"/>
                <w:lang w:val="en-US"/>
              </w:rPr>
              <w:t xml:space="preserve"> Purchase of materials and purchase orders of imported products, invoices, permits of importation / exportation. </w:t>
            </w:r>
          </w:p>
        </w:tc>
      </w:tr>
      <w:tr w:rsidR="001C6A90" w:rsidRPr="00262EF8" w14:paraId="162D244F" w14:textId="77777777" w:rsidTr="00886332">
        <w:tc>
          <w:tcPr>
            <w:tcW w:w="4405" w:type="dxa"/>
          </w:tcPr>
          <w:p w14:paraId="6E87C1F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5.2.5.8.3.16 </w:t>
            </w:r>
            <w:r w:rsidRPr="008F5C15">
              <w:rPr>
                <w:rFonts w:ascii="Verdana" w:hAnsi="Verdana"/>
                <w:sz w:val="16"/>
                <w:szCs w:val="16"/>
                <w:lang w:val="es-MX"/>
              </w:rPr>
              <w:t>Recepción de insumos.</w:t>
            </w:r>
          </w:p>
        </w:tc>
        <w:tc>
          <w:tcPr>
            <w:tcW w:w="4427" w:type="dxa"/>
            <w:shd w:val="clear" w:color="auto" w:fill="auto"/>
          </w:tcPr>
          <w:p w14:paraId="692A4886"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5.2.5.8.3.16</w:t>
            </w:r>
            <w:r w:rsidRPr="008F5C15">
              <w:rPr>
                <w:rFonts w:ascii="Verdana" w:hAnsi="Verdana"/>
                <w:sz w:val="16"/>
                <w:szCs w:val="16"/>
                <w:lang w:val="en-US"/>
              </w:rPr>
              <w:t xml:space="preserve"> Reception of materials.</w:t>
            </w:r>
          </w:p>
        </w:tc>
      </w:tr>
      <w:tr w:rsidR="001C6A90" w:rsidRPr="00262EF8" w14:paraId="291F3982" w14:textId="77777777" w:rsidTr="00886332">
        <w:tc>
          <w:tcPr>
            <w:tcW w:w="4405" w:type="dxa"/>
          </w:tcPr>
          <w:p w14:paraId="5CD6A63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5.2.5.8.3.17 </w:t>
            </w:r>
            <w:r w:rsidRPr="008F5C15">
              <w:rPr>
                <w:rFonts w:ascii="Verdana" w:hAnsi="Verdana"/>
                <w:sz w:val="16"/>
                <w:szCs w:val="16"/>
                <w:lang w:val="es-MX"/>
              </w:rPr>
              <w:t>Almacenamiento.</w:t>
            </w:r>
          </w:p>
        </w:tc>
        <w:tc>
          <w:tcPr>
            <w:tcW w:w="4427" w:type="dxa"/>
            <w:shd w:val="clear" w:color="auto" w:fill="auto"/>
          </w:tcPr>
          <w:p w14:paraId="31B2882F"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5.2.5.8.3.17</w:t>
            </w:r>
            <w:r w:rsidRPr="008F5C15">
              <w:rPr>
                <w:rFonts w:ascii="Verdana" w:hAnsi="Verdana"/>
                <w:sz w:val="16"/>
                <w:szCs w:val="16"/>
                <w:lang w:val="en-US"/>
              </w:rPr>
              <w:t xml:space="preserve"> Storage.</w:t>
            </w:r>
          </w:p>
        </w:tc>
      </w:tr>
      <w:tr w:rsidR="001C6A90" w:rsidRPr="00262EF8" w14:paraId="1E8967A8" w14:textId="77777777" w:rsidTr="00886332">
        <w:tc>
          <w:tcPr>
            <w:tcW w:w="4405" w:type="dxa"/>
          </w:tcPr>
          <w:p w14:paraId="2DEE002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5.2.5.8.3.18 </w:t>
            </w:r>
            <w:r w:rsidRPr="008F5C15">
              <w:rPr>
                <w:rFonts w:ascii="Verdana" w:hAnsi="Verdana"/>
                <w:sz w:val="16"/>
                <w:szCs w:val="16"/>
                <w:lang w:val="es-MX"/>
              </w:rPr>
              <w:t>Distribución.</w:t>
            </w:r>
          </w:p>
        </w:tc>
        <w:tc>
          <w:tcPr>
            <w:tcW w:w="4427" w:type="dxa"/>
            <w:shd w:val="clear" w:color="auto" w:fill="auto"/>
          </w:tcPr>
          <w:p w14:paraId="1E8990EC"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5.2.5.8.3.18</w:t>
            </w:r>
            <w:r w:rsidRPr="008F5C15">
              <w:rPr>
                <w:rFonts w:ascii="Verdana" w:hAnsi="Verdana"/>
                <w:sz w:val="16"/>
                <w:szCs w:val="16"/>
                <w:lang w:val="en-US"/>
              </w:rPr>
              <w:t xml:space="preserve"> Distribution.</w:t>
            </w:r>
          </w:p>
        </w:tc>
      </w:tr>
      <w:tr w:rsidR="001C6A90" w:rsidRPr="00947A46" w14:paraId="05F34319" w14:textId="77777777" w:rsidTr="00886332">
        <w:tc>
          <w:tcPr>
            <w:tcW w:w="4405" w:type="dxa"/>
          </w:tcPr>
          <w:p w14:paraId="185A5B2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5.2.5.8.3.19</w:t>
            </w:r>
            <w:r w:rsidRPr="008F5C15">
              <w:rPr>
                <w:rFonts w:ascii="Verdana" w:hAnsi="Verdana"/>
                <w:sz w:val="16"/>
                <w:szCs w:val="16"/>
                <w:lang w:val="es-MX"/>
              </w:rPr>
              <w:t xml:space="preserve"> Reporte de la revisión anual de cada producto registrado.</w:t>
            </w:r>
          </w:p>
        </w:tc>
        <w:tc>
          <w:tcPr>
            <w:tcW w:w="4427" w:type="dxa"/>
            <w:shd w:val="clear" w:color="auto" w:fill="auto"/>
          </w:tcPr>
          <w:p w14:paraId="5D6850DE"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5.2.5.8.3.19</w:t>
            </w:r>
            <w:r w:rsidRPr="008F5C15">
              <w:rPr>
                <w:rFonts w:ascii="Verdana" w:hAnsi="Verdana"/>
                <w:sz w:val="16"/>
                <w:szCs w:val="16"/>
                <w:lang w:val="en-US"/>
              </w:rPr>
              <w:t xml:space="preserve"> Report of the annual review of each product registered. </w:t>
            </w:r>
          </w:p>
        </w:tc>
      </w:tr>
      <w:tr w:rsidR="001C6A90" w:rsidRPr="00262EF8" w14:paraId="283FF3CE" w14:textId="77777777" w:rsidTr="00886332">
        <w:tc>
          <w:tcPr>
            <w:tcW w:w="4405" w:type="dxa"/>
          </w:tcPr>
          <w:p w14:paraId="6061BF8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5.2.5.8.3.20</w:t>
            </w:r>
            <w:r w:rsidRPr="008F5C15">
              <w:rPr>
                <w:rFonts w:ascii="Verdana" w:hAnsi="Verdana"/>
                <w:sz w:val="16"/>
                <w:szCs w:val="16"/>
                <w:lang w:val="es-MX"/>
              </w:rPr>
              <w:t xml:space="preserve"> Registros de muestreo.</w:t>
            </w:r>
          </w:p>
        </w:tc>
        <w:tc>
          <w:tcPr>
            <w:tcW w:w="4427" w:type="dxa"/>
            <w:shd w:val="clear" w:color="auto" w:fill="auto"/>
          </w:tcPr>
          <w:p w14:paraId="20FD15F4"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5.2.5.8.3.20 </w:t>
            </w:r>
            <w:r w:rsidRPr="008F5C15">
              <w:rPr>
                <w:rFonts w:ascii="Verdana" w:hAnsi="Verdana"/>
                <w:sz w:val="16"/>
                <w:szCs w:val="16"/>
                <w:lang w:val="en-US"/>
              </w:rPr>
              <w:t>Sampling records.</w:t>
            </w:r>
          </w:p>
        </w:tc>
      </w:tr>
      <w:tr w:rsidR="001C6A90" w:rsidRPr="00947A46" w14:paraId="50938CED" w14:textId="77777777" w:rsidTr="00886332">
        <w:tc>
          <w:tcPr>
            <w:tcW w:w="4405" w:type="dxa"/>
          </w:tcPr>
          <w:p w14:paraId="3878E83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5.2.5.8.3.21 </w:t>
            </w:r>
            <w:r w:rsidRPr="008F5C15">
              <w:rPr>
                <w:rFonts w:ascii="Verdana" w:hAnsi="Verdana"/>
                <w:sz w:val="16"/>
                <w:szCs w:val="16"/>
                <w:lang w:val="es-MX"/>
              </w:rPr>
              <w:t>Acuerdos técnicos de fabricación, distribución y de calidad.</w:t>
            </w:r>
          </w:p>
        </w:tc>
        <w:tc>
          <w:tcPr>
            <w:tcW w:w="4427" w:type="dxa"/>
            <w:shd w:val="clear" w:color="auto" w:fill="auto"/>
          </w:tcPr>
          <w:p w14:paraId="1171AA00"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5.2.5.8.3.21 </w:t>
            </w:r>
            <w:r w:rsidRPr="008F5C15">
              <w:rPr>
                <w:rFonts w:ascii="Verdana" w:hAnsi="Verdana"/>
                <w:sz w:val="16"/>
                <w:szCs w:val="16"/>
                <w:lang w:val="en-US"/>
              </w:rPr>
              <w:t>Technical agreements of manufacturing, distribution and quality</w:t>
            </w:r>
          </w:p>
        </w:tc>
      </w:tr>
      <w:tr w:rsidR="001C6A90" w:rsidRPr="00947A46" w14:paraId="30B1E673" w14:textId="77777777" w:rsidTr="00886332">
        <w:tc>
          <w:tcPr>
            <w:tcW w:w="4405" w:type="dxa"/>
          </w:tcPr>
          <w:p w14:paraId="4792528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5.2.5.8.3.22 </w:t>
            </w:r>
            <w:r w:rsidRPr="008F5C15">
              <w:rPr>
                <w:rFonts w:ascii="Verdana" w:hAnsi="Verdana"/>
                <w:sz w:val="16"/>
                <w:szCs w:val="16"/>
                <w:lang w:val="es-MX"/>
              </w:rPr>
              <w:t>Registros de la liberación del producto.</w:t>
            </w:r>
          </w:p>
        </w:tc>
        <w:tc>
          <w:tcPr>
            <w:tcW w:w="4427" w:type="dxa"/>
            <w:shd w:val="clear" w:color="auto" w:fill="auto"/>
          </w:tcPr>
          <w:p w14:paraId="53745371"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5.2.5.8.3.22 </w:t>
            </w:r>
            <w:r w:rsidRPr="008F5C15">
              <w:rPr>
                <w:rFonts w:ascii="Verdana" w:hAnsi="Verdana"/>
                <w:sz w:val="16"/>
                <w:szCs w:val="16"/>
                <w:lang w:val="en-US"/>
              </w:rPr>
              <w:t xml:space="preserve">Records of the release of the product. </w:t>
            </w:r>
          </w:p>
        </w:tc>
      </w:tr>
      <w:tr w:rsidR="001C6A90" w:rsidRPr="00947A46" w14:paraId="166D9182" w14:textId="77777777" w:rsidTr="00886332">
        <w:tc>
          <w:tcPr>
            <w:tcW w:w="4405" w:type="dxa"/>
          </w:tcPr>
          <w:p w14:paraId="33E29FC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5.2.5.8.3.23 </w:t>
            </w:r>
            <w:r w:rsidRPr="008F5C15">
              <w:rPr>
                <w:rFonts w:ascii="Verdana" w:hAnsi="Verdana"/>
                <w:sz w:val="16"/>
                <w:szCs w:val="16"/>
                <w:lang w:val="es-MX"/>
              </w:rPr>
              <w:t>Cada establecimiento en el país debe contar con los siguientes documentos legales:</w:t>
            </w:r>
          </w:p>
        </w:tc>
        <w:tc>
          <w:tcPr>
            <w:tcW w:w="4427" w:type="dxa"/>
            <w:shd w:val="clear" w:color="auto" w:fill="auto"/>
          </w:tcPr>
          <w:p w14:paraId="18191CAB"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5.2.5.8.3.23 </w:t>
            </w:r>
            <w:r w:rsidRPr="008F5C15">
              <w:rPr>
                <w:rFonts w:ascii="Verdana" w:hAnsi="Verdana"/>
                <w:sz w:val="16"/>
                <w:szCs w:val="16"/>
                <w:lang w:val="en-US"/>
              </w:rPr>
              <w:t>Each establishment in the country must have the following legal documents:</w:t>
            </w:r>
          </w:p>
        </w:tc>
      </w:tr>
      <w:tr w:rsidR="001C6A90" w:rsidRPr="00947A46" w14:paraId="3D5A220D" w14:textId="77777777" w:rsidTr="00886332">
        <w:tc>
          <w:tcPr>
            <w:tcW w:w="4405" w:type="dxa"/>
          </w:tcPr>
          <w:p w14:paraId="0473E35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5.2.5.8.3.23.1 </w:t>
            </w:r>
            <w:r w:rsidRPr="008F5C15">
              <w:rPr>
                <w:rFonts w:ascii="Verdana" w:hAnsi="Verdana"/>
                <w:sz w:val="16"/>
                <w:szCs w:val="16"/>
                <w:lang w:val="es-MX"/>
              </w:rPr>
              <w:t>Original de Licencia Sanitaria o Aviso de Funcionamiento.</w:t>
            </w:r>
          </w:p>
        </w:tc>
        <w:tc>
          <w:tcPr>
            <w:tcW w:w="4427" w:type="dxa"/>
            <w:shd w:val="clear" w:color="auto" w:fill="auto"/>
          </w:tcPr>
          <w:p w14:paraId="6CE58CDE"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5.2.5.8.3.23.1 </w:t>
            </w:r>
            <w:r w:rsidRPr="008F5C15">
              <w:rPr>
                <w:rFonts w:ascii="Verdana" w:hAnsi="Verdana"/>
                <w:sz w:val="16"/>
                <w:szCs w:val="16"/>
                <w:lang w:val="en-US"/>
              </w:rPr>
              <w:t>The original of the Sanitary License or Notice of Operation.</w:t>
            </w:r>
          </w:p>
        </w:tc>
      </w:tr>
      <w:tr w:rsidR="001C6A90" w:rsidRPr="00947A46" w14:paraId="61539CFE" w14:textId="77777777" w:rsidTr="00886332">
        <w:tc>
          <w:tcPr>
            <w:tcW w:w="4405" w:type="dxa"/>
          </w:tcPr>
          <w:p w14:paraId="45D91AD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5.2.5.8.3.23.2 </w:t>
            </w:r>
            <w:r w:rsidRPr="008F5C15">
              <w:rPr>
                <w:rFonts w:ascii="Verdana" w:hAnsi="Verdana"/>
                <w:sz w:val="16"/>
                <w:szCs w:val="16"/>
                <w:lang w:val="es-MX"/>
              </w:rPr>
              <w:t>Aviso de Responsable Sanitario.</w:t>
            </w:r>
          </w:p>
        </w:tc>
        <w:tc>
          <w:tcPr>
            <w:tcW w:w="4427" w:type="dxa"/>
            <w:shd w:val="clear" w:color="auto" w:fill="auto"/>
          </w:tcPr>
          <w:p w14:paraId="34E8C829"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5.2.5.8.3.23.2 </w:t>
            </w:r>
            <w:r w:rsidRPr="008F5C15">
              <w:rPr>
                <w:rFonts w:ascii="Verdana" w:hAnsi="Verdana"/>
                <w:sz w:val="16"/>
                <w:szCs w:val="16"/>
                <w:lang w:val="en-US"/>
              </w:rPr>
              <w:t xml:space="preserve">Notice of the Person responsible for sanitary compliance. </w:t>
            </w:r>
          </w:p>
        </w:tc>
      </w:tr>
      <w:tr w:rsidR="001C6A90" w:rsidRPr="00262EF8" w14:paraId="2745A2EA" w14:textId="77777777" w:rsidTr="00886332">
        <w:tc>
          <w:tcPr>
            <w:tcW w:w="4405" w:type="dxa"/>
          </w:tcPr>
          <w:p w14:paraId="5FBA9CC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5.2.5.8.3.23.3 </w:t>
            </w:r>
            <w:r w:rsidRPr="008F5C15">
              <w:rPr>
                <w:rFonts w:ascii="Verdana" w:hAnsi="Verdana"/>
                <w:sz w:val="16"/>
                <w:szCs w:val="16"/>
                <w:lang w:val="es-MX"/>
              </w:rPr>
              <w:t>Certificado de BPF vigente.</w:t>
            </w:r>
          </w:p>
        </w:tc>
        <w:tc>
          <w:tcPr>
            <w:tcW w:w="4427" w:type="dxa"/>
            <w:shd w:val="clear" w:color="auto" w:fill="auto"/>
          </w:tcPr>
          <w:p w14:paraId="151D7CB3"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5.2.5.8.3.23.3</w:t>
            </w:r>
            <w:r w:rsidRPr="008F5C15">
              <w:rPr>
                <w:rFonts w:ascii="Verdana" w:hAnsi="Verdana"/>
                <w:sz w:val="16"/>
                <w:szCs w:val="16"/>
                <w:lang w:val="en-US"/>
              </w:rPr>
              <w:t xml:space="preserve"> Valid GMP certificate.</w:t>
            </w:r>
          </w:p>
        </w:tc>
      </w:tr>
      <w:tr w:rsidR="001C6A90" w:rsidRPr="00947A46" w14:paraId="13997C87" w14:textId="77777777" w:rsidTr="00886332">
        <w:tc>
          <w:tcPr>
            <w:tcW w:w="4405" w:type="dxa"/>
          </w:tcPr>
          <w:p w14:paraId="3587B43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5.2.5.8.3.23.4 </w:t>
            </w:r>
            <w:r w:rsidRPr="008F5C15">
              <w:rPr>
                <w:rFonts w:ascii="Verdana" w:hAnsi="Verdana"/>
                <w:sz w:val="16"/>
                <w:szCs w:val="16"/>
                <w:lang w:val="es-MX"/>
              </w:rPr>
              <w:t>Ejemplar vigente de la FEUM y sus suplementos correspondientes.</w:t>
            </w:r>
          </w:p>
        </w:tc>
        <w:tc>
          <w:tcPr>
            <w:tcW w:w="4427" w:type="dxa"/>
            <w:shd w:val="clear" w:color="auto" w:fill="auto"/>
          </w:tcPr>
          <w:p w14:paraId="32196737"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5.2.5.8.3.23.4</w:t>
            </w:r>
            <w:r w:rsidRPr="008F5C15">
              <w:rPr>
                <w:rFonts w:ascii="Verdana" w:hAnsi="Verdana"/>
                <w:sz w:val="16"/>
                <w:szCs w:val="16"/>
                <w:lang w:val="en-US"/>
              </w:rPr>
              <w:t xml:space="preserve"> A valid copy of FEUM and its corresponding supplements. </w:t>
            </w:r>
          </w:p>
        </w:tc>
      </w:tr>
      <w:tr w:rsidR="001C6A90" w:rsidRPr="00947A46" w14:paraId="3C6C88AC" w14:textId="77777777" w:rsidTr="00886332">
        <w:tc>
          <w:tcPr>
            <w:tcW w:w="4405" w:type="dxa"/>
          </w:tcPr>
          <w:p w14:paraId="024B0ED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5.2.5.8.3.23.5 </w:t>
            </w:r>
            <w:r w:rsidRPr="008F5C15">
              <w:rPr>
                <w:rFonts w:ascii="Verdana" w:hAnsi="Verdana"/>
                <w:sz w:val="16"/>
                <w:szCs w:val="16"/>
                <w:lang w:val="es-MX"/>
              </w:rPr>
              <w:t>Expediente de cada producto registrado que contenga:</w:t>
            </w:r>
          </w:p>
        </w:tc>
        <w:tc>
          <w:tcPr>
            <w:tcW w:w="4427" w:type="dxa"/>
            <w:shd w:val="clear" w:color="auto" w:fill="auto"/>
          </w:tcPr>
          <w:p w14:paraId="14848EF2"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5.2.5.8.3.23.5</w:t>
            </w:r>
            <w:r w:rsidRPr="008F5C15">
              <w:rPr>
                <w:rFonts w:ascii="Verdana" w:hAnsi="Verdana"/>
                <w:sz w:val="16"/>
                <w:szCs w:val="16"/>
                <w:lang w:val="en-US"/>
              </w:rPr>
              <w:t xml:space="preserve"> The file of every registered product must at least contain the following:</w:t>
            </w:r>
          </w:p>
        </w:tc>
      </w:tr>
      <w:tr w:rsidR="001C6A90" w:rsidRPr="00947A46" w14:paraId="7AD75E36" w14:textId="77777777" w:rsidTr="00886332">
        <w:tc>
          <w:tcPr>
            <w:tcW w:w="4405" w:type="dxa"/>
          </w:tcPr>
          <w:p w14:paraId="2AC4062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5.2.5.8.3.23.5.1 </w:t>
            </w:r>
            <w:r w:rsidRPr="008F5C15">
              <w:rPr>
                <w:rFonts w:ascii="Verdana" w:hAnsi="Verdana"/>
                <w:sz w:val="16"/>
                <w:szCs w:val="16"/>
                <w:lang w:val="es-MX"/>
              </w:rPr>
              <w:t>Original de Registro Sanitario.</w:t>
            </w:r>
          </w:p>
        </w:tc>
        <w:tc>
          <w:tcPr>
            <w:tcW w:w="4427" w:type="dxa"/>
            <w:shd w:val="clear" w:color="auto" w:fill="auto"/>
          </w:tcPr>
          <w:p w14:paraId="3D2CCD93"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5.2.5.8.3.23.5.1 </w:t>
            </w:r>
            <w:r w:rsidRPr="008F5C15">
              <w:rPr>
                <w:rFonts w:ascii="Verdana" w:hAnsi="Verdana"/>
                <w:sz w:val="16"/>
                <w:szCs w:val="16"/>
                <w:lang w:val="en-US"/>
              </w:rPr>
              <w:t>Original of the Sanitary Registration</w:t>
            </w:r>
          </w:p>
        </w:tc>
      </w:tr>
      <w:tr w:rsidR="001C6A90" w:rsidRPr="00947A46" w14:paraId="72CBE96D" w14:textId="77777777" w:rsidTr="00886332">
        <w:tc>
          <w:tcPr>
            <w:tcW w:w="4405" w:type="dxa"/>
          </w:tcPr>
          <w:p w14:paraId="3346275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5.2.5.8.3.23.5.2</w:t>
            </w:r>
            <w:r w:rsidRPr="008F5C15">
              <w:rPr>
                <w:rFonts w:ascii="Verdana" w:hAnsi="Verdana"/>
                <w:sz w:val="16"/>
                <w:szCs w:val="16"/>
                <w:lang w:val="es-MX"/>
              </w:rPr>
              <w:t xml:space="preserve"> Proyectos de marbetes (IPP e instructivos) autorizados por COFEPRIS.</w:t>
            </w:r>
          </w:p>
        </w:tc>
        <w:tc>
          <w:tcPr>
            <w:tcW w:w="4427" w:type="dxa"/>
            <w:shd w:val="clear" w:color="auto" w:fill="auto"/>
          </w:tcPr>
          <w:p w14:paraId="256019D6" w14:textId="77777777" w:rsidR="001C6A90" w:rsidRPr="008F5C15" w:rsidRDefault="001C6A90" w:rsidP="001C6A90">
            <w:pPr>
              <w:pStyle w:val="Texto"/>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5.2.5.8.3.23.5.2 </w:t>
            </w:r>
            <w:r w:rsidRPr="008F5C15">
              <w:rPr>
                <w:rFonts w:ascii="Verdana" w:hAnsi="Verdana"/>
                <w:sz w:val="16"/>
                <w:szCs w:val="16"/>
                <w:lang w:val="en-US"/>
              </w:rPr>
              <w:t>Labeling projects, IFP and instructions) authorized by the Secretary.</w:t>
            </w:r>
          </w:p>
        </w:tc>
      </w:tr>
      <w:tr w:rsidR="001C6A90" w:rsidRPr="00947A46" w14:paraId="7052B7B9" w14:textId="77777777" w:rsidTr="00886332">
        <w:tc>
          <w:tcPr>
            <w:tcW w:w="4405" w:type="dxa"/>
          </w:tcPr>
          <w:p w14:paraId="13C6EDC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5.2.5.8.3.23.5.3</w:t>
            </w:r>
            <w:r w:rsidRPr="008F5C15">
              <w:rPr>
                <w:rFonts w:ascii="Verdana" w:hAnsi="Verdana"/>
                <w:sz w:val="16"/>
                <w:szCs w:val="16"/>
                <w:lang w:val="es-MX"/>
              </w:rPr>
              <w:t xml:space="preserve"> Expediente de registro y modificaciones (información de calidad, estudios preclínicos y clínicos, entre otros).</w:t>
            </w:r>
          </w:p>
        </w:tc>
        <w:tc>
          <w:tcPr>
            <w:tcW w:w="4427" w:type="dxa"/>
            <w:shd w:val="clear" w:color="auto" w:fill="auto"/>
          </w:tcPr>
          <w:p w14:paraId="519C32B9" w14:textId="77777777" w:rsidR="001C6A90" w:rsidRPr="008F5C15" w:rsidRDefault="001C6A90" w:rsidP="001C6A90">
            <w:pPr>
              <w:pStyle w:val="Texto"/>
              <w:tabs>
                <w:tab w:val="center" w:pos="2286"/>
              </w:tabs>
              <w:spacing w:after="88" w:line="276" w:lineRule="auto"/>
              <w:ind w:firstLine="0"/>
              <w:rPr>
                <w:rFonts w:ascii="Verdana" w:hAnsi="Verdana"/>
                <w:sz w:val="16"/>
                <w:szCs w:val="16"/>
                <w:lang w:val="en-US"/>
              </w:rPr>
            </w:pPr>
            <w:r w:rsidRPr="008F5C15">
              <w:rPr>
                <w:rFonts w:ascii="Verdana" w:hAnsi="Verdana"/>
                <w:b/>
                <w:sz w:val="16"/>
                <w:szCs w:val="16"/>
                <w:lang w:val="en-US"/>
              </w:rPr>
              <w:t xml:space="preserve">5.2.5.8.3.23.5.3 </w:t>
            </w:r>
            <w:r w:rsidRPr="008F5C15">
              <w:rPr>
                <w:rFonts w:ascii="Verdana" w:hAnsi="Verdana"/>
                <w:sz w:val="16"/>
                <w:szCs w:val="16"/>
                <w:lang w:val="en-US"/>
              </w:rPr>
              <w:t xml:space="preserve">Registration file and modifications (information of quality, preclinical studies and clinical studies, among others).  </w:t>
            </w:r>
          </w:p>
        </w:tc>
      </w:tr>
      <w:tr w:rsidR="001C6A90" w:rsidRPr="00947A46" w14:paraId="2238EE50" w14:textId="77777777" w:rsidTr="00886332">
        <w:tc>
          <w:tcPr>
            <w:tcW w:w="4405" w:type="dxa"/>
          </w:tcPr>
          <w:p w14:paraId="305F303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5.2.5.8.3.24</w:t>
            </w:r>
            <w:r w:rsidRPr="008F5C15">
              <w:rPr>
                <w:rFonts w:ascii="Verdana" w:hAnsi="Verdana"/>
                <w:sz w:val="16"/>
                <w:szCs w:val="16"/>
                <w:lang w:val="es-MX"/>
              </w:rPr>
              <w:t xml:space="preserve"> En el caso de establecimientos localizados fuera del país y que son titulares del registro:</w:t>
            </w:r>
          </w:p>
        </w:tc>
        <w:tc>
          <w:tcPr>
            <w:tcW w:w="4427" w:type="dxa"/>
            <w:shd w:val="clear" w:color="auto" w:fill="auto"/>
          </w:tcPr>
          <w:p w14:paraId="4EC9792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5.2.5.8.3.24 </w:t>
            </w:r>
            <w:r w:rsidRPr="008F5C15">
              <w:rPr>
                <w:rFonts w:ascii="Verdana" w:hAnsi="Verdana"/>
                <w:sz w:val="16"/>
                <w:szCs w:val="16"/>
                <w:lang w:val="en-US"/>
              </w:rPr>
              <w:t xml:space="preserve">In the case of establishments located outside of the country and that are holders of the Registration: </w:t>
            </w:r>
          </w:p>
        </w:tc>
      </w:tr>
      <w:tr w:rsidR="001C6A90" w:rsidRPr="00947A46" w14:paraId="089CCAD3" w14:textId="77777777" w:rsidTr="00886332">
        <w:tc>
          <w:tcPr>
            <w:tcW w:w="4405" w:type="dxa"/>
          </w:tcPr>
          <w:p w14:paraId="7D1B282F"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sz w:val="16"/>
                <w:szCs w:val="16"/>
                <w:lang w:val="es-MX"/>
              </w:rPr>
              <w:t>El Representante Legal en México deberá contar con los documentos expresados en el punto 5.2.5.8.3.23</w:t>
            </w:r>
            <w:r w:rsidRPr="008F5C15">
              <w:rPr>
                <w:rFonts w:ascii="Verdana" w:hAnsi="Verdana"/>
                <w:b/>
                <w:sz w:val="16"/>
                <w:szCs w:val="16"/>
                <w:lang w:val="es-MX"/>
              </w:rPr>
              <w:t xml:space="preserve"> </w:t>
            </w:r>
            <w:r w:rsidRPr="008F5C15">
              <w:rPr>
                <w:rFonts w:ascii="Verdana" w:hAnsi="Verdana"/>
                <w:sz w:val="16"/>
                <w:szCs w:val="16"/>
                <w:lang w:val="es-MX"/>
              </w:rPr>
              <w:t>de esta Norma y el titular del registro deberá contar con copia apostillada o legalizada del registro sanitario vigente.</w:t>
            </w:r>
          </w:p>
        </w:tc>
        <w:tc>
          <w:tcPr>
            <w:tcW w:w="4427" w:type="dxa"/>
            <w:shd w:val="clear" w:color="auto" w:fill="auto"/>
          </w:tcPr>
          <w:p w14:paraId="15E18AF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 legal Representative in Mexico must have the documents expressed in point 5.2.5.8.3.23 of this Standard and the holder of the registration must have a copy with an apostille or legalized of the current sanitary registration.  </w:t>
            </w:r>
          </w:p>
        </w:tc>
      </w:tr>
      <w:tr w:rsidR="001C6A90" w:rsidRPr="00262EF8" w14:paraId="1461BAB6" w14:textId="77777777" w:rsidTr="00886332">
        <w:tc>
          <w:tcPr>
            <w:tcW w:w="4405" w:type="dxa"/>
          </w:tcPr>
          <w:p w14:paraId="021DB0C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5.3 </w:t>
            </w:r>
            <w:r w:rsidRPr="008F5C15">
              <w:rPr>
                <w:rFonts w:ascii="Verdana" w:hAnsi="Verdana"/>
                <w:sz w:val="16"/>
                <w:szCs w:val="16"/>
                <w:lang w:val="es-MX"/>
              </w:rPr>
              <w:t>Auditorías.</w:t>
            </w:r>
          </w:p>
        </w:tc>
        <w:tc>
          <w:tcPr>
            <w:tcW w:w="4427" w:type="dxa"/>
            <w:shd w:val="clear" w:color="auto" w:fill="auto"/>
          </w:tcPr>
          <w:p w14:paraId="4812CD7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 </w:t>
            </w:r>
            <w:r w:rsidRPr="008F5C15">
              <w:rPr>
                <w:rFonts w:ascii="Verdana" w:hAnsi="Verdana"/>
                <w:sz w:val="16"/>
                <w:szCs w:val="16"/>
                <w:lang w:val="en-US"/>
              </w:rPr>
              <w:t>Audits.</w:t>
            </w:r>
          </w:p>
        </w:tc>
      </w:tr>
      <w:tr w:rsidR="001C6A90" w:rsidRPr="00947A46" w14:paraId="77092D32" w14:textId="77777777" w:rsidTr="00886332">
        <w:tc>
          <w:tcPr>
            <w:tcW w:w="4405" w:type="dxa"/>
          </w:tcPr>
          <w:p w14:paraId="0444862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5.3.1 </w:t>
            </w:r>
            <w:r w:rsidRPr="008F5C15">
              <w:rPr>
                <w:rFonts w:ascii="Verdana" w:hAnsi="Verdana"/>
                <w:sz w:val="16"/>
                <w:szCs w:val="16"/>
                <w:lang w:val="es-MX"/>
              </w:rPr>
              <w:t>Deben existir procedimientos que establezcan el proceso de ejecución de una auditoría que contenga al menos:</w:t>
            </w:r>
          </w:p>
        </w:tc>
        <w:tc>
          <w:tcPr>
            <w:tcW w:w="4427" w:type="dxa"/>
          </w:tcPr>
          <w:p w14:paraId="53DA415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5.3.1 </w:t>
            </w:r>
            <w:r w:rsidRPr="008F5C15">
              <w:rPr>
                <w:rFonts w:ascii="Verdana" w:hAnsi="Verdana"/>
                <w:sz w:val="16"/>
                <w:szCs w:val="16"/>
                <w:lang w:val="en-US"/>
              </w:rPr>
              <w:t xml:space="preserve">Procedures must exist that establish the process for executing an audit that contains at least: </w:t>
            </w:r>
          </w:p>
        </w:tc>
      </w:tr>
      <w:tr w:rsidR="001C6A90" w:rsidRPr="00947A46" w14:paraId="7B7E9C6C" w14:textId="77777777" w:rsidTr="00886332">
        <w:tc>
          <w:tcPr>
            <w:tcW w:w="4405" w:type="dxa"/>
          </w:tcPr>
          <w:p w14:paraId="3617D6C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5.3.1.1 </w:t>
            </w:r>
            <w:r w:rsidRPr="008F5C15">
              <w:rPr>
                <w:rFonts w:ascii="Verdana" w:hAnsi="Verdana"/>
                <w:sz w:val="16"/>
                <w:szCs w:val="16"/>
                <w:lang w:val="es-MX"/>
              </w:rPr>
              <w:t>El alcance de cada tipo de auditoría</w:t>
            </w:r>
          </w:p>
        </w:tc>
        <w:tc>
          <w:tcPr>
            <w:tcW w:w="4427" w:type="dxa"/>
          </w:tcPr>
          <w:p w14:paraId="4B9703E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5.3.1.1 </w:t>
            </w:r>
            <w:r w:rsidRPr="008F5C15">
              <w:rPr>
                <w:rFonts w:ascii="Verdana" w:hAnsi="Verdana"/>
                <w:sz w:val="16"/>
                <w:szCs w:val="16"/>
                <w:lang w:val="en-US"/>
              </w:rPr>
              <w:t xml:space="preserve">The scope of each type of audit. </w:t>
            </w:r>
          </w:p>
        </w:tc>
      </w:tr>
      <w:tr w:rsidR="001C6A90" w:rsidRPr="00947A46" w14:paraId="76ECFF03" w14:textId="77777777" w:rsidTr="00886332">
        <w:tc>
          <w:tcPr>
            <w:tcW w:w="4405" w:type="dxa"/>
          </w:tcPr>
          <w:p w14:paraId="4343C8B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5.3.1.2 </w:t>
            </w:r>
            <w:r w:rsidRPr="008F5C15">
              <w:rPr>
                <w:rFonts w:ascii="Verdana" w:hAnsi="Verdana"/>
                <w:sz w:val="16"/>
                <w:szCs w:val="16"/>
                <w:lang w:val="es-MX"/>
              </w:rPr>
              <w:t>La calificación del grupo auditor incluyendo:</w:t>
            </w:r>
          </w:p>
        </w:tc>
        <w:tc>
          <w:tcPr>
            <w:tcW w:w="4427" w:type="dxa"/>
          </w:tcPr>
          <w:p w14:paraId="1A7789C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5.3.1.2 </w:t>
            </w:r>
            <w:r w:rsidRPr="008F5C15">
              <w:rPr>
                <w:rFonts w:ascii="Verdana" w:hAnsi="Verdana"/>
                <w:sz w:val="16"/>
                <w:szCs w:val="16"/>
                <w:lang w:val="en-US"/>
              </w:rPr>
              <w:t xml:space="preserve">The qualification of the auditor group, including: </w:t>
            </w:r>
          </w:p>
        </w:tc>
      </w:tr>
      <w:tr w:rsidR="001C6A90" w:rsidRPr="00947A46" w14:paraId="613ABC65" w14:textId="77777777" w:rsidTr="00886332">
        <w:tc>
          <w:tcPr>
            <w:tcW w:w="4405" w:type="dxa"/>
          </w:tcPr>
          <w:p w14:paraId="7D001BF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5.3.1.2.1 </w:t>
            </w:r>
            <w:r w:rsidRPr="008F5C15">
              <w:rPr>
                <w:rFonts w:ascii="Verdana" w:hAnsi="Verdana"/>
                <w:sz w:val="16"/>
                <w:szCs w:val="16"/>
                <w:lang w:val="es-MX"/>
              </w:rPr>
              <w:t>Experiencia, entrenamiento, habilidades, disponibilidad e independencia.</w:t>
            </w:r>
          </w:p>
        </w:tc>
        <w:tc>
          <w:tcPr>
            <w:tcW w:w="4427" w:type="dxa"/>
          </w:tcPr>
          <w:p w14:paraId="083E832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5.3.1.2.1 </w:t>
            </w:r>
            <w:r w:rsidRPr="008F5C15">
              <w:rPr>
                <w:rFonts w:ascii="Verdana" w:hAnsi="Verdana"/>
                <w:sz w:val="16"/>
                <w:szCs w:val="16"/>
                <w:lang w:val="en-US"/>
              </w:rPr>
              <w:t xml:space="preserve">Experience, training, skills, availability and Independence. </w:t>
            </w:r>
          </w:p>
        </w:tc>
      </w:tr>
      <w:tr w:rsidR="001C6A90" w:rsidRPr="00947A46" w14:paraId="6112B0E6" w14:textId="77777777" w:rsidTr="00886332">
        <w:tc>
          <w:tcPr>
            <w:tcW w:w="4405" w:type="dxa"/>
          </w:tcPr>
          <w:p w14:paraId="255A5C3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5.3.1.2.2</w:t>
            </w:r>
            <w:r w:rsidRPr="008F5C15">
              <w:rPr>
                <w:rFonts w:ascii="Verdana" w:hAnsi="Verdana"/>
                <w:sz w:val="16"/>
                <w:szCs w:val="16"/>
                <w:lang w:val="es-MX"/>
              </w:rPr>
              <w:t xml:space="preserve"> Proceso de ejecución: planeación, responsabilidades, requisitos, registros, reporte.</w:t>
            </w:r>
          </w:p>
        </w:tc>
        <w:tc>
          <w:tcPr>
            <w:tcW w:w="4427" w:type="dxa"/>
          </w:tcPr>
          <w:p w14:paraId="1691591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5.3.1.2.2 </w:t>
            </w:r>
            <w:r w:rsidRPr="008F5C15">
              <w:rPr>
                <w:rFonts w:ascii="Verdana" w:hAnsi="Verdana"/>
                <w:sz w:val="16"/>
                <w:szCs w:val="16"/>
                <w:lang w:val="en-US"/>
              </w:rPr>
              <w:t xml:space="preserve">Process of execution: planning, responsibilities, requirements, records, report. </w:t>
            </w:r>
          </w:p>
        </w:tc>
      </w:tr>
      <w:tr w:rsidR="001C6A90" w:rsidRPr="00947A46" w14:paraId="74B3B74D" w14:textId="77777777" w:rsidTr="00886332">
        <w:tc>
          <w:tcPr>
            <w:tcW w:w="4405" w:type="dxa"/>
          </w:tcPr>
          <w:p w14:paraId="25194B96"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5.3.1.2.3</w:t>
            </w:r>
            <w:r w:rsidRPr="008F5C15">
              <w:rPr>
                <w:rFonts w:ascii="Verdana" w:hAnsi="Verdana"/>
                <w:sz w:val="16"/>
                <w:szCs w:val="16"/>
                <w:lang w:val="es-MX"/>
              </w:rPr>
              <w:t xml:space="preserve"> La frecuencia de auditorías y el establecimiento de un programa permanente de auditorías.</w:t>
            </w:r>
          </w:p>
        </w:tc>
        <w:tc>
          <w:tcPr>
            <w:tcW w:w="4427" w:type="dxa"/>
          </w:tcPr>
          <w:p w14:paraId="56757FC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5.3.1.2.3 </w:t>
            </w:r>
            <w:r w:rsidRPr="008F5C15">
              <w:rPr>
                <w:rFonts w:ascii="Verdana" w:hAnsi="Verdana"/>
                <w:sz w:val="16"/>
                <w:szCs w:val="16"/>
                <w:lang w:val="en-US"/>
              </w:rPr>
              <w:t xml:space="preserve">The frequency of audits and the establishment of a permanent program of audits. </w:t>
            </w:r>
          </w:p>
        </w:tc>
      </w:tr>
      <w:tr w:rsidR="001C6A90" w:rsidRPr="00947A46" w14:paraId="4FBD36C9" w14:textId="77777777" w:rsidTr="00886332">
        <w:tc>
          <w:tcPr>
            <w:tcW w:w="4405" w:type="dxa"/>
          </w:tcPr>
          <w:p w14:paraId="2D8C062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5.3.2 </w:t>
            </w:r>
            <w:r w:rsidRPr="008F5C15">
              <w:rPr>
                <w:rFonts w:ascii="Verdana" w:hAnsi="Verdana"/>
                <w:sz w:val="16"/>
                <w:szCs w:val="16"/>
                <w:lang w:val="es-MX"/>
              </w:rPr>
              <w:t>Para efectos de esta Norma las auditorías se clasifican en: auditorías Internas (autoinspecciones), auditorías a proveedores y auditorías de las entidades regulatorias.</w:t>
            </w:r>
          </w:p>
        </w:tc>
        <w:tc>
          <w:tcPr>
            <w:tcW w:w="4427" w:type="dxa"/>
          </w:tcPr>
          <w:p w14:paraId="6FD4BF5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 </w:t>
            </w:r>
            <w:r w:rsidRPr="008F5C15">
              <w:rPr>
                <w:rFonts w:ascii="Verdana" w:hAnsi="Verdana"/>
                <w:sz w:val="16"/>
                <w:szCs w:val="16"/>
                <w:lang w:val="en-US"/>
              </w:rPr>
              <w:t xml:space="preserve">For the purposes of this Standard the audits are classified in: Internal audits (self-inspections), audits to suppliers and audits of the regulatory entities. </w:t>
            </w:r>
          </w:p>
        </w:tc>
      </w:tr>
      <w:tr w:rsidR="001C6A90" w:rsidRPr="00262EF8" w14:paraId="571E053B" w14:textId="77777777" w:rsidTr="00886332">
        <w:tc>
          <w:tcPr>
            <w:tcW w:w="4405" w:type="dxa"/>
          </w:tcPr>
          <w:p w14:paraId="28EB904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5.3.2.1 </w:t>
            </w:r>
            <w:r w:rsidRPr="008F5C15">
              <w:rPr>
                <w:rFonts w:ascii="Verdana" w:hAnsi="Verdana"/>
                <w:sz w:val="16"/>
                <w:szCs w:val="16"/>
                <w:lang w:val="es-MX"/>
              </w:rPr>
              <w:t>Auditorías</w:t>
            </w:r>
            <w:r w:rsidRPr="008F5C15">
              <w:rPr>
                <w:rFonts w:ascii="Verdana" w:hAnsi="Verdana"/>
                <w:b/>
                <w:sz w:val="16"/>
                <w:szCs w:val="16"/>
                <w:lang w:val="es-MX"/>
              </w:rPr>
              <w:t xml:space="preserve"> </w:t>
            </w:r>
            <w:r w:rsidRPr="008F5C15">
              <w:rPr>
                <w:rFonts w:ascii="Verdana" w:hAnsi="Verdana"/>
                <w:sz w:val="16"/>
                <w:szCs w:val="16"/>
                <w:lang w:val="es-MX"/>
              </w:rPr>
              <w:t>internas (autoinspecciones):</w:t>
            </w:r>
          </w:p>
        </w:tc>
        <w:tc>
          <w:tcPr>
            <w:tcW w:w="4427" w:type="dxa"/>
          </w:tcPr>
          <w:p w14:paraId="700A52F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5.3.2.1 </w:t>
            </w:r>
            <w:r w:rsidRPr="008F5C15">
              <w:rPr>
                <w:rFonts w:ascii="Verdana" w:hAnsi="Verdana"/>
                <w:sz w:val="16"/>
                <w:szCs w:val="16"/>
                <w:lang w:val="en-US"/>
              </w:rPr>
              <w:t>Internal Audits (self-inspections):</w:t>
            </w:r>
          </w:p>
        </w:tc>
      </w:tr>
      <w:tr w:rsidR="001C6A90" w:rsidRPr="00947A46" w14:paraId="32E798CD" w14:textId="77777777" w:rsidTr="00886332">
        <w:tc>
          <w:tcPr>
            <w:tcW w:w="4405" w:type="dxa"/>
          </w:tcPr>
          <w:p w14:paraId="35BB7C2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Debe existir un sistema de autoinspección para la evaluación del Sistema de Gestión de Calidad y del nivel de cumplimiento en BPF.</w:t>
            </w:r>
          </w:p>
        </w:tc>
        <w:tc>
          <w:tcPr>
            <w:tcW w:w="4427" w:type="dxa"/>
          </w:tcPr>
          <w:p w14:paraId="7495D3B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There must be a self-inspection system to evaluate the Quality Management System and the compliance level in GMP (Good Manufacturing Practices).</w:t>
            </w:r>
          </w:p>
        </w:tc>
      </w:tr>
      <w:tr w:rsidR="001C6A90" w:rsidRPr="004034E8" w14:paraId="5EB7F385" w14:textId="77777777" w:rsidTr="00886332">
        <w:tc>
          <w:tcPr>
            <w:tcW w:w="4405" w:type="dxa"/>
          </w:tcPr>
          <w:p w14:paraId="79DDC66A"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5.3.2.1.1</w:t>
            </w:r>
            <w:r w:rsidRPr="008F5C15">
              <w:rPr>
                <w:rFonts w:ascii="Verdana" w:hAnsi="Verdana"/>
                <w:sz w:val="16"/>
                <w:szCs w:val="16"/>
                <w:lang w:val="es-MX"/>
              </w:rPr>
              <w:t xml:space="preserve"> Las auditorías de autoinspección deben ser conducidas por personal independiente al área auditada. Éstas también pueden ser realizadas por personal externo.</w:t>
            </w:r>
          </w:p>
        </w:tc>
        <w:tc>
          <w:tcPr>
            <w:tcW w:w="4427" w:type="dxa"/>
          </w:tcPr>
          <w:p w14:paraId="4C11B77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5.3.2.1.1 </w:t>
            </w:r>
            <w:r w:rsidRPr="008F5C15">
              <w:rPr>
                <w:rFonts w:ascii="Verdana" w:hAnsi="Verdana"/>
                <w:sz w:val="16"/>
                <w:szCs w:val="16"/>
                <w:lang w:val="en-US"/>
              </w:rPr>
              <w:t>The Self-inspection audits must be conducted by personnel who are independent from the audited area. These must also be performed by external personnel.</w:t>
            </w:r>
          </w:p>
        </w:tc>
      </w:tr>
      <w:tr w:rsidR="001C6A90" w:rsidRPr="00947A46" w14:paraId="34760A57" w14:textId="77777777" w:rsidTr="00886332">
        <w:tc>
          <w:tcPr>
            <w:tcW w:w="4405" w:type="dxa"/>
          </w:tcPr>
          <w:p w14:paraId="5206245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5.3.2.1.2 </w:t>
            </w:r>
            <w:r w:rsidRPr="008F5C15">
              <w:rPr>
                <w:rFonts w:ascii="Verdana" w:hAnsi="Verdana"/>
                <w:sz w:val="16"/>
                <w:szCs w:val="16"/>
                <w:lang w:val="es-MX"/>
              </w:rPr>
              <w:t>Los siguientes aspectos deberán evaluarse siguiendo un programa preestablecido para verificar su conformidad con los principios del Sistema de Gestión de Calidad:</w:t>
            </w:r>
          </w:p>
        </w:tc>
        <w:tc>
          <w:tcPr>
            <w:tcW w:w="4427" w:type="dxa"/>
          </w:tcPr>
          <w:p w14:paraId="50ADBE9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5.3.2.1.2 </w:t>
            </w:r>
            <w:r w:rsidRPr="008F5C15">
              <w:rPr>
                <w:rFonts w:ascii="Verdana" w:hAnsi="Verdana"/>
                <w:sz w:val="16"/>
                <w:szCs w:val="16"/>
                <w:lang w:val="en-US"/>
              </w:rPr>
              <w:t xml:space="preserve">The following aspects must be evaluated following a pre-established program for verifying their compliance with the principles of the Quality Management System: </w:t>
            </w:r>
          </w:p>
        </w:tc>
      </w:tr>
      <w:tr w:rsidR="001C6A90" w:rsidRPr="00947A46" w14:paraId="3E55538F" w14:textId="77777777" w:rsidTr="00886332">
        <w:tc>
          <w:tcPr>
            <w:tcW w:w="4405" w:type="dxa"/>
          </w:tcPr>
          <w:p w14:paraId="2F7770C4" w14:textId="77777777" w:rsidR="001C6A90" w:rsidRPr="008F5C15" w:rsidRDefault="001C6A90" w:rsidP="001C6A90">
            <w:pPr>
              <w:pStyle w:val="Texto"/>
              <w:spacing w:line="276" w:lineRule="auto"/>
              <w:ind w:firstLine="0"/>
              <w:rPr>
                <w:rFonts w:ascii="Verdana" w:hAnsi="Verdana"/>
                <w:strike/>
                <w:sz w:val="16"/>
                <w:szCs w:val="16"/>
                <w:lang w:val="es-MX"/>
              </w:rPr>
            </w:pPr>
            <w:r w:rsidRPr="008F5C15">
              <w:rPr>
                <w:rFonts w:ascii="Verdana" w:hAnsi="Verdana"/>
                <w:b/>
                <w:sz w:val="16"/>
                <w:szCs w:val="16"/>
                <w:lang w:val="es-MX"/>
              </w:rPr>
              <w:t xml:space="preserve">5.3.2.1.2.1 </w:t>
            </w:r>
            <w:r w:rsidRPr="008F5C15">
              <w:rPr>
                <w:rFonts w:ascii="Verdana" w:hAnsi="Verdana"/>
                <w:sz w:val="16"/>
                <w:szCs w:val="16"/>
                <w:lang w:val="es-MX"/>
              </w:rPr>
              <w:t>Todas las autoinspecciones deberán quedar registradas. Los informes incluirán todas las observaciones realizadas durante las inspecciones y, en su caso, las propuestas de medidas correctivas y/o preventivas deberán registrarse en el sistema CAPA del establecimiento.</w:t>
            </w:r>
          </w:p>
        </w:tc>
        <w:tc>
          <w:tcPr>
            <w:tcW w:w="4427" w:type="dxa"/>
          </w:tcPr>
          <w:p w14:paraId="142DDBC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5.3.2.1.2.1 </w:t>
            </w:r>
            <w:r w:rsidRPr="008F5C15">
              <w:rPr>
                <w:rFonts w:ascii="Verdana" w:hAnsi="Verdana"/>
                <w:sz w:val="16"/>
                <w:szCs w:val="16"/>
                <w:lang w:val="en-US"/>
              </w:rPr>
              <w:t xml:space="preserve">All the self-inspections must remain recorded. The reports will include all the observations made during the inspections and, when applicable, the proposals for corrective and/or preventive measures must be recorded in the CAPA system of the establishment. </w:t>
            </w:r>
          </w:p>
        </w:tc>
      </w:tr>
      <w:tr w:rsidR="001C6A90" w:rsidRPr="00947A46" w14:paraId="2C3E155E" w14:textId="77777777" w:rsidTr="00886332">
        <w:tc>
          <w:tcPr>
            <w:tcW w:w="4405" w:type="dxa"/>
          </w:tcPr>
          <w:p w14:paraId="6A736ED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5.3.2.1.2.2</w:t>
            </w:r>
            <w:r w:rsidRPr="008F5C15">
              <w:rPr>
                <w:rFonts w:ascii="Verdana" w:hAnsi="Verdana"/>
                <w:sz w:val="16"/>
                <w:szCs w:val="16"/>
                <w:lang w:val="es-MX"/>
              </w:rPr>
              <w:t xml:space="preserve"> Los resultados de las autoinspecciones deben ser comunicados al personal involucrado.</w:t>
            </w:r>
          </w:p>
        </w:tc>
        <w:tc>
          <w:tcPr>
            <w:tcW w:w="4427" w:type="dxa"/>
          </w:tcPr>
          <w:p w14:paraId="6970ECE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5.3.2.1.2.2 </w:t>
            </w:r>
            <w:r w:rsidRPr="008F5C15">
              <w:rPr>
                <w:rFonts w:ascii="Verdana" w:hAnsi="Verdana"/>
                <w:sz w:val="16"/>
                <w:szCs w:val="16"/>
                <w:lang w:val="en-US"/>
              </w:rPr>
              <w:t xml:space="preserve">The results of the self-inspections must be communicated to the personnel involved. </w:t>
            </w:r>
          </w:p>
        </w:tc>
      </w:tr>
      <w:tr w:rsidR="001C6A90" w:rsidRPr="003A219A" w14:paraId="0F4820EC" w14:textId="77777777" w:rsidTr="00886332">
        <w:tc>
          <w:tcPr>
            <w:tcW w:w="4405" w:type="dxa"/>
          </w:tcPr>
          <w:p w14:paraId="64C685B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5.3.2.2 </w:t>
            </w:r>
            <w:r w:rsidRPr="008F5C15">
              <w:rPr>
                <w:rFonts w:ascii="Verdana" w:hAnsi="Verdana"/>
                <w:sz w:val="16"/>
                <w:szCs w:val="16"/>
                <w:lang w:val="es-MX"/>
              </w:rPr>
              <w:t>Auditorías a proveedores</w:t>
            </w:r>
          </w:p>
        </w:tc>
        <w:tc>
          <w:tcPr>
            <w:tcW w:w="4427" w:type="dxa"/>
          </w:tcPr>
          <w:p w14:paraId="2F05DEF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5.3.2.2 </w:t>
            </w:r>
            <w:r w:rsidRPr="008F5C15">
              <w:rPr>
                <w:rFonts w:ascii="Verdana" w:hAnsi="Verdana"/>
                <w:sz w:val="16"/>
                <w:szCs w:val="16"/>
                <w:lang w:val="en-US"/>
              </w:rPr>
              <w:t>Audits to suppliers.</w:t>
            </w:r>
          </w:p>
        </w:tc>
      </w:tr>
      <w:tr w:rsidR="001C6A90" w:rsidRPr="00947A46" w14:paraId="58B4C743" w14:textId="77777777" w:rsidTr="00886332">
        <w:tc>
          <w:tcPr>
            <w:tcW w:w="4405" w:type="dxa"/>
          </w:tcPr>
          <w:p w14:paraId="5D23BA2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5.3.2.2.1</w:t>
            </w:r>
            <w:r w:rsidRPr="008F5C15">
              <w:rPr>
                <w:rFonts w:ascii="Verdana" w:hAnsi="Verdana"/>
                <w:sz w:val="16"/>
                <w:szCs w:val="16"/>
                <w:lang w:val="es-MX"/>
              </w:rPr>
              <w:t xml:space="preserve"> Los establecimientos deben determinar con base en una evaluación de riesgos aquellos proveedores de insumos que tengan un impacto en la calidad, seguridad y eficacia del medicamento.</w:t>
            </w:r>
          </w:p>
        </w:tc>
        <w:tc>
          <w:tcPr>
            <w:tcW w:w="4427" w:type="dxa"/>
          </w:tcPr>
          <w:p w14:paraId="3EA846E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5.3.2.2.1 </w:t>
            </w:r>
            <w:r w:rsidRPr="008F5C15">
              <w:rPr>
                <w:rFonts w:ascii="Verdana" w:hAnsi="Verdana"/>
                <w:sz w:val="16"/>
                <w:szCs w:val="16"/>
                <w:lang w:val="en-US"/>
              </w:rPr>
              <w:t xml:space="preserve">The establishments must determine based on an evaluation of risks those suppliers of materials that have an impact on the quality, safety and efficiency of the drug product. </w:t>
            </w:r>
          </w:p>
        </w:tc>
      </w:tr>
      <w:tr w:rsidR="001C6A90" w:rsidRPr="00947A46" w14:paraId="1DC7C5DE" w14:textId="77777777" w:rsidTr="00886332">
        <w:tc>
          <w:tcPr>
            <w:tcW w:w="4405" w:type="dxa"/>
          </w:tcPr>
          <w:p w14:paraId="2A4D29C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5.3.2.2.2</w:t>
            </w:r>
            <w:r w:rsidRPr="008F5C15">
              <w:rPr>
                <w:rFonts w:ascii="Verdana" w:hAnsi="Verdana"/>
                <w:sz w:val="16"/>
                <w:szCs w:val="16"/>
                <w:lang w:val="es-MX"/>
              </w:rPr>
              <w:t xml:space="preserve"> Debe existir un procedimiento para la ejecución de auditorías para proveedores de insumos, prestadores de servicios de análisis, prestadores de servicios a sistemas críticos y equipos y maquiladores de procesos de fabricación.</w:t>
            </w:r>
          </w:p>
        </w:tc>
        <w:tc>
          <w:tcPr>
            <w:tcW w:w="4427" w:type="dxa"/>
          </w:tcPr>
          <w:p w14:paraId="6D48D2B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5.3.2.2.2 </w:t>
            </w:r>
            <w:r w:rsidRPr="008F5C15">
              <w:rPr>
                <w:rFonts w:ascii="Verdana" w:hAnsi="Verdana"/>
                <w:sz w:val="16"/>
                <w:szCs w:val="16"/>
                <w:lang w:val="en-US"/>
              </w:rPr>
              <w:t xml:space="preserve">A procedure must exist for the execution of audits for suppliers of materials, providers of the services of analysis, providers of services to critical systems and equipment and maquiladoras of manufacturing processes. </w:t>
            </w:r>
          </w:p>
        </w:tc>
      </w:tr>
      <w:tr w:rsidR="001C6A90" w:rsidRPr="00947A46" w14:paraId="063E0339" w14:textId="77777777" w:rsidTr="00886332">
        <w:tc>
          <w:tcPr>
            <w:tcW w:w="4405" w:type="dxa"/>
          </w:tcPr>
          <w:p w14:paraId="13FE88F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5.3.2.2.3</w:t>
            </w:r>
            <w:r w:rsidRPr="008F5C15">
              <w:rPr>
                <w:rFonts w:ascii="Verdana" w:hAnsi="Verdana"/>
                <w:sz w:val="16"/>
                <w:szCs w:val="16"/>
                <w:lang w:val="es-MX"/>
              </w:rPr>
              <w:t xml:space="preserve"> Debe existir un programa de auditorías periódicas, así como, contar con evidencia documental para demostrar el cumplimiento del mismo.</w:t>
            </w:r>
          </w:p>
        </w:tc>
        <w:tc>
          <w:tcPr>
            <w:tcW w:w="4427" w:type="dxa"/>
          </w:tcPr>
          <w:p w14:paraId="26D9A28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5.3.2.2.3</w:t>
            </w:r>
            <w:r w:rsidRPr="008F5C15">
              <w:rPr>
                <w:rFonts w:ascii="Verdana" w:hAnsi="Verdana"/>
                <w:sz w:val="16"/>
                <w:szCs w:val="16"/>
                <w:lang w:val="en-US"/>
              </w:rPr>
              <w:t xml:space="preserve"> There must be a program of periodic audits, as well, as documentation evidence to demonstrate compliance with the same.</w:t>
            </w:r>
          </w:p>
        </w:tc>
      </w:tr>
      <w:tr w:rsidR="001C6A90" w:rsidRPr="00947A46" w14:paraId="0FA7E1D2" w14:textId="77777777" w:rsidTr="00886332">
        <w:tc>
          <w:tcPr>
            <w:tcW w:w="4405" w:type="dxa"/>
          </w:tcPr>
          <w:p w14:paraId="140E48D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La periodicidad de las auditorías a proveedores debe establecerse con base al nivel de riesgo en el proceso, el impacto y en los reportes de calificación previos.</w:t>
            </w:r>
          </w:p>
        </w:tc>
        <w:tc>
          <w:tcPr>
            <w:tcW w:w="4427" w:type="dxa"/>
          </w:tcPr>
          <w:p w14:paraId="030C731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 schedule of the audits to suppliers must be established based on the level of risk in the process, the impact and in the prior reports of qualification. </w:t>
            </w:r>
          </w:p>
        </w:tc>
      </w:tr>
      <w:tr w:rsidR="001C6A90" w:rsidRPr="00947A46" w14:paraId="23AAAE41" w14:textId="77777777" w:rsidTr="00886332">
        <w:tc>
          <w:tcPr>
            <w:tcW w:w="4405" w:type="dxa"/>
          </w:tcPr>
          <w:p w14:paraId="368EEC11"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5.3.2.2.4</w:t>
            </w:r>
            <w:r w:rsidRPr="008F5C15">
              <w:rPr>
                <w:rFonts w:ascii="Verdana" w:hAnsi="Verdana"/>
                <w:sz w:val="16"/>
                <w:szCs w:val="16"/>
                <w:lang w:val="es-MX"/>
              </w:rPr>
              <w:t xml:space="preserve"> Los reportes de auditorías a proveedores deben formar parte del expediente de calificación del proveedor.</w:t>
            </w:r>
          </w:p>
        </w:tc>
        <w:tc>
          <w:tcPr>
            <w:tcW w:w="4427" w:type="dxa"/>
          </w:tcPr>
          <w:p w14:paraId="24030A3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5.3.2.2.4 </w:t>
            </w:r>
            <w:r w:rsidRPr="008F5C15">
              <w:rPr>
                <w:rFonts w:ascii="Verdana" w:hAnsi="Verdana"/>
                <w:sz w:val="16"/>
                <w:szCs w:val="16"/>
                <w:lang w:val="en-US"/>
              </w:rPr>
              <w:t xml:space="preserve">The reports of audits to suppliers must form part of the qualification file of the supplier. </w:t>
            </w:r>
          </w:p>
        </w:tc>
      </w:tr>
      <w:tr w:rsidR="001C6A90" w:rsidRPr="00947A46" w14:paraId="304728A0" w14:textId="77777777" w:rsidTr="00886332">
        <w:tc>
          <w:tcPr>
            <w:tcW w:w="4405" w:type="dxa"/>
          </w:tcPr>
          <w:p w14:paraId="65EBACC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5.3.2.3 </w:t>
            </w:r>
            <w:r w:rsidRPr="008F5C15">
              <w:rPr>
                <w:rFonts w:ascii="Verdana" w:hAnsi="Verdana"/>
                <w:sz w:val="16"/>
                <w:szCs w:val="16"/>
                <w:lang w:val="es-MX"/>
              </w:rPr>
              <w:t>Auditorías de las Entidades Regulatorias</w:t>
            </w:r>
          </w:p>
        </w:tc>
        <w:tc>
          <w:tcPr>
            <w:tcW w:w="4427" w:type="dxa"/>
          </w:tcPr>
          <w:p w14:paraId="1D50653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5.3.2.3 </w:t>
            </w:r>
            <w:r w:rsidRPr="008F5C15">
              <w:rPr>
                <w:rFonts w:ascii="Verdana" w:hAnsi="Verdana"/>
                <w:sz w:val="16"/>
                <w:szCs w:val="16"/>
                <w:lang w:val="en-US"/>
              </w:rPr>
              <w:t xml:space="preserve">Audits of the Regulatory Entities. </w:t>
            </w:r>
          </w:p>
        </w:tc>
      </w:tr>
      <w:tr w:rsidR="001C6A90" w:rsidRPr="00947A46" w14:paraId="2E386630" w14:textId="77777777" w:rsidTr="00886332">
        <w:tc>
          <w:tcPr>
            <w:tcW w:w="4405" w:type="dxa"/>
          </w:tcPr>
          <w:p w14:paraId="34EE467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5.3.2.3.1 </w:t>
            </w:r>
            <w:r w:rsidRPr="008F5C15">
              <w:rPr>
                <w:rFonts w:ascii="Verdana" w:hAnsi="Verdana"/>
                <w:sz w:val="16"/>
                <w:szCs w:val="16"/>
                <w:lang w:val="es-MX"/>
              </w:rPr>
              <w:t>Debe existir un procedimiento para la atención de auditorías de las Entidades Regulatorias que incluya y no se limite a:</w:t>
            </w:r>
          </w:p>
        </w:tc>
        <w:tc>
          <w:tcPr>
            <w:tcW w:w="4427" w:type="dxa"/>
          </w:tcPr>
          <w:p w14:paraId="3411E98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5.3.2.3.1 </w:t>
            </w:r>
            <w:r w:rsidRPr="008F5C15">
              <w:rPr>
                <w:rFonts w:ascii="Verdana" w:hAnsi="Verdana"/>
                <w:sz w:val="16"/>
                <w:szCs w:val="16"/>
                <w:lang w:val="en-US"/>
              </w:rPr>
              <w:t xml:space="preserve">A procedure for the attention of audits of the Regulatory Entities must exist that includes and is not limited to: </w:t>
            </w:r>
          </w:p>
        </w:tc>
      </w:tr>
      <w:tr w:rsidR="001C6A90" w:rsidRPr="00947A46" w14:paraId="77CD7A85" w14:textId="77777777" w:rsidTr="00886332">
        <w:tc>
          <w:tcPr>
            <w:tcW w:w="4405" w:type="dxa"/>
          </w:tcPr>
          <w:p w14:paraId="44B5153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5.3.2.3.1.1 </w:t>
            </w:r>
            <w:r w:rsidRPr="008F5C15">
              <w:rPr>
                <w:rFonts w:ascii="Verdana" w:hAnsi="Verdana"/>
                <w:sz w:val="16"/>
                <w:szCs w:val="16"/>
                <w:lang w:val="es-MX"/>
              </w:rPr>
              <w:t>Recepción de la auditoría por el responsable sanitario o por la persona que éste autorice, de conformidad con el punto 7.1.6 de esta Norma.</w:t>
            </w:r>
          </w:p>
        </w:tc>
        <w:tc>
          <w:tcPr>
            <w:tcW w:w="4427" w:type="dxa"/>
          </w:tcPr>
          <w:p w14:paraId="71FC517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5.3.2.3.1.1 </w:t>
            </w:r>
            <w:r w:rsidRPr="008F5C15">
              <w:rPr>
                <w:rFonts w:ascii="Verdana" w:hAnsi="Verdana"/>
                <w:sz w:val="16"/>
                <w:szCs w:val="16"/>
                <w:lang w:val="en-US"/>
              </w:rPr>
              <w:t xml:space="preserve">Reception of the audit by the Person responsible for sanitary compliance or by the person authorized, in compliance to point 7.1.6 of this Standard. </w:t>
            </w:r>
          </w:p>
        </w:tc>
      </w:tr>
      <w:tr w:rsidR="001C6A90" w:rsidRPr="00947A46" w14:paraId="558DAC8C" w14:textId="77777777" w:rsidTr="00886332">
        <w:tc>
          <w:tcPr>
            <w:tcW w:w="4405" w:type="dxa"/>
          </w:tcPr>
          <w:p w14:paraId="20E2471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5.3.2.3.1.2 </w:t>
            </w:r>
            <w:r w:rsidRPr="008F5C15">
              <w:rPr>
                <w:rFonts w:ascii="Verdana" w:hAnsi="Verdana"/>
                <w:sz w:val="16"/>
                <w:szCs w:val="16"/>
                <w:lang w:val="es-MX"/>
              </w:rPr>
              <w:t>Preparación de información a ser presentada.</w:t>
            </w:r>
          </w:p>
        </w:tc>
        <w:tc>
          <w:tcPr>
            <w:tcW w:w="4427" w:type="dxa"/>
          </w:tcPr>
          <w:p w14:paraId="23CEF4A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5.3.2.3.1.2 </w:t>
            </w:r>
            <w:r w:rsidRPr="008F5C15">
              <w:rPr>
                <w:rFonts w:ascii="Verdana" w:hAnsi="Verdana"/>
                <w:sz w:val="16"/>
                <w:szCs w:val="16"/>
                <w:lang w:val="en-US"/>
              </w:rPr>
              <w:t xml:space="preserve">Preparation of information to be presented. </w:t>
            </w:r>
          </w:p>
        </w:tc>
      </w:tr>
      <w:tr w:rsidR="001C6A90" w:rsidRPr="00947A46" w14:paraId="7F613344" w14:textId="77777777" w:rsidTr="00886332">
        <w:tc>
          <w:tcPr>
            <w:tcW w:w="4405" w:type="dxa"/>
          </w:tcPr>
          <w:p w14:paraId="372161E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5.3.2.3.1.3</w:t>
            </w:r>
            <w:r w:rsidRPr="008F5C15">
              <w:rPr>
                <w:rFonts w:ascii="Verdana" w:hAnsi="Verdana"/>
                <w:sz w:val="16"/>
                <w:szCs w:val="16"/>
                <w:lang w:val="es-MX"/>
              </w:rPr>
              <w:t xml:space="preserve"> Registro, evaluación y cierre de no conformidades durante una auditoría de las Entidades Regulatorias.</w:t>
            </w:r>
          </w:p>
        </w:tc>
        <w:tc>
          <w:tcPr>
            <w:tcW w:w="4427" w:type="dxa"/>
          </w:tcPr>
          <w:p w14:paraId="16B6D6F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.5.3.2.3.1.3 </w:t>
            </w:r>
            <w:r w:rsidRPr="008F5C15">
              <w:rPr>
                <w:rFonts w:ascii="Verdana" w:hAnsi="Verdana"/>
                <w:sz w:val="16"/>
                <w:szCs w:val="16"/>
                <w:lang w:val="en-US"/>
              </w:rPr>
              <w:t xml:space="preserve">Record, evaluation and closing of noncompliances during an audit of the Regulatory Entities. </w:t>
            </w:r>
          </w:p>
        </w:tc>
      </w:tr>
      <w:tr w:rsidR="001C6A90" w:rsidRPr="00947A46" w14:paraId="3706FAF1" w14:textId="77777777" w:rsidTr="00886332">
        <w:tc>
          <w:tcPr>
            <w:tcW w:w="4405" w:type="dxa"/>
          </w:tcPr>
          <w:p w14:paraId="4EF8B5B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5.3.2.3.2</w:t>
            </w:r>
            <w:r w:rsidRPr="008F5C15">
              <w:rPr>
                <w:rFonts w:ascii="Verdana" w:hAnsi="Verdana"/>
                <w:sz w:val="16"/>
                <w:szCs w:val="16"/>
                <w:lang w:val="es-MX"/>
              </w:rPr>
              <w:t xml:space="preserve"> Los resultados de las auditorías por Entidades Regulatorias deben ser comunicados al personal involucrado en la ejecución de las acciones así como a la Dirección General o alta dirección.</w:t>
            </w:r>
          </w:p>
        </w:tc>
        <w:tc>
          <w:tcPr>
            <w:tcW w:w="4427" w:type="dxa"/>
          </w:tcPr>
          <w:p w14:paraId="3660B4D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5.3.2.3.2 </w:t>
            </w:r>
            <w:r w:rsidRPr="008F5C15">
              <w:rPr>
                <w:rFonts w:ascii="Verdana" w:hAnsi="Verdana"/>
                <w:sz w:val="16"/>
                <w:szCs w:val="16"/>
                <w:lang w:val="en-US"/>
              </w:rPr>
              <w:t xml:space="preserve">The results of the audits by Regulatory Entities must be communicated to the personnel involved in the execution of the actions, as well as the General Office or the Head Office. </w:t>
            </w:r>
          </w:p>
        </w:tc>
      </w:tr>
      <w:tr w:rsidR="001C6A90" w:rsidRPr="00262EF8" w14:paraId="6208B13C" w14:textId="77777777" w:rsidTr="00886332">
        <w:tc>
          <w:tcPr>
            <w:tcW w:w="4405" w:type="dxa"/>
          </w:tcPr>
          <w:p w14:paraId="21D5D10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5.4 Gestión de quejas</w:t>
            </w:r>
          </w:p>
        </w:tc>
        <w:tc>
          <w:tcPr>
            <w:tcW w:w="4427" w:type="dxa"/>
            <w:shd w:val="clear" w:color="auto" w:fill="auto"/>
          </w:tcPr>
          <w:p w14:paraId="22C105D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5.4 Management of Complaints.</w:t>
            </w:r>
          </w:p>
        </w:tc>
      </w:tr>
      <w:tr w:rsidR="001C6A90" w:rsidRPr="00947A46" w14:paraId="4EE37F0B" w14:textId="77777777" w:rsidTr="00886332">
        <w:tc>
          <w:tcPr>
            <w:tcW w:w="4405" w:type="dxa"/>
          </w:tcPr>
          <w:p w14:paraId="02843F3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5.4.1 </w:t>
            </w:r>
            <w:r w:rsidRPr="008F5C15">
              <w:rPr>
                <w:rFonts w:ascii="Verdana" w:hAnsi="Verdana"/>
                <w:sz w:val="16"/>
                <w:szCs w:val="16"/>
                <w:lang w:val="es-MX"/>
              </w:rPr>
              <w:t>Debe existir un responsable de la gestión de quejas.</w:t>
            </w:r>
          </w:p>
        </w:tc>
        <w:tc>
          <w:tcPr>
            <w:tcW w:w="4427" w:type="dxa"/>
            <w:shd w:val="clear" w:color="auto" w:fill="auto"/>
          </w:tcPr>
          <w:p w14:paraId="267AC4F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5.4.1 </w:t>
            </w:r>
            <w:r w:rsidRPr="008F5C15">
              <w:rPr>
                <w:rFonts w:ascii="Verdana" w:hAnsi="Verdana"/>
                <w:sz w:val="16"/>
                <w:szCs w:val="16"/>
                <w:lang w:val="en-US"/>
              </w:rPr>
              <w:t>There must be a person responsible for complaint management.</w:t>
            </w:r>
          </w:p>
        </w:tc>
      </w:tr>
      <w:tr w:rsidR="001C6A90" w:rsidRPr="00947A46" w14:paraId="2AA35821" w14:textId="77777777" w:rsidTr="00886332">
        <w:tc>
          <w:tcPr>
            <w:tcW w:w="4405" w:type="dxa"/>
          </w:tcPr>
          <w:p w14:paraId="088D99C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5.4.2 </w:t>
            </w:r>
            <w:r w:rsidRPr="008F5C15">
              <w:rPr>
                <w:rFonts w:ascii="Verdana" w:hAnsi="Verdana"/>
                <w:sz w:val="16"/>
                <w:szCs w:val="16"/>
                <w:lang w:val="es-MX"/>
              </w:rPr>
              <w:t>Debe existir un procedimiento para el manejo de quejas, el cual debe incluir:</w:t>
            </w:r>
          </w:p>
        </w:tc>
        <w:tc>
          <w:tcPr>
            <w:tcW w:w="4427" w:type="dxa"/>
            <w:shd w:val="clear" w:color="auto" w:fill="auto"/>
          </w:tcPr>
          <w:p w14:paraId="3B50ED1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5.4.2</w:t>
            </w:r>
            <w:r w:rsidRPr="008F5C15">
              <w:rPr>
                <w:rFonts w:ascii="Verdana" w:hAnsi="Verdana"/>
                <w:sz w:val="16"/>
                <w:szCs w:val="16"/>
                <w:lang w:val="en-US"/>
              </w:rPr>
              <w:t xml:space="preserve"> There must be a procedure for the handling of complaints, which must include:</w:t>
            </w:r>
          </w:p>
        </w:tc>
      </w:tr>
      <w:tr w:rsidR="001C6A90" w:rsidRPr="00947A46" w14:paraId="172F3D72" w14:textId="77777777" w:rsidTr="00886332">
        <w:tc>
          <w:tcPr>
            <w:tcW w:w="4405" w:type="dxa"/>
          </w:tcPr>
          <w:p w14:paraId="5778B13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5.4.2.1 </w:t>
            </w:r>
            <w:r w:rsidRPr="008F5C15">
              <w:rPr>
                <w:rFonts w:ascii="Verdana" w:hAnsi="Verdana"/>
                <w:sz w:val="16"/>
                <w:szCs w:val="16"/>
                <w:lang w:val="es-MX"/>
              </w:rPr>
              <w:t>La obligatoriedad de la atención y documentación de todas las quejas.</w:t>
            </w:r>
          </w:p>
        </w:tc>
        <w:tc>
          <w:tcPr>
            <w:tcW w:w="4427" w:type="dxa"/>
            <w:shd w:val="clear" w:color="auto" w:fill="auto"/>
          </w:tcPr>
          <w:p w14:paraId="4C348DC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5.4.2.1</w:t>
            </w:r>
            <w:r w:rsidRPr="008F5C15">
              <w:rPr>
                <w:rFonts w:ascii="Verdana" w:hAnsi="Verdana"/>
                <w:sz w:val="16"/>
                <w:szCs w:val="16"/>
                <w:lang w:val="en-US"/>
              </w:rPr>
              <w:t xml:space="preserve"> Obligatory review of the attention and documentation of all complaints.</w:t>
            </w:r>
          </w:p>
        </w:tc>
      </w:tr>
      <w:tr w:rsidR="001C6A90" w:rsidRPr="00947A46" w14:paraId="53001F79" w14:textId="77777777" w:rsidTr="00886332">
        <w:tc>
          <w:tcPr>
            <w:tcW w:w="4405" w:type="dxa"/>
          </w:tcPr>
          <w:p w14:paraId="0A54FC7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5.4.2.2 </w:t>
            </w:r>
            <w:r w:rsidRPr="008F5C15">
              <w:rPr>
                <w:rFonts w:ascii="Verdana" w:hAnsi="Verdana"/>
                <w:sz w:val="16"/>
                <w:szCs w:val="16"/>
                <w:lang w:val="es-MX"/>
              </w:rPr>
              <w:t>El proceso de investigación incluyendo el impacto a la calidad, seguridad y eficacia del producto.</w:t>
            </w:r>
          </w:p>
        </w:tc>
        <w:tc>
          <w:tcPr>
            <w:tcW w:w="4427" w:type="dxa"/>
            <w:shd w:val="clear" w:color="auto" w:fill="auto"/>
          </w:tcPr>
          <w:p w14:paraId="7965D74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5.4.2.2 </w:t>
            </w:r>
            <w:r w:rsidRPr="008F5C15">
              <w:rPr>
                <w:rFonts w:ascii="Verdana" w:hAnsi="Verdana"/>
                <w:sz w:val="16"/>
                <w:szCs w:val="16"/>
                <w:lang w:val="en-US"/>
              </w:rPr>
              <w:t xml:space="preserve">The process of investigation including the impact on quality, safety and efficiency of the product.  </w:t>
            </w:r>
          </w:p>
        </w:tc>
      </w:tr>
      <w:tr w:rsidR="001C6A90" w:rsidRPr="00947A46" w14:paraId="597B02AC" w14:textId="77777777" w:rsidTr="00886332">
        <w:tc>
          <w:tcPr>
            <w:tcW w:w="4405" w:type="dxa"/>
          </w:tcPr>
          <w:p w14:paraId="46C441C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5.4.2.3 </w:t>
            </w:r>
            <w:r w:rsidRPr="008F5C15">
              <w:rPr>
                <w:rFonts w:ascii="Verdana" w:hAnsi="Verdana"/>
                <w:sz w:val="16"/>
                <w:szCs w:val="16"/>
                <w:lang w:val="es-MX"/>
              </w:rPr>
              <w:t>Definición de las CAPA a realizar respecto al problema.</w:t>
            </w:r>
          </w:p>
        </w:tc>
        <w:tc>
          <w:tcPr>
            <w:tcW w:w="4427" w:type="dxa"/>
            <w:shd w:val="clear" w:color="auto" w:fill="auto"/>
          </w:tcPr>
          <w:p w14:paraId="721CE49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5.4.2.3</w:t>
            </w:r>
            <w:r w:rsidRPr="008F5C15">
              <w:rPr>
                <w:rFonts w:ascii="Verdana" w:hAnsi="Verdana"/>
                <w:sz w:val="16"/>
                <w:szCs w:val="16"/>
                <w:lang w:val="en-US"/>
              </w:rPr>
              <w:t xml:space="preserve"> Definition of CAPAs to be performed in regards to the problem.</w:t>
            </w:r>
          </w:p>
        </w:tc>
      </w:tr>
      <w:tr w:rsidR="001C6A90" w:rsidRPr="00947A46" w14:paraId="3810C603" w14:textId="77777777" w:rsidTr="00886332">
        <w:tc>
          <w:tcPr>
            <w:tcW w:w="4405" w:type="dxa"/>
          </w:tcPr>
          <w:p w14:paraId="5F225DC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5.4.2.4 </w:t>
            </w:r>
            <w:r w:rsidRPr="008F5C15">
              <w:rPr>
                <w:rFonts w:ascii="Verdana" w:hAnsi="Verdana"/>
                <w:sz w:val="16"/>
                <w:szCs w:val="16"/>
                <w:lang w:val="es-MX"/>
              </w:rPr>
              <w:t>La forma y el tiempo de respuesta al cliente, en su caso.</w:t>
            </w:r>
          </w:p>
        </w:tc>
        <w:tc>
          <w:tcPr>
            <w:tcW w:w="4427" w:type="dxa"/>
            <w:shd w:val="clear" w:color="auto" w:fill="auto"/>
          </w:tcPr>
          <w:p w14:paraId="44742DE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5.4.2.4 </w:t>
            </w:r>
            <w:r w:rsidRPr="008F5C15">
              <w:rPr>
                <w:rFonts w:ascii="Verdana" w:hAnsi="Verdana"/>
                <w:sz w:val="16"/>
                <w:szCs w:val="16"/>
                <w:lang w:val="en-US"/>
              </w:rPr>
              <w:t>The time and form of the response provided to the client, as applicable.</w:t>
            </w:r>
          </w:p>
        </w:tc>
      </w:tr>
      <w:tr w:rsidR="001C6A90" w:rsidRPr="00947A46" w14:paraId="24488D9E" w14:textId="77777777" w:rsidTr="00886332">
        <w:tc>
          <w:tcPr>
            <w:tcW w:w="4405" w:type="dxa"/>
          </w:tcPr>
          <w:p w14:paraId="7689408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5.4.2.5 </w:t>
            </w:r>
            <w:r w:rsidRPr="008F5C15">
              <w:rPr>
                <w:rFonts w:ascii="Verdana" w:hAnsi="Verdana"/>
                <w:sz w:val="16"/>
                <w:szCs w:val="16"/>
                <w:lang w:val="es-MX"/>
              </w:rPr>
              <w:t>Indicar en qué casos se procederá al retiro de producto de mercado y notificar a la Secretaría a través de la COFEPRIS.</w:t>
            </w:r>
          </w:p>
        </w:tc>
        <w:tc>
          <w:tcPr>
            <w:tcW w:w="4427" w:type="dxa"/>
            <w:shd w:val="clear" w:color="auto" w:fill="auto"/>
          </w:tcPr>
          <w:p w14:paraId="0A7E247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5.4.2.5 </w:t>
            </w:r>
            <w:r w:rsidRPr="008F5C15">
              <w:rPr>
                <w:rFonts w:ascii="Verdana" w:hAnsi="Verdana"/>
                <w:sz w:val="16"/>
                <w:szCs w:val="16"/>
                <w:lang w:val="en-US"/>
              </w:rPr>
              <w:t xml:space="preserve">Indicate in which cases will the withdrawal of the product from the market proceed and notify the Secretary through the COFEPRIS.  </w:t>
            </w:r>
          </w:p>
        </w:tc>
      </w:tr>
      <w:tr w:rsidR="001C6A90" w:rsidRPr="00947A46" w14:paraId="16B43587" w14:textId="77777777" w:rsidTr="00886332">
        <w:tc>
          <w:tcPr>
            <w:tcW w:w="4405" w:type="dxa"/>
          </w:tcPr>
          <w:p w14:paraId="0E6DB15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5.4.3 </w:t>
            </w:r>
            <w:r w:rsidRPr="008F5C15">
              <w:rPr>
                <w:rFonts w:ascii="Verdana" w:hAnsi="Verdana"/>
                <w:sz w:val="16"/>
                <w:szCs w:val="16"/>
                <w:lang w:val="es-MX"/>
              </w:rPr>
              <w:t>Como parte de la investigación de una queja de un lote de producto defectuoso, debe extenderse la evaluación prospectiva y retrospectiva a otros lotes con el fin de determinar si éstos también están afectados.</w:t>
            </w:r>
          </w:p>
        </w:tc>
        <w:tc>
          <w:tcPr>
            <w:tcW w:w="4427" w:type="dxa"/>
            <w:shd w:val="clear" w:color="auto" w:fill="auto"/>
          </w:tcPr>
          <w:p w14:paraId="2138AF9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5.4.3</w:t>
            </w:r>
            <w:r w:rsidRPr="008F5C15">
              <w:rPr>
                <w:rFonts w:ascii="Verdana" w:hAnsi="Verdana"/>
                <w:sz w:val="16"/>
                <w:szCs w:val="16"/>
                <w:lang w:val="en-US"/>
              </w:rPr>
              <w:t xml:space="preserve"> As part of the complaint investigation of a defective lot of product, the evaluation must be extended to other lots in order to determine whether they are also affected.</w:t>
            </w:r>
          </w:p>
        </w:tc>
      </w:tr>
      <w:tr w:rsidR="001C6A90" w:rsidRPr="00947A46" w14:paraId="311BB719" w14:textId="77777777" w:rsidTr="00886332">
        <w:tc>
          <w:tcPr>
            <w:tcW w:w="4405" w:type="dxa"/>
          </w:tcPr>
          <w:p w14:paraId="1A764C7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5.4.4 </w:t>
            </w:r>
            <w:r w:rsidRPr="008F5C15">
              <w:rPr>
                <w:rFonts w:ascii="Verdana" w:hAnsi="Verdana"/>
                <w:sz w:val="16"/>
                <w:szCs w:val="16"/>
                <w:lang w:val="es-MX"/>
              </w:rPr>
              <w:t>Los registros de las quejas deben como mínimo contar con lo siguiente:</w:t>
            </w:r>
          </w:p>
        </w:tc>
        <w:tc>
          <w:tcPr>
            <w:tcW w:w="4427" w:type="dxa"/>
            <w:shd w:val="clear" w:color="auto" w:fill="auto"/>
          </w:tcPr>
          <w:p w14:paraId="475F611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5.4.4 </w:t>
            </w:r>
            <w:r w:rsidRPr="008F5C15">
              <w:rPr>
                <w:rFonts w:ascii="Verdana" w:hAnsi="Verdana"/>
                <w:sz w:val="16"/>
                <w:szCs w:val="16"/>
                <w:lang w:val="en-US"/>
              </w:rPr>
              <w:t>The complaint records must contain at least the following:</w:t>
            </w:r>
          </w:p>
        </w:tc>
      </w:tr>
      <w:tr w:rsidR="001C6A90" w:rsidRPr="00947A46" w14:paraId="63428105" w14:textId="77777777" w:rsidTr="00886332">
        <w:tc>
          <w:tcPr>
            <w:tcW w:w="4405" w:type="dxa"/>
          </w:tcPr>
          <w:p w14:paraId="0F4BFF7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5.4.4.1 </w:t>
            </w:r>
            <w:r w:rsidRPr="008F5C15">
              <w:rPr>
                <w:rFonts w:ascii="Verdana" w:hAnsi="Verdana"/>
                <w:sz w:val="16"/>
                <w:szCs w:val="16"/>
                <w:lang w:val="es-MX"/>
              </w:rPr>
              <w:t>Nombre del producto, presentación y número de lote.</w:t>
            </w:r>
          </w:p>
        </w:tc>
        <w:tc>
          <w:tcPr>
            <w:tcW w:w="4427" w:type="dxa"/>
            <w:shd w:val="clear" w:color="auto" w:fill="auto"/>
          </w:tcPr>
          <w:p w14:paraId="719459B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5.4.4.1</w:t>
            </w:r>
            <w:r w:rsidRPr="008F5C15">
              <w:rPr>
                <w:rFonts w:ascii="Verdana" w:hAnsi="Verdana"/>
                <w:sz w:val="16"/>
                <w:szCs w:val="16"/>
                <w:lang w:val="en-US"/>
              </w:rPr>
              <w:t xml:space="preserve"> Name of the product, presentation, and lot number.</w:t>
            </w:r>
          </w:p>
        </w:tc>
      </w:tr>
      <w:tr w:rsidR="001C6A90" w:rsidRPr="00262EF8" w14:paraId="26C65D08" w14:textId="77777777" w:rsidTr="00886332">
        <w:tc>
          <w:tcPr>
            <w:tcW w:w="4405" w:type="dxa"/>
          </w:tcPr>
          <w:p w14:paraId="095C77D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5.4.4.2 </w:t>
            </w:r>
            <w:r w:rsidRPr="008F5C15">
              <w:rPr>
                <w:rFonts w:ascii="Verdana" w:hAnsi="Verdana"/>
                <w:sz w:val="16"/>
                <w:szCs w:val="16"/>
                <w:lang w:val="es-MX"/>
              </w:rPr>
              <w:t>Cantidad involucrada.</w:t>
            </w:r>
          </w:p>
        </w:tc>
        <w:tc>
          <w:tcPr>
            <w:tcW w:w="4427" w:type="dxa"/>
            <w:shd w:val="clear" w:color="auto" w:fill="auto"/>
          </w:tcPr>
          <w:p w14:paraId="3B6EDAA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5.4.4.2 </w:t>
            </w:r>
            <w:r w:rsidRPr="008F5C15">
              <w:rPr>
                <w:rFonts w:ascii="Verdana" w:hAnsi="Verdana"/>
                <w:sz w:val="16"/>
                <w:szCs w:val="16"/>
                <w:lang w:val="en-US"/>
              </w:rPr>
              <w:t xml:space="preserve">Amount involved. </w:t>
            </w:r>
          </w:p>
        </w:tc>
      </w:tr>
      <w:tr w:rsidR="001C6A90" w:rsidRPr="00262EF8" w14:paraId="43AD5D0A" w14:textId="77777777" w:rsidTr="00886332">
        <w:tc>
          <w:tcPr>
            <w:tcW w:w="4405" w:type="dxa"/>
          </w:tcPr>
          <w:p w14:paraId="22EBD02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5.4.4.3 </w:t>
            </w:r>
            <w:r w:rsidRPr="008F5C15">
              <w:rPr>
                <w:rFonts w:ascii="Verdana" w:hAnsi="Verdana"/>
                <w:sz w:val="16"/>
                <w:szCs w:val="16"/>
                <w:lang w:val="es-MX"/>
              </w:rPr>
              <w:t>Motivo.</w:t>
            </w:r>
          </w:p>
        </w:tc>
        <w:tc>
          <w:tcPr>
            <w:tcW w:w="4427" w:type="dxa"/>
            <w:shd w:val="clear" w:color="auto" w:fill="auto"/>
          </w:tcPr>
          <w:p w14:paraId="4B9C3BC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5.4.4.3 </w:t>
            </w:r>
            <w:r w:rsidRPr="008F5C15">
              <w:rPr>
                <w:rFonts w:ascii="Verdana" w:hAnsi="Verdana"/>
                <w:sz w:val="16"/>
                <w:szCs w:val="16"/>
                <w:lang w:val="en-US"/>
              </w:rPr>
              <w:t xml:space="preserve">Reason. </w:t>
            </w:r>
          </w:p>
        </w:tc>
      </w:tr>
      <w:tr w:rsidR="001C6A90" w:rsidRPr="00947A46" w14:paraId="738580D8" w14:textId="77777777" w:rsidTr="00886332">
        <w:tc>
          <w:tcPr>
            <w:tcW w:w="4405" w:type="dxa"/>
          </w:tcPr>
          <w:p w14:paraId="6CD7211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5.4.4.4 </w:t>
            </w:r>
            <w:r w:rsidRPr="008F5C15">
              <w:rPr>
                <w:rFonts w:ascii="Verdana" w:hAnsi="Verdana"/>
                <w:sz w:val="16"/>
                <w:szCs w:val="16"/>
                <w:lang w:val="es-MX"/>
              </w:rPr>
              <w:t>Nombre y localización de quien la genera.</w:t>
            </w:r>
          </w:p>
        </w:tc>
        <w:tc>
          <w:tcPr>
            <w:tcW w:w="4427" w:type="dxa"/>
            <w:shd w:val="clear" w:color="auto" w:fill="auto"/>
          </w:tcPr>
          <w:p w14:paraId="141E8FF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5.4.4.4 </w:t>
            </w:r>
            <w:r w:rsidRPr="008F5C15">
              <w:rPr>
                <w:rFonts w:ascii="Verdana" w:hAnsi="Verdana"/>
                <w:sz w:val="16"/>
                <w:szCs w:val="16"/>
                <w:lang w:val="en-US"/>
              </w:rPr>
              <w:t>Name and address the party who generates it.</w:t>
            </w:r>
          </w:p>
        </w:tc>
      </w:tr>
      <w:tr w:rsidR="001C6A90" w:rsidRPr="00262EF8" w14:paraId="2DEAC673" w14:textId="77777777" w:rsidTr="00886332">
        <w:tc>
          <w:tcPr>
            <w:tcW w:w="4405" w:type="dxa"/>
          </w:tcPr>
          <w:p w14:paraId="63ACCC5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5.4.4.5</w:t>
            </w:r>
            <w:r w:rsidRPr="008F5C15">
              <w:rPr>
                <w:rFonts w:ascii="Verdana" w:hAnsi="Verdana"/>
                <w:sz w:val="16"/>
                <w:szCs w:val="16"/>
                <w:lang w:val="es-MX"/>
              </w:rPr>
              <w:t xml:space="preserve"> Resultado de la investigación.</w:t>
            </w:r>
          </w:p>
        </w:tc>
        <w:tc>
          <w:tcPr>
            <w:tcW w:w="4427" w:type="dxa"/>
            <w:shd w:val="clear" w:color="auto" w:fill="auto"/>
          </w:tcPr>
          <w:p w14:paraId="7726FDF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5.4.4.5</w:t>
            </w:r>
            <w:r w:rsidRPr="008F5C15">
              <w:rPr>
                <w:rFonts w:ascii="Verdana" w:hAnsi="Verdana"/>
                <w:sz w:val="16"/>
                <w:szCs w:val="16"/>
                <w:lang w:val="en-US"/>
              </w:rPr>
              <w:t xml:space="preserve"> Result of the investigation.</w:t>
            </w:r>
          </w:p>
        </w:tc>
      </w:tr>
      <w:tr w:rsidR="001C6A90" w:rsidRPr="00262EF8" w14:paraId="3CC4E4AE" w14:textId="77777777" w:rsidTr="00886332">
        <w:tc>
          <w:tcPr>
            <w:tcW w:w="4405" w:type="dxa"/>
          </w:tcPr>
          <w:p w14:paraId="22CC073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5.4.4.6 </w:t>
            </w:r>
            <w:r w:rsidRPr="008F5C15">
              <w:rPr>
                <w:rFonts w:ascii="Verdana" w:hAnsi="Verdana"/>
                <w:sz w:val="16"/>
                <w:szCs w:val="16"/>
                <w:lang w:val="es-MX"/>
              </w:rPr>
              <w:t>Acciones tomadas.</w:t>
            </w:r>
          </w:p>
        </w:tc>
        <w:tc>
          <w:tcPr>
            <w:tcW w:w="4427" w:type="dxa"/>
            <w:shd w:val="clear" w:color="auto" w:fill="auto"/>
          </w:tcPr>
          <w:p w14:paraId="083D8FD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5.4.4.6</w:t>
            </w:r>
            <w:r w:rsidRPr="008F5C15">
              <w:rPr>
                <w:rFonts w:ascii="Verdana" w:hAnsi="Verdana"/>
                <w:sz w:val="16"/>
                <w:szCs w:val="16"/>
                <w:lang w:val="en-US"/>
              </w:rPr>
              <w:t xml:space="preserve"> Actions taken.</w:t>
            </w:r>
          </w:p>
        </w:tc>
      </w:tr>
      <w:tr w:rsidR="001C6A90" w:rsidRPr="00947A46" w14:paraId="0D73E1CA" w14:textId="77777777" w:rsidTr="00886332">
        <w:tc>
          <w:tcPr>
            <w:tcW w:w="4405" w:type="dxa"/>
          </w:tcPr>
          <w:p w14:paraId="6885C76B"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5.4.4.7 </w:t>
            </w:r>
            <w:r w:rsidRPr="008F5C15">
              <w:rPr>
                <w:rFonts w:ascii="Verdana" w:hAnsi="Verdana"/>
                <w:sz w:val="16"/>
                <w:szCs w:val="16"/>
                <w:lang w:val="es-MX"/>
              </w:rPr>
              <w:t>Todas las quejas deben registrarse de forma cruzada con los reportes de investigación generados y hacer referencia a los correspondientes registros del lote involucrado.</w:t>
            </w:r>
          </w:p>
        </w:tc>
        <w:tc>
          <w:tcPr>
            <w:tcW w:w="4427" w:type="dxa"/>
            <w:shd w:val="clear" w:color="auto" w:fill="auto"/>
          </w:tcPr>
          <w:p w14:paraId="6F40366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5.4.4.7 </w:t>
            </w:r>
            <w:r w:rsidRPr="008F5C15">
              <w:rPr>
                <w:rFonts w:ascii="Verdana" w:hAnsi="Verdana"/>
                <w:sz w:val="16"/>
                <w:szCs w:val="16"/>
                <w:lang w:val="en-US"/>
              </w:rPr>
              <w:t>All the complaints must be cross registered with the investigation reports generated and make reference to the corresponding records of the lot involved.</w:t>
            </w:r>
          </w:p>
        </w:tc>
      </w:tr>
      <w:tr w:rsidR="001C6A90" w:rsidRPr="00947A46" w14:paraId="454C44DE" w14:textId="77777777" w:rsidTr="00886332">
        <w:tc>
          <w:tcPr>
            <w:tcW w:w="4405" w:type="dxa"/>
          </w:tcPr>
          <w:p w14:paraId="31A9CA3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5.4.5 </w:t>
            </w:r>
            <w:r w:rsidRPr="008F5C15">
              <w:rPr>
                <w:rFonts w:ascii="Verdana" w:hAnsi="Verdana"/>
                <w:sz w:val="16"/>
                <w:szCs w:val="16"/>
                <w:lang w:val="es-MX"/>
              </w:rPr>
              <w:t>Se debe efectuar una revisión periódica de las quejas, para identificar problemas específicos o recurrentes y tomar las medidas necesarias.</w:t>
            </w:r>
          </w:p>
        </w:tc>
        <w:tc>
          <w:tcPr>
            <w:tcW w:w="4427" w:type="dxa"/>
            <w:shd w:val="clear" w:color="auto" w:fill="auto"/>
          </w:tcPr>
          <w:p w14:paraId="59C0676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5.4.5 </w:t>
            </w:r>
            <w:r w:rsidRPr="008F5C15">
              <w:rPr>
                <w:rFonts w:ascii="Verdana" w:hAnsi="Verdana"/>
                <w:sz w:val="16"/>
                <w:szCs w:val="16"/>
                <w:lang w:val="en-US"/>
              </w:rPr>
              <w:t>A periodic review of complaints must be performed, to identify specific or recurring problems and to take the necessary measures.</w:t>
            </w:r>
          </w:p>
        </w:tc>
      </w:tr>
      <w:tr w:rsidR="001C6A90" w:rsidRPr="00947A46" w14:paraId="5D35F83A" w14:textId="77777777" w:rsidTr="00886332">
        <w:tc>
          <w:tcPr>
            <w:tcW w:w="4405" w:type="dxa"/>
          </w:tcPr>
          <w:p w14:paraId="19FAE00D"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5.5 Manejo de producto fuera de especificaciones y/o no conforme</w:t>
            </w:r>
          </w:p>
        </w:tc>
        <w:tc>
          <w:tcPr>
            <w:tcW w:w="4427" w:type="dxa"/>
            <w:shd w:val="clear" w:color="auto" w:fill="auto"/>
          </w:tcPr>
          <w:p w14:paraId="48721FA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5.5 Handling of product outside of specifications and/or noncompliant.</w:t>
            </w:r>
          </w:p>
        </w:tc>
      </w:tr>
      <w:tr w:rsidR="001C6A90" w:rsidRPr="00947A46" w14:paraId="1B67ECCC" w14:textId="77777777" w:rsidTr="00886332">
        <w:tc>
          <w:tcPr>
            <w:tcW w:w="4405" w:type="dxa"/>
          </w:tcPr>
          <w:p w14:paraId="7A80B4B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5.5.1 </w:t>
            </w:r>
            <w:r w:rsidRPr="008F5C15">
              <w:rPr>
                <w:rFonts w:ascii="Verdana" w:hAnsi="Verdana"/>
                <w:sz w:val="16"/>
                <w:szCs w:val="16"/>
                <w:lang w:val="es-MX"/>
              </w:rPr>
              <w:t>Los productos en cualquiera de sus etapas que no cumplan las especificaciones establecidas o que sean fabricados fuera de los procedimientos establecidos deben ser identificados y colocados en retención temporal o de cuarentena.</w:t>
            </w:r>
          </w:p>
        </w:tc>
        <w:tc>
          <w:tcPr>
            <w:tcW w:w="4427" w:type="dxa"/>
            <w:shd w:val="clear" w:color="auto" w:fill="auto"/>
          </w:tcPr>
          <w:p w14:paraId="36A2B78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5.5.1 </w:t>
            </w:r>
            <w:r w:rsidRPr="008F5C15">
              <w:rPr>
                <w:rFonts w:ascii="Verdana" w:hAnsi="Verdana"/>
                <w:sz w:val="16"/>
                <w:szCs w:val="16"/>
                <w:lang w:val="en-US"/>
              </w:rPr>
              <w:t>The products in any of their stages that do not comply with the established specifications or that are manufactured outside the established procedures must be identified and placed on temporary hold or quarantine.</w:t>
            </w:r>
          </w:p>
        </w:tc>
      </w:tr>
      <w:tr w:rsidR="001C6A90" w:rsidRPr="00947A46" w14:paraId="70861684" w14:textId="77777777" w:rsidTr="00886332">
        <w:tc>
          <w:tcPr>
            <w:tcW w:w="4405" w:type="dxa"/>
          </w:tcPr>
          <w:p w14:paraId="7CF4026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5.5.2 </w:t>
            </w:r>
            <w:r w:rsidRPr="008F5C15">
              <w:rPr>
                <w:rFonts w:ascii="Verdana" w:hAnsi="Verdana"/>
                <w:sz w:val="16"/>
                <w:szCs w:val="16"/>
                <w:lang w:val="es-MX"/>
              </w:rPr>
              <w:t>Debe emitirse un reporte de desviación o no conformidad para definir el nivel y la extensión de la no conformidad, así como para establecer las acciones correctivas tal como si puede ser reacondicionado, recuperado, reprocesado, retrabajado o rechazado.</w:t>
            </w:r>
          </w:p>
        </w:tc>
        <w:tc>
          <w:tcPr>
            <w:tcW w:w="4427" w:type="dxa"/>
            <w:shd w:val="clear" w:color="auto" w:fill="auto"/>
          </w:tcPr>
          <w:p w14:paraId="380D47B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5.5.2 </w:t>
            </w:r>
            <w:r w:rsidRPr="008F5C15">
              <w:rPr>
                <w:rFonts w:ascii="Verdana" w:hAnsi="Verdana"/>
                <w:sz w:val="16"/>
                <w:szCs w:val="16"/>
                <w:lang w:val="en-US"/>
              </w:rPr>
              <w:t>A deviation or noncompliance report must be issued to define the level and the extension of the nonconformity, as well as establishing the corrective actions such as whether if it can be reconditioned, recovered, reprocessed, re-worked or rejected.</w:t>
            </w:r>
          </w:p>
        </w:tc>
      </w:tr>
      <w:tr w:rsidR="001C6A90" w:rsidRPr="00947A46" w14:paraId="0610C50D" w14:textId="77777777" w:rsidTr="00886332">
        <w:tc>
          <w:tcPr>
            <w:tcW w:w="4405" w:type="dxa"/>
          </w:tcPr>
          <w:p w14:paraId="631AC5A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5.5.3 </w:t>
            </w:r>
            <w:r w:rsidRPr="008F5C15">
              <w:rPr>
                <w:rFonts w:ascii="Verdana" w:hAnsi="Verdana"/>
                <w:sz w:val="16"/>
                <w:szCs w:val="16"/>
                <w:lang w:val="es-MX"/>
              </w:rPr>
              <w:t>Los procesos de recuperación, reproceso o retrabajo deben ser autorizados por el Responsable Sanitario o por la persona que éste designe en términos del punto 7.1.6, de esta Norma.</w:t>
            </w:r>
          </w:p>
        </w:tc>
        <w:tc>
          <w:tcPr>
            <w:tcW w:w="4427" w:type="dxa"/>
            <w:shd w:val="clear" w:color="auto" w:fill="auto"/>
          </w:tcPr>
          <w:p w14:paraId="151C9F1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5.5.3</w:t>
            </w:r>
            <w:r w:rsidRPr="008F5C15">
              <w:rPr>
                <w:rFonts w:ascii="Verdana" w:hAnsi="Verdana"/>
                <w:sz w:val="16"/>
                <w:szCs w:val="16"/>
                <w:lang w:val="en-US"/>
              </w:rPr>
              <w:t xml:space="preserve"> The processes of recovery, reprocessing or reworking must be authorized by the Person responsible for sanitary compliance or by the person that is designated under the terms of 7.1.6 of this Standard.</w:t>
            </w:r>
          </w:p>
        </w:tc>
      </w:tr>
      <w:tr w:rsidR="001C6A90" w:rsidRPr="00947A46" w14:paraId="230EF3B1" w14:textId="77777777" w:rsidTr="00886332">
        <w:tc>
          <w:tcPr>
            <w:tcW w:w="4405" w:type="dxa"/>
          </w:tcPr>
          <w:p w14:paraId="4C6428F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5.5.4 </w:t>
            </w:r>
            <w:r w:rsidRPr="008F5C15">
              <w:rPr>
                <w:rFonts w:ascii="Verdana" w:hAnsi="Verdana"/>
                <w:sz w:val="16"/>
                <w:szCs w:val="16"/>
                <w:lang w:val="es-MX"/>
              </w:rPr>
              <w:t>Debe existir un procedimiento que describa:</w:t>
            </w:r>
          </w:p>
        </w:tc>
        <w:tc>
          <w:tcPr>
            <w:tcW w:w="4427" w:type="dxa"/>
            <w:shd w:val="clear" w:color="auto" w:fill="auto"/>
          </w:tcPr>
          <w:p w14:paraId="398449C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5.5.4</w:t>
            </w:r>
            <w:r w:rsidRPr="008F5C15">
              <w:rPr>
                <w:rFonts w:ascii="Verdana" w:hAnsi="Verdana"/>
                <w:sz w:val="16"/>
                <w:szCs w:val="16"/>
                <w:lang w:val="en-US"/>
              </w:rPr>
              <w:t xml:space="preserve"> There must be a procedure that describes: </w:t>
            </w:r>
          </w:p>
        </w:tc>
      </w:tr>
      <w:tr w:rsidR="001C6A90" w:rsidRPr="00947A46" w14:paraId="6A70DAFE" w14:textId="77777777" w:rsidTr="00886332">
        <w:tc>
          <w:tcPr>
            <w:tcW w:w="4405" w:type="dxa"/>
          </w:tcPr>
          <w:p w14:paraId="0FA7A11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5.5.4.1 </w:t>
            </w:r>
            <w:r w:rsidRPr="008F5C15">
              <w:rPr>
                <w:rFonts w:ascii="Verdana" w:hAnsi="Verdana"/>
                <w:sz w:val="16"/>
                <w:szCs w:val="16"/>
                <w:lang w:val="es-MX"/>
              </w:rPr>
              <w:t>La identificación del producto no conforme.</w:t>
            </w:r>
          </w:p>
        </w:tc>
        <w:tc>
          <w:tcPr>
            <w:tcW w:w="4427" w:type="dxa"/>
            <w:shd w:val="clear" w:color="auto" w:fill="auto"/>
          </w:tcPr>
          <w:p w14:paraId="2CDB0C3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5.5.4.1</w:t>
            </w:r>
            <w:r w:rsidRPr="008F5C15">
              <w:rPr>
                <w:rFonts w:ascii="Verdana" w:hAnsi="Verdana"/>
                <w:sz w:val="16"/>
                <w:szCs w:val="16"/>
                <w:lang w:val="en-US"/>
              </w:rPr>
              <w:t xml:space="preserve"> The identification of the nonconforming product. </w:t>
            </w:r>
          </w:p>
        </w:tc>
      </w:tr>
      <w:tr w:rsidR="001C6A90" w:rsidRPr="00947A46" w14:paraId="506CF5E9" w14:textId="77777777" w:rsidTr="00886332">
        <w:tc>
          <w:tcPr>
            <w:tcW w:w="4405" w:type="dxa"/>
          </w:tcPr>
          <w:p w14:paraId="068E3EE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5.5.4.2</w:t>
            </w:r>
            <w:r w:rsidRPr="008F5C15">
              <w:rPr>
                <w:rFonts w:ascii="Verdana" w:hAnsi="Verdana"/>
                <w:sz w:val="16"/>
                <w:szCs w:val="16"/>
                <w:lang w:val="es-MX"/>
              </w:rPr>
              <w:t xml:space="preserve"> El control del producto no conforme incluyendo la segregación y la prevención del uso inadvertido del producto o de la instalación donde se procesó.</w:t>
            </w:r>
          </w:p>
        </w:tc>
        <w:tc>
          <w:tcPr>
            <w:tcW w:w="4427" w:type="dxa"/>
            <w:shd w:val="clear" w:color="auto" w:fill="auto"/>
          </w:tcPr>
          <w:p w14:paraId="1A0F1A3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5.5.4.2 </w:t>
            </w:r>
            <w:r w:rsidRPr="008F5C15">
              <w:rPr>
                <w:rFonts w:ascii="Verdana" w:hAnsi="Verdana"/>
                <w:sz w:val="16"/>
                <w:szCs w:val="16"/>
                <w:lang w:val="en-US"/>
              </w:rPr>
              <w:t xml:space="preserve">The control of the nonconforming product, including the segregation and the prevention of the inadvertent use of the product or the installation where it was processed. </w:t>
            </w:r>
          </w:p>
        </w:tc>
      </w:tr>
      <w:tr w:rsidR="001C6A90" w:rsidRPr="00947A46" w14:paraId="7DA08C83" w14:textId="77777777" w:rsidTr="00886332">
        <w:tc>
          <w:tcPr>
            <w:tcW w:w="4405" w:type="dxa"/>
          </w:tcPr>
          <w:p w14:paraId="7F22CE3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5.5.4.3 </w:t>
            </w:r>
            <w:r w:rsidRPr="008F5C15">
              <w:rPr>
                <w:rFonts w:ascii="Verdana" w:hAnsi="Verdana"/>
                <w:sz w:val="16"/>
                <w:szCs w:val="16"/>
                <w:lang w:val="es-MX"/>
              </w:rPr>
              <w:t>Las acciones a tomar en los casos de reacondicionado, recuperado, reproceso o retrabajo de lotes.</w:t>
            </w:r>
          </w:p>
        </w:tc>
        <w:tc>
          <w:tcPr>
            <w:tcW w:w="4427" w:type="dxa"/>
            <w:shd w:val="clear" w:color="auto" w:fill="auto"/>
          </w:tcPr>
          <w:p w14:paraId="754F489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5.5.4.3</w:t>
            </w:r>
            <w:r w:rsidRPr="008F5C15">
              <w:rPr>
                <w:rFonts w:ascii="Verdana" w:hAnsi="Verdana"/>
                <w:sz w:val="16"/>
                <w:szCs w:val="16"/>
                <w:lang w:val="en-US"/>
              </w:rPr>
              <w:t xml:space="preserve"> The actions to take in the cases of reconditioning, recovering, reprocessing or reworking of lots. </w:t>
            </w:r>
          </w:p>
        </w:tc>
      </w:tr>
      <w:tr w:rsidR="001C6A90" w:rsidRPr="00947A46" w14:paraId="582E06D1" w14:textId="77777777" w:rsidTr="00886332">
        <w:tc>
          <w:tcPr>
            <w:tcW w:w="4405" w:type="dxa"/>
          </w:tcPr>
          <w:p w14:paraId="133B7EB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5.5.4.4</w:t>
            </w:r>
            <w:r w:rsidRPr="008F5C15">
              <w:rPr>
                <w:rFonts w:ascii="Verdana" w:hAnsi="Verdana"/>
                <w:sz w:val="16"/>
                <w:szCs w:val="16"/>
                <w:lang w:val="es-MX"/>
              </w:rPr>
              <w:t xml:space="preserve"> El Responsable Sanitario o persona autorizada debe establecer la disposición final del producto.</w:t>
            </w:r>
          </w:p>
        </w:tc>
        <w:tc>
          <w:tcPr>
            <w:tcW w:w="4427" w:type="dxa"/>
            <w:shd w:val="clear" w:color="auto" w:fill="auto"/>
          </w:tcPr>
          <w:p w14:paraId="6C7824F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5.5.4.4</w:t>
            </w:r>
            <w:r w:rsidRPr="008F5C15">
              <w:rPr>
                <w:rFonts w:ascii="Verdana" w:hAnsi="Verdana"/>
                <w:sz w:val="16"/>
                <w:szCs w:val="16"/>
                <w:lang w:val="en-US"/>
              </w:rPr>
              <w:t xml:space="preserve"> The Person responsible for sanitary compliance or the person authorized must establish the final disposition of the product. </w:t>
            </w:r>
          </w:p>
        </w:tc>
      </w:tr>
      <w:tr w:rsidR="001C6A90" w:rsidRPr="00947A46" w14:paraId="2EC34C1E" w14:textId="77777777" w:rsidTr="00886332">
        <w:tc>
          <w:tcPr>
            <w:tcW w:w="4405" w:type="dxa"/>
          </w:tcPr>
          <w:p w14:paraId="78C8750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5.5.5 </w:t>
            </w:r>
            <w:r w:rsidRPr="008F5C15">
              <w:rPr>
                <w:rFonts w:ascii="Verdana" w:hAnsi="Verdana"/>
                <w:sz w:val="16"/>
                <w:szCs w:val="16"/>
                <w:lang w:val="es-MX"/>
              </w:rPr>
              <w:t>La recuperación de producto en envase primario sólo está permitida en formas  farmacéuticas sólidas.</w:t>
            </w:r>
          </w:p>
        </w:tc>
        <w:tc>
          <w:tcPr>
            <w:tcW w:w="4427" w:type="dxa"/>
            <w:shd w:val="clear" w:color="auto" w:fill="auto"/>
          </w:tcPr>
          <w:p w14:paraId="3D3ED6C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5.5.5 </w:t>
            </w:r>
            <w:r w:rsidRPr="008F5C15">
              <w:rPr>
                <w:rFonts w:ascii="Verdana" w:hAnsi="Verdana"/>
                <w:sz w:val="16"/>
                <w:szCs w:val="16"/>
                <w:lang w:val="en-US"/>
              </w:rPr>
              <w:t>The recovery of the product in the primary container is only allowed in solid pharmaceutical forms.</w:t>
            </w:r>
          </w:p>
        </w:tc>
      </w:tr>
      <w:tr w:rsidR="001C6A90" w:rsidRPr="00947A46" w14:paraId="0FFAC1D0" w14:textId="77777777" w:rsidTr="00886332">
        <w:tc>
          <w:tcPr>
            <w:tcW w:w="4405" w:type="dxa"/>
          </w:tcPr>
          <w:p w14:paraId="154BE5F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5.5.6 </w:t>
            </w:r>
            <w:r w:rsidRPr="008F5C15">
              <w:rPr>
                <w:rFonts w:ascii="Verdana" w:hAnsi="Verdana"/>
                <w:sz w:val="16"/>
                <w:szCs w:val="16"/>
                <w:lang w:val="es-MX"/>
              </w:rPr>
              <w:t>El retrabajo o el reproceso no están permitidos en productos estériles dosificados en su envase primario.</w:t>
            </w:r>
          </w:p>
        </w:tc>
        <w:tc>
          <w:tcPr>
            <w:tcW w:w="4427" w:type="dxa"/>
            <w:shd w:val="clear" w:color="auto" w:fill="auto"/>
          </w:tcPr>
          <w:p w14:paraId="1BC281D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5.5.6 </w:t>
            </w:r>
            <w:r w:rsidRPr="008F5C15">
              <w:rPr>
                <w:rFonts w:ascii="Verdana" w:hAnsi="Verdana"/>
                <w:sz w:val="16"/>
                <w:szCs w:val="16"/>
                <w:lang w:val="en-US"/>
              </w:rPr>
              <w:t>Reworking or reprocessing is not allowed in sterile products dosified in their primary container.</w:t>
            </w:r>
          </w:p>
        </w:tc>
      </w:tr>
      <w:tr w:rsidR="001C6A90" w:rsidRPr="00947A46" w14:paraId="7B2CD768" w14:textId="77777777" w:rsidTr="00886332">
        <w:tc>
          <w:tcPr>
            <w:tcW w:w="4405" w:type="dxa"/>
          </w:tcPr>
          <w:p w14:paraId="21E9F35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5.5.7 </w:t>
            </w:r>
            <w:r w:rsidRPr="008F5C15">
              <w:rPr>
                <w:rFonts w:ascii="Verdana" w:hAnsi="Verdana"/>
                <w:sz w:val="16"/>
                <w:szCs w:val="16"/>
                <w:lang w:val="es-MX"/>
              </w:rPr>
              <w:t>Los lotes recuperados deben ser sometidos a análisis de calidad y la documentación debe demostrar que la calidad del lote recuperado es equivalente a la del proceso original.</w:t>
            </w:r>
          </w:p>
        </w:tc>
        <w:tc>
          <w:tcPr>
            <w:tcW w:w="4427" w:type="dxa"/>
            <w:shd w:val="clear" w:color="auto" w:fill="auto"/>
          </w:tcPr>
          <w:p w14:paraId="27296C4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5.5.7 </w:t>
            </w:r>
            <w:r w:rsidRPr="008F5C15">
              <w:rPr>
                <w:rFonts w:ascii="Verdana" w:hAnsi="Verdana"/>
                <w:sz w:val="16"/>
                <w:szCs w:val="16"/>
                <w:lang w:val="en-US"/>
              </w:rPr>
              <w:t>The recovered lots must be submitted to quality analysis and the documentation must demonstrate that the quality of the recovered lot is equivalent to the original process.</w:t>
            </w:r>
          </w:p>
        </w:tc>
      </w:tr>
      <w:tr w:rsidR="001C6A90" w:rsidRPr="00947A46" w14:paraId="2287511F" w14:textId="77777777" w:rsidTr="00886332">
        <w:tc>
          <w:tcPr>
            <w:tcW w:w="4405" w:type="dxa"/>
          </w:tcPr>
          <w:p w14:paraId="0250A04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5.5.8 </w:t>
            </w:r>
            <w:r w:rsidRPr="008F5C15">
              <w:rPr>
                <w:rFonts w:ascii="Verdana" w:hAnsi="Verdana"/>
                <w:sz w:val="16"/>
                <w:szCs w:val="16"/>
                <w:lang w:val="es-MX"/>
              </w:rPr>
              <w:t>Los reprocesos en medicamentos se permiten por una sola ocasión. En caso de que la causa que originó el reproceso sea repetitiva, el proceso debe ser validado.</w:t>
            </w:r>
          </w:p>
        </w:tc>
        <w:tc>
          <w:tcPr>
            <w:tcW w:w="4427" w:type="dxa"/>
            <w:shd w:val="clear" w:color="auto" w:fill="auto"/>
          </w:tcPr>
          <w:p w14:paraId="6A21820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5.5.8</w:t>
            </w:r>
            <w:r w:rsidRPr="008F5C15">
              <w:rPr>
                <w:rFonts w:ascii="Verdana" w:hAnsi="Verdana"/>
                <w:sz w:val="16"/>
                <w:szCs w:val="16"/>
                <w:lang w:val="en-US"/>
              </w:rPr>
              <w:t xml:space="preserve"> Reprocessing in drug products are allowed only one time. When the cause which generated the reprocessing is repetitive, the process must be validated.</w:t>
            </w:r>
          </w:p>
        </w:tc>
      </w:tr>
      <w:tr w:rsidR="001C6A90" w:rsidRPr="00947A46" w14:paraId="38AD9299" w14:textId="77777777" w:rsidTr="00886332">
        <w:tc>
          <w:tcPr>
            <w:tcW w:w="4405" w:type="dxa"/>
          </w:tcPr>
          <w:p w14:paraId="3C3FCA4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5.5.9 </w:t>
            </w:r>
            <w:r w:rsidRPr="008F5C15">
              <w:rPr>
                <w:rFonts w:ascii="Verdana" w:hAnsi="Verdana"/>
                <w:sz w:val="16"/>
                <w:szCs w:val="16"/>
                <w:lang w:val="es-MX"/>
              </w:rPr>
              <w:t xml:space="preserve">Los lotes reprocesados o retrabajados deben ser sometidos a análisis de calidad y a estudios de estabilidad de acuerdo con la Norma Oficial Mexicana NOM-073-SSA1-2005, Estabilidad de fármacos y medicamentos. Numeral 8. Medicamento conocido y la documentación debe demostrar que </w:t>
            </w:r>
            <w:r w:rsidRPr="008F5C15">
              <w:rPr>
                <w:rFonts w:ascii="Verdana" w:hAnsi="Verdana"/>
                <w:sz w:val="16"/>
                <w:szCs w:val="16"/>
                <w:lang w:val="es-MX"/>
              </w:rPr>
              <w:lastRenderedPageBreak/>
              <w:t>cumple con las especificaciones del producto original.</w:t>
            </w:r>
          </w:p>
        </w:tc>
        <w:tc>
          <w:tcPr>
            <w:tcW w:w="4427" w:type="dxa"/>
            <w:shd w:val="clear" w:color="auto" w:fill="auto"/>
          </w:tcPr>
          <w:p w14:paraId="76410D7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5.5.9</w:t>
            </w:r>
            <w:r w:rsidRPr="008F5C15">
              <w:rPr>
                <w:rFonts w:ascii="Verdana" w:hAnsi="Verdana"/>
                <w:sz w:val="16"/>
                <w:szCs w:val="16"/>
                <w:lang w:val="en-US"/>
              </w:rPr>
              <w:t xml:space="preserve"> The reprocessed or reworked lots must be submitted to quality analysis and to stability studies in accordance with the corresponding official Mexican standard, NOM-073-SSA1-2005, Stability of drug substances and drug products. Number 8. Known drug product and the documentation must </w:t>
            </w:r>
            <w:r w:rsidRPr="008F5C15">
              <w:rPr>
                <w:rFonts w:ascii="Verdana" w:hAnsi="Verdana"/>
                <w:sz w:val="16"/>
                <w:szCs w:val="16"/>
                <w:lang w:val="en-US"/>
              </w:rPr>
              <w:lastRenderedPageBreak/>
              <w:t>demonstrate that it complies with the specifications of the original product.</w:t>
            </w:r>
          </w:p>
        </w:tc>
      </w:tr>
      <w:tr w:rsidR="001C6A90" w:rsidRPr="00947A46" w14:paraId="79FD9633" w14:textId="77777777" w:rsidTr="00886332">
        <w:tc>
          <w:tcPr>
            <w:tcW w:w="4405" w:type="dxa"/>
          </w:tcPr>
          <w:p w14:paraId="75DDDCC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5.5.10 </w:t>
            </w:r>
            <w:r w:rsidRPr="008F5C15">
              <w:rPr>
                <w:rFonts w:ascii="Verdana" w:hAnsi="Verdana"/>
                <w:sz w:val="16"/>
                <w:szCs w:val="16"/>
                <w:lang w:val="es-MX"/>
              </w:rPr>
              <w:t>Los productos rechazados deben ser identificados y segregados hasta su disposición o destino final. Ésta debe llevarse a cabo de acuerdo al procedimiento establecido para tal efecto.</w:t>
            </w:r>
          </w:p>
        </w:tc>
        <w:tc>
          <w:tcPr>
            <w:tcW w:w="4427" w:type="dxa"/>
            <w:shd w:val="clear" w:color="auto" w:fill="auto"/>
          </w:tcPr>
          <w:p w14:paraId="5B6CDA3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5.5.10</w:t>
            </w:r>
            <w:r w:rsidRPr="008F5C15">
              <w:rPr>
                <w:rFonts w:ascii="Verdana" w:hAnsi="Verdana"/>
                <w:sz w:val="16"/>
                <w:szCs w:val="16"/>
                <w:lang w:val="en-US"/>
              </w:rPr>
              <w:t xml:space="preserve"> The rejected products must be identified and separated until their disposal or final destination, these must be carried out in accordance with the procedure established for that purpose.</w:t>
            </w:r>
          </w:p>
        </w:tc>
      </w:tr>
      <w:tr w:rsidR="001C6A90" w:rsidRPr="00947A46" w14:paraId="28403FEB" w14:textId="77777777" w:rsidTr="00886332">
        <w:tc>
          <w:tcPr>
            <w:tcW w:w="4405" w:type="dxa"/>
          </w:tcPr>
          <w:p w14:paraId="1078114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5.5.11 </w:t>
            </w:r>
            <w:r w:rsidRPr="008F5C15">
              <w:rPr>
                <w:rFonts w:ascii="Verdana" w:hAnsi="Verdana"/>
                <w:sz w:val="16"/>
                <w:szCs w:val="16"/>
                <w:lang w:val="es-MX"/>
              </w:rPr>
              <w:t>Debe emitirse una orden e instrucciones de retrabajo, recuperación o reproceso específico para cada lote.</w:t>
            </w:r>
          </w:p>
        </w:tc>
        <w:tc>
          <w:tcPr>
            <w:tcW w:w="4427" w:type="dxa"/>
            <w:shd w:val="clear" w:color="auto" w:fill="auto"/>
          </w:tcPr>
          <w:p w14:paraId="693B6FE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5.5.11</w:t>
            </w:r>
            <w:r w:rsidRPr="008F5C15">
              <w:rPr>
                <w:rFonts w:ascii="Verdana" w:hAnsi="Verdana"/>
                <w:sz w:val="16"/>
                <w:szCs w:val="16"/>
                <w:lang w:val="en-US"/>
              </w:rPr>
              <w:t xml:space="preserve"> A specific order must be issued for reworking, recovery or reprocessing order for each lot.</w:t>
            </w:r>
          </w:p>
        </w:tc>
      </w:tr>
      <w:tr w:rsidR="001C6A90" w:rsidRPr="00947A46" w14:paraId="145E39AB" w14:textId="77777777" w:rsidTr="00886332">
        <w:tc>
          <w:tcPr>
            <w:tcW w:w="4405" w:type="dxa"/>
          </w:tcPr>
          <w:p w14:paraId="43E0D5C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5.5.12 </w:t>
            </w:r>
            <w:r w:rsidRPr="008F5C15">
              <w:rPr>
                <w:rFonts w:ascii="Verdana" w:hAnsi="Verdana"/>
                <w:sz w:val="16"/>
                <w:szCs w:val="16"/>
                <w:lang w:val="es-MX"/>
              </w:rPr>
              <w:t>En el caso de reprocesos se debe asignar un número de lote diferente al del lote original, lo cual debe ser autorizado por el Responsable Sanitario.</w:t>
            </w:r>
          </w:p>
        </w:tc>
        <w:tc>
          <w:tcPr>
            <w:tcW w:w="4427" w:type="dxa"/>
            <w:shd w:val="clear" w:color="auto" w:fill="auto"/>
          </w:tcPr>
          <w:p w14:paraId="237681C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5.5.12 </w:t>
            </w:r>
            <w:r w:rsidRPr="008F5C15">
              <w:rPr>
                <w:rFonts w:ascii="Verdana" w:hAnsi="Verdana"/>
                <w:sz w:val="16"/>
                <w:szCs w:val="16"/>
                <w:lang w:val="en-US"/>
              </w:rPr>
              <w:t xml:space="preserve">In the case of reprocessing a lot number different from the original must be assigned, which must be authorized by the Person responsible for sanitary compliance. </w:t>
            </w:r>
          </w:p>
        </w:tc>
      </w:tr>
      <w:tr w:rsidR="001C6A90" w:rsidRPr="00947A46" w14:paraId="487B970E" w14:textId="77777777" w:rsidTr="00886332">
        <w:tc>
          <w:tcPr>
            <w:tcW w:w="4405" w:type="dxa"/>
          </w:tcPr>
          <w:p w14:paraId="7DD6FE5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5.5.13 </w:t>
            </w:r>
            <w:r w:rsidRPr="008F5C15">
              <w:rPr>
                <w:rFonts w:ascii="Verdana" w:hAnsi="Verdana"/>
                <w:sz w:val="16"/>
                <w:szCs w:val="16"/>
                <w:lang w:val="es-MX"/>
              </w:rPr>
              <w:t>La liberación de un lote retrabajado, recuperado o reprocesado debe seguir los pasos descritos en el punto 12 de esta Norma y contar con la autorización del Responsable Sanitario.</w:t>
            </w:r>
          </w:p>
        </w:tc>
        <w:tc>
          <w:tcPr>
            <w:tcW w:w="4427" w:type="dxa"/>
            <w:shd w:val="clear" w:color="auto" w:fill="auto"/>
          </w:tcPr>
          <w:p w14:paraId="3BE7D8F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5.5.13 </w:t>
            </w:r>
            <w:r w:rsidRPr="008F5C15">
              <w:rPr>
                <w:rFonts w:ascii="Verdana" w:hAnsi="Verdana"/>
                <w:sz w:val="16"/>
                <w:szCs w:val="16"/>
                <w:lang w:val="en-US"/>
              </w:rPr>
              <w:t xml:space="preserve">The release of a reworked, recovered or reprocessed lot must follow the steps described in section 12 of this Standard and have the authorization of the Person responsible for sanitary compliance. </w:t>
            </w:r>
          </w:p>
        </w:tc>
      </w:tr>
      <w:tr w:rsidR="001C6A90" w:rsidRPr="00262EF8" w14:paraId="3D4FC8AC" w14:textId="77777777" w:rsidTr="00886332">
        <w:tc>
          <w:tcPr>
            <w:tcW w:w="4405" w:type="dxa"/>
          </w:tcPr>
          <w:p w14:paraId="485EE2AE"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5.6 CAPA</w:t>
            </w:r>
          </w:p>
        </w:tc>
        <w:tc>
          <w:tcPr>
            <w:tcW w:w="4427" w:type="dxa"/>
            <w:shd w:val="clear" w:color="auto" w:fill="auto"/>
          </w:tcPr>
          <w:p w14:paraId="7B2B0AF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5.6</w:t>
            </w:r>
            <w:r w:rsidRPr="008F5C15">
              <w:rPr>
                <w:rFonts w:ascii="Verdana" w:hAnsi="Verdana"/>
                <w:sz w:val="16"/>
                <w:szCs w:val="16"/>
                <w:lang w:val="en-US"/>
              </w:rPr>
              <w:t xml:space="preserve"> </w:t>
            </w:r>
            <w:r w:rsidRPr="008F5C15">
              <w:rPr>
                <w:rFonts w:ascii="Verdana" w:hAnsi="Verdana"/>
                <w:b/>
                <w:sz w:val="16"/>
                <w:szCs w:val="16"/>
                <w:lang w:val="en-US"/>
              </w:rPr>
              <w:t>CAPA.</w:t>
            </w:r>
          </w:p>
        </w:tc>
      </w:tr>
      <w:tr w:rsidR="001C6A90" w:rsidRPr="00947A46" w14:paraId="53A3DE48" w14:textId="77777777" w:rsidTr="00886332">
        <w:tc>
          <w:tcPr>
            <w:tcW w:w="4405" w:type="dxa"/>
          </w:tcPr>
          <w:p w14:paraId="38D2318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5.6.1 </w:t>
            </w:r>
            <w:r w:rsidRPr="008F5C15">
              <w:rPr>
                <w:rFonts w:ascii="Verdana" w:hAnsi="Verdana"/>
                <w:sz w:val="16"/>
                <w:szCs w:val="16"/>
                <w:lang w:val="es-MX"/>
              </w:rPr>
              <w:t>Debe existir un sistema para la implementación de las CAPA resultantes de las no conformidades, quejas, devoluciones, fuera de especificaciones, auditorías, tendencias, y las que defina el propio sistema.</w:t>
            </w:r>
          </w:p>
        </w:tc>
        <w:tc>
          <w:tcPr>
            <w:tcW w:w="4427" w:type="dxa"/>
            <w:shd w:val="clear" w:color="auto" w:fill="auto"/>
          </w:tcPr>
          <w:p w14:paraId="72C3912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5.6.1 </w:t>
            </w:r>
            <w:r w:rsidRPr="008F5C15">
              <w:rPr>
                <w:rFonts w:ascii="Verdana" w:hAnsi="Verdana"/>
                <w:sz w:val="16"/>
                <w:szCs w:val="16"/>
                <w:lang w:val="en-US"/>
              </w:rPr>
              <w:t>There must be a system for the implementation of the CAPA resulting from the non-compliances, complaints, returns, outside of specifications, audits, tendencies and those defined by their own system.</w:t>
            </w:r>
          </w:p>
        </w:tc>
      </w:tr>
      <w:tr w:rsidR="001C6A90" w:rsidRPr="00947A46" w14:paraId="1566D42E" w14:textId="77777777" w:rsidTr="00886332">
        <w:tc>
          <w:tcPr>
            <w:tcW w:w="4405" w:type="dxa"/>
          </w:tcPr>
          <w:p w14:paraId="50933FA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5.6.2 </w:t>
            </w:r>
            <w:r w:rsidRPr="008F5C15">
              <w:rPr>
                <w:rFonts w:ascii="Verdana" w:hAnsi="Verdana"/>
                <w:sz w:val="16"/>
                <w:szCs w:val="16"/>
                <w:lang w:val="es-MX"/>
              </w:rPr>
              <w:t>Debe ser establecida una metodología para la investigación de desviaciones o no conformidades que incluya el uso de herramientas técnicas y/o estadísticas para determinar la causa raíz, la definición de responsables y las fechas compromiso.</w:t>
            </w:r>
          </w:p>
        </w:tc>
        <w:tc>
          <w:tcPr>
            <w:tcW w:w="4427" w:type="dxa"/>
            <w:shd w:val="clear" w:color="auto" w:fill="auto"/>
          </w:tcPr>
          <w:p w14:paraId="3BFDDF2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5.6.2 </w:t>
            </w:r>
            <w:r w:rsidRPr="008F5C15">
              <w:rPr>
                <w:rFonts w:ascii="Verdana" w:hAnsi="Verdana"/>
                <w:sz w:val="16"/>
                <w:szCs w:val="16"/>
                <w:lang w:val="en-US"/>
              </w:rPr>
              <w:t>A methodology for the investigation of deviations or noncompliance which includes the use of technical tools and/or statistics must be established in order to determine the root cause, responsible parties and deadlines.</w:t>
            </w:r>
          </w:p>
        </w:tc>
      </w:tr>
      <w:tr w:rsidR="001C6A90" w:rsidRPr="00947A46" w14:paraId="2340A8FE" w14:textId="77777777" w:rsidTr="00886332">
        <w:tc>
          <w:tcPr>
            <w:tcW w:w="4405" w:type="dxa"/>
          </w:tcPr>
          <w:p w14:paraId="24E6A99A" w14:textId="77777777" w:rsidR="001C6A90" w:rsidRPr="008F5C15" w:rsidRDefault="001C6A90" w:rsidP="001C6A90">
            <w:pPr>
              <w:pStyle w:val="Texto"/>
              <w:spacing w:line="276" w:lineRule="auto"/>
              <w:ind w:firstLine="0"/>
              <w:rPr>
                <w:rFonts w:ascii="Verdana" w:hAnsi="Verdana"/>
                <w:color w:val="000000"/>
                <w:sz w:val="16"/>
                <w:szCs w:val="16"/>
                <w:lang w:val="es-MX"/>
              </w:rPr>
            </w:pPr>
            <w:r w:rsidRPr="008F5C15">
              <w:rPr>
                <w:rFonts w:ascii="Verdana" w:hAnsi="Verdana"/>
                <w:b/>
                <w:sz w:val="16"/>
                <w:szCs w:val="16"/>
                <w:lang w:val="es-MX"/>
              </w:rPr>
              <w:t xml:space="preserve">5.6.3 </w:t>
            </w:r>
            <w:r w:rsidRPr="008F5C15">
              <w:rPr>
                <w:rFonts w:ascii="Verdana" w:hAnsi="Verdana"/>
                <w:color w:val="000000"/>
                <w:sz w:val="16"/>
                <w:szCs w:val="16"/>
                <w:lang w:val="es-MX"/>
              </w:rPr>
              <w:t>Se debe dar seguimiento a las CAPA implementadas para verificar su efectividad.</w:t>
            </w:r>
          </w:p>
        </w:tc>
        <w:tc>
          <w:tcPr>
            <w:tcW w:w="4427" w:type="dxa"/>
            <w:shd w:val="clear" w:color="auto" w:fill="auto"/>
          </w:tcPr>
          <w:p w14:paraId="400537F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5.6.3 </w:t>
            </w:r>
            <w:r w:rsidRPr="008F5C15">
              <w:rPr>
                <w:rFonts w:ascii="Verdana" w:hAnsi="Verdana"/>
                <w:sz w:val="16"/>
                <w:szCs w:val="16"/>
                <w:lang w:val="en-US"/>
              </w:rPr>
              <w:t>There must be follow up to the CAPA’s implemented to verify their effectiveness.</w:t>
            </w:r>
          </w:p>
        </w:tc>
      </w:tr>
      <w:tr w:rsidR="001C6A90" w:rsidRPr="00E70344" w14:paraId="59AE95B2" w14:textId="77777777" w:rsidTr="00886332">
        <w:tc>
          <w:tcPr>
            <w:tcW w:w="4405" w:type="dxa"/>
          </w:tcPr>
          <w:p w14:paraId="029FDCD6"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5.7 Control de cambios</w:t>
            </w:r>
          </w:p>
        </w:tc>
        <w:tc>
          <w:tcPr>
            <w:tcW w:w="4427" w:type="dxa"/>
            <w:shd w:val="clear" w:color="auto" w:fill="auto"/>
          </w:tcPr>
          <w:p w14:paraId="49E7B8E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5.7 Control of changes. </w:t>
            </w:r>
          </w:p>
        </w:tc>
      </w:tr>
      <w:tr w:rsidR="001C6A90" w:rsidRPr="00947A46" w14:paraId="1AF128DC" w14:textId="77777777" w:rsidTr="00886332">
        <w:tc>
          <w:tcPr>
            <w:tcW w:w="4405" w:type="dxa"/>
          </w:tcPr>
          <w:p w14:paraId="19B1BB9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5.7.1 </w:t>
            </w:r>
            <w:r w:rsidRPr="008F5C15">
              <w:rPr>
                <w:rFonts w:ascii="Verdana" w:hAnsi="Verdana"/>
                <w:sz w:val="16"/>
                <w:szCs w:val="16"/>
                <w:lang w:val="es-MX"/>
              </w:rPr>
              <w:t>Debe existir un sistema documentado de control de cambios que incluya la gestión de riesgos para la evaluación e impacto del cambio propuesto sobre los procesos, proveedores, sistemas críticos, sistemas computacionales, áreas, servicios, equipos, métodos analíticos, especificaciones, documentación, disposiciones regulatorias y calidad del producto.</w:t>
            </w:r>
          </w:p>
        </w:tc>
        <w:tc>
          <w:tcPr>
            <w:tcW w:w="4427" w:type="dxa"/>
            <w:shd w:val="clear" w:color="auto" w:fill="auto"/>
          </w:tcPr>
          <w:p w14:paraId="52762EE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5.7.1 </w:t>
            </w:r>
            <w:r w:rsidRPr="008F5C15">
              <w:rPr>
                <w:rFonts w:ascii="Verdana" w:hAnsi="Verdana"/>
                <w:sz w:val="16"/>
                <w:szCs w:val="16"/>
                <w:lang w:val="en-US"/>
              </w:rPr>
              <w:t>There must be a documented system for the control of changes which includes the evaluation and impact of the change of budget on processes, suppliers, critical systems, computer systems, areas, services, equipment, analytic methods, specifications, documentation, regulatory provisions and quality of the product.</w:t>
            </w:r>
          </w:p>
        </w:tc>
      </w:tr>
      <w:tr w:rsidR="001C6A90" w:rsidRPr="00947A46" w14:paraId="0392CE5C" w14:textId="77777777" w:rsidTr="00886332">
        <w:tc>
          <w:tcPr>
            <w:tcW w:w="4405" w:type="dxa"/>
          </w:tcPr>
          <w:p w14:paraId="30B93F7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5.7.2 </w:t>
            </w:r>
            <w:r w:rsidRPr="008F5C15">
              <w:rPr>
                <w:rFonts w:ascii="Verdana" w:hAnsi="Verdana"/>
                <w:sz w:val="16"/>
                <w:szCs w:val="16"/>
                <w:lang w:val="es-MX"/>
              </w:rPr>
              <w:t>Los cambios no planeados deben considerarse como desviaciones o no conformidades.</w:t>
            </w:r>
          </w:p>
        </w:tc>
        <w:tc>
          <w:tcPr>
            <w:tcW w:w="4427" w:type="dxa"/>
            <w:shd w:val="clear" w:color="auto" w:fill="auto"/>
          </w:tcPr>
          <w:p w14:paraId="4DC46CE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5.7.2 </w:t>
            </w:r>
            <w:r w:rsidRPr="008F5C15">
              <w:rPr>
                <w:rFonts w:ascii="Verdana" w:hAnsi="Verdana"/>
                <w:sz w:val="16"/>
                <w:szCs w:val="16"/>
                <w:lang w:val="en-US"/>
              </w:rPr>
              <w:t>Unplanned changes must be considered as deviations or nonconformities.</w:t>
            </w:r>
          </w:p>
        </w:tc>
      </w:tr>
      <w:tr w:rsidR="001C6A90" w:rsidRPr="00947A46" w14:paraId="5833865F" w14:textId="77777777" w:rsidTr="00886332">
        <w:tc>
          <w:tcPr>
            <w:tcW w:w="4405" w:type="dxa"/>
          </w:tcPr>
          <w:p w14:paraId="32035D3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5.7.3 </w:t>
            </w:r>
            <w:r w:rsidRPr="008F5C15">
              <w:rPr>
                <w:rFonts w:ascii="Verdana" w:hAnsi="Verdana"/>
                <w:sz w:val="16"/>
                <w:szCs w:val="16"/>
                <w:lang w:val="es-MX"/>
              </w:rPr>
              <w:t>Debe conformarse un Comité o Grupo Técnico integrado por representantes de las áreas involucradas y por el responsable de la Unidad de Calidad, quienes revisarán, evaluarán y aprobarán el cambio propuesto.</w:t>
            </w:r>
          </w:p>
        </w:tc>
        <w:tc>
          <w:tcPr>
            <w:tcW w:w="4427" w:type="dxa"/>
            <w:shd w:val="clear" w:color="auto" w:fill="auto"/>
          </w:tcPr>
          <w:p w14:paraId="461CC16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5.7.3 </w:t>
            </w:r>
            <w:r w:rsidRPr="008F5C15">
              <w:rPr>
                <w:rFonts w:ascii="Verdana" w:hAnsi="Verdana"/>
                <w:sz w:val="16"/>
                <w:szCs w:val="16"/>
                <w:lang w:val="en-US"/>
              </w:rPr>
              <w:t xml:space="preserve">A Committee or Technical Group must be formed by the representatives of the areas involved and by the Person responsible for the Quality Unit, who will review, evaluate and approve the proposed change. </w:t>
            </w:r>
          </w:p>
        </w:tc>
      </w:tr>
      <w:tr w:rsidR="001C6A90" w:rsidRPr="00947A46" w14:paraId="60C4AD05" w14:textId="77777777" w:rsidTr="00886332">
        <w:tc>
          <w:tcPr>
            <w:tcW w:w="4405" w:type="dxa"/>
          </w:tcPr>
          <w:p w14:paraId="4BB6C61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5.7.4 </w:t>
            </w:r>
            <w:r w:rsidRPr="008F5C15">
              <w:rPr>
                <w:rFonts w:ascii="Verdana" w:hAnsi="Verdana"/>
                <w:sz w:val="16"/>
                <w:szCs w:val="16"/>
                <w:lang w:val="es-MX"/>
              </w:rPr>
              <w:t>Debe darse seguimiento a la implementación de los cambios aprobados y asegurar su cierre de acuerdo a lo previamente establecido.</w:t>
            </w:r>
          </w:p>
        </w:tc>
        <w:tc>
          <w:tcPr>
            <w:tcW w:w="4427" w:type="dxa"/>
            <w:shd w:val="clear" w:color="auto" w:fill="auto"/>
          </w:tcPr>
          <w:p w14:paraId="3DD99F6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5.7.4 </w:t>
            </w:r>
            <w:r w:rsidRPr="008F5C15">
              <w:rPr>
                <w:rFonts w:ascii="Verdana" w:hAnsi="Verdana"/>
                <w:sz w:val="16"/>
                <w:szCs w:val="16"/>
                <w:lang w:val="en-US"/>
              </w:rPr>
              <w:t xml:space="preserve">Follow up must be provided to the implementation of the approved changes and assure their closing according to that previously established. </w:t>
            </w:r>
          </w:p>
        </w:tc>
      </w:tr>
      <w:tr w:rsidR="001C6A90" w:rsidRPr="004C2B89" w14:paraId="7E1DD752" w14:textId="77777777" w:rsidTr="00886332">
        <w:tc>
          <w:tcPr>
            <w:tcW w:w="4405" w:type="dxa"/>
          </w:tcPr>
          <w:p w14:paraId="742E9605"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5.8 Devoluciones</w:t>
            </w:r>
          </w:p>
        </w:tc>
        <w:tc>
          <w:tcPr>
            <w:tcW w:w="4427" w:type="dxa"/>
            <w:shd w:val="clear" w:color="auto" w:fill="auto"/>
          </w:tcPr>
          <w:p w14:paraId="3A3E2BA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5.8 Returns</w:t>
            </w:r>
          </w:p>
        </w:tc>
      </w:tr>
      <w:tr w:rsidR="001C6A90" w:rsidRPr="00947A46" w14:paraId="21E93686" w14:textId="77777777" w:rsidTr="00886332">
        <w:tc>
          <w:tcPr>
            <w:tcW w:w="4405" w:type="dxa"/>
          </w:tcPr>
          <w:p w14:paraId="59DA585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5.8.1 </w:t>
            </w:r>
            <w:r w:rsidRPr="008F5C15">
              <w:rPr>
                <w:rFonts w:ascii="Verdana" w:hAnsi="Verdana"/>
                <w:sz w:val="16"/>
                <w:szCs w:val="16"/>
                <w:lang w:val="es-MX"/>
              </w:rPr>
              <w:t>Debe existir un procedimiento para el control de los productos devueltos, que indique:</w:t>
            </w:r>
          </w:p>
        </w:tc>
        <w:tc>
          <w:tcPr>
            <w:tcW w:w="4427" w:type="dxa"/>
            <w:shd w:val="clear" w:color="auto" w:fill="auto"/>
          </w:tcPr>
          <w:p w14:paraId="287B6BF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5.8.1</w:t>
            </w:r>
            <w:r w:rsidRPr="008F5C15">
              <w:rPr>
                <w:rFonts w:ascii="Verdana" w:hAnsi="Verdana"/>
                <w:sz w:val="16"/>
                <w:szCs w:val="16"/>
                <w:lang w:val="en-US"/>
              </w:rPr>
              <w:t xml:space="preserve"> There must be a procedure for the control of returned products, that indicates:</w:t>
            </w:r>
          </w:p>
        </w:tc>
      </w:tr>
      <w:tr w:rsidR="001C6A90" w:rsidRPr="00947A46" w14:paraId="53197FB4" w14:textId="77777777" w:rsidTr="00886332">
        <w:tc>
          <w:tcPr>
            <w:tcW w:w="4405" w:type="dxa"/>
          </w:tcPr>
          <w:p w14:paraId="0ADD861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5.8.2 </w:t>
            </w:r>
            <w:r w:rsidRPr="008F5C15">
              <w:rPr>
                <w:rFonts w:ascii="Verdana" w:hAnsi="Verdana"/>
                <w:sz w:val="16"/>
                <w:szCs w:val="16"/>
                <w:lang w:val="es-MX"/>
              </w:rPr>
              <w:t>Que deben ponerse en retención temporal/cuarentena y ser evaluados por la Unidad de Calidad para determinar si deben liberarse o destruirse.</w:t>
            </w:r>
          </w:p>
        </w:tc>
        <w:tc>
          <w:tcPr>
            <w:tcW w:w="4427" w:type="dxa"/>
            <w:shd w:val="clear" w:color="auto" w:fill="auto"/>
          </w:tcPr>
          <w:p w14:paraId="6F6D671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5.8.2</w:t>
            </w:r>
            <w:r w:rsidRPr="008F5C15">
              <w:rPr>
                <w:rFonts w:ascii="Verdana" w:hAnsi="Verdana"/>
                <w:sz w:val="16"/>
                <w:szCs w:val="16"/>
                <w:lang w:val="en-US"/>
              </w:rPr>
              <w:t xml:space="preserve"> That they must be placed in temporary/quarantine retention and be evaluated by the Quality Unit to determine whether they should be released or destroyed.</w:t>
            </w:r>
          </w:p>
        </w:tc>
      </w:tr>
      <w:tr w:rsidR="001C6A90" w:rsidRPr="00947A46" w14:paraId="02FAA813" w14:textId="77777777" w:rsidTr="00886332">
        <w:tc>
          <w:tcPr>
            <w:tcW w:w="4405" w:type="dxa"/>
          </w:tcPr>
          <w:p w14:paraId="1444F0D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5.8.3 </w:t>
            </w:r>
            <w:r w:rsidRPr="008F5C15">
              <w:rPr>
                <w:rFonts w:ascii="Verdana" w:hAnsi="Verdana"/>
                <w:sz w:val="16"/>
                <w:szCs w:val="16"/>
                <w:lang w:val="es-MX"/>
              </w:rPr>
              <w:t>Registros de recepción, identificación, evaluación y destino. El reporte debe contener como mínimo lo siguiente:</w:t>
            </w:r>
          </w:p>
        </w:tc>
        <w:tc>
          <w:tcPr>
            <w:tcW w:w="4427" w:type="dxa"/>
          </w:tcPr>
          <w:p w14:paraId="33D8106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5.8.3 </w:t>
            </w:r>
            <w:r w:rsidRPr="008F5C15">
              <w:rPr>
                <w:rFonts w:ascii="Verdana" w:hAnsi="Verdana"/>
                <w:sz w:val="16"/>
                <w:szCs w:val="16"/>
                <w:lang w:val="en-US"/>
              </w:rPr>
              <w:t>Reception, evaluation and destination records. The report must at least contain the following:</w:t>
            </w:r>
          </w:p>
        </w:tc>
      </w:tr>
      <w:tr w:rsidR="001C6A90" w:rsidRPr="00947A46" w14:paraId="405E835E" w14:textId="77777777" w:rsidTr="00886332">
        <w:tc>
          <w:tcPr>
            <w:tcW w:w="4405" w:type="dxa"/>
          </w:tcPr>
          <w:p w14:paraId="650E942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5.8.3.1 </w:t>
            </w:r>
            <w:r w:rsidRPr="008F5C15">
              <w:rPr>
                <w:rFonts w:ascii="Verdana" w:hAnsi="Verdana"/>
                <w:sz w:val="16"/>
                <w:szCs w:val="16"/>
                <w:lang w:val="es-MX"/>
              </w:rPr>
              <w:t>Nombre del producto, presentación, número de lote y fecha de caducidad.</w:t>
            </w:r>
          </w:p>
        </w:tc>
        <w:tc>
          <w:tcPr>
            <w:tcW w:w="4427" w:type="dxa"/>
          </w:tcPr>
          <w:p w14:paraId="7B567F4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5.8.3.1 </w:t>
            </w:r>
            <w:r w:rsidRPr="008F5C15">
              <w:rPr>
                <w:rFonts w:ascii="Verdana" w:hAnsi="Verdana"/>
                <w:sz w:val="16"/>
                <w:szCs w:val="16"/>
                <w:lang w:val="en-US"/>
              </w:rPr>
              <w:t>Name of the product, presentation and lot number.</w:t>
            </w:r>
          </w:p>
        </w:tc>
      </w:tr>
      <w:tr w:rsidR="001C6A90" w:rsidRPr="00947A46" w14:paraId="25585E3A" w14:textId="77777777" w:rsidTr="00886332">
        <w:tc>
          <w:tcPr>
            <w:tcW w:w="4405" w:type="dxa"/>
          </w:tcPr>
          <w:p w14:paraId="04E2714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5.8.3.2 </w:t>
            </w:r>
            <w:r w:rsidRPr="008F5C15">
              <w:rPr>
                <w:rFonts w:ascii="Verdana" w:hAnsi="Verdana"/>
                <w:sz w:val="16"/>
                <w:szCs w:val="16"/>
                <w:lang w:val="es-MX"/>
              </w:rPr>
              <w:t>Fecha de devolución, cantidad devuelta.</w:t>
            </w:r>
          </w:p>
        </w:tc>
        <w:tc>
          <w:tcPr>
            <w:tcW w:w="4427" w:type="dxa"/>
          </w:tcPr>
          <w:p w14:paraId="7E1FCF1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5.8.3.2 </w:t>
            </w:r>
            <w:r w:rsidRPr="008F5C15">
              <w:rPr>
                <w:rFonts w:ascii="Verdana" w:hAnsi="Verdana"/>
                <w:sz w:val="16"/>
                <w:szCs w:val="16"/>
                <w:lang w:val="en-US"/>
              </w:rPr>
              <w:t xml:space="preserve">Date of the return, amount returned. </w:t>
            </w:r>
          </w:p>
        </w:tc>
      </w:tr>
      <w:tr w:rsidR="001C6A90" w:rsidRPr="00947A46" w14:paraId="25995841" w14:textId="77777777" w:rsidTr="00886332">
        <w:tc>
          <w:tcPr>
            <w:tcW w:w="4405" w:type="dxa"/>
          </w:tcPr>
          <w:p w14:paraId="4A23ABD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5.8.3.3 </w:t>
            </w:r>
            <w:r w:rsidRPr="008F5C15">
              <w:rPr>
                <w:rFonts w:ascii="Verdana" w:hAnsi="Verdana"/>
                <w:sz w:val="16"/>
                <w:szCs w:val="16"/>
                <w:lang w:val="es-MX"/>
              </w:rPr>
              <w:t>Fecha y motivo de la devolución.</w:t>
            </w:r>
          </w:p>
        </w:tc>
        <w:tc>
          <w:tcPr>
            <w:tcW w:w="4427" w:type="dxa"/>
          </w:tcPr>
          <w:p w14:paraId="5583351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5.8.3.3 </w:t>
            </w:r>
            <w:r w:rsidRPr="008F5C15">
              <w:rPr>
                <w:rFonts w:ascii="Verdana" w:hAnsi="Verdana"/>
                <w:sz w:val="16"/>
                <w:szCs w:val="16"/>
                <w:lang w:val="en-US"/>
              </w:rPr>
              <w:t xml:space="preserve">Date and reason for the return. </w:t>
            </w:r>
          </w:p>
        </w:tc>
      </w:tr>
      <w:tr w:rsidR="001C6A90" w:rsidRPr="00947A46" w14:paraId="62861312" w14:textId="77777777" w:rsidTr="00886332">
        <w:tc>
          <w:tcPr>
            <w:tcW w:w="4405" w:type="dxa"/>
          </w:tcPr>
          <w:p w14:paraId="06DB6A5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5.8.3.4 </w:t>
            </w:r>
            <w:r w:rsidRPr="008F5C15">
              <w:rPr>
                <w:rFonts w:ascii="Verdana" w:hAnsi="Verdana"/>
                <w:sz w:val="16"/>
                <w:szCs w:val="16"/>
                <w:lang w:val="es-MX"/>
              </w:rPr>
              <w:t>Nombre y localización de quien devuelve.</w:t>
            </w:r>
          </w:p>
        </w:tc>
        <w:tc>
          <w:tcPr>
            <w:tcW w:w="4427" w:type="dxa"/>
          </w:tcPr>
          <w:p w14:paraId="2A8C46D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5.8.3.4 </w:t>
            </w:r>
            <w:r w:rsidRPr="008F5C15">
              <w:rPr>
                <w:rFonts w:ascii="Verdana" w:hAnsi="Verdana"/>
                <w:sz w:val="16"/>
                <w:szCs w:val="16"/>
                <w:lang w:val="en-US"/>
              </w:rPr>
              <w:t xml:space="preserve">Name and location of the party who returns it. </w:t>
            </w:r>
          </w:p>
        </w:tc>
      </w:tr>
      <w:tr w:rsidR="001C6A90" w:rsidRPr="00947A46" w14:paraId="6B1594B4" w14:textId="77777777" w:rsidTr="00886332">
        <w:tc>
          <w:tcPr>
            <w:tcW w:w="4405" w:type="dxa"/>
          </w:tcPr>
          <w:p w14:paraId="4C96947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5.8.3.5 </w:t>
            </w:r>
            <w:r w:rsidRPr="008F5C15">
              <w:rPr>
                <w:rFonts w:ascii="Verdana" w:hAnsi="Verdana"/>
                <w:sz w:val="16"/>
                <w:szCs w:val="16"/>
                <w:lang w:val="es-MX"/>
              </w:rPr>
              <w:t>La evaluación para probar que el producto cumple con las especificaciones, estándares de integridad, seguridad, identidad, calidad y pureza debe incluir: el análisis de la ruta de distribución, condiciones de almacenamiento del producto devuelto, condiciones del etiquetado, decisión y destino final  del producto.</w:t>
            </w:r>
          </w:p>
        </w:tc>
        <w:tc>
          <w:tcPr>
            <w:tcW w:w="4427" w:type="dxa"/>
          </w:tcPr>
          <w:p w14:paraId="47CBA8B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5.8.3.5 </w:t>
            </w:r>
            <w:r w:rsidRPr="008F5C15">
              <w:rPr>
                <w:rFonts w:ascii="Verdana" w:hAnsi="Verdana"/>
                <w:sz w:val="16"/>
                <w:szCs w:val="16"/>
                <w:lang w:val="en-US"/>
              </w:rPr>
              <w:t xml:space="preserve">The evaluation for testing whether the product complies with the specifications, standards of integrity, safety, identify, quality and purity must include: the analysis of the distribution route, storage conditions of the returned product, labeling conditions, decision and final destination of the product. </w:t>
            </w:r>
          </w:p>
        </w:tc>
      </w:tr>
      <w:tr w:rsidR="001C6A90" w:rsidRPr="00947A46" w14:paraId="4EE34631" w14:textId="77777777" w:rsidTr="00886332">
        <w:tc>
          <w:tcPr>
            <w:tcW w:w="4405" w:type="dxa"/>
          </w:tcPr>
          <w:p w14:paraId="35F6BE1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5.8.3.5.1 </w:t>
            </w:r>
            <w:r w:rsidRPr="008F5C15">
              <w:rPr>
                <w:rFonts w:ascii="Verdana" w:hAnsi="Verdana"/>
                <w:sz w:val="16"/>
                <w:szCs w:val="16"/>
                <w:lang w:val="es-MX"/>
              </w:rPr>
              <w:t>No está permitida la recuperación de producto devuelto si durante la evaluación las condiciones del contenedor, los estuches o cajas, o los textos del etiquetado generan dudas de la integridad, seguridad, identidad, concentración, calidad o pureza del producto.</w:t>
            </w:r>
          </w:p>
        </w:tc>
        <w:tc>
          <w:tcPr>
            <w:tcW w:w="4427" w:type="dxa"/>
          </w:tcPr>
          <w:p w14:paraId="55E8612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5.8.3.5.1 </w:t>
            </w:r>
            <w:r w:rsidRPr="008F5C15">
              <w:rPr>
                <w:rFonts w:ascii="Verdana" w:hAnsi="Verdana"/>
                <w:sz w:val="16"/>
                <w:szCs w:val="16"/>
                <w:lang w:val="en-US"/>
              </w:rPr>
              <w:t xml:space="preserve">The recovery of the returned product is not permitted if during the evaluation of the conditions of the container, the cases or boxes or the label texts generate doubts on the integrity, safety, identify, concentration, quality or purity of the product. </w:t>
            </w:r>
          </w:p>
        </w:tc>
      </w:tr>
      <w:tr w:rsidR="001C6A90" w:rsidRPr="00E70344" w14:paraId="03629DD0" w14:textId="77777777" w:rsidTr="00886332">
        <w:tc>
          <w:tcPr>
            <w:tcW w:w="4405" w:type="dxa"/>
          </w:tcPr>
          <w:p w14:paraId="0008B4C6"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5.9 Revisión Anual de Producto</w:t>
            </w:r>
          </w:p>
        </w:tc>
        <w:tc>
          <w:tcPr>
            <w:tcW w:w="4427" w:type="dxa"/>
          </w:tcPr>
          <w:p w14:paraId="690BC3C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5.9 Annual Product Review </w:t>
            </w:r>
          </w:p>
        </w:tc>
      </w:tr>
      <w:tr w:rsidR="001C6A90" w:rsidRPr="00947A46" w14:paraId="06C12BA1" w14:textId="77777777" w:rsidTr="00886332">
        <w:tc>
          <w:tcPr>
            <w:tcW w:w="4405" w:type="dxa"/>
          </w:tcPr>
          <w:p w14:paraId="794CE09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5.9.1 </w:t>
            </w:r>
            <w:r w:rsidRPr="008F5C15">
              <w:rPr>
                <w:rFonts w:ascii="Verdana" w:hAnsi="Verdana"/>
                <w:sz w:val="16"/>
                <w:szCs w:val="16"/>
                <w:lang w:val="es-MX"/>
              </w:rPr>
              <w:t>Debe existir una revisión sistemática anual de la calidad de cada producto. El Responsable Sanitario debe asegurar la implementación del sistema de RAP y designar a la persona responsable de su ejecución  y difusión.</w:t>
            </w:r>
          </w:p>
        </w:tc>
        <w:tc>
          <w:tcPr>
            <w:tcW w:w="4427" w:type="dxa"/>
          </w:tcPr>
          <w:p w14:paraId="1552061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5.9.1 </w:t>
            </w:r>
            <w:r w:rsidRPr="008F5C15">
              <w:rPr>
                <w:rFonts w:ascii="Verdana" w:hAnsi="Verdana"/>
                <w:sz w:val="16"/>
                <w:szCs w:val="16"/>
                <w:lang w:val="en-US"/>
              </w:rPr>
              <w:t>There must be a systematic annual review of the quality each product. The Person responsible for sanitary compliance must assure the implementation of the APR and designate the person responsible for its execution and diffusion.</w:t>
            </w:r>
          </w:p>
        </w:tc>
      </w:tr>
      <w:tr w:rsidR="001C6A90" w:rsidRPr="00947A46" w14:paraId="68828EBA" w14:textId="77777777" w:rsidTr="00886332">
        <w:tc>
          <w:tcPr>
            <w:tcW w:w="4405" w:type="dxa"/>
          </w:tcPr>
          <w:p w14:paraId="3BB36F9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5.9.1.1</w:t>
            </w:r>
            <w:r w:rsidRPr="008F5C15">
              <w:rPr>
                <w:rFonts w:ascii="Verdana" w:hAnsi="Verdana"/>
                <w:sz w:val="16"/>
                <w:szCs w:val="16"/>
                <w:lang w:val="es-MX"/>
              </w:rPr>
              <w:t xml:space="preserve"> Los objetivos de la RAP son los de la verificación del desempeño del producto, la consistencia del proceso de fabricación y la determinación de la necesidad de revalidación de los procesos de fabricación.</w:t>
            </w:r>
          </w:p>
        </w:tc>
        <w:tc>
          <w:tcPr>
            <w:tcW w:w="4427" w:type="dxa"/>
          </w:tcPr>
          <w:p w14:paraId="6DCCE53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5.9.1.1 </w:t>
            </w:r>
            <w:r w:rsidRPr="008F5C15">
              <w:rPr>
                <w:rFonts w:ascii="Verdana" w:hAnsi="Verdana"/>
                <w:sz w:val="16"/>
                <w:szCs w:val="16"/>
                <w:lang w:val="en-US"/>
              </w:rPr>
              <w:t xml:space="preserve">The objectives of the ARP are those of the verification of the performance of the product, the consistency of the manufacturing process and the determination of the necessity of revalidation of the manufacturing processes. </w:t>
            </w:r>
          </w:p>
        </w:tc>
      </w:tr>
      <w:tr w:rsidR="001C6A90" w:rsidRPr="00947A46" w14:paraId="0BD30509" w14:textId="77777777" w:rsidTr="00886332">
        <w:tc>
          <w:tcPr>
            <w:tcW w:w="4405" w:type="dxa"/>
          </w:tcPr>
          <w:p w14:paraId="73AA594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En la RAP se determina la necesidad de llevar a cabo cambios en el proceso de fabricación, en los controles en proceso y en las especificaciones. Éstos incluyen la identificación de mejoras al producto y al proceso de fabricación, basados en el análisis de tendencias y valoración de riesgos.</w:t>
            </w:r>
          </w:p>
        </w:tc>
        <w:tc>
          <w:tcPr>
            <w:tcW w:w="4427" w:type="dxa"/>
          </w:tcPr>
          <w:p w14:paraId="6930AFB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In the ARP the necessity of carrying out changes in the manufacturing process, in the controls in process and in the specifications is determined. These include the identification of improvements to the product and to the manufacturing process, based on the analysis of tendencies and the evaluation of risks.</w:t>
            </w:r>
          </w:p>
        </w:tc>
      </w:tr>
      <w:tr w:rsidR="001C6A90" w:rsidRPr="00947A46" w14:paraId="0209B545" w14:textId="77777777" w:rsidTr="00886332">
        <w:tc>
          <w:tcPr>
            <w:tcW w:w="4405" w:type="dxa"/>
          </w:tcPr>
          <w:p w14:paraId="3974EB2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5.9.1.2</w:t>
            </w:r>
            <w:r w:rsidRPr="008F5C15">
              <w:rPr>
                <w:rFonts w:ascii="Verdana" w:hAnsi="Verdana"/>
                <w:sz w:val="16"/>
                <w:szCs w:val="16"/>
                <w:lang w:val="es-MX"/>
              </w:rPr>
              <w:t xml:space="preserve"> No se permite la agrupación de productos independientemente de que durante su producción se empleen procesos y equipos similares.</w:t>
            </w:r>
          </w:p>
        </w:tc>
        <w:tc>
          <w:tcPr>
            <w:tcW w:w="4427" w:type="dxa"/>
          </w:tcPr>
          <w:p w14:paraId="556E42E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5.9.1.2 </w:t>
            </w:r>
            <w:r w:rsidRPr="008F5C15">
              <w:rPr>
                <w:rFonts w:ascii="Verdana" w:hAnsi="Verdana"/>
                <w:sz w:val="16"/>
                <w:szCs w:val="16"/>
                <w:lang w:val="en-US"/>
              </w:rPr>
              <w:t>The grouping is not permitted of products independent of whether during their production similar processes and equipment are employed.</w:t>
            </w:r>
          </w:p>
        </w:tc>
      </w:tr>
      <w:tr w:rsidR="001C6A90" w:rsidRPr="00947A46" w14:paraId="37B86216" w14:textId="77777777" w:rsidTr="00886332">
        <w:tc>
          <w:tcPr>
            <w:tcW w:w="4405" w:type="dxa"/>
          </w:tcPr>
          <w:p w14:paraId="497BDCA0" w14:textId="77777777" w:rsidR="001C6A90" w:rsidRPr="008F5C15" w:rsidRDefault="001C6A90" w:rsidP="001C6A90">
            <w:pPr>
              <w:pStyle w:val="Texto"/>
              <w:spacing w:line="276" w:lineRule="auto"/>
              <w:ind w:firstLine="0"/>
              <w:rPr>
                <w:rFonts w:ascii="Verdana" w:hAnsi="Verdana"/>
                <w:i/>
                <w:sz w:val="16"/>
                <w:szCs w:val="16"/>
                <w:lang w:val="es-MX"/>
              </w:rPr>
            </w:pPr>
            <w:r w:rsidRPr="008F5C15">
              <w:rPr>
                <w:rFonts w:ascii="Verdana" w:hAnsi="Verdana"/>
                <w:b/>
                <w:sz w:val="16"/>
                <w:szCs w:val="16"/>
                <w:lang w:val="es-MX"/>
              </w:rPr>
              <w:lastRenderedPageBreak/>
              <w:t>5.9.1.3</w:t>
            </w:r>
            <w:r w:rsidRPr="008F5C15">
              <w:rPr>
                <w:rFonts w:ascii="Verdana" w:hAnsi="Verdana"/>
                <w:sz w:val="16"/>
                <w:szCs w:val="16"/>
                <w:lang w:val="es-MX"/>
              </w:rPr>
              <w:t xml:space="preserve"> Se debe contar con el reporte de RAP para los medicamentos que son de importación, la cual debe incluir la información generada por el fabricante y ser complementada con la información generada por los procesos realizados en territorio nacional.</w:t>
            </w:r>
          </w:p>
        </w:tc>
        <w:tc>
          <w:tcPr>
            <w:tcW w:w="4427" w:type="dxa"/>
          </w:tcPr>
          <w:p w14:paraId="2FCBC7A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5.9.1.3 </w:t>
            </w:r>
            <w:r w:rsidRPr="008F5C15">
              <w:rPr>
                <w:rFonts w:ascii="Verdana" w:hAnsi="Verdana"/>
                <w:sz w:val="16"/>
                <w:szCs w:val="16"/>
                <w:lang w:val="en-US"/>
              </w:rPr>
              <w:t xml:space="preserve">There must be the ARP report for the drug products that are imported, which must include the information generated by the manufacturer and be complemented with the information generated by the processes made in national territory. </w:t>
            </w:r>
          </w:p>
        </w:tc>
      </w:tr>
      <w:tr w:rsidR="001C6A90" w:rsidRPr="00947A46" w14:paraId="61833D9B" w14:textId="77777777" w:rsidTr="00886332">
        <w:tc>
          <w:tcPr>
            <w:tcW w:w="4405" w:type="dxa"/>
          </w:tcPr>
          <w:p w14:paraId="3797B3D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5.9.2 </w:t>
            </w:r>
            <w:r w:rsidRPr="008F5C15">
              <w:rPr>
                <w:rFonts w:ascii="Verdana" w:hAnsi="Verdana"/>
                <w:sz w:val="16"/>
                <w:szCs w:val="16"/>
                <w:lang w:val="es-MX"/>
              </w:rPr>
              <w:t>Debe existir un procedimiento para llevar a cabo la RAP que contenga los objetivos para determinar y justificar las áreas seleccionadas en la revisión, así como la posible extensión de la revisión.</w:t>
            </w:r>
          </w:p>
        </w:tc>
        <w:tc>
          <w:tcPr>
            <w:tcW w:w="4427" w:type="dxa"/>
          </w:tcPr>
          <w:p w14:paraId="51DB34B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5.9.2 </w:t>
            </w:r>
            <w:r w:rsidRPr="008F5C15">
              <w:rPr>
                <w:rFonts w:ascii="Verdana" w:hAnsi="Verdana"/>
                <w:sz w:val="16"/>
                <w:szCs w:val="16"/>
                <w:lang w:val="en-US"/>
              </w:rPr>
              <w:t>There must exist a procedure for carrying out the ARP that contains the objectives for determining and justifying the areas selected in the review, as well as the possible extension of the review.</w:t>
            </w:r>
          </w:p>
        </w:tc>
      </w:tr>
      <w:tr w:rsidR="001C6A90" w:rsidRPr="00947A46" w14:paraId="7D95282A" w14:textId="77777777" w:rsidTr="00886332">
        <w:tc>
          <w:tcPr>
            <w:tcW w:w="4405" w:type="dxa"/>
          </w:tcPr>
          <w:p w14:paraId="02DF425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Los resultados de la RAP deben resumirse en el formato que se especifica en el Apéndice B Normativo adjunto a la presente Norma.</w:t>
            </w:r>
          </w:p>
        </w:tc>
        <w:tc>
          <w:tcPr>
            <w:tcW w:w="4427" w:type="dxa"/>
          </w:tcPr>
          <w:p w14:paraId="4A00038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 results of the ARP must be summarized in the format that is specified in Obligatory Appendix B attached to this Standard. </w:t>
            </w:r>
          </w:p>
        </w:tc>
      </w:tr>
      <w:tr w:rsidR="001C6A90" w:rsidRPr="00947A46" w14:paraId="6EC47E29" w14:textId="77777777" w:rsidTr="00886332">
        <w:tc>
          <w:tcPr>
            <w:tcW w:w="4405" w:type="dxa"/>
          </w:tcPr>
          <w:p w14:paraId="5E32D25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5.9.3 </w:t>
            </w:r>
            <w:r w:rsidRPr="008F5C15">
              <w:rPr>
                <w:rFonts w:ascii="Verdana" w:hAnsi="Verdana"/>
                <w:sz w:val="16"/>
                <w:szCs w:val="16"/>
                <w:lang w:val="es-MX"/>
              </w:rPr>
              <w:t>Revisión Anual de Producto para Medicamentos Huérfanos.</w:t>
            </w:r>
          </w:p>
        </w:tc>
        <w:tc>
          <w:tcPr>
            <w:tcW w:w="4427" w:type="dxa"/>
          </w:tcPr>
          <w:p w14:paraId="5EBC097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5.9.3 </w:t>
            </w:r>
            <w:r w:rsidRPr="008F5C15">
              <w:rPr>
                <w:rFonts w:ascii="Verdana" w:hAnsi="Verdana"/>
                <w:sz w:val="16"/>
                <w:szCs w:val="16"/>
                <w:lang w:val="en-US"/>
              </w:rPr>
              <w:t>Annual Review of Product for Orphan Drug products.</w:t>
            </w:r>
          </w:p>
        </w:tc>
      </w:tr>
      <w:tr w:rsidR="001C6A90" w:rsidRPr="00947A46" w14:paraId="57ED5586" w14:textId="77777777" w:rsidTr="00886332">
        <w:tc>
          <w:tcPr>
            <w:tcW w:w="4405" w:type="dxa"/>
          </w:tcPr>
          <w:p w14:paraId="0328D9D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Adicional a lo especificado en el Apéndice B Normativo de esta Norma, se debe incluir la siguiente información para el caso de la RAP en medicamentos huérfanos.</w:t>
            </w:r>
          </w:p>
        </w:tc>
        <w:tc>
          <w:tcPr>
            <w:tcW w:w="4427" w:type="dxa"/>
          </w:tcPr>
          <w:p w14:paraId="513ACD9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In addition to that specified in the Obligatory Appendix B of this Standard, the following information must be included for the case of the ARP in orphan drug products. </w:t>
            </w:r>
          </w:p>
        </w:tc>
      </w:tr>
      <w:tr w:rsidR="001C6A90" w:rsidRPr="00947A46" w14:paraId="3413AE79" w14:textId="77777777" w:rsidTr="00886332">
        <w:tc>
          <w:tcPr>
            <w:tcW w:w="4405" w:type="dxa"/>
          </w:tcPr>
          <w:p w14:paraId="46F6CD5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5.9.3.1</w:t>
            </w:r>
            <w:r w:rsidRPr="008F5C15">
              <w:rPr>
                <w:rFonts w:ascii="Verdana" w:hAnsi="Verdana"/>
                <w:sz w:val="16"/>
                <w:szCs w:val="16"/>
                <w:lang w:val="es-MX"/>
              </w:rPr>
              <w:t xml:space="preserve"> Listado de países en donde el producto ha sido registrado o reconocido (incluyendo la fecha y número de registro).</w:t>
            </w:r>
          </w:p>
        </w:tc>
        <w:tc>
          <w:tcPr>
            <w:tcW w:w="4427" w:type="dxa"/>
          </w:tcPr>
          <w:p w14:paraId="053096B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5.9.3.1 </w:t>
            </w:r>
            <w:r w:rsidRPr="008F5C15">
              <w:rPr>
                <w:rFonts w:ascii="Verdana" w:hAnsi="Verdana"/>
                <w:sz w:val="16"/>
                <w:szCs w:val="16"/>
                <w:lang w:val="en-US"/>
              </w:rPr>
              <w:t xml:space="preserve">List of countries where the product has been registered or recognized (including the date and registration number). </w:t>
            </w:r>
          </w:p>
        </w:tc>
      </w:tr>
      <w:tr w:rsidR="001C6A90" w:rsidRPr="0056428D" w14:paraId="6E102AFE" w14:textId="77777777" w:rsidTr="00886332">
        <w:tc>
          <w:tcPr>
            <w:tcW w:w="4405" w:type="dxa"/>
          </w:tcPr>
          <w:p w14:paraId="72191B51"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5.10 Transferencia de tecnología</w:t>
            </w:r>
          </w:p>
        </w:tc>
        <w:tc>
          <w:tcPr>
            <w:tcW w:w="4427" w:type="dxa"/>
          </w:tcPr>
          <w:p w14:paraId="4839D79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5.10</w:t>
            </w:r>
            <w:r w:rsidRPr="008F5C15">
              <w:rPr>
                <w:rFonts w:ascii="Verdana" w:hAnsi="Verdana"/>
                <w:sz w:val="16"/>
                <w:szCs w:val="16"/>
                <w:lang w:val="en-US"/>
              </w:rPr>
              <w:t xml:space="preserve"> </w:t>
            </w:r>
            <w:r w:rsidRPr="008F5C15">
              <w:rPr>
                <w:rFonts w:ascii="Verdana" w:hAnsi="Verdana"/>
                <w:b/>
                <w:sz w:val="16"/>
                <w:szCs w:val="16"/>
                <w:lang w:val="en-US"/>
              </w:rPr>
              <w:t>Technology transfer.</w:t>
            </w:r>
          </w:p>
        </w:tc>
      </w:tr>
      <w:tr w:rsidR="001C6A90" w:rsidRPr="00947A46" w14:paraId="52B0D727" w14:textId="77777777" w:rsidTr="00886332">
        <w:tc>
          <w:tcPr>
            <w:tcW w:w="4405" w:type="dxa"/>
          </w:tcPr>
          <w:p w14:paraId="7D4E577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5.10.1 </w:t>
            </w:r>
            <w:r w:rsidRPr="008F5C15">
              <w:rPr>
                <w:rFonts w:ascii="Verdana" w:hAnsi="Verdana"/>
                <w:sz w:val="16"/>
                <w:szCs w:val="16"/>
                <w:lang w:val="es-MX"/>
              </w:rPr>
              <w:t>La transferencia de tecnología deberá tener un enfoque planificado y documentado, en el que se considere personal capacitado, requisitos de calificación y validación, sistemas de fabricación y control de calidad, y debe ser formalizada a través de un protocolo y su reporte correspondiente.</w:t>
            </w:r>
          </w:p>
        </w:tc>
        <w:tc>
          <w:tcPr>
            <w:tcW w:w="4427" w:type="dxa"/>
          </w:tcPr>
          <w:p w14:paraId="417F7B7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5.10.1 </w:t>
            </w:r>
            <w:r w:rsidRPr="008F5C15">
              <w:rPr>
                <w:rFonts w:ascii="Verdana" w:hAnsi="Verdana"/>
                <w:sz w:val="16"/>
                <w:szCs w:val="16"/>
                <w:lang w:val="en-US"/>
              </w:rPr>
              <w:t xml:space="preserve">Technology transfer must have a planned and documented focus in which trained personnel, qualification and validation requirements, manufacturing systems and quality control are considered and must be formalized through a protocol and its corresponding report. </w:t>
            </w:r>
          </w:p>
        </w:tc>
      </w:tr>
      <w:tr w:rsidR="001C6A90" w:rsidRPr="00947A46" w14:paraId="6FAD699F" w14:textId="77777777" w:rsidTr="00886332">
        <w:tc>
          <w:tcPr>
            <w:tcW w:w="4405" w:type="dxa"/>
          </w:tcPr>
          <w:p w14:paraId="653AD93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5.10.2 </w:t>
            </w:r>
            <w:r w:rsidRPr="008F5C15">
              <w:rPr>
                <w:rFonts w:ascii="Verdana" w:hAnsi="Verdana"/>
                <w:sz w:val="16"/>
                <w:szCs w:val="16"/>
                <w:lang w:val="es-MX"/>
              </w:rPr>
              <w:t>Los lotes de transferencia de tecnología no podrán ser comercializados.</w:t>
            </w:r>
          </w:p>
        </w:tc>
        <w:tc>
          <w:tcPr>
            <w:tcW w:w="4427" w:type="dxa"/>
          </w:tcPr>
          <w:p w14:paraId="1DAC225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5.10.2 </w:t>
            </w:r>
            <w:r w:rsidRPr="008F5C15">
              <w:rPr>
                <w:rFonts w:ascii="Verdana" w:hAnsi="Verdana"/>
                <w:sz w:val="16"/>
                <w:szCs w:val="16"/>
                <w:lang w:val="en-US"/>
              </w:rPr>
              <w:t xml:space="preserve">The lots of technology transfer cannot be commercially distributed. </w:t>
            </w:r>
          </w:p>
        </w:tc>
      </w:tr>
      <w:tr w:rsidR="001C6A90" w:rsidRPr="00BD019F" w14:paraId="35D4B17A" w14:textId="77777777" w:rsidTr="00886332">
        <w:tc>
          <w:tcPr>
            <w:tcW w:w="4405" w:type="dxa"/>
          </w:tcPr>
          <w:p w14:paraId="6AB9DDB0"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6. Gestión de Riesgos de Calidad</w:t>
            </w:r>
          </w:p>
        </w:tc>
        <w:tc>
          <w:tcPr>
            <w:tcW w:w="4427" w:type="dxa"/>
          </w:tcPr>
          <w:p w14:paraId="777A9C8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6. Quality Risks Management</w:t>
            </w:r>
          </w:p>
        </w:tc>
      </w:tr>
      <w:tr w:rsidR="001C6A90" w:rsidRPr="00947A46" w14:paraId="1F055EE1" w14:textId="77777777" w:rsidTr="00886332">
        <w:tc>
          <w:tcPr>
            <w:tcW w:w="4405" w:type="dxa"/>
          </w:tcPr>
          <w:p w14:paraId="3BA970A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6.1 </w:t>
            </w:r>
            <w:r w:rsidRPr="008F5C15">
              <w:rPr>
                <w:rFonts w:ascii="Verdana" w:hAnsi="Verdana"/>
                <w:sz w:val="16"/>
                <w:szCs w:val="16"/>
                <w:lang w:val="es-MX"/>
              </w:rPr>
              <w:t>El establecimiento debe contar con un Sistema de Gestión de Riesgos de Calidad que asegure de forma científica y sistemática las acciones para identificar, mitigar y controlar las fallas potenciales en los sistemas, operaciones y procesos que afecten la calidad de los productos.</w:t>
            </w:r>
          </w:p>
        </w:tc>
        <w:tc>
          <w:tcPr>
            <w:tcW w:w="4427" w:type="dxa"/>
          </w:tcPr>
          <w:p w14:paraId="6E53C6F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6.1 </w:t>
            </w:r>
            <w:r w:rsidRPr="008F5C15">
              <w:rPr>
                <w:rFonts w:ascii="Verdana" w:hAnsi="Verdana"/>
                <w:sz w:val="16"/>
                <w:szCs w:val="16"/>
                <w:lang w:val="en-US"/>
              </w:rPr>
              <w:t xml:space="preserve">The establishment must have a Management System of Quality Risks that assure scientifically and systematically the actions for identifying, mitigating, and controlling the potential failures in the systems, operations and processes that affect the quality of products. </w:t>
            </w:r>
          </w:p>
        </w:tc>
      </w:tr>
      <w:tr w:rsidR="001C6A90" w:rsidRPr="00947A46" w14:paraId="13FB9DFC" w14:textId="77777777" w:rsidTr="00886332">
        <w:tc>
          <w:tcPr>
            <w:tcW w:w="4405" w:type="dxa"/>
          </w:tcPr>
          <w:p w14:paraId="2C15B38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6.2</w:t>
            </w:r>
            <w:r w:rsidRPr="008F5C15">
              <w:rPr>
                <w:rFonts w:ascii="Verdana" w:hAnsi="Verdana"/>
                <w:sz w:val="16"/>
                <w:szCs w:val="16"/>
                <w:lang w:val="es-MX"/>
              </w:rPr>
              <w:t xml:space="preserve"> La metodología para el Análisis de Riesgo en los sistemas, las operaciones y los procesos deberán estar sustentados en herramientas de análisis comprobadas que aseguren la gestión efectiva y lógica de las prioridades y estrategias para la gestión de riesgos de calidad.</w:t>
            </w:r>
          </w:p>
        </w:tc>
        <w:tc>
          <w:tcPr>
            <w:tcW w:w="4427" w:type="dxa"/>
          </w:tcPr>
          <w:p w14:paraId="5795416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6.2 </w:t>
            </w:r>
            <w:r w:rsidRPr="008F5C15">
              <w:rPr>
                <w:rFonts w:ascii="Verdana" w:hAnsi="Verdana"/>
                <w:sz w:val="16"/>
                <w:szCs w:val="16"/>
                <w:lang w:val="en-US"/>
              </w:rPr>
              <w:t xml:space="preserve">The methodology for the Analysis of Risk in the systems, the operations and the processes must be sustained in verified analysis tools that assure the effective management and logic of the priorities and strategies for the management of quality risks. </w:t>
            </w:r>
          </w:p>
        </w:tc>
      </w:tr>
      <w:tr w:rsidR="001C6A90" w:rsidRPr="00947A46" w14:paraId="354D7C13" w14:textId="77777777" w:rsidTr="00886332">
        <w:tc>
          <w:tcPr>
            <w:tcW w:w="4405" w:type="dxa"/>
          </w:tcPr>
          <w:p w14:paraId="36E8868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6.3</w:t>
            </w:r>
            <w:r w:rsidRPr="008F5C15">
              <w:rPr>
                <w:rFonts w:ascii="Verdana" w:hAnsi="Verdana"/>
                <w:sz w:val="16"/>
                <w:szCs w:val="16"/>
                <w:lang w:val="es-MX"/>
              </w:rPr>
              <w:t xml:space="preserve"> Debe existir un conjunto de procedimientos que evidencie la implementación, capacitación y calificación del personal encargado del Sistema de Gestión de Riesgos de Calidad y su aplicación.</w:t>
            </w:r>
          </w:p>
        </w:tc>
        <w:tc>
          <w:tcPr>
            <w:tcW w:w="4427" w:type="dxa"/>
          </w:tcPr>
          <w:p w14:paraId="117E4C9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6.3 </w:t>
            </w:r>
            <w:r w:rsidRPr="008F5C15">
              <w:rPr>
                <w:rFonts w:ascii="Verdana" w:hAnsi="Verdana"/>
                <w:sz w:val="16"/>
                <w:szCs w:val="16"/>
                <w:lang w:val="en-US"/>
              </w:rPr>
              <w:t>There must a combination of procedures that corroborate the implementation, qualification and qualification of the personnel in charge of the Quality Management System Risks and its application.</w:t>
            </w:r>
          </w:p>
        </w:tc>
      </w:tr>
      <w:tr w:rsidR="001C6A90" w:rsidRPr="00947A46" w14:paraId="15739F93" w14:textId="77777777" w:rsidTr="00886332">
        <w:tc>
          <w:tcPr>
            <w:tcW w:w="4405" w:type="dxa"/>
          </w:tcPr>
          <w:p w14:paraId="789DAD5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6.4</w:t>
            </w:r>
            <w:r w:rsidRPr="008F5C15">
              <w:rPr>
                <w:rFonts w:ascii="Verdana" w:hAnsi="Verdana"/>
                <w:sz w:val="16"/>
                <w:szCs w:val="16"/>
                <w:lang w:val="es-MX"/>
              </w:rPr>
              <w:t xml:space="preserve"> Las valoraciones de riesgo realizados deberán ser documentados de forma tal que sean la base para la elaboración del Plan Maestro de Validación, así como la evidencia técnica para las desviaciones </w:t>
            </w:r>
            <w:r w:rsidRPr="008F5C15">
              <w:rPr>
                <w:rFonts w:ascii="Verdana" w:hAnsi="Verdana"/>
                <w:sz w:val="16"/>
                <w:szCs w:val="16"/>
                <w:lang w:val="es-MX"/>
              </w:rPr>
              <w:lastRenderedPageBreak/>
              <w:t>y cambios críticos de sistemas, operaciones y procesos y ser el soporte de evaluación de Acciones Preventivas y Correctivas.</w:t>
            </w:r>
          </w:p>
        </w:tc>
        <w:tc>
          <w:tcPr>
            <w:tcW w:w="4427" w:type="dxa"/>
          </w:tcPr>
          <w:p w14:paraId="54106EB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6.4 </w:t>
            </w:r>
            <w:r w:rsidRPr="008F5C15">
              <w:rPr>
                <w:rFonts w:ascii="Verdana" w:hAnsi="Verdana"/>
                <w:sz w:val="16"/>
                <w:szCs w:val="16"/>
                <w:lang w:val="en-US"/>
              </w:rPr>
              <w:t xml:space="preserve">The evaluations of risk made must be documented in a way that they are the criteria for the preparation of the Master Plan of Validation, as well as the technical evidence for the deviations and </w:t>
            </w:r>
            <w:r w:rsidRPr="008F5C15">
              <w:rPr>
                <w:rFonts w:ascii="Verdana" w:hAnsi="Verdana"/>
                <w:sz w:val="16"/>
                <w:szCs w:val="16"/>
                <w:lang w:val="en-US"/>
              </w:rPr>
              <w:lastRenderedPageBreak/>
              <w:t xml:space="preserve">critical changes of systems, operations and processes and be the support of evaluation of Preventive and Corrective Actions. </w:t>
            </w:r>
          </w:p>
        </w:tc>
      </w:tr>
      <w:tr w:rsidR="001C6A90" w:rsidRPr="00947A46" w14:paraId="2C891104" w14:textId="77777777" w:rsidTr="00886332">
        <w:tc>
          <w:tcPr>
            <w:tcW w:w="4405" w:type="dxa"/>
          </w:tcPr>
          <w:p w14:paraId="0FBD760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6.5</w:t>
            </w:r>
            <w:r w:rsidRPr="008F5C15">
              <w:rPr>
                <w:rFonts w:ascii="Verdana" w:hAnsi="Verdana"/>
                <w:sz w:val="16"/>
                <w:szCs w:val="16"/>
                <w:lang w:val="es-MX"/>
              </w:rPr>
              <w:t xml:space="preserve"> Deberá existir un método eficiente de comunicación que asegure que el análisis y acciones documentadas en la Metodología de Riesgo es del conocimiento de la organización como parte del Sistema de Gestión de Calidad.</w:t>
            </w:r>
          </w:p>
        </w:tc>
        <w:tc>
          <w:tcPr>
            <w:tcW w:w="4427" w:type="dxa"/>
          </w:tcPr>
          <w:p w14:paraId="72651FF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6.5 </w:t>
            </w:r>
            <w:r w:rsidRPr="008F5C15">
              <w:rPr>
                <w:rFonts w:ascii="Verdana" w:hAnsi="Verdana"/>
                <w:sz w:val="16"/>
                <w:szCs w:val="16"/>
                <w:lang w:val="en-US"/>
              </w:rPr>
              <w:t xml:space="preserve">An efficient method of communication must exist that assures that the analysis and actions documented in the Methodology of Risk is known by the organization as a part of the Quality Management System.  </w:t>
            </w:r>
          </w:p>
        </w:tc>
      </w:tr>
      <w:tr w:rsidR="001C6A90" w:rsidRPr="00947A46" w14:paraId="16374922" w14:textId="77777777" w:rsidTr="00886332">
        <w:tc>
          <w:tcPr>
            <w:tcW w:w="4405" w:type="dxa"/>
          </w:tcPr>
          <w:p w14:paraId="215E93B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6.6</w:t>
            </w:r>
            <w:r w:rsidRPr="008F5C15">
              <w:rPr>
                <w:rFonts w:ascii="Verdana" w:hAnsi="Verdana"/>
                <w:sz w:val="16"/>
                <w:szCs w:val="16"/>
                <w:lang w:val="es-MX"/>
              </w:rPr>
              <w:t xml:space="preserve"> Se debe establecer la verificación continua del resultado del proceso de Gestión de Riesgos de Calidad que garanticen su vigencia y la robustez del Sistema de Gestión de Calidad.</w:t>
            </w:r>
          </w:p>
        </w:tc>
        <w:tc>
          <w:tcPr>
            <w:tcW w:w="4427" w:type="dxa"/>
          </w:tcPr>
          <w:p w14:paraId="445544A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6.6 </w:t>
            </w:r>
            <w:r w:rsidRPr="008F5C15">
              <w:rPr>
                <w:rFonts w:ascii="Verdana" w:hAnsi="Verdana"/>
                <w:sz w:val="16"/>
                <w:szCs w:val="16"/>
                <w:lang w:val="en-US"/>
              </w:rPr>
              <w:t xml:space="preserve">The continuous verification of the results of the process of Management of Quality Risks must be established that guarantee their effective period and the robustness of the Quality Management System. </w:t>
            </w:r>
          </w:p>
        </w:tc>
      </w:tr>
      <w:tr w:rsidR="001C6A90" w:rsidRPr="00947A46" w14:paraId="3A8B8628" w14:textId="77777777" w:rsidTr="00886332">
        <w:tc>
          <w:tcPr>
            <w:tcW w:w="4405" w:type="dxa"/>
          </w:tcPr>
          <w:p w14:paraId="61FD530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6.7</w:t>
            </w:r>
            <w:r w:rsidRPr="008F5C15">
              <w:rPr>
                <w:rFonts w:ascii="Verdana" w:hAnsi="Verdana"/>
                <w:sz w:val="16"/>
                <w:szCs w:val="16"/>
                <w:lang w:val="es-MX"/>
              </w:rPr>
              <w:t xml:space="preserve"> Para la implementación de la Gestión de Riesgos de Calidad podrá consultarse la siguiente dirección electrónica donde están disponibles en idioma español para su consulta el Anexo 20 de la Guía para las BPF de medicamentos de la PIC/S.</w:t>
            </w:r>
          </w:p>
        </w:tc>
        <w:tc>
          <w:tcPr>
            <w:tcW w:w="4427" w:type="dxa"/>
          </w:tcPr>
          <w:p w14:paraId="4E6602F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6.7 </w:t>
            </w:r>
            <w:r w:rsidRPr="008F5C15">
              <w:rPr>
                <w:rFonts w:ascii="Verdana" w:hAnsi="Verdana"/>
                <w:sz w:val="16"/>
                <w:szCs w:val="16"/>
                <w:lang w:val="en-US"/>
              </w:rPr>
              <w:t>For the implementation of the Management of Quality Risks can be consulted at the following electronic web site where Annex 20 of the Guide for the GMP are available in Spanish for their consultation.</w:t>
            </w:r>
          </w:p>
        </w:tc>
      </w:tr>
      <w:tr w:rsidR="001C6A90" w:rsidRPr="00947A46" w14:paraId="13E90D8F" w14:textId="77777777" w:rsidTr="00886332">
        <w:tc>
          <w:tcPr>
            <w:tcW w:w="4405" w:type="dxa"/>
          </w:tcPr>
          <w:p w14:paraId="15A685A0" w14:textId="77777777" w:rsidR="001C6A90" w:rsidRPr="008F5C15" w:rsidRDefault="001C6A90" w:rsidP="001C6A90">
            <w:pPr>
              <w:pStyle w:val="Texto"/>
              <w:spacing w:line="276" w:lineRule="auto"/>
              <w:ind w:firstLine="0"/>
              <w:rPr>
                <w:rFonts w:ascii="Verdana" w:hAnsi="Verdana"/>
                <w:sz w:val="16"/>
                <w:szCs w:val="16"/>
                <w:lang w:val="en-US"/>
              </w:rPr>
            </w:pPr>
            <w:hyperlink r:id="rId10" w:history="1">
              <w:r w:rsidRPr="008F5C15">
                <w:rPr>
                  <w:rStyle w:val="Hyperlink"/>
                  <w:rFonts w:ascii="Verdana" w:hAnsi="Verdana"/>
                  <w:sz w:val="16"/>
                  <w:szCs w:val="16"/>
                  <w:lang w:val="en-US"/>
                </w:rPr>
                <w:t>http://www.cofepris.gob.mx/AS/Paginas/Establecimientos%20y%20productos%20biologicos/CertificadoBuenasPracticasFabricacion.aspx</w:t>
              </w:r>
            </w:hyperlink>
            <w:r w:rsidRPr="008F5C15">
              <w:rPr>
                <w:rFonts w:ascii="Verdana" w:hAnsi="Verdana"/>
                <w:sz w:val="16"/>
                <w:szCs w:val="16"/>
                <w:lang w:val="en-US"/>
              </w:rPr>
              <w:t xml:space="preserve"> </w:t>
            </w:r>
          </w:p>
        </w:tc>
        <w:tc>
          <w:tcPr>
            <w:tcW w:w="4427" w:type="dxa"/>
          </w:tcPr>
          <w:p w14:paraId="3060FD7A" w14:textId="77777777" w:rsidR="001C6A90" w:rsidRPr="008F5C15" w:rsidRDefault="001C6A90" w:rsidP="001C6A90">
            <w:pPr>
              <w:pStyle w:val="Texto"/>
              <w:spacing w:line="276" w:lineRule="auto"/>
              <w:ind w:firstLine="0"/>
              <w:rPr>
                <w:rFonts w:ascii="Verdana" w:hAnsi="Verdana"/>
                <w:sz w:val="16"/>
                <w:szCs w:val="16"/>
                <w:lang w:val="en-US"/>
              </w:rPr>
            </w:pPr>
            <w:hyperlink r:id="rId11" w:history="1">
              <w:r w:rsidRPr="008F5C15">
                <w:rPr>
                  <w:rStyle w:val="Hyperlink"/>
                  <w:rFonts w:ascii="Verdana" w:hAnsi="Verdana"/>
                  <w:sz w:val="16"/>
                  <w:szCs w:val="16"/>
                  <w:lang w:val="en-US"/>
                </w:rPr>
                <w:t>http://www.cofepris.gob.mx/AS/Paginas/Establecimientos%20y%20productos%20biologicos/CertificadoBuenasPracticasFabricacion.aspx</w:t>
              </w:r>
            </w:hyperlink>
            <w:r w:rsidRPr="008F5C15">
              <w:rPr>
                <w:rFonts w:ascii="Verdana" w:hAnsi="Verdana"/>
                <w:sz w:val="16"/>
                <w:szCs w:val="16"/>
                <w:lang w:val="en-US"/>
              </w:rPr>
              <w:t xml:space="preserve"> </w:t>
            </w:r>
          </w:p>
        </w:tc>
      </w:tr>
      <w:tr w:rsidR="001C6A90" w:rsidRPr="00262EF8" w14:paraId="52C781F7" w14:textId="77777777" w:rsidTr="00886332">
        <w:tc>
          <w:tcPr>
            <w:tcW w:w="4405" w:type="dxa"/>
          </w:tcPr>
          <w:p w14:paraId="6EB9F16D"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7. Personal</w:t>
            </w:r>
          </w:p>
        </w:tc>
        <w:tc>
          <w:tcPr>
            <w:tcW w:w="4427" w:type="dxa"/>
          </w:tcPr>
          <w:p w14:paraId="6E6FD19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7. Personnel</w:t>
            </w:r>
          </w:p>
        </w:tc>
      </w:tr>
      <w:tr w:rsidR="001C6A90" w:rsidRPr="00262EF8" w14:paraId="431E2E49" w14:textId="77777777" w:rsidTr="00886332">
        <w:tc>
          <w:tcPr>
            <w:tcW w:w="4405" w:type="dxa"/>
          </w:tcPr>
          <w:p w14:paraId="4AD1B5E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7.1 </w:t>
            </w:r>
            <w:r w:rsidRPr="008F5C15">
              <w:rPr>
                <w:rFonts w:ascii="Verdana" w:hAnsi="Verdana"/>
                <w:sz w:val="16"/>
                <w:szCs w:val="16"/>
                <w:lang w:val="es-MX"/>
              </w:rPr>
              <w:t>Generalidades</w:t>
            </w:r>
          </w:p>
        </w:tc>
        <w:tc>
          <w:tcPr>
            <w:tcW w:w="4427" w:type="dxa"/>
          </w:tcPr>
          <w:p w14:paraId="6A3D0CB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7.1 </w:t>
            </w:r>
            <w:r w:rsidRPr="008F5C15">
              <w:rPr>
                <w:rFonts w:ascii="Verdana" w:hAnsi="Verdana"/>
                <w:sz w:val="16"/>
                <w:szCs w:val="16"/>
                <w:lang w:val="en-US"/>
              </w:rPr>
              <w:t>General Provisions</w:t>
            </w:r>
          </w:p>
        </w:tc>
      </w:tr>
      <w:tr w:rsidR="001C6A90" w:rsidRPr="00947A46" w14:paraId="7F00B20A" w14:textId="77777777" w:rsidTr="00886332">
        <w:tc>
          <w:tcPr>
            <w:tcW w:w="4405" w:type="dxa"/>
          </w:tcPr>
          <w:p w14:paraId="77E283E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7.1.1 </w:t>
            </w:r>
            <w:r w:rsidRPr="008F5C15">
              <w:rPr>
                <w:rFonts w:ascii="Verdana" w:hAnsi="Verdana"/>
                <w:sz w:val="16"/>
                <w:szCs w:val="16"/>
                <w:lang w:val="es-MX"/>
              </w:rPr>
              <w:t>El elemento más importante para la seguridad, eficacia y calidad de los medicamentos es el personal, por lo que es responsabilidad del fabricante contar con el número suficiente de personal calificado para llevar a cabo todas las actividades requeridas para la fabricación de medicamentos. El personal debe recibir inducción en BPF desde su contratación, entrenamiento en las actividades que va a realizar y capacitación continua.</w:t>
            </w:r>
          </w:p>
        </w:tc>
        <w:tc>
          <w:tcPr>
            <w:tcW w:w="4427" w:type="dxa"/>
          </w:tcPr>
          <w:p w14:paraId="47EA350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7.1.1 </w:t>
            </w:r>
            <w:r w:rsidRPr="008F5C15">
              <w:rPr>
                <w:rFonts w:ascii="Verdana" w:hAnsi="Verdana"/>
                <w:sz w:val="16"/>
                <w:szCs w:val="16"/>
                <w:lang w:val="en-US"/>
              </w:rPr>
              <w:t>The most important element for the safety, efficiency and quality of the drug products is the personnel, reason why it’s the responsibility of the manufacturer to have enough qualified personnel to carry out all the activities required for the manufacture of drug products. Personnel must receive an induction in GMP from the moment they are hired, training in the activities they will perform and ongoing training.</w:t>
            </w:r>
          </w:p>
        </w:tc>
      </w:tr>
      <w:tr w:rsidR="001C6A90" w:rsidRPr="00947A46" w14:paraId="18EAF2FC" w14:textId="77777777" w:rsidTr="00886332">
        <w:tc>
          <w:tcPr>
            <w:tcW w:w="4405" w:type="dxa"/>
          </w:tcPr>
          <w:p w14:paraId="58BB36C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7.1.2 </w:t>
            </w:r>
            <w:r w:rsidRPr="008F5C15">
              <w:rPr>
                <w:rFonts w:ascii="Verdana" w:hAnsi="Verdana"/>
                <w:sz w:val="16"/>
                <w:szCs w:val="16"/>
                <w:lang w:val="es-MX"/>
              </w:rPr>
              <w:t>El personal que participa en cualquier aspecto de la fabricación con impacto en la calidad del producto debe contar con el perfil requerido y ser continuamente capacitado y calificado.</w:t>
            </w:r>
          </w:p>
        </w:tc>
        <w:tc>
          <w:tcPr>
            <w:tcW w:w="4427" w:type="dxa"/>
          </w:tcPr>
          <w:p w14:paraId="2132120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cs="Times New Roman"/>
                <w:b/>
                <w:sz w:val="16"/>
                <w:szCs w:val="16"/>
                <w:lang w:val="en-US"/>
              </w:rPr>
              <w:t>7.1.2</w:t>
            </w:r>
            <w:r w:rsidRPr="008F5C15">
              <w:rPr>
                <w:rFonts w:ascii="Verdana" w:hAnsi="Verdana" w:cs="Times New Roman"/>
                <w:sz w:val="16"/>
                <w:szCs w:val="16"/>
                <w:lang w:val="en-US"/>
              </w:rPr>
              <w:t xml:space="preserve"> The personnel which participate in any aspect of manufacturing with an impact on the quality of the product must have the required profile and be continually trained and qualified. </w:t>
            </w:r>
          </w:p>
        </w:tc>
      </w:tr>
      <w:tr w:rsidR="001C6A90" w:rsidRPr="00947A46" w14:paraId="27EA0EF0" w14:textId="77777777" w:rsidTr="00886332">
        <w:tc>
          <w:tcPr>
            <w:tcW w:w="4405" w:type="dxa"/>
          </w:tcPr>
          <w:p w14:paraId="08786FD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7.1.2.1</w:t>
            </w:r>
            <w:r w:rsidRPr="008F5C15">
              <w:rPr>
                <w:rFonts w:ascii="Verdana" w:hAnsi="Verdana"/>
                <w:sz w:val="16"/>
                <w:szCs w:val="16"/>
                <w:lang w:val="es-MX"/>
              </w:rPr>
              <w:t xml:space="preserve"> Además de la capacitación básica en la teoría y práctica en el Sistema de Gestión de Calidad y en las BPF, el personal de reciente contratación debe recibir una capacitación adecuada previa a la ejecución de las tareas que le sean asignadas.</w:t>
            </w:r>
          </w:p>
        </w:tc>
        <w:tc>
          <w:tcPr>
            <w:tcW w:w="4427" w:type="dxa"/>
          </w:tcPr>
          <w:p w14:paraId="0F681B4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7.1.3 </w:t>
            </w:r>
            <w:r w:rsidRPr="008F5C15">
              <w:rPr>
                <w:rFonts w:ascii="Verdana" w:hAnsi="Verdana"/>
                <w:sz w:val="16"/>
                <w:szCs w:val="16"/>
                <w:lang w:val="en-US"/>
              </w:rPr>
              <w:t xml:space="preserve">In addition to the basic qualification in theory and practice in the Quality Management System and in the GMP (Good Manufacturing Practices), the personnel recently contracted must receive adequate training prior to the execution of the tasks which are assigned to them. </w:t>
            </w:r>
          </w:p>
        </w:tc>
      </w:tr>
      <w:tr w:rsidR="001C6A90" w:rsidRPr="00947A46" w14:paraId="1339EF0A" w14:textId="77777777" w:rsidTr="00886332">
        <w:tc>
          <w:tcPr>
            <w:tcW w:w="4405" w:type="dxa"/>
          </w:tcPr>
          <w:p w14:paraId="594BD8D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7.1.2.2 </w:t>
            </w:r>
            <w:r w:rsidRPr="008F5C15">
              <w:rPr>
                <w:rFonts w:ascii="Verdana" w:hAnsi="Verdana"/>
                <w:sz w:val="16"/>
                <w:szCs w:val="16"/>
                <w:lang w:val="es-MX"/>
              </w:rPr>
              <w:t>El personal que trabaje en zonas con riesgo de contaminación, como las zonas limpias o zonas donde se manejen sustancias muy activas, tóxicas, infecciosas o sensibilizantes, debe recibir formación específica.</w:t>
            </w:r>
          </w:p>
        </w:tc>
        <w:tc>
          <w:tcPr>
            <w:tcW w:w="4427" w:type="dxa"/>
          </w:tcPr>
          <w:p w14:paraId="4DCB81A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7.1.2.2 </w:t>
            </w:r>
            <w:r w:rsidRPr="008F5C15">
              <w:rPr>
                <w:rFonts w:ascii="Verdana" w:hAnsi="Verdana"/>
                <w:sz w:val="16"/>
                <w:szCs w:val="16"/>
                <w:lang w:val="en-US"/>
              </w:rPr>
              <w:t xml:space="preserve">The personnel that work in zones with a risk of contamination, such as the clean zones or zones where very active, toxic, infectious or sensitizing substances are handled, must receive specific formation. </w:t>
            </w:r>
          </w:p>
        </w:tc>
      </w:tr>
      <w:tr w:rsidR="001C6A90" w:rsidRPr="00947A46" w14:paraId="208C952C" w14:textId="77777777" w:rsidTr="00886332">
        <w:tc>
          <w:tcPr>
            <w:tcW w:w="4405" w:type="dxa"/>
          </w:tcPr>
          <w:p w14:paraId="3094006A"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7.1.3 </w:t>
            </w:r>
            <w:r w:rsidRPr="008F5C15">
              <w:rPr>
                <w:rFonts w:ascii="Verdana" w:hAnsi="Verdana"/>
                <w:sz w:val="16"/>
                <w:szCs w:val="16"/>
                <w:lang w:val="es-MX"/>
              </w:rPr>
              <w:t xml:space="preserve">Debe existir un organigrama, autorizado y actualizado, en el que se establezcan claramente los niveles de autoridad y las interrelaciones de los diferentes departamentos o áreas. Las </w:t>
            </w:r>
            <w:r w:rsidRPr="008F5C15">
              <w:rPr>
                <w:rFonts w:ascii="Verdana" w:hAnsi="Verdana"/>
                <w:sz w:val="16"/>
                <w:szCs w:val="16"/>
                <w:lang w:val="es-MX"/>
              </w:rPr>
              <w:lastRenderedPageBreak/>
              <w:t>responsabilidades deberán estar claramente indicadas en la descripción del puesto.</w:t>
            </w:r>
          </w:p>
        </w:tc>
        <w:tc>
          <w:tcPr>
            <w:tcW w:w="4427" w:type="dxa"/>
          </w:tcPr>
          <w:p w14:paraId="38E0BBA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7.1.3 </w:t>
            </w:r>
            <w:r w:rsidRPr="008F5C15">
              <w:rPr>
                <w:rFonts w:ascii="Verdana" w:hAnsi="Verdana"/>
                <w:sz w:val="16"/>
                <w:szCs w:val="16"/>
                <w:lang w:val="en-US"/>
              </w:rPr>
              <w:t xml:space="preserve">There must be an authorized and updated organizational chart in which the levels of authority and interrelationships of the different departments or areas are clearly established. The responsibilities </w:t>
            </w:r>
            <w:r w:rsidRPr="008F5C15">
              <w:rPr>
                <w:rFonts w:ascii="Verdana" w:hAnsi="Verdana"/>
                <w:sz w:val="16"/>
                <w:szCs w:val="16"/>
                <w:lang w:val="en-US"/>
              </w:rPr>
              <w:lastRenderedPageBreak/>
              <w:t>must be clearly indicated in the description of the position.</w:t>
            </w:r>
          </w:p>
        </w:tc>
      </w:tr>
      <w:tr w:rsidR="001C6A90" w:rsidRPr="00947A46" w14:paraId="4F8E5009" w14:textId="77777777" w:rsidTr="00886332">
        <w:tc>
          <w:tcPr>
            <w:tcW w:w="4405" w:type="dxa"/>
          </w:tcPr>
          <w:p w14:paraId="4C436ABD"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 xml:space="preserve">7.1.4 </w:t>
            </w:r>
            <w:r w:rsidRPr="008F5C15">
              <w:rPr>
                <w:rFonts w:ascii="Verdana" w:hAnsi="Verdana"/>
                <w:sz w:val="16"/>
                <w:szCs w:val="16"/>
                <w:lang w:val="es-MX"/>
              </w:rPr>
              <w:t>Debe existir un responsable sanitario de conformidad con las disposiciones jurídicas aplicables, el cual debe ocupar el mayor nivel jerárquico de la Unidad de Calidad y reportar a la máxima autoridad de la organización.</w:t>
            </w:r>
          </w:p>
        </w:tc>
        <w:tc>
          <w:tcPr>
            <w:tcW w:w="4427" w:type="dxa"/>
          </w:tcPr>
          <w:p w14:paraId="51629F8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7.1.4 </w:t>
            </w:r>
            <w:r w:rsidRPr="008F5C15">
              <w:rPr>
                <w:rFonts w:ascii="Verdana" w:hAnsi="Verdana"/>
                <w:sz w:val="16"/>
                <w:szCs w:val="16"/>
                <w:lang w:val="en-US"/>
              </w:rPr>
              <w:t>There must be a Person responsible for sanitary compliance in accordance with the applicable legal provisions, which must be at the highest hierarchical level of the Quality Unit and report to the highest authority of the organization.</w:t>
            </w:r>
          </w:p>
        </w:tc>
      </w:tr>
      <w:tr w:rsidR="001C6A90" w:rsidRPr="00947A46" w14:paraId="28720367" w14:textId="77777777" w:rsidTr="00886332">
        <w:tc>
          <w:tcPr>
            <w:tcW w:w="4405" w:type="dxa"/>
          </w:tcPr>
          <w:p w14:paraId="21A1553E"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7.1.5 </w:t>
            </w:r>
            <w:r w:rsidRPr="008F5C15">
              <w:rPr>
                <w:rFonts w:ascii="Verdana" w:hAnsi="Verdana"/>
                <w:sz w:val="16"/>
                <w:szCs w:val="16"/>
                <w:lang w:val="es-MX"/>
              </w:rPr>
              <w:t>El Responsable Sanitario es responsable de la calidad del producto, de manera conjunta con la máxima autoridad de la organización tiene la responsabilidad de asegurar que se cuenta con un Sistema de Gestión de Calidad. El Responsable Sanitario debe tener la formación académica, conocimiento y experiencia suficiente para la toma de decisiones en aspectos de BPF.</w:t>
            </w:r>
          </w:p>
        </w:tc>
        <w:tc>
          <w:tcPr>
            <w:tcW w:w="4427" w:type="dxa"/>
          </w:tcPr>
          <w:p w14:paraId="454FFB8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7.1.5</w:t>
            </w:r>
            <w:r w:rsidRPr="008F5C15">
              <w:rPr>
                <w:rFonts w:ascii="Verdana" w:hAnsi="Verdana"/>
                <w:sz w:val="16"/>
                <w:szCs w:val="16"/>
                <w:lang w:val="en-US"/>
              </w:rPr>
              <w:t xml:space="preserve"> The Person responsible for sanitary compliance is responsible for the quality of the product jointly with the maximum authority of the organization has the responsibility to assure it has a Quality Management System. The Person responsible for sanitary compliance must have sufficient academic formation, knowledge and experience, knowledge and experience for decision making on GMP issues. </w:t>
            </w:r>
          </w:p>
        </w:tc>
      </w:tr>
      <w:tr w:rsidR="001C6A90" w:rsidRPr="00145FAC" w14:paraId="16A2E54A" w14:textId="77777777" w:rsidTr="00886332">
        <w:tc>
          <w:tcPr>
            <w:tcW w:w="4405" w:type="dxa"/>
          </w:tcPr>
          <w:p w14:paraId="38F93C38"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7.1.6 </w:t>
            </w:r>
            <w:r w:rsidRPr="008F5C15">
              <w:rPr>
                <w:rFonts w:ascii="Verdana" w:hAnsi="Verdana"/>
                <w:sz w:val="16"/>
                <w:szCs w:val="16"/>
                <w:lang w:val="es-MX"/>
              </w:rPr>
              <w:t>Delegación de funciones</w:t>
            </w:r>
            <w:r w:rsidRPr="008F5C15">
              <w:rPr>
                <w:rFonts w:ascii="Verdana" w:hAnsi="Verdana"/>
                <w:b/>
                <w:sz w:val="16"/>
                <w:szCs w:val="16"/>
                <w:lang w:val="es-MX"/>
              </w:rPr>
              <w:t>.</w:t>
            </w:r>
          </w:p>
        </w:tc>
        <w:tc>
          <w:tcPr>
            <w:tcW w:w="4427" w:type="dxa"/>
          </w:tcPr>
          <w:p w14:paraId="4C87F3D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7.1.6 </w:t>
            </w:r>
            <w:r w:rsidRPr="008F5C15">
              <w:rPr>
                <w:rFonts w:ascii="Verdana" w:hAnsi="Verdana"/>
                <w:sz w:val="16"/>
                <w:szCs w:val="16"/>
                <w:lang w:val="en-US"/>
              </w:rPr>
              <w:t>Delegation of functions.</w:t>
            </w:r>
          </w:p>
        </w:tc>
      </w:tr>
      <w:tr w:rsidR="001C6A90" w:rsidRPr="00947A46" w14:paraId="65A2D41C" w14:textId="77777777" w:rsidTr="00886332">
        <w:tc>
          <w:tcPr>
            <w:tcW w:w="4405" w:type="dxa"/>
          </w:tcPr>
          <w:p w14:paraId="0242FB5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El Responsable sanitario puede designar por escrito a la(s) persona(s) que atenderá(n) diversas tareas incluyendo la firma de documentos operativos, cuando éste se encuentre ausente o bajo circunstancias especiales que lo ameriten, por ejemplo, proyectos concurrentes, carga de trabajo.</w:t>
            </w:r>
          </w:p>
        </w:tc>
        <w:tc>
          <w:tcPr>
            <w:tcW w:w="4427" w:type="dxa"/>
          </w:tcPr>
          <w:p w14:paraId="5EB1CA1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 Person responsible for sanitary compliance can designate in writing the person(s) that will attend to various tasks including the signing of operative documents when the former is absent or under special circumstances that merit it, for example, concurrent projects, work load. </w:t>
            </w:r>
          </w:p>
        </w:tc>
      </w:tr>
      <w:tr w:rsidR="001C6A90" w:rsidRPr="00947A46" w14:paraId="18EF359D" w14:textId="77777777" w:rsidTr="00886332">
        <w:tc>
          <w:tcPr>
            <w:tcW w:w="4405" w:type="dxa"/>
          </w:tcPr>
          <w:p w14:paraId="32B01B6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La(s) personas designadas tendrán que cumplir con los requisitos establecidos en las disposiciones jurídicas aplicables para responsables sanitarios.</w:t>
            </w:r>
          </w:p>
        </w:tc>
        <w:tc>
          <w:tcPr>
            <w:tcW w:w="4427" w:type="dxa"/>
          </w:tcPr>
          <w:p w14:paraId="2918011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The designated persons will have to comply with the requirements established in the applicable legal provisions for the Persons responsible for sanitary compliance.</w:t>
            </w:r>
          </w:p>
        </w:tc>
      </w:tr>
      <w:tr w:rsidR="001C6A90" w:rsidRPr="00947A46" w14:paraId="37DEB590" w14:textId="77777777" w:rsidTr="00886332">
        <w:tc>
          <w:tcPr>
            <w:tcW w:w="4405" w:type="dxa"/>
          </w:tcPr>
          <w:p w14:paraId="2BE8827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El equivalente al Responsable Sanitario en plantas instaladas fuera del país es la Persona Autorizada, Director Técnico o Representante de la Unidad de Calidad.</w:t>
            </w:r>
          </w:p>
        </w:tc>
        <w:tc>
          <w:tcPr>
            <w:tcW w:w="4427" w:type="dxa"/>
          </w:tcPr>
          <w:p w14:paraId="11E2763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 equivalent to the Person responsible for sanitary compliance in plants installed outside of the country is the Authorize Person, Technical Director or Representative of the Quality Unit. </w:t>
            </w:r>
          </w:p>
        </w:tc>
      </w:tr>
      <w:tr w:rsidR="001C6A90" w:rsidRPr="00947A46" w14:paraId="417ACF95" w14:textId="77777777" w:rsidTr="00886332">
        <w:tc>
          <w:tcPr>
            <w:tcW w:w="4405" w:type="dxa"/>
          </w:tcPr>
          <w:p w14:paraId="75E8200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7.1.7 </w:t>
            </w:r>
            <w:r w:rsidRPr="008F5C15">
              <w:rPr>
                <w:rFonts w:ascii="Verdana" w:hAnsi="Verdana"/>
                <w:sz w:val="16"/>
                <w:szCs w:val="16"/>
                <w:lang w:val="es-MX"/>
              </w:rPr>
              <w:t>El Responsable Sanitario debe autorizar los documentos maestros que garanticen el cumplimiento de BPF y los documentos básicos del Sistema de Gestión de Calidad, los documentos generados a partir de éstos podrán ser firmados conforme a lo declarado en su sistema de documentación.</w:t>
            </w:r>
          </w:p>
        </w:tc>
        <w:tc>
          <w:tcPr>
            <w:tcW w:w="4427" w:type="dxa"/>
          </w:tcPr>
          <w:p w14:paraId="652116F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7.1.7 </w:t>
            </w:r>
            <w:r w:rsidRPr="008F5C15">
              <w:rPr>
                <w:rFonts w:ascii="Verdana" w:hAnsi="Verdana"/>
                <w:sz w:val="16"/>
                <w:szCs w:val="16"/>
                <w:lang w:val="en-US"/>
              </w:rPr>
              <w:t>The Person responsible for sanitary compliance must authorize the master documents that guarantee compliance with GMP and the basic documents of the Quality Management System, documents generated from these may be signed in accordance with that stated in their documentation system.</w:t>
            </w:r>
          </w:p>
        </w:tc>
      </w:tr>
      <w:tr w:rsidR="001C6A90" w:rsidRPr="00947A46" w14:paraId="5AC17502" w14:textId="77777777" w:rsidTr="00886332">
        <w:tc>
          <w:tcPr>
            <w:tcW w:w="4405" w:type="dxa"/>
          </w:tcPr>
          <w:p w14:paraId="1F7A566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7.1.8 </w:t>
            </w:r>
            <w:r w:rsidRPr="008F5C15">
              <w:rPr>
                <w:rFonts w:ascii="Verdana" w:hAnsi="Verdana"/>
                <w:sz w:val="16"/>
                <w:szCs w:val="16"/>
                <w:lang w:val="es-MX"/>
              </w:rPr>
              <w:t>Para las plantas establecidas en México, el propietario del establecimiento será responsable solidario con el Responsable Sanitario para el cumplimiento de esta Norma y las demás disposiciones jurídicas aplicables.</w:t>
            </w:r>
          </w:p>
        </w:tc>
        <w:tc>
          <w:tcPr>
            <w:tcW w:w="4427" w:type="dxa"/>
          </w:tcPr>
          <w:p w14:paraId="33518E0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7.1.8 </w:t>
            </w:r>
            <w:r w:rsidRPr="008F5C15">
              <w:rPr>
                <w:rFonts w:ascii="Verdana" w:hAnsi="Verdana"/>
                <w:sz w:val="16"/>
                <w:szCs w:val="16"/>
                <w:lang w:val="en-US"/>
              </w:rPr>
              <w:t xml:space="preserve">For the plants established in Mexico, the owner of the establishment will be jointly responsible with the Person responsible for sanitary compliance for the compliance to this Standard and the other applicable legal provisions. </w:t>
            </w:r>
          </w:p>
        </w:tc>
      </w:tr>
      <w:tr w:rsidR="001C6A90" w:rsidRPr="00947A46" w14:paraId="611B00CA" w14:textId="77777777" w:rsidTr="00886332">
        <w:tc>
          <w:tcPr>
            <w:tcW w:w="4405" w:type="dxa"/>
          </w:tcPr>
          <w:p w14:paraId="4AB2B3D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7.1.8.1 </w:t>
            </w:r>
            <w:r w:rsidRPr="008F5C15">
              <w:rPr>
                <w:rFonts w:ascii="Verdana" w:hAnsi="Verdana"/>
                <w:sz w:val="16"/>
                <w:szCs w:val="16"/>
                <w:lang w:val="es-MX"/>
              </w:rPr>
              <w:t>Los representantes legales de los titulares de registro sanitario en el extranjero deberán contar con un Responsable Sanitario en México.</w:t>
            </w:r>
          </w:p>
        </w:tc>
        <w:tc>
          <w:tcPr>
            <w:tcW w:w="4427" w:type="dxa"/>
          </w:tcPr>
          <w:p w14:paraId="44AAA22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7.1.8.1 </w:t>
            </w:r>
            <w:r w:rsidRPr="008F5C15">
              <w:rPr>
                <w:rFonts w:ascii="Verdana" w:hAnsi="Verdana"/>
                <w:sz w:val="16"/>
                <w:szCs w:val="16"/>
                <w:lang w:val="en-US"/>
              </w:rPr>
              <w:t xml:space="preserve">The legal representatives of the holders of the sanitary registration outside of Mexico must have a Person responsible for sanitary compliance in Mexico. </w:t>
            </w:r>
          </w:p>
        </w:tc>
      </w:tr>
      <w:tr w:rsidR="001C6A90" w:rsidRPr="00947A46" w14:paraId="4EE06EE6" w14:textId="77777777" w:rsidTr="00886332">
        <w:tc>
          <w:tcPr>
            <w:tcW w:w="4405" w:type="dxa"/>
          </w:tcPr>
          <w:p w14:paraId="63FA2AAF"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7.1.8.2 </w:t>
            </w:r>
            <w:r w:rsidRPr="008F5C15">
              <w:rPr>
                <w:rFonts w:ascii="Verdana" w:hAnsi="Verdana"/>
                <w:sz w:val="16"/>
                <w:szCs w:val="16"/>
                <w:lang w:val="es-MX"/>
              </w:rPr>
              <w:t>Para plantas de fabricación establecidas en el extranjero, el representante legal en México de manera conjunta con el Responsable Sanitario (responsable de la Unidad de Calidad) es responsable solidario del cumplimiento de esta Norma.</w:t>
            </w:r>
          </w:p>
        </w:tc>
        <w:tc>
          <w:tcPr>
            <w:tcW w:w="4427" w:type="dxa"/>
          </w:tcPr>
          <w:p w14:paraId="0F446B9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7.1.8.2 </w:t>
            </w:r>
            <w:r w:rsidRPr="008F5C15">
              <w:rPr>
                <w:rFonts w:ascii="Verdana" w:hAnsi="Verdana"/>
                <w:sz w:val="16"/>
                <w:szCs w:val="16"/>
                <w:lang w:val="en-US"/>
              </w:rPr>
              <w:t>For manufacturing plants established outside of Mexico, the legal representative in Mexico jointly with the Person responsible for sanitary compliance (Person responsible for the Quality Unit) is jointly responsible for the compliance to this Standard.</w:t>
            </w:r>
          </w:p>
        </w:tc>
      </w:tr>
      <w:tr w:rsidR="001C6A90" w:rsidRPr="00947A46" w14:paraId="11B4B576" w14:textId="77777777" w:rsidTr="00886332">
        <w:tc>
          <w:tcPr>
            <w:tcW w:w="4405" w:type="dxa"/>
          </w:tcPr>
          <w:p w14:paraId="130B4EB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7.1.9 </w:t>
            </w:r>
            <w:r w:rsidRPr="008F5C15">
              <w:rPr>
                <w:rFonts w:ascii="Verdana" w:hAnsi="Verdana"/>
                <w:sz w:val="16"/>
                <w:szCs w:val="16"/>
                <w:lang w:val="es-MX"/>
              </w:rPr>
              <w:t>La Unidad de Fabricación y la Unidad de Calidad deben ser completamente independientes dentro de la estructura organizacional, no dependiendo o reportando una a la otra.</w:t>
            </w:r>
          </w:p>
        </w:tc>
        <w:tc>
          <w:tcPr>
            <w:tcW w:w="4427" w:type="dxa"/>
          </w:tcPr>
          <w:p w14:paraId="33D872B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7.1.9 </w:t>
            </w:r>
            <w:r w:rsidRPr="008F5C15">
              <w:rPr>
                <w:rFonts w:ascii="Verdana" w:hAnsi="Verdana"/>
                <w:sz w:val="16"/>
                <w:szCs w:val="16"/>
                <w:lang w:val="en-US"/>
              </w:rPr>
              <w:t xml:space="preserve">The Manufacturing Unit and the Quality Unit must be completely independent within the organizational structure, not depending or reporting one to the other. </w:t>
            </w:r>
          </w:p>
        </w:tc>
      </w:tr>
      <w:tr w:rsidR="001C6A90" w:rsidRPr="006E3706" w14:paraId="2A06D657" w14:textId="77777777" w:rsidTr="00886332">
        <w:tc>
          <w:tcPr>
            <w:tcW w:w="4405" w:type="dxa"/>
          </w:tcPr>
          <w:p w14:paraId="5CA23C7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7.2 </w:t>
            </w:r>
            <w:r w:rsidRPr="008F5C15">
              <w:rPr>
                <w:rFonts w:ascii="Verdana" w:hAnsi="Verdana"/>
                <w:sz w:val="16"/>
                <w:szCs w:val="16"/>
                <w:lang w:val="es-MX"/>
              </w:rPr>
              <w:t>Gestión de Recursos</w:t>
            </w:r>
          </w:p>
        </w:tc>
        <w:tc>
          <w:tcPr>
            <w:tcW w:w="4427" w:type="dxa"/>
          </w:tcPr>
          <w:p w14:paraId="56F5AD5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7.2 </w:t>
            </w:r>
            <w:r w:rsidRPr="008F5C15">
              <w:rPr>
                <w:rFonts w:ascii="Verdana" w:hAnsi="Verdana"/>
                <w:sz w:val="16"/>
                <w:szCs w:val="16"/>
                <w:lang w:val="en-US"/>
              </w:rPr>
              <w:t>Management of Resources</w:t>
            </w:r>
          </w:p>
        </w:tc>
      </w:tr>
      <w:tr w:rsidR="001C6A90" w:rsidRPr="006E3706" w14:paraId="4D0CDB21" w14:textId="77777777" w:rsidTr="00886332">
        <w:tc>
          <w:tcPr>
            <w:tcW w:w="4405" w:type="dxa"/>
          </w:tcPr>
          <w:p w14:paraId="6359A03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7.2.1 </w:t>
            </w:r>
            <w:r w:rsidRPr="008F5C15">
              <w:rPr>
                <w:rFonts w:ascii="Verdana" w:hAnsi="Verdana"/>
                <w:sz w:val="16"/>
                <w:szCs w:val="16"/>
                <w:lang w:val="es-MX"/>
              </w:rPr>
              <w:t>Generalidades</w:t>
            </w:r>
          </w:p>
        </w:tc>
        <w:tc>
          <w:tcPr>
            <w:tcW w:w="4427" w:type="dxa"/>
          </w:tcPr>
          <w:p w14:paraId="0065662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7.2.1 </w:t>
            </w:r>
            <w:r w:rsidRPr="008F5C15">
              <w:rPr>
                <w:rFonts w:ascii="Verdana" w:hAnsi="Verdana"/>
                <w:sz w:val="16"/>
                <w:szCs w:val="16"/>
                <w:lang w:val="en-US"/>
              </w:rPr>
              <w:t>General provisions</w:t>
            </w:r>
          </w:p>
        </w:tc>
      </w:tr>
      <w:tr w:rsidR="001C6A90" w:rsidRPr="00947A46" w14:paraId="5325DC36" w14:textId="77777777" w:rsidTr="00886332">
        <w:tc>
          <w:tcPr>
            <w:tcW w:w="4405" w:type="dxa"/>
          </w:tcPr>
          <w:p w14:paraId="013F6F97"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sz w:val="16"/>
                <w:szCs w:val="16"/>
                <w:lang w:val="es-MX"/>
              </w:rPr>
              <w:t>El personal debe conocer y comprender claramente sus responsabilidades y funciones, así como los principios de las BPF vigentes que le apliquen.</w:t>
            </w:r>
          </w:p>
        </w:tc>
        <w:tc>
          <w:tcPr>
            <w:tcW w:w="4427" w:type="dxa"/>
          </w:tcPr>
          <w:p w14:paraId="79A8933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 personnel must know and understand clearly their responsibilities and functions, as well as the principles of the current GMP (Good Manufacturing Practices) that apply to them. </w:t>
            </w:r>
          </w:p>
        </w:tc>
      </w:tr>
      <w:tr w:rsidR="001C6A90" w:rsidRPr="00947A46" w14:paraId="41725A84" w14:textId="77777777" w:rsidTr="00886332">
        <w:tc>
          <w:tcPr>
            <w:tcW w:w="4405" w:type="dxa"/>
          </w:tcPr>
          <w:p w14:paraId="6E7DE07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7.2.2 </w:t>
            </w:r>
            <w:r w:rsidRPr="008F5C15">
              <w:rPr>
                <w:rFonts w:ascii="Verdana" w:hAnsi="Verdana"/>
                <w:sz w:val="16"/>
                <w:szCs w:val="16"/>
                <w:lang w:val="es-MX"/>
              </w:rPr>
              <w:t>Deben establecerse por escrito el perfil, descripción y responsabilidades de cada puesto y ser congruentes a las operaciones y a la aplicación de las BPF.</w:t>
            </w:r>
          </w:p>
        </w:tc>
        <w:tc>
          <w:tcPr>
            <w:tcW w:w="4427" w:type="dxa"/>
          </w:tcPr>
          <w:p w14:paraId="6E189E0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7.2.2 </w:t>
            </w:r>
            <w:r w:rsidRPr="008F5C15">
              <w:rPr>
                <w:rFonts w:ascii="Verdana" w:hAnsi="Verdana"/>
                <w:sz w:val="16"/>
                <w:szCs w:val="16"/>
                <w:lang w:val="en-US"/>
              </w:rPr>
              <w:t xml:space="preserve">The profile, description, and responsibilities of each job position must be established and be congruent to the operations and the application of the GMP (Good Manufacturing Practices). </w:t>
            </w:r>
          </w:p>
        </w:tc>
      </w:tr>
      <w:tr w:rsidR="001C6A90" w:rsidRPr="00947A46" w14:paraId="15E364E1" w14:textId="77777777" w:rsidTr="00886332">
        <w:tc>
          <w:tcPr>
            <w:tcW w:w="4405" w:type="dxa"/>
          </w:tcPr>
          <w:p w14:paraId="5B073ED0"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7.2.3 </w:t>
            </w:r>
            <w:r w:rsidRPr="008F5C15">
              <w:rPr>
                <w:rFonts w:ascii="Verdana" w:hAnsi="Verdana"/>
                <w:sz w:val="16"/>
                <w:szCs w:val="16"/>
                <w:lang w:val="es-MX"/>
              </w:rPr>
              <w:t>Debe existir un sistema de selección, capacitación, evaluación y calificación, que garantice que el personal cuenta con la formación académica, conocimientos y experiencia necesarios para que desempeñen sus funciones y responsabilidades de acuerdo a lo previsto en el perfil.</w:t>
            </w:r>
          </w:p>
        </w:tc>
        <w:tc>
          <w:tcPr>
            <w:tcW w:w="4427" w:type="dxa"/>
          </w:tcPr>
          <w:p w14:paraId="400188A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7.2.3 </w:t>
            </w:r>
            <w:r w:rsidRPr="008F5C15">
              <w:rPr>
                <w:rFonts w:ascii="Verdana" w:hAnsi="Verdana"/>
                <w:sz w:val="16"/>
                <w:szCs w:val="16"/>
                <w:lang w:val="en-US"/>
              </w:rPr>
              <w:t xml:space="preserve">A system of selection, training, evaluation and qualification must exist that guarantees that the personnel have the academic formation, knowledge and experience necessary to perform their functions and responsibilities according to that detailed in the profile. </w:t>
            </w:r>
          </w:p>
        </w:tc>
      </w:tr>
      <w:tr w:rsidR="001C6A90" w:rsidRPr="00947A46" w14:paraId="53CE6E22" w14:textId="77777777" w:rsidTr="00886332">
        <w:tc>
          <w:tcPr>
            <w:tcW w:w="4405" w:type="dxa"/>
          </w:tcPr>
          <w:p w14:paraId="4FA1BDCA"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7.2.4 </w:t>
            </w:r>
            <w:r w:rsidRPr="008F5C15">
              <w:rPr>
                <w:rFonts w:ascii="Verdana" w:hAnsi="Verdana"/>
                <w:sz w:val="16"/>
                <w:szCs w:val="16"/>
                <w:lang w:val="es-MX"/>
              </w:rPr>
              <w:t>Debe existir un programa anual de capacitación que incluya temas de BPF, operaciones específicas al puesto, higiene y seguridad, se debe conservar evidencia de su aplicación. La capacitación debe incluir temas específicos para el personal que trabaja en áreas donde existen riesgos de contaminación o manipulación de materiales o productos altamente activos, tóxicos o sensibles.</w:t>
            </w:r>
          </w:p>
        </w:tc>
        <w:tc>
          <w:tcPr>
            <w:tcW w:w="4427" w:type="dxa"/>
          </w:tcPr>
          <w:p w14:paraId="0AFAD51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7.2.4 </w:t>
            </w:r>
            <w:r w:rsidRPr="008F5C15">
              <w:rPr>
                <w:rFonts w:ascii="Verdana" w:hAnsi="Verdana"/>
                <w:sz w:val="16"/>
                <w:szCs w:val="16"/>
                <w:lang w:val="en-US"/>
              </w:rPr>
              <w:t xml:space="preserve">There must exist an annual training program that includes GMP (Good Manufacturing Practices) themes, operations specific to the position, health and safety; evidence of their application must be conserved. The training must include specific themes for the personnel that work in areas where risks of contamination or handling of materials or highly active, toxic, or sensitive products exist.  </w:t>
            </w:r>
          </w:p>
        </w:tc>
      </w:tr>
      <w:tr w:rsidR="001C6A90" w:rsidRPr="00947A46" w14:paraId="6D5167B3" w14:textId="77777777" w:rsidTr="00886332">
        <w:tc>
          <w:tcPr>
            <w:tcW w:w="4405" w:type="dxa"/>
          </w:tcPr>
          <w:p w14:paraId="3163FBD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7.2.5. </w:t>
            </w:r>
            <w:r w:rsidRPr="008F5C15">
              <w:rPr>
                <w:rFonts w:ascii="Verdana" w:hAnsi="Verdana"/>
                <w:sz w:val="16"/>
                <w:szCs w:val="16"/>
                <w:lang w:val="es-MX"/>
              </w:rPr>
              <w:t>La efectividad de la capacitación debe evaluarse periódicamente, a través de pruebas de competencia que demuestren la habilidad o pericia del personal en las tareas asignadas.</w:t>
            </w:r>
          </w:p>
        </w:tc>
        <w:tc>
          <w:tcPr>
            <w:tcW w:w="4427" w:type="dxa"/>
          </w:tcPr>
          <w:p w14:paraId="63C08F9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7.2.5. </w:t>
            </w:r>
            <w:r w:rsidRPr="008F5C15">
              <w:rPr>
                <w:rFonts w:ascii="Verdana" w:hAnsi="Verdana"/>
                <w:sz w:val="16"/>
                <w:szCs w:val="16"/>
                <w:lang w:val="en-US"/>
              </w:rPr>
              <w:t xml:space="preserve">The effectiveness of the training must be evaluated periodically through competency tests that demonstrate the ability or expertise of the personnel in the assigned tasks. </w:t>
            </w:r>
          </w:p>
        </w:tc>
      </w:tr>
      <w:tr w:rsidR="001C6A90" w:rsidRPr="00947A46" w14:paraId="505A1F99" w14:textId="77777777" w:rsidTr="00886332">
        <w:tc>
          <w:tcPr>
            <w:tcW w:w="4405" w:type="dxa"/>
          </w:tcPr>
          <w:p w14:paraId="670421AE"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7.2.6 </w:t>
            </w:r>
            <w:r w:rsidRPr="008F5C15">
              <w:rPr>
                <w:rFonts w:ascii="Verdana" w:hAnsi="Verdana"/>
                <w:sz w:val="16"/>
                <w:szCs w:val="16"/>
                <w:lang w:val="es-MX"/>
              </w:rPr>
              <w:t>El personal que ejerza cargos de responsabilidad debe tener la autoridad suficiente para cumplir con sus responsabilidades, para ello debe poseer la formación y conocimiento técnico-científico y la experiencia práctica en la fabricación, control y aseguramiento de la calidad de los medicamentos, que le permita tener un criterio profesional independiente, basado en la aplicación de principios científicos en la solución de problemas prácticos que pudieran presentarse en la fabricación y control de los medicamentos.</w:t>
            </w:r>
          </w:p>
        </w:tc>
        <w:tc>
          <w:tcPr>
            <w:tcW w:w="4427" w:type="dxa"/>
          </w:tcPr>
          <w:p w14:paraId="248D008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7.2.6 </w:t>
            </w:r>
            <w:r w:rsidRPr="008F5C15">
              <w:rPr>
                <w:rFonts w:ascii="Verdana" w:hAnsi="Verdana"/>
                <w:sz w:val="16"/>
                <w:szCs w:val="16"/>
                <w:lang w:val="en-US"/>
              </w:rPr>
              <w:t xml:space="preserve">The personnel that exercise positions of responsibility must have sufficient authority to comply with their responsibilities, for that they should possess the formation and technical -scientific knowledge and the practical experience in the manufacturing, control and quality assurance of the drug products, that permits having an independent professional criteria, based on the application of scientific principles in the solution of practical problems that could present themselves in the manufacturing and control of drug products. </w:t>
            </w:r>
          </w:p>
        </w:tc>
      </w:tr>
      <w:tr w:rsidR="001C6A90" w:rsidRPr="00947A46" w14:paraId="6E270102" w14:textId="77777777" w:rsidTr="00886332">
        <w:tc>
          <w:tcPr>
            <w:tcW w:w="4405" w:type="dxa"/>
          </w:tcPr>
          <w:p w14:paraId="2C7B014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7.2.7 </w:t>
            </w:r>
            <w:r w:rsidRPr="008F5C15">
              <w:rPr>
                <w:rFonts w:ascii="Verdana" w:hAnsi="Verdana"/>
                <w:sz w:val="16"/>
                <w:szCs w:val="16"/>
                <w:lang w:val="es-MX"/>
              </w:rPr>
              <w:t>Los responsables de las unidades de producción y calidad deben ser profesionales en el área farmacéutica, química y/o biológica, autorizados para ejercer en términos de las disposiciones jurídicas aplicables. El responsable de la unidad de calidad debe cumplir las disposiciones aplicables a los responsables sanitarios.</w:t>
            </w:r>
          </w:p>
        </w:tc>
        <w:tc>
          <w:tcPr>
            <w:tcW w:w="4427" w:type="dxa"/>
          </w:tcPr>
          <w:p w14:paraId="05ECF2B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7.2.7 </w:t>
            </w:r>
            <w:r w:rsidRPr="008F5C15">
              <w:rPr>
                <w:rFonts w:ascii="Verdana" w:hAnsi="Verdana"/>
                <w:sz w:val="16"/>
                <w:szCs w:val="16"/>
                <w:lang w:val="en-US"/>
              </w:rPr>
              <w:t>Those responsible for the production and quality units must be professionals in the pharmaceutical, chemical and/or biological area, authorized for exercising under the terms of the applicable legal provisions. The Person responsible for the Quality Unit must comply with the provisions applicable to the Persons responsible for sanitary compliance.</w:t>
            </w:r>
          </w:p>
        </w:tc>
      </w:tr>
      <w:tr w:rsidR="001C6A90" w:rsidRPr="00947A46" w14:paraId="679DC824" w14:textId="77777777" w:rsidTr="00886332">
        <w:tc>
          <w:tcPr>
            <w:tcW w:w="4405" w:type="dxa"/>
          </w:tcPr>
          <w:p w14:paraId="695E96F8"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7.3 </w:t>
            </w:r>
            <w:r w:rsidRPr="008F5C15">
              <w:rPr>
                <w:rFonts w:ascii="Verdana" w:hAnsi="Verdana"/>
                <w:sz w:val="16"/>
                <w:szCs w:val="16"/>
                <w:lang w:val="es-MX"/>
              </w:rPr>
              <w:t>El responsable de la Unidad de Fabricación debe:</w:t>
            </w:r>
          </w:p>
        </w:tc>
        <w:tc>
          <w:tcPr>
            <w:tcW w:w="4427" w:type="dxa"/>
          </w:tcPr>
          <w:p w14:paraId="6CD2A20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7.3 </w:t>
            </w:r>
            <w:r w:rsidRPr="008F5C15">
              <w:rPr>
                <w:rFonts w:ascii="Verdana" w:hAnsi="Verdana"/>
                <w:sz w:val="16"/>
                <w:szCs w:val="16"/>
                <w:lang w:val="en-US"/>
              </w:rPr>
              <w:t>The person responsible for the Manufacturing Unit must:</w:t>
            </w:r>
          </w:p>
        </w:tc>
      </w:tr>
      <w:tr w:rsidR="001C6A90" w:rsidRPr="00947A46" w14:paraId="394C7188" w14:textId="77777777" w:rsidTr="00886332">
        <w:tc>
          <w:tcPr>
            <w:tcW w:w="4405" w:type="dxa"/>
          </w:tcPr>
          <w:p w14:paraId="2B140DE2"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 xml:space="preserve">7.3.1 </w:t>
            </w:r>
            <w:r w:rsidRPr="008F5C15">
              <w:rPr>
                <w:rFonts w:ascii="Verdana" w:hAnsi="Verdana"/>
                <w:sz w:val="16"/>
                <w:szCs w:val="16"/>
                <w:lang w:val="es-MX"/>
              </w:rPr>
              <w:t>Asegurar que los productos se fabriquen de acuerdo a las instrucciones escritas con la finalidad de obtener la calidad preestablecida.</w:t>
            </w:r>
          </w:p>
        </w:tc>
        <w:tc>
          <w:tcPr>
            <w:tcW w:w="4427" w:type="dxa"/>
          </w:tcPr>
          <w:p w14:paraId="3B6553C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7.3.1 </w:t>
            </w:r>
            <w:r w:rsidRPr="008F5C15">
              <w:rPr>
                <w:rFonts w:ascii="Verdana" w:hAnsi="Verdana"/>
                <w:sz w:val="16"/>
                <w:szCs w:val="16"/>
                <w:lang w:val="en-US"/>
              </w:rPr>
              <w:t>Assure that the products are manufactured in accordance with the written instructions in order to obtain the pre-established quality.</w:t>
            </w:r>
          </w:p>
        </w:tc>
      </w:tr>
      <w:tr w:rsidR="001C6A90" w:rsidRPr="00947A46" w14:paraId="0ACF37EA" w14:textId="77777777" w:rsidTr="00886332">
        <w:tc>
          <w:tcPr>
            <w:tcW w:w="4405" w:type="dxa"/>
          </w:tcPr>
          <w:p w14:paraId="44AC3FA1"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7.3.2</w:t>
            </w:r>
            <w:r w:rsidRPr="008F5C15">
              <w:rPr>
                <w:rFonts w:ascii="Verdana" w:hAnsi="Verdana"/>
                <w:sz w:val="16"/>
                <w:szCs w:val="16"/>
                <w:lang w:val="es-MX"/>
              </w:rPr>
              <w:t xml:space="preserve"> Aprobar las instrucciones relacionadas a las operaciones de fabricación y asegurar su cumplimiento.</w:t>
            </w:r>
          </w:p>
        </w:tc>
        <w:tc>
          <w:tcPr>
            <w:tcW w:w="4427" w:type="dxa"/>
          </w:tcPr>
          <w:p w14:paraId="1F11D96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7.3.2 </w:t>
            </w:r>
            <w:r w:rsidRPr="008F5C15">
              <w:rPr>
                <w:rFonts w:ascii="Verdana" w:hAnsi="Verdana"/>
                <w:sz w:val="16"/>
                <w:szCs w:val="16"/>
                <w:lang w:val="en-US"/>
              </w:rPr>
              <w:t>Approve the instructions related to the manufacture operations and assure their compliance.</w:t>
            </w:r>
          </w:p>
        </w:tc>
      </w:tr>
      <w:tr w:rsidR="001C6A90" w:rsidRPr="00947A46" w14:paraId="09CB0D18" w14:textId="77777777" w:rsidTr="00886332">
        <w:tc>
          <w:tcPr>
            <w:tcW w:w="4405" w:type="dxa"/>
          </w:tcPr>
          <w:p w14:paraId="4AA0D58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7.3.3 </w:t>
            </w:r>
            <w:r w:rsidRPr="008F5C15">
              <w:rPr>
                <w:rFonts w:ascii="Verdana" w:hAnsi="Verdana"/>
                <w:sz w:val="16"/>
                <w:szCs w:val="16"/>
                <w:lang w:val="es-MX"/>
              </w:rPr>
              <w:t>Asegurar que el expediente de fabricación de cada lote de producto incluya todos los registros relacionados a la fabricación y control del producto.</w:t>
            </w:r>
          </w:p>
        </w:tc>
        <w:tc>
          <w:tcPr>
            <w:tcW w:w="4427" w:type="dxa"/>
          </w:tcPr>
          <w:p w14:paraId="172BE3B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7.3.3</w:t>
            </w:r>
            <w:r w:rsidRPr="008F5C15">
              <w:rPr>
                <w:rFonts w:ascii="Verdana" w:hAnsi="Verdana"/>
                <w:sz w:val="16"/>
                <w:szCs w:val="16"/>
                <w:lang w:val="en-US"/>
              </w:rPr>
              <w:t xml:space="preserve"> Assure that the lot production file of each product includes all the records related to the manufacture and control of the product.</w:t>
            </w:r>
          </w:p>
        </w:tc>
      </w:tr>
      <w:tr w:rsidR="001C6A90" w:rsidRPr="00947A46" w14:paraId="4885214B" w14:textId="77777777" w:rsidTr="00886332">
        <w:tc>
          <w:tcPr>
            <w:tcW w:w="4405" w:type="dxa"/>
          </w:tcPr>
          <w:p w14:paraId="4DC1F4A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7.3.4 </w:t>
            </w:r>
            <w:r w:rsidRPr="008F5C15">
              <w:rPr>
                <w:rFonts w:ascii="Verdana" w:hAnsi="Verdana"/>
                <w:sz w:val="16"/>
                <w:szCs w:val="16"/>
                <w:lang w:val="es-MX"/>
              </w:rPr>
              <w:t>Comprobar que ha sido efectuado el mantenimiento de áreas, equipos y servicios relacionados a la fabricación incluyendo la calibración de instrumentos.</w:t>
            </w:r>
          </w:p>
        </w:tc>
        <w:tc>
          <w:tcPr>
            <w:tcW w:w="4427" w:type="dxa"/>
          </w:tcPr>
          <w:p w14:paraId="24D2DD6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7.3.4</w:t>
            </w:r>
            <w:r w:rsidRPr="008F5C15">
              <w:rPr>
                <w:rFonts w:ascii="Verdana" w:hAnsi="Verdana"/>
                <w:sz w:val="16"/>
                <w:szCs w:val="16"/>
                <w:lang w:val="en-US"/>
              </w:rPr>
              <w:t xml:space="preserve"> Verify that the maintenance of areas, equipment and services related to manufacture, including calibration instruments has been performed.</w:t>
            </w:r>
          </w:p>
        </w:tc>
      </w:tr>
      <w:tr w:rsidR="001C6A90" w:rsidRPr="00947A46" w14:paraId="0F7FB9F9" w14:textId="77777777" w:rsidTr="00886332">
        <w:tc>
          <w:tcPr>
            <w:tcW w:w="4405" w:type="dxa"/>
          </w:tcPr>
          <w:p w14:paraId="365B28C4"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7.3.5 </w:t>
            </w:r>
            <w:r w:rsidRPr="008F5C15">
              <w:rPr>
                <w:rFonts w:ascii="Verdana" w:hAnsi="Verdana"/>
                <w:sz w:val="16"/>
                <w:szCs w:val="16"/>
                <w:lang w:val="es-MX"/>
              </w:rPr>
              <w:t>Asegurar que se realizan las calificaciones y validaciones programadas a los sistemas, procesos, equipos y servicios.</w:t>
            </w:r>
          </w:p>
        </w:tc>
        <w:tc>
          <w:tcPr>
            <w:tcW w:w="4427" w:type="dxa"/>
            <w:shd w:val="clear" w:color="auto" w:fill="auto"/>
          </w:tcPr>
          <w:p w14:paraId="6237BDF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7.3.5</w:t>
            </w:r>
            <w:r w:rsidRPr="008F5C15">
              <w:rPr>
                <w:rFonts w:ascii="Verdana" w:hAnsi="Verdana"/>
                <w:sz w:val="16"/>
                <w:szCs w:val="16"/>
                <w:lang w:val="en-US"/>
              </w:rPr>
              <w:t xml:space="preserve"> Assure that the qualifications and validations programed for systems, processes, equipment and services are being performed.</w:t>
            </w:r>
          </w:p>
        </w:tc>
      </w:tr>
      <w:tr w:rsidR="001C6A90" w:rsidRPr="00947A46" w14:paraId="5DA1D78C" w14:textId="77777777" w:rsidTr="00886332">
        <w:tc>
          <w:tcPr>
            <w:tcW w:w="4405" w:type="dxa"/>
          </w:tcPr>
          <w:p w14:paraId="320E47FF"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7.3.6 </w:t>
            </w:r>
            <w:r w:rsidRPr="008F5C15">
              <w:rPr>
                <w:rFonts w:ascii="Verdana" w:hAnsi="Verdana"/>
                <w:sz w:val="16"/>
                <w:szCs w:val="16"/>
                <w:lang w:val="es-MX"/>
              </w:rPr>
              <w:t>Asegurar que el personal ha recibido la capacitación de inducción y la capacitación periódica necesaria para la ejecución de sus funciones.</w:t>
            </w:r>
          </w:p>
        </w:tc>
        <w:tc>
          <w:tcPr>
            <w:tcW w:w="4427" w:type="dxa"/>
            <w:shd w:val="clear" w:color="auto" w:fill="auto"/>
          </w:tcPr>
          <w:p w14:paraId="68ECC08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7.3.6</w:t>
            </w:r>
            <w:r w:rsidRPr="008F5C15">
              <w:rPr>
                <w:rFonts w:ascii="Verdana" w:hAnsi="Verdana"/>
                <w:sz w:val="16"/>
                <w:szCs w:val="16"/>
                <w:lang w:val="en-US"/>
              </w:rPr>
              <w:t xml:space="preserve"> Assure that personnel have received the entry training and periodic training necessary for the execution of their functions.</w:t>
            </w:r>
          </w:p>
        </w:tc>
      </w:tr>
      <w:tr w:rsidR="001C6A90" w:rsidRPr="00947A46" w14:paraId="6012B676" w14:textId="77777777" w:rsidTr="00886332">
        <w:tc>
          <w:tcPr>
            <w:tcW w:w="4405" w:type="dxa"/>
          </w:tcPr>
          <w:p w14:paraId="24D70907"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7.4 </w:t>
            </w:r>
            <w:r w:rsidRPr="008F5C15">
              <w:rPr>
                <w:rFonts w:ascii="Verdana" w:hAnsi="Verdana"/>
                <w:sz w:val="16"/>
                <w:szCs w:val="16"/>
                <w:lang w:val="es-MX"/>
              </w:rPr>
              <w:t>El responsable de la Unidad de Calidad debe:</w:t>
            </w:r>
          </w:p>
        </w:tc>
        <w:tc>
          <w:tcPr>
            <w:tcW w:w="4427" w:type="dxa"/>
            <w:shd w:val="clear" w:color="auto" w:fill="auto"/>
          </w:tcPr>
          <w:p w14:paraId="68820BF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7.4. </w:t>
            </w:r>
            <w:r w:rsidRPr="008F5C15">
              <w:rPr>
                <w:rFonts w:ascii="Verdana" w:hAnsi="Verdana"/>
                <w:sz w:val="16"/>
                <w:szCs w:val="16"/>
                <w:lang w:val="en-US"/>
              </w:rPr>
              <w:t xml:space="preserve">The person responsible for the Quality Unit must: </w:t>
            </w:r>
          </w:p>
        </w:tc>
      </w:tr>
      <w:tr w:rsidR="001C6A90" w:rsidRPr="00947A46" w14:paraId="460DA819" w14:textId="77777777" w:rsidTr="00886332">
        <w:tc>
          <w:tcPr>
            <w:tcW w:w="4405" w:type="dxa"/>
          </w:tcPr>
          <w:p w14:paraId="48EEA6A2"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7.4.1 </w:t>
            </w:r>
            <w:r w:rsidRPr="008F5C15">
              <w:rPr>
                <w:rFonts w:ascii="Verdana" w:hAnsi="Verdana"/>
                <w:sz w:val="16"/>
                <w:szCs w:val="16"/>
                <w:lang w:val="es-MX"/>
              </w:rPr>
              <w:t>Aprobar o rechazar los insumos, productos intermedios, productos a granel y productos terminados.</w:t>
            </w:r>
          </w:p>
        </w:tc>
        <w:tc>
          <w:tcPr>
            <w:tcW w:w="4427" w:type="dxa"/>
            <w:shd w:val="clear" w:color="auto" w:fill="auto"/>
          </w:tcPr>
          <w:p w14:paraId="067B5F8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7.4.1 </w:t>
            </w:r>
            <w:r w:rsidRPr="008F5C15">
              <w:rPr>
                <w:rFonts w:ascii="Verdana" w:hAnsi="Verdana"/>
                <w:sz w:val="16"/>
                <w:szCs w:val="16"/>
                <w:lang w:val="en-US"/>
              </w:rPr>
              <w:t>Approve or reject materials, intermediate products, bulk products and finished products.</w:t>
            </w:r>
          </w:p>
        </w:tc>
      </w:tr>
      <w:tr w:rsidR="001C6A90" w:rsidRPr="00947A46" w14:paraId="2058F3AB" w14:textId="77777777" w:rsidTr="00886332">
        <w:tc>
          <w:tcPr>
            <w:tcW w:w="4405" w:type="dxa"/>
          </w:tcPr>
          <w:p w14:paraId="14F694EF"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7.4.2 </w:t>
            </w:r>
            <w:r w:rsidRPr="008F5C15">
              <w:rPr>
                <w:rFonts w:ascii="Verdana" w:hAnsi="Verdana"/>
                <w:sz w:val="16"/>
                <w:szCs w:val="16"/>
                <w:lang w:val="es-MX"/>
              </w:rPr>
              <w:t>Asegurar que se lleven a cabo todas las determinaciones y pruebas establecidas.</w:t>
            </w:r>
          </w:p>
        </w:tc>
        <w:tc>
          <w:tcPr>
            <w:tcW w:w="4427" w:type="dxa"/>
            <w:shd w:val="clear" w:color="auto" w:fill="auto"/>
          </w:tcPr>
          <w:p w14:paraId="52BC641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7.4.2</w:t>
            </w:r>
            <w:r w:rsidRPr="008F5C15">
              <w:rPr>
                <w:rFonts w:ascii="Verdana" w:hAnsi="Verdana"/>
                <w:sz w:val="16"/>
                <w:szCs w:val="16"/>
                <w:lang w:val="en-US"/>
              </w:rPr>
              <w:t xml:space="preserve"> Assure that all the established determinations and tests are carried out.</w:t>
            </w:r>
          </w:p>
        </w:tc>
      </w:tr>
      <w:tr w:rsidR="001C6A90" w:rsidRPr="00947A46" w14:paraId="705A6E75" w14:textId="77777777" w:rsidTr="00886332">
        <w:tc>
          <w:tcPr>
            <w:tcW w:w="4405" w:type="dxa"/>
          </w:tcPr>
          <w:p w14:paraId="0F889FC5"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7.4.3 </w:t>
            </w:r>
            <w:r w:rsidRPr="008F5C15">
              <w:rPr>
                <w:rFonts w:ascii="Verdana" w:hAnsi="Verdana"/>
                <w:sz w:val="16"/>
                <w:szCs w:val="16"/>
                <w:lang w:val="es-MX"/>
              </w:rPr>
              <w:t>Asegurar la evaluación de los expedientes de fabricación de cada lote de producto antes de su liberación.</w:t>
            </w:r>
          </w:p>
        </w:tc>
        <w:tc>
          <w:tcPr>
            <w:tcW w:w="4427" w:type="dxa"/>
            <w:shd w:val="clear" w:color="auto" w:fill="auto"/>
          </w:tcPr>
          <w:p w14:paraId="0766085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7.4.3. </w:t>
            </w:r>
            <w:r w:rsidRPr="008F5C15">
              <w:rPr>
                <w:rFonts w:ascii="Verdana" w:hAnsi="Verdana"/>
                <w:sz w:val="16"/>
                <w:szCs w:val="16"/>
                <w:lang w:val="en-US"/>
              </w:rPr>
              <w:t>Assure the evaluation of the production files of each lot of product before their release.</w:t>
            </w:r>
          </w:p>
        </w:tc>
      </w:tr>
      <w:tr w:rsidR="001C6A90" w:rsidRPr="00947A46" w14:paraId="00EC5912" w14:textId="77777777" w:rsidTr="00886332">
        <w:tc>
          <w:tcPr>
            <w:tcW w:w="4405" w:type="dxa"/>
          </w:tcPr>
          <w:p w14:paraId="584C6694"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7.4.4 </w:t>
            </w:r>
            <w:r w:rsidRPr="008F5C15">
              <w:rPr>
                <w:rFonts w:ascii="Verdana" w:hAnsi="Verdana"/>
                <w:sz w:val="16"/>
                <w:szCs w:val="16"/>
                <w:lang w:val="es-MX"/>
              </w:rPr>
              <w:t>Aprobar las especificaciones, las instrucciones de muestreo, los métodos de pruebas y determinaciones analíticas.</w:t>
            </w:r>
          </w:p>
        </w:tc>
        <w:tc>
          <w:tcPr>
            <w:tcW w:w="4427" w:type="dxa"/>
            <w:shd w:val="clear" w:color="auto" w:fill="auto"/>
          </w:tcPr>
          <w:p w14:paraId="0608212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7.4.4 </w:t>
            </w:r>
            <w:r w:rsidRPr="008F5C15">
              <w:rPr>
                <w:rFonts w:ascii="Verdana" w:hAnsi="Verdana"/>
                <w:sz w:val="16"/>
                <w:szCs w:val="16"/>
                <w:lang w:val="en-US"/>
              </w:rPr>
              <w:t>Approve the specifications, the sampling instructions, test methods and analytical determinations.</w:t>
            </w:r>
          </w:p>
        </w:tc>
      </w:tr>
      <w:tr w:rsidR="001C6A90" w:rsidRPr="00947A46" w14:paraId="5340E990" w14:textId="77777777" w:rsidTr="00886332">
        <w:tc>
          <w:tcPr>
            <w:tcW w:w="4405" w:type="dxa"/>
          </w:tcPr>
          <w:p w14:paraId="0621A5BD"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7.4.5 </w:t>
            </w:r>
            <w:r w:rsidRPr="008F5C15">
              <w:rPr>
                <w:rFonts w:ascii="Verdana" w:hAnsi="Verdana"/>
                <w:sz w:val="16"/>
                <w:szCs w:val="16"/>
                <w:lang w:val="es-MX"/>
              </w:rPr>
              <w:t>Asegurar que los análisis llevados a cabo por contrato son confiables.</w:t>
            </w:r>
          </w:p>
        </w:tc>
        <w:tc>
          <w:tcPr>
            <w:tcW w:w="4427" w:type="dxa"/>
            <w:shd w:val="clear" w:color="auto" w:fill="auto"/>
          </w:tcPr>
          <w:p w14:paraId="53DFFED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7.4.5</w:t>
            </w:r>
            <w:r w:rsidRPr="008F5C15">
              <w:rPr>
                <w:rFonts w:ascii="Verdana" w:hAnsi="Verdana"/>
                <w:sz w:val="16"/>
                <w:szCs w:val="16"/>
                <w:lang w:val="en-US"/>
              </w:rPr>
              <w:t xml:space="preserve"> Assure that the analysis carried out by contracts are reliable.   </w:t>
            </w:r>
          </w:p>
        </w:tc>
      </w:tr>
      <w:tr w:rsidR="001C6A90" w:rsidRPr="00947A46" w14:paraId="13B6218F" w14:textId="77777777" w:rsidTr="00886332">
        <w:tc>
          <w:tcPr>
            <w:tcW w:w="4405" w:type="dxa"/>
          </w:tcPr>
          <w:p w14:paraId="7C4D1745"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7.4.6 </w:t>
            </w:r>
            <w:r w:rsidRPr="008F5C15">
              <w:rPr>
                <w:rFonts w:ascii="Verdana" w:hAnsi="Verdana"/>
                <w:sz w:val="16"/>
                <w:szCs w:val="16"/>
                <w:lang w:val="es-MX"/>
              </w:rPr>
              <w:t>Verificar que se lleve a cabo el mantenimiento a las instalaciones, equipos e instrumentos de las áreas analíticas.</w:t>
            </w:r>
          </w:p>
        </w:tc>
        <w:tc>
          <w:tcPr>
            <w:tcW w:w="4427" w:type="dxa"/>
            <w:shd w:val="clear" w:color="auto" w:fill="auto"/>
          </w:tcPr>
          <w:p w14:paraId="3482A9B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7.4.6</w:t>
            </w:r>
            <w:r w:rsidRPr="008F5C15">
              <w:rPr>
                <w:rFonts w:ascii="Verdana" w:hAnsi="Verdana"/>
                <w:sz w:val="16"/>
                <w:szCs w:val="16"/>
                <w:lang w:val="en-US"/>
              </w:rPr>
              <w:t xml:space="preserve"> Verify that maintenance is carried out on the installations, equipment, instruments and analytical areas.</w:t>
            </w:r>
          </w:p>
        </w:tc>
      </w:tr>
      <w:tr w:rsidR="001C6A90" w:rsidRPr="00947A46" w14:paraId="078E042C" w14:textId="77777777" w:rsidTr="00886332">
        <w:tc>
          <w:tcPr>
            <w:tcW w:w="4405" w:type="dxa"/>
          </w:tcPr>
          <w:p w14:paraId="4D322E62"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7.4.7 </w:t>
            </w:r>
            <w:r w:rsidRPr="008F5C15">
              <w:rPr>
                <w:rFonts w:ascii="Verdana" w:hAnsi="Verdana"/>
                <w:sz w:val="16"/>
                <w:szCs w:val="16"/>
                <w:lang w:val="es-MX"/>
              </w:rPr>
              <w:t>Asegurar que se efectúen: la validación y transferencia de métodos analíticos no farmacopeicos, los estudios de aplicabilidad de métodos farmacopeicos, la calificación de equipos y calibración de instrumentos analíticos.</w:t>
            </w:r>
          </w:p>
        </w:tc>
        <w:tc>
          <w:tcPr>
            <w:tcW w:w="4427" w:type="dxa"/>
            <w:shd w:val="clear" w:color="auto" w:fill="auto"/>
          </w:tcPr>
          <w:p w14:paraId="192A51B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7.4.7 </w:t>
            </w:r>
            <w:r w:rsidRPr="008F5C15">
              <w:rPr>
                <w:rFonts w:ascii="Verdana" w:hAnsi="Verdana"/>
                <w:sz w:val="16"/>
                <w:szCs w:val="16"/>
                <w:lang w:val="en-US"/>
              </w:rPr>
              <w:t xml:space="preserve">Assure the following is performed: the validation and transfer of non-pharmacopeic analytical methods, studies of applicability of pharmacopeic methods, equipment qualification and calibration of analytical instruments. </w:t>
            </w:r>
          </w:p>
        </w:tc>
      </w:tr>
      <w:tr w:rsidR="001C6A90" w:rsidRPr="00947A46" w14:paraId="3B45D6FD" w14:textId="77777777" w:rsidTr="00886332">
        <w:tc>
          <w:tcPr>
            <w:tcW w:w="4405" w:type="dxa"/>
          </w:tcPr>
          <w:p w14:paraId="6E42B6E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7.4.8 </w:t>
            </w:r>
            <w:r w:rsidRPr="008F5C15">
              <w:rPr>
                <w:rFonts w:ascii="Verdana" w:hAnsi="Verdana"/>
                <w:sz w:val="16"/>
                <w:szCs w:val="16"/>
                <w:lang w:val="es-MX"/>
              </w:rPr>
              <w:t>Asegurar que el personal ha recibido la capacitación de inducción y la capacitación periódica necesaria para la ejecución de sus funciones.</w:t>
            </w:r>
          </w:p>
        </w:tc>
        <w:tc>
          <w:tcPr>
            <w:tcW w:w="4427" w:type="dxa"/>
            <w:shd w:val="clear" w:color="auto" w:fill="auto"/>
          </w:tcPr>
          <w:p w14:paraId="1070324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7.4.8 </w:t>
            </w:r>
            <w:r w:rsidRPr="008F5C15">
              <w:rPr>
                <w:rFonts w:ascii="Verdana" w:hAnsi="Verdana"/>
                <w:sz w:val="16"/>
                <w:szCs w:val="16"/>
                <w:lang w:val="en-US"/>
              </w:rPr>
              <w:t xml:space="preserve">Assure that the personnel have received entry training and the periodic training necessary for the execution of their functions. </w:t>
            </w:r>
          </w:p>
        </w:tc>
      </w:tr>
      <w:tr w:rsidR="001C6A90" w:rsidRPr="00262EF8" w14:paraId="506C11EA" w14:textId="77777777" w:rsidTr="00886332">
        <w:tc>
          <w:tcPr>
            <w:tcW w:w="4405" w:type="dxa"/>
          </w:tcPr>
          <w:p w14:paraId="015571C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7.5 </w:t>
            </w:r>
            <w:r w:rsidRPr="008F5C15">
              <w:rPr>
                <w:rFonts w:ascii="Verdana" w:hAnsi="Verdana"/>
                <w:sz w:val="16"/>
                <w:szCs w:val="16"/>
                <w:lang w:val="es-MX"/>
              </w:rPr>
              <w:t>Consultores</w:t>
            </w:r>
          </w:p>
        </w:tc>
        <w:tc>
          <w:tcPr>
            <w:tcW w:w="4427" w:type="dxa"/>
          </w:tcPr>
          <w:p w14:paraId="45FB2FF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7.5 </w:t>
            </w:r>
            <w:r w:rsidRPr="008F5C15">
              <w:rPr>
                <w:rFonts w:ascii="Verdana" w:hAnsi="Verdana"/>
                <w:sz w:val="16"/>
                <w:szCs w:val="16"/>
                <w:lang w:val="en-US"/>
              </w:rPr>
              <w:t>Consultants</w:t>
            </w:r>
          </w:p>
        </w:tc>
      </w:tr>
      <w:tr w:rsidR="001C6A90" w:rsidRPr="00947A46" w14:paraId="004DB1F5" w14:textId="77777777" w:rsidTr="00886332">
        <w:tc>
          <w:tcPr>
            <w:tcW w:w="4405" w:type="dxa"/>
          </w:tcPr>
          <w:p w14:paraId="5CF814A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 xml:space="preserve">Los consultores que asesoran sobre la fabricación y control deben tener un nivel comprobado de su formación académica, conocimiento y experiencia </w:t>
            </w:r>
            <w:r w:rsidRPr="008F5C15">
              <w:rPr>
                <w:rFonts w:ascii="Verdana" w:hAnsi="Verdana"/>
                <w:sz w:val="16"/>
                <w:szCs w:val="16"/>
                <w:lang w:val="es-MX"/>
              </w:rPr>
              <w:lastRenderedPageBreak/>
              <w:t>que les permita asesorar sobre el tema específico para el que fueron contratados.</w:t>
            </w:r>
          </w:p>
        </w:tc>
        <w:tc>
          <w:tcPr>
            <w:tcW w:w="4427" w:type="dxa"/>
          </w:tcPr>
          <w:p w14:paraId="343C171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lastRenderedPageBreak/>
              <w:t xml:space="preserve">The consultants that consult on the manufacture and control must have a verified level of academic formation, knowledge and experience which allows </w:t>
            </w:r>
            <w:r w:rsidRPr="008F5C15">
              <w:rPr>
                <w:rFonts w:ascii="Verdana" w:hAnsi="Verdana"/>
                <w:sz w:val="16"/>
                <w:szCs w:val="16"/>
                <w:lang w:val="en-US"/>
              </w:rPr>
              <w:lastRenderedPageBreak/>
              <w:t>them to advise on the specific theme for which they were hired.</w:t>
            </w:r>
          </w:p>
        </w:tc>
      </w:tr>
      <w:tr w:rsidR="001C6A90" w:rsidRPr="00947A46" w14:paraId="45DE364F" w14:textId="77777777" w:rsidTr="00886332">
        <w:tc>
          <w:tcPr>
            <w:tcW w:w="4405" w:type="dxa"/>
          </w:tcPr>
          <w:p w14:paraId="3FB0C21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lastRenderedPageBreak/>
              <w:t>Deben mantenerse registros en los que figure el nombre, la dirección, las calificaciones, y el tipo de servicio suministrado por estos consultores.</w:t>
            </w:r>
          </w:p>
        </w:tc>
        <w:tc>
          <w:tcPr>
            <w:tcW w:w="4427" w:type="dxa"/>
          </w:tcPr>
          <w:p w14:paraId="7B13E8F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Records must be maintained in which are recorded the name, address, qualifications and the type of service supplied by these consultants. </w:t>
            </w:r>
          </w:p>
        </w:tc>
      </w:tr>
      <w:tr w:rsidR="001C6A90" w:rsidRPr="00262EF8" w14:paraId="1B89D391" w14:textId="77777777" w:rsidTr="00886332">
        <w:tc>
          <w:tcPr>
            <w:tcW w:w="4405" w:type="dxa"/>
          </w:tcPr>
          <w:p w14:paraId="78D64D0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7.6 </w:t>
            </w:r>
            <w:r w:rsidRPr="008F5C15">
              <w:rPr>
                <w:rFonts w:ascii="Verdana" w:hAnsi="Verdana"/>
                <w:sz w:val="16"/>
                <w:szCs w:val="16"/>
                <w:lang w:val="es-MX"/>
              </w:rPr>
              <w:t>Higiene y Seguridad</w:t>
            </w:r>
          </w:p>
        </w:tc>
        <w:tc>
          <w:tcPr>
            <w:tcW w:w="4427" w:type="dxa"/>
          </w:tcPr>
          <w:p w14:paraId="5056586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7.6 </w:t>
            </w:r>
            <w:r w:rsidRPr="008F5C15">
              <w:rPr>
                <w:rFonts w:ascii="Verdana" w:hAnsi="Verdana"/>
                <w:sz w:val="16"/>
                <w:szCs w:val="16"/>
                <w:lang w:val="en-US"/>
              </w:rPr>
              <w:t>Health and safety.</w:t>
            </w:r>
          </w:p>
        </w:tc>
      </w:tr>
      <w:tr w:rsidR="001C6A90" w:rsidRPr="00947A46" w14:paraId="67D76909" w14:textId="77777777" w:rsidTr="00886332">
        <w:tc>
          <w:tcPr>
            <w:tcW w:w="4405" w:type="dxa"/>
          </w:tcPr>
          <w:p w14:paraId="11860FF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7.6.1 </w:t>
            </w:r>
            <w:r w:rsidRPr="008F5C15">
              <w:rPr>
                <w:rFonts w:ascii="Verdana" w:hAnsi="Verdana"/>
                <w:sz w:val="16"/>
                <w:szCs w:val="16"/>
                <w:lang w:val="es-MX"/>
              </w:rPr>
              <w:t>Deben establecerse programas de capacitación en prácticas de higiene, seguridad e indumentaria del personal que ingresa a las áreas de fabricación y control de calidad.</w:t>
            </w:r>
          </w:p>
        </w:tc>
        <w:tc>
          <w:tcPr>
            <w:tcW w:w="4427" w:type="dxa"/>
          </w:tcPr>
          <w:p w14:paraId="5F1FF3C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7.6.1 </w:t>
            </w:r>
            <w:r w:rsidRPr="008F5C15">
              <w:rPr>
                <w:rFonts w:ascii="Verdana" w:hAnsi="Verdana"/>
                <w:sz w:val="16"/>
                <w:szCs w:val="16"/>
                <w:lang w:val="en-US"/>
              </w:rPr>
              <w:t>Training programs in practices of health, safety and clothing of personnel that enter the areas of manufacturing and quality control must be established.</w:t>
            </w:r>
          </w:p>
        </w:tc>
      </w:tr>
      <w:tr w:rsidR="001C6A90" w:rsidRPr="00947A46" w14:paraId="51F82591" w14:textId="77777777" w:rsidTr="00886332">
        <w:tc>
          <w:tcPr>
            <w:tcW w:w="4405" w:type="dxa"/>
          </w:tcPr>
          <w:p w14:paraId="4DE57F5F"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7.6.2 </w:t>
            </w:r>
            <w:r w:rsidRPr="008F5C15">
              <w:rPr>
                <w:rFonts w:ascii="Verdana" w:hAnsi="Verdana"/>
                <w:sz w:val="16"/>
                <w:szCs w:val="16"/>
                <w:lang w:val="es-MX"/>
              </w:rPr>
              <w:t>Todo el personal debe someterse a examen médico en el momento de su incorporación. Es responsabilidad del fabricante asegurarse de que se pongan en conocimiento del personal, los estados de salud que puedan tener un impacto sobre la calidad de los productos. Tras el primer examen médico, deben realizarse otros, siempre que sea necesario para el trabajo y la salud del personal. El personal que realice inspecciones visuales debe someterse a estudios de agudeza visual periódicos.</w:t>
            </w:r>
          </w:p>
        </w:tc>
        <w:tc>
          <w:tcPr>
            <w:tcW w:w="4427" w:type="dxa"/>
          </w:tcPr>
          <w:p w14:paraId="7854381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7.6.2 </w:t>
            </w:r>
            <w:r w:rsidRPr="008F5C15">
              <w:rPr>
                <w:rFonts w:ascii="Verdana" w:hAnsi="Verdana"/>
                <w:sz w:val="16"/>
                <w:szCs w:val="16"/>
                <w:lang w:val="en-US"/>
              </w:rPr>
              <w:t xml:space="preserve">All the personnel must submit to a medical examination at the moment of their incorporation. It is the responsibility of the manufacturer to assure to make known to the personnel, the health conditions that can have an impact on the quality of the products. After the first medical examination, others must be made, provided it is necessary for the work and the health of the personnel. The personnel that makes visual inspections must submit to periodical visual acuity studies. </w:t>
            </w:r>
          </w:p>
        </w:tc>
      </w:tr>
      <w:tr w:rsidR="001C6A90" w:rsidRPr="006A4A11" w14:paraId="060273CC" w14:textId="77777777" w:rsidTr="00886332">
        <w:tc>
          <w:tcPr>
            <w:tcW w:w="4405" w:type="dxa"/>
          </w:tcPr>
          <w:p w14:paraId="37C5FE7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7.6.3 </w:t>
            </w:r>
            <w:r w:rsidRPr="008F5C15">
              <w:rPr>
                <w:rFonts w:ascii="Verdana" w:hAnsi="Verdana"/>
                <w:sz w:val="16"/>
                <w:szCs w:val="16"/>
                <w:lang w:val="es-MX"/>
              </w:rPr>
              <w:t>El personal que sufra de una enfermedad infecciosa o tenga lesiones expuestas en la piel, y que sea determinado por un examen médico o por observación, suspenderá sus actividades hasta que esta condición se corrija o el personal médico calificado determine que la persona no pone en peligro su propia seguridad y la calidad de los productos. El personal debe ser instruido para reportar esta condición.</w:t>
            </w:r>
          </w:p>
        </w:tc>
        <w:tc>
          <w:tcPr>
            <w:tcW w:w="4427" w:type="dxa"/>
          </w:tcPr>
          <w:p w14:paraId="41C036C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7.6.3 </w:t>
            </w:r>
            <w:r w:rsidRPr="008F5C15">
              <w:rPr>
                <w:rFonts w:ascii="Verdana" w:hAnsi="Verdana"/>
                <w:sz w:val="16"/>
                <w:szCs w:val="16"/>
                <w:lang w:val="en-US"/>
              </w:rPr>
              <w:t>The personnel suffering from an infectious disease or that has exposed skin lesions, and that is determined by a medical exam or by observation, will suspend their activities until this condition is corrected or qualified medical personnel determines that the person does not endanger their own safety and the quality of the products. The personnel must be instructed to report this condition.</w:t>
            </w:r>
          </w:p>
        </w:tc>
      </w:tr>
      <w:tr w:rsidR="001C6A90" w:rsidRPr="00947A46" w14:paraId="19E76F01" w14:textId="77777777" w:rsidTr="00886332">
        <w:tc>
          <w:tcPr>
            <w:tcW w:w="4405" w:type="dxa"/>
          </w:tcPr>
          <w:p w14:paraId="2721041F"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7.6.4</w:t>
            </w:r>
            <w:r w:rsidRPr="008F5C15">
              <w:rPr>
                <w:rFonts w:ascii="Verdana" w:hAnsi="Verdana"/>
                <w:sz w:val="16"/>
                <w:szCs w:val="16"/>
                <w:lang w:val="es-MX"/>
              </w:rPr>
              <w:t xml:space="preserve"> El personal debe portar ropa limpia y adecuada para la actividad que ejecutará, con las características requeridas para la protección del personal y del producto.</w:t>
            </w:r>
          </w:p>
        </w:tc>
        <w:tc>
          <w:tcPr>
            <w:tcW w:w="4427" w:type="dxa"/>
          </w:tcPr>
          <w:p w14:paraId="38A7D6C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7.6.4 </w:t>
            </w:r>
            <w:r w:rsidRPr="008F5C15">
              <w:rPr>
                <w:rFonts w:ascii="Verdana" w:hAnsi="Verdana"/>
                <w:sz w:val="16"/>
                <w:szCs w:val="16"/>
                <w:lang w:val="en-US"/>
              </w:rPr>
              <w:t>Personnel must wear clean and adequate clothing for the activity they will perform, with the required characteristics for the protection of personnel and of the product.</w:t>
            </w:r>
          </w:p>
        </w:tc>
      </w:tr>
      <w:tr w:rsidR="001C6A90" w:rsidRPr="00F70181" w14:paraId="0B033B73" w14:textId="77777777" w:rsidTr="00886332">
        <w:tc>
          <w:tcPr>
            <w:tcW w:w="4405" w:type="dxa"/>
          </w:tcPr>
          <w:p w14:paraId="5E9A439E"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7.6.5</w:t>
            </w:r>
            <w:r w:rsidRPr="008F5C15">
              <w:rPr>
                <w:rFonts w:ascii="Verdana" w:hAnsi="Verdana"/>
                <w:sz w:val="16"/>
                <w:szCs w:val="16"/>
                <w:lang w:val="es-MX"/>
              </w:rPr>
              <w:t xml:space="preserve"> Los requisitos de indumentaria para cada área de fabricación, almacenes y control de calidad deben estar definidos por escrito.</w:t>
            </w:r>
          </w:p>
        </w:tc>
        <w:tc>
          <w:tcPr>
            <w:tcW w:w="4427" w:type="dxa"/>
          </w:tcPr>
          <w:p w14:paraId="5F20DE7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7.6.5 </w:t>
            </w:r>
            <w:r w:rsidRPr="008F5C15">
              <w:rPr>
                <w:rFonts w:ascii="Verdana" w:hAnsi="Verdana"/>
                <w:sz w:val="16"/>
                <w:szCs w:val="16"/>
                <w:lang w:val="en-US"/>
              </w:rPr>
              <w:t>Clothing requirements for each area of the manufacturing areas, warehouses and quality control must be defined in writing.</w:t>
            </w:r>
          </w:p>
        </w:tc>
      </w:tr>
      <w:tr w:rsidR="001C6A90" w:rsidRPr="00F70181" w14:paraId="3596CF9B" w14:textId="77777777" w:rsidTr="00886332">
        <w:tc>
          <w:tcPr>
            <w:tcW w:w="4405" w:type="dxa"/>
          </w:tcPr>
          <w:p w14:paraId="160C5171"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7.6.6</w:t>
            </w:r>
            <w:r w:rsidRPr="008F5C15">
              <w:rPr>
                <w:rFonts w:ascii="Verdana" w:hAnsi="Verdana"/>
                <w:sz w:val="16"/>
                <w:szCs w:val="16"/>
                <w:lang w:val="es-MX"/>
              </w:rPr>
              <w:t xml:space="preserve"> Deben existir instrucciones escritas del lavado de la indumentaria, incluyendo aquélla utilizada en las áreas de fabricación de productos de alto riesgo, en las que se indique su tratamiento y/o disposición final.</w:t>
            </w:r>
          </w:p>
        </w:tc>
        <w:tc>
          <w:tcPr>
            <w:tcW w:w="4427" w:type="dxa"/>
          </w:tcPr>
          <w:p w14:paraId="719D2B6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7.6.6 </w:t>
            </w:r>
            <w:r w:rsidRPr="008F5C15">
              <w:rPr>
                <w:rFonts w:ascii="Verdana" w:hAnsi="Verdana"/>
                <w:sz w:val="16"/>
                <w:szCs w:val="16"/>
                <w:lang w:val="en-US"/>
              </w:rPr>
              <w:t>There must be</w:t>
            </w:r>
            <w:r w:rsidRPr="008F5C15">
              <w:rPr>
                <w:rFonts w:ascii="Verdana" w:hAnsi="Verdana"/>
                <w:b/>
                <w:sz w:val="16"/>
                <w:szCs w:val="16"/>
                <w:lang w:val="en-US"/>
              </w:rPr>
              <w:t xml:space="preserve"> </w:t>
            </w:r>
            <w:r w:rsidRPr="008F5C15">
              <w:rPr>
                <w:rFonts w:ascii="Verdana" w:hAnsi="Verdana"/>
                <w:sz w:val="16"/>
                <w:szCs w:val="16"/>
                <w:lang w:val="en-US"/>
              </w:rPr>
              <w:t>written instructions for washing clothing, including that used in the manufacturing areas of high risk products, in which the treatment and/or final disposition is indicated.</w:t>
            </w:r>
          </w:p>
        </w:tc>
      </w:tr>
      <w:tr w:rsidR="001C6A90" w:rsidRPr="00F70181" w14:paraId="6D73161C" w14:textId="77777777" w:rsidTr="00886332">
        <w:tc>
          <w:tcPr>
            <w:tcW w:w="4405" w:type="dxa"/>
          </w:tcPr>
          <w:p w14:paraId="75A74858"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7.6.7</w:t>
            </w:r>
            <w:r w:rsidRPr="008F5C15">
              <w:rPr>
                <w:rFonts w:ascii="Verdana" w:hAnsi="Verdana"/>
                <w:sz w:val="16"/>
                <w:szCs w:val="16"/>
                <w:lang w:val="es-MX"/>
              </w:rPr>
              <w:t xml:space="preserve"> En el caso de usar indumentaria desechable se debe contar con un procedimiento para su disposición final.</w:t>
            </w:r>
          </w:p>
        </w:tc>
        <w:tc>
          <w:tcPr>
            <w:tcW w:w="4427" w:type="dxa"/>
          </w:tcPr>
          <w:p w14:paraId="2D8F4C6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7.6.7 </w:t>
            </w:r>
            <w:r w:rsidRPr="008F5C15">
              <w:rPr>
                <w:rFonts w:ascii="Verdana" w:hAnsi="Verdana"/>
                <w:sz w:val="16"/>
                <w:szCs w:val="16"/>
                <w:lang w:val="en-US"/>
              </w:rPr>
              <w:t>When using disposable clothing, there must be a procedure for its final disposition.</w:t>
            </w:r>
          </w:p>
        </w:tc>
      </w:tr>
      <w:tr w:rsidR="001C6A90" w:rsidRPr="00F70181" w14:paraId="304F49E9" w14:textId="77777777" w:rsidTr="00886332">
        <w:tc>
          <w:tcPr>
            <w:tcW w:w="4405" w:type="dxa"/>
          </w:tcPr>
          <w:p w14:paraId="7324125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7.6.8</w:t>
            </w:r>
            <w:r w:rsidRPr="008F5C15">
              <w:rPr>
                <w:rFonts w:ascii="Verdana" w:hAnsi="Verdana"/>
                <w:sz w:val="16"/>
                <w:szCs w:val="16"/>
                <w:lang w:val="es-MX"/>
              </w:rPr>
              <w:t xml:space="preserve"> El personal no debe fumar, comer, beber, masticar y almacenar alimentos y medicamentos en las áreas de fabricación, almacenes y laboratorio de control de calidad.</w:t>
            </w:r>
          </w:p>
        </w:tc>
        <w:tc>
          <w:tcPr>
            <w:tcW w:w="4427" w:type="dxa"/>
          </w:tcPr>
          <w:p w14:paraId="49DFF88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7.6.8</w:t>
            </w:r>
            <w:r w:rsidRPr="008F5C15">
              <w:rPr>
                <w:rFonts w:ascii="Verdana" w:hAnsi="Verdana"/>
                <w:sz w:val="16"/>
                <w:szCs w:val="16"/>
                <w:lang w:val="en-US"/>
              </w:rPr>
              <w:t xml:space="preserve"> Personnel must not smoke, eat, drink, chew or store food and drug products in the manufacturing area, warehouses and quality control laboratory.</w:t>
            </w:r>
          </w:p>
        </w:tc>
      </w:tr>
      <w:tr w:rsidR="001C6A90" w:rsidRPr="00F70181" w14:paraId="73026F69" w14:textId="77777777" w:rsidTr="00886332">
        <w:tc>
          <w:tcPr>
            <w:tcW w:w="4405" w:type="dxa"/>
          </w:tcPr>
          <w:p w14:paraId="6CD33FD1"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7.6.9</w:t>
            </w:r>
            <w:r w:rsidRPr="008F5C15">
              <w:rPr>
                <w:rFonts w:ascii="Verdana" w:hAnsi="Verdana"/>
                <w:sz w:val="16"/>
                <w:szCs w:val="16"/>
                <w:lang w:val="es-MX"/>
              </w:rPr>
              <w:t xml:space="preserve"> El personal no debe usar joyas ni cosméticos en las áreas de fabricación, incluyendo los laboratorios y el bioterio.</w:t>
            </w:r>
          </w:p>
        </w:tc>
        <w:tc>
          <w:tcPr>
            <w:tcW w:w="4427" w:type="dxa"/>
            <w:shd w:val="clear" w:color="auto" w:fill="auto"/>
          </w:tcPr>
          <w:p w14:paraId="7F441C6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7.6.9 </w:t>
            </w:r>
            <w:r w:rsidRPr="008F5C15">
              <w:rPr>
                <w:rFonts w:ascii="Verdana" w:hAnsi="Verdana"/>
                <w:sz w:val="16"/>
                <w:szCs w:val="16"/>
                <w:lang w:val="en-US"/>
              </w:rPr>
              <w:t>Personnel must not use jewelry or cosmetics in the manufacturing area, including the laboratories and bioterium.</w:t>
            </w:r>
          </w:p>
        </w:tc>
      </w:tr>
      <w:tr w:rsidR="001C6A90" w:rsidRPr="00F70181" w14:paraId="2B43EFD6" w14:textId="77777777" w:rsidTr="00886332">
        <w:tc>
          <w:tcPr>
            <w:tcW w:w="4405" w:type="dxa"/>
          </w:tcPr>
          <w:p w14:paraId="3F7900D0"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7.6.10</w:t>
            </w:r>
            <w:r w:rsidRPr="008F5C15">
              <w:rPr>
                <w:rFonts w:ascii="Verdana" w:hAnsi="Verdana"/>
                <w:sz w:val="16"/>
                <w:szCs w:val="16"/>
                <w:lang w:val="es-MX"/>
              </w:rPr>
              <w:t xml:space="preserve"> Debe instruirse al personal a que se laven las manos antes de ingresar y al salir de las áreas de producción.</w:t>
            </w:r>
          </w:p>
        </w:tc>
        <w:tc>
          <w:tcPr>
            <w:tcW w:w="4427" w:type="dxa"/>
            <w:shd w:val="clear" w:color="auto" w:fill="auto"/>
          </w:tcPr>
          <w:p w14:paraId="2020F42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7.6.10</w:t>
            </w:r>
            <w:r w:rsidRPr="008F5C15">
              <w:rPr>
                <w:rFonts w:ascii="Verdana" w:hAnsi="Verdana"/>
                <w:sz w:val="16"/>
                <w:szCs w:val="16"/>
                <w:lang w:val="en-US"/>
              </w:rPr>
              <w:t xml:space="preserve"> The personnel must be instructed to wash their hands before entering the production areas.</w:t>
            </w:r>
          </w:p>
        </w:tc>
      </w:tr>
      <w:tr w:rsidR="001C6A90" w:rsidRPr="006A4A11" w14:paraId="3854A9EB" w14:textId="77777777" w:rsidTr="00886332">
        <w:tc>
          <w:tcPr>
            <w:tcW w:w="4405" w:type="dxa"/>
          </w:tcPr>
          <w:p w14:paraId="6854B2E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7.6.11 </w:t>
            </w:r>
            <w:r w:rsidRPr="008F5C15">
              <w:rPr>
                <w:rFonts w:ascii="Verdana" w:hAnsi="Verdana"/>
                <w:sz w:val="16"/>
                <w:szCs w:val="16"/>
                <w:lang w:val="es-MX"/>
              </w:rPr>
              <w:t>El ingreso de visitantes a las áreas de fabricación y control de calidad debe controlarse y no comprometer la calidad del producto. Los visitantes deben seguir las instrucciones relacionadas con la higiene y seguridad personal, incluyendo el uso de indumentaria, estas disposiciones aplican también para empleados temporales, contratistas, auditores o alguna otra persona previamente autorizada a ingresar a las áreas. Dichos visitantes deben ser objeto de estrecha supervisión.</w:t>
            </w:r>
          </w:p>
        </w:tc>
        <w:tc>
          <w:tcPr>
            <w:tcW w:w="4427" w:type="dxa"/>
            <w:shd w:val="clear" w:color="auto" w:fill="auto"/>
          </w:tcPr>
          <w:p w14:paraId="145FBFF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7.6.11 </w:t>
            </w:r>
            <w:r w:rsidRPr="008F5C15">
              <w:rPr>
                <w:rFonts w:ascii="Verdana" w:hAnsi="Verdana"/>
                <w:sz w:val="16"/>
                <w:szCs w:val="16"/>
                <w:lang w:val="en-US"/>
              </w:rPr>
              <w:t>The entry of visitors into the areas of manufacturing and quality control must be controlled and not compromise the product quality. Visitors must follow the instructions related to personal health and safety, including the use of protective clothing, these provisions also apply to temporary employees, contractors, auditors or any other person previously authorized to enter the areas. Said visitors must be the object of strict supervision.</w:t>
            </w:r>
          </w:p>
        </w:tc>
      </w:tr>
      <w:tr w:rsidR="001C6A90" w:rsidRPr="00262EF8" w14:paraId="6FBB0B8A" w14:textId="77777777" w:rsidTr="00886332">
        <w:tc>
          <w:tcPr>
            <w:tcW w:w="4405" w:type="dxa"/>
          </w:tcPr>
          <w:p w14:paraId="23077CE1"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8. Instalaciones y equipo</w:t>
            </w:r>
          </w:p>
        </w:tc>
        <w:tc>
          <w:tcPr>
            <w:tcW w:w="4427" w:type="dxa"/>
            <w:shd w:val="clear" w:color="auto" w:fill="auto"/>
          </w:tcPr>
          <w:p w14:paraId="714E9BC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8. Installations and equipment.</w:t>
            </w:r>
          </w:p>
        </w:tc>
      </w:tr>
      <w:tr w:rsidR="001C6A90" w:rsidRPr="00262EF8" w14:paraId="5CE50365" w14:textId="77777777" w:rsidTr="00886332">
        <w:tc>
          <w:tcPr>
            <w:tcW w:w="4405" w:type="dxa"/>
          </w:tcPr>
          <w:p w14:paraId="75B69CD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8.1</w:t>
            </w:r>
            <w:r w:rsidRPr="008F5C15">
              <w:rPr>
                <w:rFonts w:ascii="Verdana" w:hAnsi="Verdana"/>
                <w:sz w:val="16"/>
                <w:szCs w:val="16"/>
                <w:lang w:val="es-MX"/>
              </w:rPr>
              <w:t xml:space="preserve"> Generalidades.</w:t>
            </w:r>
          </w:p>
        </w:tc>
        <w:tc>
          <w:tcPr>
            <w:tcW w:w="4427" w:type="dxa"/>
            <w:shd w:val="clear" w:color="auto" w:fill="auto"/>
          </w:tcPr>
          <w:p w14:paraId="79AC2A7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8.1</w:t>
            </w:r>
            <w:r w:rsidRPr="008F5C15">
              <w:rPr>
                <w:rFonts w:ascii="Verdana" w:hAnsi="Verdana"/>
                <w:sz w:val="16"/>
                <w:szCs w:val="16"/>
                <w:lang w:val="en-US"/>
              </w:rPr>
              <w:t xml:space="preserve"> General provisions</w:t>
            </w:r>
          </w:p>
        </w:tc>
      </w:tr>
      <w:tr w:rsidR="001C6A90" w:rsidRPr="00F70181" w14:paraId="658BA7AA" w14:textId="77777777" w:rsidTr="00886332">
        <w:tc>
          <w:tcPr>
            <w:tcW w:w="4405" w:type="dxa"/>
          </w:tcPr>
          <w:p w14:paraId="58C02B8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8.1.1</w:t>
            </w:r>
            <w:r w:rsidRPr="008F5C15">
              <w:rPr>
                <w:rFonts w:ascii="Verdana" w:hAnsi="Verdana"/>
                <w:sz w:val="16"/>
                <w:szCs w:val="16"/>
                <w:lang w:val="es-MX"/>
              </w:rPr>
              <w:t xml:space="preserve"> Las áreas y equipos deben ser localizados, diseñados, construidos, instalados y mantenidos en condiciones que permitan su correcta operación.</w:t>
            </w:r>
          </w:p>
        </w:tc>
        <w:tc>
          <w:tcPr>
            <w:tcW w:w="4427" w:type="dxa"/>
            <w:shd w:val="clear" w:color="auto" w:fill="auto"/>
          </w:tcPr>
          <w:p w14:paraId="5F51F0B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8.1.1 </w:t>
            </w:r>
            <w:r w:rsidRPr="008F5C15">
              <w:rPr>
                <w:rFonts w:ascii="Verdana" w:hAnsi="Verdana"/>
                <w:sz w:val="16"/>
                <w:szCs w:val="16"/>
                <w:lang w:val="en-US"/>
              </w:rPr>
              <w:t>The areas and equipment must be located, designed, constructed, installed and maintained in conditions which allow their correct operation.</w:t>
            </w:r>
          </w:p>
        </w:tc>
      </w:tr>
      <w:tr w:rsidR="001C6A90" w:rsidRPr="00F70181" w14:paraId="63C98BF8" w14:textId="77777777" w:rsidTr="00886332">
        <w:tc>
          <w:tcPr>
            <w:tcW w:w="4405" w:type="dxa"/>
          </w:tcPr>
          <w:p w14:paraId="39AC1E2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8.1.2 </w:t>
            </w:r>
            <w:r w:rsidRPr="008F5C15">
              <w:rPr>
                <w:rFonts w:ascii="Verdana" w:hAnsi="Verdana"/>
                <w:sz w:val="16"/>
                <w:szCs w:val="16"/>
                <w:lang w:val="es-MX"/>
              </w:rPr>
              <w:t>Las áreas, equipos de fabricación y sistemas críticos que impacten directamente en la calidad del producto deben ser calificados y validados.</w:t>
            </w:r>
          </w:p>
        </w:tc>
        <w:tc>
          <w:tcPr>
            <w:tcW w:w="4427" w:type="dxa"/>
            <w:shd w:val="clear" w:color="auto" w:fill="auto"/>
          </w:tcPr>
          <w:p w14:paraId="1B0D2EC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8.1.2</w:t>
            </w:r>
            <w:r w:rsidRPr="008F5C15">
              <w:rPr>
                <w:rFonts w:ascii="Verdana" w:hAnsi="Verdana"/>
                <w:sz w:val="16"/>
                <w:szCs w:val="16"/>
                <w:lang w:val="en-US"/>
              </w:rPr>
              <w:t xml:space="preserve"> The areas, manufacturing equipment and critical systems that directly impact on the quality of the product must be qualified and validated.</w:t>
            </w:r>
          </w:p>
        </w:tc>
      </w:tr>
      <w:tr w:rsidR="001C6A90" w:rsidRPr="00F70181" w14:paraId="05B90C44" w14:textId="77777777" w:rsidTr="00886332">
        <w:tc>
          <w:tcPr>
            <w:tcW w:w="4405" w:type="dxa"/>
          </w:tcPr>
          <w:p w14:paraId="460BA1F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8.1.3</w:t>
            </w:r>
            <w:r w:rsidRPr="008F5C15">
              <w:rPr>
                <w:rFonts w:ascii="Verdana" w:hAnsi="Verdana"/>
                <w:sz w:val="16"/>
                <w:szCs w:val="16"/>
                <w:lang w:val="es-MX"/>
              </w:rPr>
              <w:t xml:space="preserve"> Se deben contar con sistemas alternos de suministro de energía, para mantener las condiciones de las operaciones críticas del proceso de fabricación.</w:t>
            </w:r>
          </w:p>
        </w:tc>
        <w:tc>
          <w:tcPr>
            <w:tcW w:w="4427" w:type="dxa"/>
            <w:shd w:val="clear" w:color="auto" w:fill="auto"/>
          </w:tcPr>
          <w:p w14:paraId="4750E6F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8.1.3 </w:t>
            </w:r>
            <w:r w:rsidRPr="008F5C15">
              <w:rPr>
                <w:rFonts w:ascii="Verdana" w:hAnsi="Verdana"/>
                <w:sz w:val="16"/>
                <w:szCs w:val="16"/>
                <w:lang w:val="en-US"/>
              </w:rPr>
              <w:t>There must be alternate systems of energy supply, to maintain critical operation conditions in the manufacturing process.</w:t>
            </w:r>
          </w:p>
        </w:tc>
      </w:tr>
      <w:tr w:rsidR="001C6A90" w:rsidRPr="00F70181" w14:paraId="6CFDE388" w14:textId="77777777" w:rsidTr="00886332">
        <w:tc>
          <w:tcPr>
            <w:tcW w:w="4405" w:type="dxa"/>
          </w:tcPr>
          <w:p w14:paraId="2718363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8.1.3.1 </w:t>
            </w:r>
            <w:r w:rsidRPr="008F5C15">
              <w:rPr>
                <w:rFonts w:ascii="Verdana" w:hAnsi="Verdana"/>
                <w:sz w:val="16"/>
                <w:szCs w:val="16"/>
                <w:lang w:val="es-MX"/>
              </w:rPr>
              <w:t>Todas las operaciones involucradas en el procesamiento aséptico deben contar con sistemas de suministros alternos de energía.</w:t>
            </w:r>
          </w:p>
        </w:tc>
        <w:tc>
          <w:tcPr>
            <w:tcW w:w="4427" w:type="dxa"/>
            <w:shd w:val="clear" w:color="auto" w:fill="auto"/>
          </w:tcPr>
          <w:p w14:paraId="66E4A79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8.1.3.1 </w:t>
            </w:r>
            <w:r w:rsidRPr="008F5C15">
              <w:rPr>
                <w:rFonts w:ascii="Verdana" w:hAnsi="Verdana"/>
                <w:sz w:val="16"/>
                <w:szCs w:val="16"/>
                <w:lang w:val="en-US"/>
              </w:rPr>
              <w:t xml:space="preserve">All the operations involved in aseptic processing must have alternate systems of energy supplies. </w:t>
            </w:r>
          </w:p>
        </w:tc>
      </w:tr>
      <w:tr w:rsidR="001C6A90" w:rsidRPr="00F70181" w14:paraId="0E1744E8" w14:textId="77777777" w:rsidTr="00886332">
        <w:tc>
          <w:tcPr>
            <w:tcW w:w="4405" w:type="dxa"/>
          </w:tcPr>
          <w:p w14:paraId="630EC18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8.1.4 </w:t>
            </w:r>
            <w:r w:rsidRPr="008F5C15">
              <w:rPr>
                <w:rFonts w:ascii="Verdana" w:hAnsi="Verdana"/>
                <w:sz w:val="16"/>
                <w:szCs w:val="16"/>
                <w:lang w:val="es-MX"/>
              </w:rPr>
              <w:t>Las áreas y equipos de fabricación para elaborar productos de los grupos penicilínicos, cefalosporínicos, hormonales esteroidales del tipo androgénico, estrogénico y progestagénico, hemoderivados, biológicos virales, biológicos bacterianos y fabricación de biofármacos deberán  ser dedicados.</w:t>
            </w:r>
          </w:p>
        </w:tc>
        <w:tc>
          <w:tcPr>
            <w:tcW w:w="4427" w:type="dxa"/>
            <w:shd w:val="clear" w:color="auto" w:fill="auto"/>
          </w:tcPr>
          <w:p w14:paraId="4823524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8.1.4</w:t>
            </w:r>
            <w:r w:rsidRPr="008F5C15">
              <w:rPr>
                <w:rFonts w:ascii="Verdana" w:hAnsi="Verdana"/>
                <w:sz w:val="16"/>
                <w:szCs w:val="16"/>
                <w:lang w:val="en-US"/>
              </w:rPr>
              <w:t xml:space="preserve"> The areas and manufacturing equipment used to develop products from the groups of penicillin, cephalosporin, hormone androgen steroid type, estrogen and progestin, biological bacterial and manufacture of bio substances must be dedicated to those product groups. </w:t>
            </w:r>
          </w:p>
        </w:tc>
      </w:tr>
      <w:tr w:rsidR="001C6A90" w:rsidRPr="00F70181" w14:paraId="3ACD659D" w14:textId="77777777" w:rsidTr="00886332">
        <w:tc>
          <w:tcPr>
            <w:tcW w:w="4405" w:type="dxa"/>
          </w:tcPr>
          <w:p w14:paraId="2DBB4216"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8.1.5 </w:t>
            </w:r>
            <w:r w:rsidRPr="008F5C15">
              <w:rPr>
                <w:rFonts w:ascii="Verdana" w:hAnsi="Verdana"/>
                <w:sz w:val="16"/>
                <w:szCs w:val="16"/>
                <w:lang w:val="es-MX"/>
              </w:rPr>
              <w:t>Las áreas de fabricación deberán clasificarse con base en el apéndice A Normativo de esta Norma.</w:t>
            </w:r>
          </w:p>
        </w:tc>
        <w:tc>
          <w:tcPr>
            <w:tcW w:w="4427" w:type="dxa"/>
            <w:shd w:val="clear" w:color="auto" w:fill="auto"/>
          </w:tcPr>
          <w:p w14:paraId="03E31C9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8.1.5 </w:t>
            </w:r>
            <w:r w:rsidRPr="008F5C15">
              <w:rPr>
                <w:rFonts w:ascii="Verdana" w:hAnsi="Verdana"/>
                <w:sz w:val="16"/>
                <w:szCs w:val="16"/>
                <w:lang w:val="en-US"/>
              </w:rPr>
              <w:t>Manufacturing areas must be classified based on Obligatory Appendix A of this Standard.</w:t>
            </w:r>
          </w:p>
        </w:tc>
      </w:tr>
      <w:tr w:rsidR="001C6A90" w:rsidRPr="006A4A11" w14:paraId="6EABD1CC" w14:textId="77777777" w:rsidTr="00886332">
        <w:tc>
          <w:tcPr>
            <w:tcW w:w="4405" w:type="dxa"/>
          </w:tcPr>
          <w:p w14:paraId="74C002D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 </w:t>
            </w:r>
            <w:r w:rsidRPr="008F5C15">
              <w:rPr>
                <w:rFonts w:ascii="Verdana" w:hAnsi="Verdana"/>
                <w:sz w:val="16"/>
                <w:szCs w:val="16"/>
                <w:lang w:val="es-MX"/>
              </w:rPr>
              <w:t>Instalaciones.</w:t>
            </w:r>
          </w:p>
        </w:tc>
        <w:tc>
          <w:tcPr>
            <w:tcW w:w="4427" w:type="dxa"/>
            <w:shd w:val="clear" w:color="auto" w:fill="auto"/>
          </w:tcPr>
          <w:p w14:paraId="0538CA0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 </w:t>
            </w:r>
            <w:r w:rsidRPr="008F5C15">
              <w:rPr>
                <w:rFonts w:ascii="Verdana" w:hAnsi="Verdana"/>
                <w:sz w:val="16"/>
                <w:szCs w:val="16"/>
                <w:lang w:val="en-US"/>
              </w:rPr>
              <w:t>Installations.</w:t>
            </w:r>
          </w:p>
        </w:tc>
      </w:tr>
      <w:tr w:rsidR="001C6A90" w:rsidRPr="00262EF8" w14:paraId="318EC964" w14:textId="77777777" w:rsidTr="00886332">
        <w:tc>
          <w:tcPr>
            <w:tcW w:w="4405" w:type="dxa"/>
          </w:tcPr>
          <w:p w14:paraId="509C7C1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8.2.1</w:t>
            </w:r>
            <w:r w:rsidRPr="008F5C15">
              <w:rPr>
                <w:rFonts w:ascii="Verdana" w:hAnsi="Verdana"/>
                <w:sz w:val="16"/>
                <w:szCs w:val="16"/>
                <w:lang w:val="es-MX"/>
              </w:rPr>
              <w:t xml:space="preserve"> Consideraciones.</w:t>
            </w:r>
          </w:p>
        </w:tc>
        <w:tc>
          <w:tcPr>
            <w:tcW w:w="4427" w:type="dxa"/>
            <w:shd w:val="clear" w:color="auto" w:fill="auto"/>
          </w:tcPr>
          <w:p w14:paraId="1E51574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8.2.1 </w:t>
            </w:r>
            <w:r w:rsidRPr="008F5C15">
              <w:rPr>
                <w:rFonts w:ascii="Verdana" w:hAnsi="Verdana"/>
                <w:sz w:val="16"/>
                <w:szCs w:val="16"/>
                <w:lang w:val="en-US"/>
              </w:rPr>
              <w:t>Considerations.</w:t>
            </w:r>
          </w:p>
        </w:tc>
      </w:tr>
      <w:tr w:rsidR="001C6A90" w:rsidRPr="00F70181" w14:paraId="1AEF5518" w14:textId="77777777" w:rsidTr="00886332">
        <w:tc>
          <w:tcPr>
            <w:tcW w:w="4405" w:type="dxa"/>
          </w:tcPr>
          <w:p w14:paraId="4DD0BF7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8.2.1.1 </w:t>
            </w:r>
            <w:r w:rsidRPr="008F5C15">
              <w:rPr>
                <w:rFonts w:ascii="Verdana" w:hAnsi="Verdana"/>
                <w:sz w:val="16"/>
                <w:szCs w:val="16"/>
                <w:lang w:val="es-MX"/>
              </w:rPr>
              <w:t>El diseño y construcción de las áreas de fabricación, laboratorio y otros cuartos que estén involucrados en la fabricación (incluyendo las áreas destinadas para el manejo de animales) deben ser de materiales que permitan su limpieza, mantenerlos libres de polvo, insectos, plagas y facilitar su mantenimiento, a fin de minimizar riesgo de contaminación.</w:t>
            </w:r>
          </w:p>
        </w:tc>
        <w:tc>
          <w:tcPr>
            <w:tcW w:w="4427" w:type="dxa"/>
            <w:shd w:val="clear" w:color="auto" w:fill="auto"/>
          </w:tcPr>
          <w:p w14:paraId="5C4D422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8.2.1.1 </w:t>
            </w:r>
            <w:r w:rsidRPr="008F5C15">
              <w:rPr>
                <w:rFonts w:ascii="Verdana" w:hAnsi="Verdana"/>
                <w:sz w:val="16"/>
                <w:szCs w:val="16"/>
                <w:lang w:val="en-US"/>
              </w:rPr>
              <w:t>The design and construction of manufacturing areas, laboratory and other rooms involved in manufacturing (including areas designated for the handling of animals) must be made of materials that permits cleaning, be maintained free of dust, insects, pests and facilitate their maintenance in order to minimize the risk of contamination.</w:t>
            </w:r>
          </w:p>
        </w:tc>
      </w:tr>
      <w:tr w:rsidR="001C6A90" w:rsidRPr="00F70181" w14:paraId="0717BC6F" w14:textId="77777777" w:rsidTr="00886332">
        <w:tc>
          <w:tcPr>
            <w:tcW w:w="4405" w:type="dxa"/>
          </w:tcPr>
          <w:p w14:paraId="6AA0306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8.2.1.2 </w:t>
            </w:r>
            <w:r w:rsidRPr="008F5C15">
              <w:rPr>
                <w:rFonts w:ascii="Verdana" w:hAnsi="Verdana"/>
                <w:sz w:val="16"/>
                <w:szCs w:val="16"/>
                <w:lang w:val="es-MX"/>
              </w:rPr>
              <w:t xml:space="preserve">Deben efectuarse actividades de mantenimiento en las instalaciones y edificios bajo un programa a fin de asegurar que las operaciones </w:t>
            </w:r>
            <w:r w:rsidRPr="008F5C15">
              <w:rPr>
                <w:rFonts w:ascii="Verdana" w:hAnsi="Verdana"/>
                <w:sz w:val="16"/>
                <w:szCs w:val="16"/>
                <w:lang w:val="es-MX"/>
              </w:rPr>
              <w:lastRenderedPageBreak/>
              <w:t>de reparación y mantenimiento no representen riesgo a la calidad del producto.</w:t>
            </w:r>
          </w:p>
        </w:tc>
        <w:tc>
          <w:tcPr>
            <w:tcW w:w="4427" w:type="dxa"/>
            <w:shd w:val="clear" w:color="auto" w:fill="auto"/>
          </w:tcPr>
          <w:p w14:paraId="1E6E434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8.2.1.2 </w:t>
            </w:r>
            <w:r w:rsidRPr="008F5C15">
              <w:rPr>
                <w:rFonts w:ascii="Verdana" w:hAnsi="Verdana"/>
                <w:sz w:val="16"/>
                <w:szCs w:val="16"/>
                <w:lang w:val="en-US"/>
              </w:rPr>
              <w:t xml:space="preserve">Maintenance activities of installations and buildings must be carried out under a program in order to assure that repair and maintenance </w:t>
            </w:r>
            <w:r w:rsidRPr="008F5C15">
              <w:rPr>
                <w:rFonts w:ascii="Verdana" w:hAnsi="Verdana"/>
                <w:sz w:val="16"/>
                <w:szCs w:val="16"/>
                <w:lang w:val="en-US"/>
              </w:rPr>
              <w:lastRenderedPageBreak/>
              <w:t>operations do not represent a risk to the quality of the product.</w:t>
            </w:r>
          </w:p>
        </w:tc>
      </w:tr>
      <w:tr w:rsidR="001C6A90" w:rsidRPr="00F70181" w14:paraId="47FFC145" w14:textId="77777777" w:rsidTr="00886332">
        <w:tc>
          <w:tcPr>
            <w:tcW w:w="4405" w:type="dxa"/>
          </w:tcPr>
          <w:p w14:paraId="34A4A64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8.2.1.3 </w:t>
            </w:r>
            <w:r w:rsidRPr="008F5C15">
              <w:rPr>
                <w:rFonts w:ascii="Verdana" w:hAnsi="Verdana"/>
                <w:sz w:val="16"/>
                <w:szCs w:val="16"/>
                <w:lang w:val="es-MX"/>
              </w:rPr>
              <w:t>Todas las instalaciones y edificios deben ser sujetos a instrucciones escritas para su limpieza y cuando aplique su sanitización.</w:t>
            </w:r>
          </w:p>
        </w:tc>
        <w:tc>
          <w:tcPr>
            <w:tcW w:w="4427" w:type="dxa"/>
            <w:shd w:val="clear" w:color="auto" w:fill="auto"/>
          </w:tcPr>
          <w:p w14:paraId="2B8C7F63" w14:textId="77777777" w:rsidR="001C6A90" w:rsidRPr="008F5C15" w:rsidRDefault="001C6A90" w:rsidP="001C6A90">
            <w:pPr>
              <w:pStyle w:val="Texto"/>
              <w:spacing w:after="0" w:line="276" w:lineRule="auto"/>
              <w:ind w:firstLine="0"/>
              <w:rPr>
                <w:rFonts w:ascii="Verdana" w:hAnsi="Verdana"/>
                <w:b/>
                <w:sz w:val="16"/>
                <w:szCs w:val="16"/>
                <w:lang w:val="en-US"/>
              </w:rPr>
            </w:pPr>
            <w:r w:rsidRPr="008F5C15">
              <w:rPr>
                <w:rFonts w:ascii="Verdana" w:hAnsi="Verdana"/>
                <w:b/>
                <w:sz w:val="16"/>
                <w:szCs w:val="16"/>
                <w:lang w:val="en-US"/>
              </w:rPr>
              <w:t xml:space="preserve">8.2.1.3 </w:t>
            </w:r>
            <w:r w:rsidRPr="008F5C15">
              <w:rPr>
                <w:rFonts w:ascii="Verdana" w:hAnsi="Verdana"/>
                <w:sz w:val="16"/>
                <w:szCs w:val="16"/>
                <w:lang w:val="en-US"/>
              </w:rPr>
              <w:t>All installations and buildings must be subject to written instructions for their cleaning and when applicable their sanitization.</w:t>
            </w:r>
          </w:p>
        </w:tc>
      </w:tr>
      <w:tr w:rsidR="001C6A90" w:rsidRPr="00F70181" w14:paraId="7EE5FA2C" w14:textId="77777777" w:rsidTr="00886332">
        <w:tc>
          <w:tcPr>
            <w:tcW w:w="4405" w:type="dxa"/>
          </w:tcPr>
          <w:p w14:paraId="39A658C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8.2.1.4 </w:t>
            </w:r>
            <w:r w:rsidRPr="008F5C15">
              <w:rPr>
                <w:rFonts w:ascii="Verdana" w:hAnsi="Verdana"/>
                <w:sz w:val="16"/>
                <w:szCs w:val="16"/>
                <w:lang w:val="es-MX"/>
              </w:rPr>
              <w:t>La iluminación, temperatura, humedad y ventilación deben ser adecuadas a las actividades que se realicen en cada una de ellas y no deben afectar directa o indirectamente al producto, equipo y personal.</w:t>
            </w:r>
          </w:p>
        </w:tc>
        <w:tc>
          <w:tcPr>
            <w:tcW w:w="4427" w:type="dxa"/>
            <w:shd w:val="clear" w:color="auto" w:fill="auto"/>
          </w:tcPr>
          <w:p w14:paraId="3DA85C34" w14:textId="77777777" w:rsidR="001C6A90" w:rsidRPr="008F5C15" w:rsidRDefault="001C6A90" w:rsidP="001C6A90">
            <w:pPr>
              <w:pStyle w:val="Texto"/>
              <w:spacing w:after="0" w:line="276" w:lineRule="auto"/>
              <w:ind w:firstLine="0"/>
              <w:rPr>
                <w:rFonts w:ascii="Verdana" w:hAnsi="Verdana"/>
                <w:b/>
                <w:sz w:val="16"/>
                <w:szCs w:val="16"/>
                <w:lang w:val="en-US"/>
              </w:rPr>
            </w:pPr>
            <w:r w:rsidRPr="008F5C15">
              <w:rPr>
                <w:rFonts w:ascii="Verdana" w:hAnsi="Verdana"/>
                <w:b/>
                <w:sz w:val="16"/>
                <w:szCs w:val="16"/>
                <w:lang w:val="en-US"/>
              </w:rPr>
              <w:t xml:space="preserve">8.2.1.4 </w:t>
            </w:r>
            <w:r w:rsidRPr="008F5C15">
              <w:rPr>
                <w:rFonts w:ascii="Verdana" w:hAnsi="Verdana"/>
                <w:sz w:val="16"/>
                <w:szCs w:val="16"/>
                <w:lang w:val="en-US"/>
              </w:rPr>
              <w:t>The illumination, temperature, humidity and ventilation must be adequate for the activities performed in each of them and must not directly or indirectly affect the product, equipment and personnel.</w:t>
            </w:r>
          </w:p>
        </w:tc>
      </w:tr>
      <w:tr w:rsidR="001C6A90" w:rsidRPr="00F70181" w14:paraId="3B273A17" w14:textId="77777777" w:rsidTr="00886332">
        <w:tc>
          <w:tcPr>
            <w:tcW w:w="4405" w:type="dxa"/>
          </w:tcPr>
          <w:p w14:paraId="57BB6E8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8.2.1.5 </w:t>
            </w:r>
            <w:r w:rsidRPr="008F5C15">
              <w:rPr>
                <w:rFonts w:ascii="Verdana" w:hAnsi="Verdana"/>
                <w:sz w:val="16"/>
                <w:szCs w:val="16"/>
                <w:lang w:val="es-MX"/>
              </w:rPr>
              <w:t>El ingreso de personal a las instalaciones o áreas debe controlarse de acuerdo a las actividades que en ellas se realicen. Las áreas de producción y acondicionamiento no deben usarse como vías de paso para el personal e insumos.</w:t>
            </w:r>
          </w:p>
        </w:tc>
        <w:tc>
          <w:tcPr>
            <w:tcW w:w="4427" w:type="dxa"/>
            <w:shd w:val="clear" w:color="auto" w:fill="auto"/>
          </w:tcPr>
          <w:p w14:paraId="4C8C3DA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8.2.1.5 </w:t>
            </w:r>
            <w:r w:rsidRPr="008F5C15">
              <w:rPr>
                <w:rFonts w:ascii="Verdana" w:hAnsi="Verdana"/>
                <w:sz w:val="16"/>
                <w:szCs w:val="16"/>
                <w:lang w:val="en-US"/>
              </w:rPr>
              <w:t>Entry of personnel into the installations or areas must be controlled in accordance with the activities performed within them. Production and conditioning areas must not be used as passageways for personnel and materials.</w:t>
            </w:r>
          </w:p>
        </w:tc>
      </w:tr>
      <w:tr w:rsidR="001C6A90" w:rsidRPr="006A4A11" w14:paraId="0244838A" w14:textId="77777777" w:rsidTr="00886332">
        <w:tc>
          <w:tcPr>
            <w:tcW w:w="4405" w:type="dxa"/>
          </w:tcPr>
          <w:p w14:paraId="6AEC6430"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 </w:t>
            </w:r>
            <w:r w:rsidRPr="008F5C15">
              <w:rPr>
                <w:rFonts w:ascii="Verdana" w:hAnsi="Verdana"/>
                <w:sz w:val="16"/>
                <w:szCs w:val="16"/>
                <w:lang w:val="es-MX"/>
              </w:rPr>
              <w:t>Áreas de producción.</w:t>
            </w:r>
          </w:p>
        </w:tc>
        <w:tc>
          <w:tcPr>
            <w:tcW w:w="4427" w:type="dxa"/>
            <w:shd w:val="clear" w:color="auto" w:fill="auto"/>
          </w:tcPr>
          <w:p w14:paraId="09CC6B7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 </w:t>
            </w:r>
            <w:r w:rsidRPr="008F5C15">
              <w:rPr>
                <w:rFonts w:ascii="Verdana" w:hAnsi="Verdana"/>
                <w:sz w:val="16"/>
                <w:szCs w:val="16"/>
                <w:lang w:val="en-US"/>
              </w:rPr>
              <w:t>Production areas.</w:t>
            </w:r>
          </w:p>
        </w:tc>
      </w:tr>
      <w:tr w:rsidR="001C6A90" w:rsidRPr="00F70181" w14:paraId="4DE58138" w14:textId="77777777" w:rsidTr="00886332">
        <w:tc>
          <w:tcPr>
            <w:tcW w:w="4405" w:type="dxa"/>
          </w:tcPr>
          <w:p w14:paraId="1976F28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8.2.2.1 </w:t>
            </w:r>
            <w:r w:rsidRPr="008F5C15">
              <w:rPr>
                <w:rFonts w:ascii="Verdana" w:hAnsi="Verdana"/>
                <w:sz w:val="16"/>
                <w:szCs w:val="16"/>
                <w:lang w:val="es-MX"/>
              </w:rPr>
              <w:t>Las áreas de producción deben tener acabado sanitario; todos los servicios como son: lámparas y tuberías, puntos de ventilación y extracción, alimentación de energía, deben ser diseñadas e instaladas para evitar acumulación de polvos y facilitar su limpieza.</w:t>
            </w:r>
          </w:p>
        </w:tc>
        <w:tc>
          <w:tcPr>
            <w:tcW w:w="4427" w:type="dxa"/>
            <w:shd w:val="clear" w:color="auto" w:fill="auto"/>
          </w:tcPr>
          <w:p w14:paraId="034374D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8.2.2.1 </w:t>
            </w:r>
            <w:r w:rsidRPr="008F5C15">
              <w:rPr>
                <w:rFonts w:ascii="Verdana" w:hAnsi="Verdana"/>
                <w:sz w:val="16"/>
                <w:szCs w:val="16"/>
                <w:lang w:val="en-US"/>
              </w:rPr>
              <w:t xml:space="preserve">The areas of production, sampling must have a sanitary finish; all the services such as: lamps and pipes, points of ventilation and extraction, supply of energy must be designed and installed to avoid the accumulation of dust and facilitate their cleaning. </w:t>
            </w:r>
          </w:p>
        </w:tc>
      </w:tr>
      <w:tr w:rsidR="001C6A90" w:rsidRPr="00F70181" w14:paraId="74B6288C" w14:textId="77777777" w:rsidTr="00886332">
        <w:tc>
          <w:tcPr>
            <w:tcW w:w="4405" w:type="dxa"/>
          </w:tcPr>
          <w:p w14:paraId="789B0E8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8.2.2.2 </w:t>
            </w:r>
            <w:r w:rsidRPr="008F5C15">
              <w:rPr>
                <w:rFonts w:ascii="Verdana" w:hAnsi="Verdana"/>
                <w:sz w:val="16"/>
                <w:szCs w:val="16"/>
                <w:lang w:val="es-MX"/>
              </w:rPr>
              <w:t>El diseño y ubicación de las áreas debe ser tal que el flujo de personal, insumos, producto en proceso, producto terminado y desechos se efectúe en orden lógico y secuencial de acuerdo al proceso de fabricación; evitando flujos cruzados, minimizando el riesgo de contaminación al producto y considerando los niveles de limpieza adecuados.</w:t>
            </w:r>
          </w:p>
        </w:tc>
        <w:tc>
          <w:tcPr>
            <w:tcW w:w="4427" w:type="dxa"/>
            <w:shd w:val="clear" w:color="auto" w:fill="auto"/>
          </w:tcPr>
          <w:p w14:paraId="6F88F89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8.2.2.2</w:t>
            </w:r>
            <w:r w:rsidRPr="008F5C15">
              <w:rPr>
                <w:rFonts w:ascii="Verdana" w:hAnsi="Verdana"/>
                <w:sz w:val="16"/>
                <w:szCs w:val="16"/>
                <w:lang w:val="en-US"/>
              </w:rPr>
              <w:t xml:space="preserve"> The design and location of the areas must be such that the flow of personnel, materials, product in progress, finished product and wastes is carried out in a logical and sequential order according to the manufacturing process; avoiding cross flows, minimizing the risk to the product of contamination and considering the adequate cleaning levels. </w:t>
            </w:r>
          </w:p>
        </w:tc>
      </w:tr>
      <w:tr w:rsidR="001C6A90" w:rsidRPr="00F70181" w14:paraId="6B86085E" w14:textId="77777777" w:rsidTr="00886332">
        <w:tc>
          <w:tcPr>
            <w:tcW w:w="4405" w:type="dxa"/>
          </w:tcPr>
          <w:p w14:paraId="0B3E85C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8.2.2.3 </w:t>
            </w:r>
            <w:r w:rsidRPr="008F5C15">
              <w:rPr>
                <w:rFonts w:ascii="Verdana" w:hAnsi="Verdana"/>
                <w:sz w:val="16"/>
                <w:szCs w:val="16"/>
                <w:lang w:val="es-MX"/>
              </w:rPr>
              <w:t>Se debe demostrar que el tamaño y número de áreas está acorde a la capacidad de fabricación, equipos, diversidad de productos y tipo de actividades que se realicen en cada una de ellas.</w:t>
            </w:r>
          </w:p>
        </w:tc>
        <w:tc>
          <w:tcPr>
            <w:tcW w:w="4427" w:type="dxa"/>
          </w:tcPr>
          <w:p w14:paraId="789E49E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8.2.2.3 </w:t>
            </w:r>
            <w:r w:rsidRPr="008F5C15">
              <w:rPr>
                <w:rFonts w:ascii="Verdana" w:hAnsi="Verdana"/>
                <w:sz w:val="16"/>
                <w:szCs w:val="16"/>
                <w:lang w:val="en-US"/>
              </w:rPr>
              <w:t xml:space="preserve">It must be shown that the size and number of areas is consistent with manufacturing capacity, equipment, product diversity and types of activities performed in each one of them. </w:t>
            </w:r>
          </w:p>
        </w:tc>
      </w:tr>
      <w:tr w:rsidR="001C6A90" w:rsidRPr="00F70181" w14:paraId="64ECFE78" w14:textId="77777777" w:rsidTr="00886332">
        <w:tc>
          <w:tcPr>
            <w:tcW w:w="4405" w:type="dxa"/>
          </w:tcPr>
          <w:p w14:paraId="0FFBFC42"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8.2.2.4 </w:t>
            </w:r>
            <w:r w:rsidRPr="008F5C15">
              <w:rPr>
                <w:rFonts w:ascii="Verdana" w:hAnsi="Verdana"/>
                <w:sz w:val="16"/>
                <w:szCs w:val="16"/>
                <w:lang w:val="es-MX"/>
              </w:rPr>
              <w:t>El diseño de las áreas de fabricación debe contemplar cuartos para el acceso de personal, cambio de ropa de acuerdo a la clasificación del Apéndice A Normativo de esta Norma.</w:t>
            </w:r>
          </w:p>
        </w:tc>
        <w:tc>
          <w:tcPr>
            <w:tcW w:w="4427" w:type="dxa"/>
          </w:tcPr>
          <w:p w14:paraId="5109181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8.2.2.4 </w:t>
            </w:r>
            <w:r w:rsidRPr="008F5C15">
              <w:rPr>
                <w:rFonts w:ascii="Verdana" w:hAnsi="Verdana"/>
                <w:sz w:val="16"/>
                <w:szCs w:val="16"/>
                <w:lang w:val="en-US"/>
              </w:rPr>
              <w:t xml:space="preserve">The design of the manufacturing areas must include rooms for the access of personnel, for changing clothing according to the classification of Obligatory Appendix A of this Standard. </w:t>
            </w:r>
          </w:p>
        </w:tc>
      </w:tr>
      <w:tr w:rsidR="001C6A90" w:rsidRPr="00F70181" w14:paraId="0F0E0C51" w14:textId="77777777" w:rsidTr="00886332">
        <w:tc>
          <w:tcPr>
            <w:tcW w:w="4405" w:type="dxa"/>
          </w:tcPr>
          <w:p w14:paraId="72EB2792"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8.2.2.5 </w:t>
            </w:r>
            <w:r w:rsidRPr="008F5C15">
              <w:rPr>
                <w:rFonts w:ascii="Verdana" w:hAnsi="Verdana"/>
                <w:sz w:val="16"/>
                <w:szCs w:val="16"/>
                <w:lang w:val="es-MX"/>
              </w:rPr>
              <w:t>Las tuberías deben estar identificadas, de acuerdo al código de la NOM-026-STPS-2008, Colores y señales de seguridad e higiene, e identificación de riesgos por fluidos conducidos en tuberías, y en los casos en que aplique la dirección del flujo.</w:t>
            </w:r>
          </w:p>
        </w:tc>
        <w:tc>
          <w:tcPr>
            <w:tcW w:w="4427" w:type="dxa"/>
          </w:tcPr>
          <w:p w14:paraId="4259EE0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8.2.2.5 </w:t>
            </w:r>
            <w:r w:rsidRPr="008F5C15">
              <w:rPr>
                <w:rFonts w:ascii="Verdana" w:hAnsi="Verdana"/>
                <w:sz w:val="16"/>
                <w:szCs w:val="16"/>
                <w:lang w:val="en-US"/>
              </w:rPr>
              <w:t xml:space="preserve">The pipelines must be identified, according to the code of the NOM-026-STPS-2008, Health and Safety Colors and signs, and identification of risks from fluids conducted in pipes, and in the cases in which the directional flow applies. </w:t>
            </w:r>
          </w:p>
        </w:tc>
      </w:tr>
      <w:tr w:rsidR="001C6A90" w:rsidRPr="00F70181" w14:paraId="0E52359D" w14:textId="77777777" w:rsidTr="00886332">
        <w:tc>
          <w:tcPr>
            <w:tcW w:w="4405" w:type="dxa"/>
          </w:tcPr>
          <w:p w14:paraId="28FB3D9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8.2.2.6 </w:t>
            </w:r>
            <w:r w:rsidRPr="008F5C15">
              <w:rPr>
                <w:rFonts w:ascii="Verdana" w:hAnsi="Verdana"/>
                <w:sz w:val="16"/>
                <w:szCs w:val="16"/>
                <w:lang w:val="es-MX"/>
              </w:rPr>
              <w:t>Las tuberías por las que se transfieran materias primas, productos intermedios o a granel, deben ser de un material inerte no contaminante y éstas deben estar identificadas.</w:t>
            </w:r>
          </w:p>
        </w:tc>
        <w:tc>
          <w:tcPr>
            <w:tcW w:w="4427" w:type="dxa"/>
          </w:tcPr>
          <w:p w14:paraId="4977A71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8.2.2.6 </w:t>
            </w:r>
            <w:r w:rsidRPr="008F5C15">
              <w:rPr>
                <w:rFonts w:ascii="Verdana" w:hAnsi="Verdana"/>
                <w:sz w:val="16"/>
                <w:szCs w:val="16"/>
                <w:lang w:val="en-US"/>
              </w:rPr>
              <w:t xml:space="preserve">The pipelines by which raw materials, intermediate materials or bulk materials are transferred must be of an inert material that does not contaminate and they must be identified. </w:t>
            </w:r>
          </w:p>
        </w:tc>
      </w:tr>
      <w:tr w:rsidR="001C6A90" w:rsidRPr="00F70181" w14:paraId="786D187B" w14:textId="77777777" w:rsidTr="00886332">
        <w:tc>
          <w:tcPr>
            <w:tcW w:w="4405" w:type="dxa"/>
          </w:tcPr>
          <w:p w14:paraId="02DF7F1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8.2.2.7 </w:t>
            </w:r>
            <w:r w:rsidRPr="008F5C15">
              <w:rPr>
                <w:rFonts w:ascii="Verdana" w:hAnsi="Verdana"/>
                <w:sz w:val="16"/>
                <w:szCs w:val="16"/>
                <w:lang w:val="es-MX"/>
              </w:rPr>
              <w:t>Los drenajes deben contar con trampas o algún dispositivo que prevenga contraflujo o contaminación. En las áreas clase A/B, usadas para producción aséptica están prohibidos los drenajes.</w:t>
            </w:r>
          </w:p>
        </w:tc>
        <w:tc>
          <w:tcPr>
            <w:tcW w:w="4427" w:type="dxa"/>
          </w:tcPr>
          <w:p w14:paraId="531C1C0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8.2.2.7 </w:t>
            </w:r>
            <w:r w:rsidRPr="008F5C15">
              <w:rPr>
                <w:rFonts w:ascii="Verdana" w:hAnsi="Verdana"/>
                <w:sz w:val="16"/>
                <w:szCs w:val="16"/>
                <w:lang w:val="en-US"/>
              </w:rPr>
              <w:t xml:space="preserve">The drains must have traps or some device that prevents counter flow or contamination. In the Class A/B areas, used for aseptic production drains are prohibited. </w:t>
            </w:r>
          </w:p>
        </w:tc>
      </w:tr>
      <w:tr w:rsidR="001C6A90" w:rsidRPr="00F70181" w14:paraId="2C9FE919" w14:textId="77777777" w:rsidTr="00886332">
        <w:tc>
          <w:tcPr>
            <w:tcW w:w="4405" w:type="dxa"/>
          </w:tcPr>
          <w:p w14:paraId="0C511DE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8.2.2.8 </w:t>
            </w:r>
            <w:r w:rsidRPr="008F5C15">
              <w:rPr>
                <w:rFonts w:ascii="Verdana" w:hAnsi="Verdana"/>
                <w:sz w:val="16"/>
                <w:szCs w:val="16"/>
                <w:lang w:val="es-MX"/>
              </w:rPr>
              <w:t>Deben contar con áreas para el almacenamiento de los accesorios de los equipos de fabricación.</w:t>
            </w:r>
          </w:p>
        </w:tc>
        <w:tc>
          <w:tcPr>
            <w:tcW w:w="4427" w:type="dxa"/>
          </w:tcPr>
          <w:p w14:paraId="1EF4B3B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8.2.2.8 </w:t>
            </w:r>
            <w:r w:rsidRPr="008F5C15">
              <w:rPr>
                <w:rFonts w:ascii="Verdana" w:hAnsi="Verdana"/>
                <w:sz w:val="16"/>
                <w:szCs w:val="16"/>
                <w:lang w:val="en-US"/>
              </w:rPr>
              <w:t xml:space="preserve">They must have areas for the storage of the accessories of the manufacturing equipment. </w:t>
            </w:r>
          </w:p>
        </w:tc>
      </w:tr>
      <w:tr w:rsidR="001C6A90" w:rsidRPr="00F70181" w14:paraId="050723C2" w14:textId="77777777" w:rsidTr="00886332">
        <w:tc>
          <w:tcPr>
            <w:tcW w:w="4405" w:type="dxa"/>
          </w:tcPr>
          <w:p w14:paraId="0DBE279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8.2.2.9 </w:t>
            </w:r>
            <w:r w:rsidRPr="008F5C15">
              <w:rPr>
                <w:rFonts w:ascii="Verdana" w:hAnsi="Verdana"/>
                <w:sz w:val="16"/>
                <w:szCs w:val="16"/>
                <w:lang w:val="es-MX"/>
              </w:rPr>
              <w:t>Deben contar con áreas o gabinetes específicos para guardar herramientas, sustancias o materiales requeridos para el mantenimiento de los equipos de fabricación, los cuales deben cumplir con las mismas condiciones sanitaras de acuerdo al área en el que se encuentran.</w:t>
            </w:r>
          </w:p>
        </w:tc>
        <w:tc>
          <w:tcPr>
            <w:tcW w:w="4427" w:type="dxa"/>
          </w:tcPr>
          <w:p w14:paraId="5301BEF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8.2.2.9 </w:t>
            </w:r>
            <w:r w:rsidRPr="008F5C15">
              <w:rPr>
                <w:rFonts w:ascii="Verdana" w:hAnsi="Verdana"/>
                <w:sz w:val="16"/>
                <w:szCs w:val="16"/>
                <w:lang w:val="en-US"/>
              </w:rPr>
              <w:t xml:space="preserve">There must be specific areas or cabinets for guarding tools, substances or materials required for the maintenance of the manufacturing equipment, which must comply with the same sanitary conditions according to the area in which they are found. </w:t>
            </w:r>
          </w:p>
        </w:tc>
      </w:tr>
      <w:tr w:rsidR="001C6A90" w:rsidRPr="00F70181" w14:paraId="0752B673" w14:textId="77777777" w:rsidTr="00886332">
        <w:tc>
          <w:tcPr>
            <w:tcW w:w="4405" w:type="dxa"/>
          </w:tcPr>
          <w:p w14:paraId="7DF374C8"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8.2.2.10 </w:t>
            </w:r>
            <w:r w:rsidRPr="008F5C15">
              <w:rPr>
                <w:rFonts w:ascii="Verdana" w:hAnsi="Verdana"/>
                <w:sz w:val="16"/>
                <w:szCs w:val="16"/>
                <w:lang w:val="es-MX"/>
              </w:rPr>
              <w:t>Deben contar con áreas separadas para cada uno de los procesos de fabricación; en caso de procesos en los que se efectúen más de una operación unitaria de manera continua debe efectuarse la gestión de riesgo y justificar el diseño de las áreas.</w:t>
            </w:r>
          </w:p>
        </w:tc>
        <w:tc>
          <w:tcPr>
            <w:tcW w:w="4427" w:type="dxa"/>
          </w:tcPr>
          <w:p w14:paraId="7FD41C6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8.2.2.10 </w:t>
            </w:r>
            <w:r w:rsidRPr="008F5C15">
              <w:rPr>
                <w:rFonts w:ascii="Verdana" w:hAnsi="Verdana"/>
                <w:sz w:val="16"/>
                <w:szCs w:val="16"/>
                <w:lang w:val="en-US"/>
              </w:rPr>
              <w:t xml:space="preserve">There must be separate areas for each one of the manufacturing processes; in the case of processes in which more than one unitary operation continuously are made, the management of risk must be made and the design of the areas justified. </w:t>
            </w:r>
          </w:p>
        </w:tc>
      </w:tr>
      <w:tr w:rsidR="001C6A90" w:rsidRPr="00F70181" w14:paraId="476A1030" w14:textId="77777777" w:rsidTr="00886332">
        <w:tc>
          <w:tcPr>
            <w:tcW w:w="4405" w:type="dxa"/>
          </w:tcPr>
          <w:p w14:paraId="0B2E0637"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8.2.2.11 </w:t>
            </w:r>
            <w:r w:rsidRPr="008F5C15">
              <w:rPr>
                <w:rFonts w:ascii="Verdana" w:hAnsi="Verdana"/>
                <w:sz w:val="16"/>
                <w:szCs w:val="16"/>
                <w:lang w:val="es-MX"/>
              </w:rPr>
              <w:t>El pesado de las materias primas debe realizarse en áreas separadas y diseñadas para este fin.</w:t>
            </w:r>
          </w:p>
        </w:tc>
        <w:tc>
          <w:tcPr>
            <w:tcW w:w="4427" w:type="dxa"/>
          </w:tcPr>
          <w:p w14:paraId="7FB1147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8.2.2.11 </w:t>
            </w:r>
            <w:r w:rsidRPr="008F5C15">
              <w:rPr>
                <w:rFonts w:ascii="Verdana" w:hAnsi="Verdana"/>
                <w:sz w:val="16"/>
                <w:szCs w:val="16"/>
                <w:lang w:val="en-US"/>
              </w:rPr>
              <w:t xml:space="preserve">The weight of the raw materials must be made in separate areas designed for this purpose. </w:t>
            </w:r>
          </w:p>
        </w:tc>
      </w:tr>
      <w:tr w:rsidR="001C6A90" w:rsidRPr="00F70181" w14:paraId="64A1CEDD" w14:textId="77777777" w:rsidTr="00886332">
        <w:tc>
          <w:tcPr>
            <w:tcW w:w="4405" w:type="dxa"/>
          </w:tcPr>
          <w:p w14:paraId="4AFBD2E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8.2.2.12 </w:t>
            </w:r>
            <w:r w:rsidRPr="008F5C15">
              <w:rPr>
                <w:rFonts w:ascii="Verdana" w:hAnsi="Verdana"/>
                <w:sz w:val="16"/>
                <w:szCs w:val="16"/>
                <w:lang w:val="es-MX"/>
              </w:rPr>
              <w:t>El pesado y muestreo de fármacos de alto riesgo y estériles podrá realizarse en una zona específica del área de producción.</w:t>
            </w:r>
          </w:p>
        </w:tc>
        <w:tc>
          <w:tcPr>
            <w:tcW w:w="4427" w:type="dxa"/>
          </w:tcPr>
          <w:p w14:paraId="39D612F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8.2.2.12 </w:t>
            </w:r>
            <w:r w:rsidRPr="008F5C15">
              <w:rPr>
                <w:rFonts w:ascii="Verdana" w:hAnsi="Verdana"/>
                <w:sz w:val="16"/>
                <w:szCs w:val="16"/>
                <w:lang w:val="en-US"/>
              </w:rPr>
              <w:t xml:space="preserve">The weighing and sampling of high risk drug substances can be made in a specific zone of the production area. </w:t>
            </w:r>
          </w:p>
        </w:tc>
      </w:tr>
      <w:tr w:rsidR="001C6A90" w:rsidRPr="00F70181" w14:paraId="2212D437" w14:textId="77777777" w:rsidTr="00886332">
        <w:tc>
          <w:tcPr>
            <w:tcW w:w="4405" w:type="dxa"/>
          </w:tcPr>
          <w:p w14:paraId="2E89E54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8.2.2.13 </w:t>
            </w:r>
            <w:r w:rsidRPr="008F5C15">
              <w:rPr>
                <w:rFonts w:ascii="Verdana" w:hAnsi="Verdana"/>
                <w:sz w:val="16"/>
                <w:szCs w:val="16"/>
                <w:lang w:val="es-MX"/>
              </w:rPr>
              <w:t>Se debe contar con un área específica para órdenes surtidas que asegure la calidad de los insumos.</w:t>
            </w:r>
          </w:p>
        </w:tc>
        <w:tc>
          <w:tcPr>
            <w:tcW w:w="4427" w:type="dxa"/>
          </w:tcPr>
          <w:p w14:paraId="7B2DAB5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8.2.2.13 </w:t>
            </w:r>
            <w:r w:rsidRPr="008F5C15">
              <w:rPr>
                <w:rFonts w:ascii="Verdana" w:hAnsi="Verdana"/>
                <w:sz w:val="16"/>
                <w:szCs w:val="16"/>
                <w:lang w:val="en-US"/>
              </w:rPr>
              <w:t xml:space="preserve">There must be a specific area for orders supplied that assure the quality of the materials. </w:t>
            </w:r>
          </w:p>
        </w:tc>
      </w:tr>
      <w:tr w:rsidR="001C6A90" w:rsidRPr="00F70181" w14:paraId="200ADE81" w14:textId="77777777" w:rsidTr="00886332">
        <w:tc>
          <w:tcPr>
            <w:tcW w:w="4405" w:type="dxa"/>
          </w:tcPr>
          <w:p w14:paraId="47641108"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8.2.2.14 </w:t>
            </w:r>
            <w:r w:rsidRPr="008F5C15">
              <w:rPr>
                <w:rFonts w:ascii="Verdana" w:hAnsi="Verdana"/>
                <w:sz w:val="16"/>
                <w:szCs w:val="16"/>
                <w:lang w:val="es-MX"/>
              </w:rPr>
              <w:t>Las áreas, equipos de fabricación y procesos deben contar con los sistemas críticos requeridos tales como: HVAC, aire comprimido, agua para uso farmacéutico, vapor puro, entre otros.</w:t>
            </w:r>
          </w:p>
        </w:tc>
        <w:tc>
          <w:tcPr>
            <w:tcW w:w="4427" w:type="dxa"/>
          </w:tcPr>
          <w:p w14:paraId="64EE2B9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8.2.2.14 </w:t>
            </w:r>
            <w:r w:rsidRPr="008F5C15">
              <w:rPr>
                <w:rFonts w:ascii="Verdana" w:hAnsi="Verdana"/>
                <w:sz w:val="16"/>
                <w:szCs w:val="16"/>
                <w:lang w:val="en-US"/>
              </w:rPr>
              <w:t xml:space="preserve">The areas, manufacturing equipment and processes must have the required critical systems such as: HVAC, compressed air, water for pharmaceutical use, pure vapor, among others. </w:t>
            </w:r>
          </w:p>
        </w:tc>
      </w:tr>
      <w:tr w:rsidR="001C6A90" w:rsidRPr="00F70181" w14:paraId="7AAE4BE3" w14:textId="77777777" w:rsidTr="00886332">
        <w:tc>
          <w:tcPr>
            <w:tcW w:w="4405" w:type="dxa"/>
          </w:tcPr>
          <w:p w14:paraId="5C06B980"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8.2.2.15 </w:t>
            </w:r>
            <w:r w:rsidRPr="008F5C15">
              <w:rPr>
                <w:rFonts w:ascii="Verdana" w:hAnsi="Verdana"/>
                <w:sz w:val="16"/>
                <w:szCs w:val="16"/>
                <w:lang w:val="es-MX"/>
              </w:rPr>
              <w:t>Se debe evitar que la instalación y el acceso para mantenimiento al HVAC, agua y sistemas de soporte sea una fuente de contaminación para el producto.</w:t>
            </w:r>
          </w:p>
        </w:tc>
        <w:tc>
          <w:tcPr>
            <w:tcW w:w="4427" w:type="dxa"/>
          </w:tcPr>
          <w:p w14:paraId="09075E0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8.2.2.15 </w:t>
            </w:r>
            <w:r w:rsidRPr="008F5C15">
              <w:rPr>
                <w:rFonts w:ascii="Verdana" w:hAnsi="Verdana"/>
                <w:sz w:val="16"/>
                <w:szCs w:val="16"/>
                <w:lang w:val="en-US"/>
              </w:rPr>
              <w:t xml:space="preserve">It must be avoided that the installation and access for maintenance of the HVAC, water and support systems is a source of contamination for the product. </w:t>
            </w:r>
          </w:p>
        </w:tc>
      </w:tr>
      <w:tr w:rsidR="001C6A90" w:rsidRPr="00F70181" w14:paraId="313D107B" w14:textId="77777777" w:rsidTr="00886332">
        <w:tc>
          <w:tcPr>
            <w:tcW w:w="4405" w:type="dxa"/>
          </w:tcPr>
          <w:p w14:paraId="0BA2498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8.2.2.16 </w:t>
            </w:r>
            <w:r w:rsidRPr="008F5C15">
              <w:rPr>
                <w:rFonts w:ascii="Verdana" w:hAnsi="Verdana"/>
                <w:sz w:val="16"/>
                <w:szCs w:val="16"/>
                <w:lang w:val="es-MX"/>
              </w:rPr>
              <w:t>Las áreas de producción deben contar con tomas identificadas de los sistemas críticos y servicios empleados.</w:t>
            </w:r>
          </w:p>
        </w:tc>
        <w:tc>
          <w:tcPr>
            <w:tcW w:w="4427" w:type="dxa"/>
          </w:tcPr>
          <w:p w14:paraId="6BEAFEC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8.2.2.16 </w:t>
            </w:r>
            <w:r w:rsidRPr="008F5C15">
              <w:rPr>
                <w:rFonts w:ascii="Verdana" w:hAnsi="Verdana"/>
                <w:sz w:val="16"/>
                <w:szCs w:val="16"/>
                <w:lang w:val="en-US"/>
              </w:rPr>
              <w:t xml:space="preserve">The production areas must have outlets identified of the critical systems and services employed. </w:t>
            </w:r>
          </w:p>
        </w:tc>
      </w:tr>
      <w:tr w:rsidR="001C6A90" w:rsidRPr="00F70181" w14:paraId="4B496862" w14:textId="77777777" w:rsidTr="00886332">
        <w:tc>
          <w:tcPr>
            <w:tcW w:w="4405" w:type="dxa"/>
          </w:tcPr>
          <w:p w14:paraId="0EADFFA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8.2.2.17 </w:t>
            </w:r>
            <w:r w:rsidRPr="008F5C15">
              <w:rPr>
                <w:rFonts w:ascii="Verdana" w:hAnsi="Verdana"/>
                <w:sz w:val="16"/>
                <w:szCs w:val="16"/>
                <w:lang w:val="es-MX"/>
              </w:rPr>
              <w:t>El sistema HVAC debe estar diseñado y conformado de acuerdo a las consideraciones mínimas establecidas en la FEUM de forma que le permita cumplir con la clasificación del área requerida de acuerdo al Apéndice A Normativo de esta Norma.</w:t>
            </w:r>
          </w:p>
        </w:tc>
        <w:tc>
          <w:tcPr>
            <w:tcW w:w="4427" w:type="dxa"/>
          </w:tcPr>
          <w:p w14:paraId="4435494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8.2.2.8 </w:t>
            </w:r>
            <w:r w:rsidRPr="008F5C15">
              <w:rPr>
                <w:rFonts w:ascii="Verdana" w:hAnsi="Verdana"/>
                <w:sz w:val="16"/>
                <w:szCs w:val="16"/>
                <w:lang w:val="en-US"/>
              </w:rPr>
              <w:t xml:space="preserve">The HVAC system must be designed and integrated according to the minimum considerations established in the *FEUM (Pharmacopeia of the United Mexican States) that permits complying with the classification of the area required according to Obligatory Appendix A of this Standard. </w:t>
            </w:r>
          </w:p>
        </w:tc>
      </w:tr>
      <w:tr w:rsidR="001C6A90" w:rsidRPr="00F70181" w14:paraId="1B004C20" w14:textId="77777777" w:rsidTr="00886332">
        <w:tc>
          <w:tcPr>
            <w:tcW w:w="4405" w:type="dxa"/>
          </w:tcPr>
          <w:p w14:paraId="5A3662E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8.2.2.18</w:t>
            </w:r>
            <w:r w:rsidRPr="008F5C15">
              <w:rPr>
                <w:rFonts w:ascii="Verdana" w:hAnsi="Verdana"/>
                <w:sz w:val="16"/>
                <w:szCs w:val="16"/>
                <w:lang w:val="es-MX"/>
              </w:rPr>
              <w:t xml:space="preserve"> Las áreas donde se procesan organismos patógenos viables deben utilizar sistemas de ventilación dedicados sin posibilidad de recirculación con áreas adyacentes donde no se manejan organismos patógenos viables. Además, se debe evitar la liberación de éstos al medio ambiente.</w:t>
            </w:r>
          </w:p>
        </w:tc>
        <w:tc>
          <w:tcPr>
            <w:tcW w:w="4427" w:type="dxa"/>
          </w:tcPr>
          <w:p w14:paraId="737CEF9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8.2.2.18 </w:t>
            </w:r>
            <w:r w:rsidRPr="008F5C15">
              <w:rPr>
                <w:rFonts w:ascii="Verdana" w:hAnsi="Verdana"/>
                <w:sz w:val="16"/>
                <w:szCs w:val="16"/>
                <w:lang w:val="en-US"/>
              </w:rPr>
              <w:t xml:space="preserve">The areas where viable pathogenic organisms are processed designated without the possibility of recirculation with areas adjacent where viable pathogenic organisms are handled. In addition, the release of the latter to the environment must be avoided. </w:t>
            </w:r>
          </w:p>
        </w:tc>
      </w:tr>
      <w:tr w:rsidR="001C6A90" w:rsidRPr="00F70181" w14:paraId="12E20FC1" w14:textId="77777777" w:rsidTr="00886332">
        <w:tc>
          <w:tcPr>
            <w:tcW w:w="4405" w:type="dxa"/>
          </w:tcPr>
          <w:p w14:paraId="75751A3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8.2.2.19 </w:t>
            </w:r>
            <w:r w:rsidRPr="008F5C15">
              <w:rPr>
                <w:rFonts w:ascii="Verdana" w:hAnsi="Verdana"/>
                <w:sz w:val="16"/>
                <w:szCs w:val="16"/>
                <w:lang w:val="es-MX"/>
              </w:rPr>
              <w:t>Deben contar con un sistema de monitoreo de las variables críticas de acuerdo a la FEUM a fin de cumplir con la clasificación del Apéndice A Normativo de esta Norma.</w:t>
            </w:r>
          </w:p>
        </w:tc>
        <w:tc>
          <w:tcPr>
            <w:tcW w:w="4427" w:type="dxa"/>
          </w:tcPr>
          <w:p w14:paraId="287B07A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8.2.2.19 </w:t>
            </w:r>
            <w:r w:rsidRPr="008F5C15">
              <w:rPr>
                <w:rFonts w:ascii="Verdana" w:hAnsi="Verdana"/>
                <w:sz w:val="16"/>
                <w:szCs w:val="16"/>
                <w:lang w:val="en-US"/>
              </w:rPr>
              <w:t xml:space="preserve">There must be a monitoring system of the critical variables according to the *FEUM (Pharmacopeia of the United Mexican States) for the </w:t>
            </w:r>
            <w:r w:rsidRPr="008F5C15">
              <w:rPr>
                <w:rFonts w:ascii="Verdana" w:hAnsi="Verdana"/>
                <w:sz w:val="16"/>
                <w:szCs w:val="16"/>
                <w:lang w:val="en-US"/>
              </w:rPr>
              <w:lastRenderedPageBreak/>
              <w:t xml:space="preserve">purpose of complying with the classification in Obligatory Appendix A of this Standard. </w:t>
            </w:r>
          </w:p>
        </w:tc>
      </w:tr>
      <w:tr w:rsidR="001C6A90" w:rsidRPr="00F70181" w14:paraId="4226A19A" w14:textId="77777777" w:rsidTr="00886332">
        <w:tc>
          <w:tcPr>
            <w:tcW w:w="4405" w:type="dxa"/>
          </w:tcPr>
          <w:p w14:paraId="0583106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 xml:space="preserve">8.2.2.20 </w:t>
            </w:r>
            <w:r w:rsidRPr="008F5C15">
              <w:rPr>
                <w:rFonts w:ascii="Verdana" w:hAnsi="Verdana"/>
                <w:sz w:val="16"/>
                <w:szCs w:val="16"/>
                <w:lang w:val="es-MX"/>
              </w:rPr>
              <w:t>Las áreas de producción en las que se generen polvos (muestreo, pesado, mezclado u otro proceso) deben contar con sistemas de extracción y colección de polvos que por su diseño eviten contaminación cruzada y al medio ambiente.</w:t>
            </w:r>
          </w:p>
        </w:tc>
        <w:tc>
          <w:tcPr>
            <w:tcW w:w="4427" w:type="dxa"/>
          </w:tcPr>
          <w:p w14:paraId="1019A04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8.2.2.20 </w:t>
            </w:r>
            <w:r w:rsidRPr="008F5C15">
              <w:rPr>
                <w:rFonts w:ascii="Verdana" w:hAnsi="Verdana"/>
                <w:sz w:val="16"/>
                <w:szCs w:val="16"/>
                <w:lang w:val="en-US"/>
              </w:rPr>
              <w:t>The production areas in which dusts are generated (sampling, weighing, mixing or another process) must have extraction and collection systems of dusts that by their design avoid cross contamination and contamination of the environment.</w:t>
            </w:r>
          </w:p>
        </w:tc>
      </w:tr>
      <w:tr w:rsidR="001C6A90" w:rsidRPr="00F70181" w14:paraId="7F677A82" w14:textId="77777777" w:rsidTr="00886332">
        <w:tc>
          <w:tcPr>
            <w:tcW w:w="4405" w:type="dxa"/>
          </w:tcPr>
          <w:p w14:paraId="5F127AAB"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8.2.2.21 </w:t>
            </w:r>
            <w:r w:rsidRPr="008F5C15">
              <w:rPr>
                <w:rFonts w:ascii="Verdana" w:hAnsi="Verdana"/>
                <w:sz w:val="16"/>
                <w:szCs w:val="16"/>
                <w:lang w:val="es-MX"/>
              </w:rPr>
              <w:t>Las operaciones críticas para la fabricación de estériles como la preparación de materiales, procesos de esterilización, despirogenado y llenado, deben realizarse en áreas controladas y separadas físicamente.</w:t>
            </w:r>
          </w:p>
        </w:tc>
        <w:tc>
          <w:tcPr>
            <w:tcW w:w="4427" w:type="dxa"/>
          </w:tcPr>
          <w:p w14:paraId="62F8D74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8.2.2.21 </w:t>
            </w:r>
            <w:r w:rsidRPr="008F5C15">
              <w:rPr>
                <w:rFonts w:ascii="Verdana" w:hAnsi="Verdana"/>
                <w:sz w:val="16"/>
                <w:szCs w:val="16"/>
                <w:lang w:val="en-US"/>
              </w:rPr>
              <w:t xml:space="preserve">The operations critical for sterile manufacturing such as the preparation of materials, sterilization processes, depyrogenation and filling, must be executed in controlled and physically separated areas. </w:t>
            </w:r>
          </w:p>
        </w:tc>
      </w:tr>
      <w:tr w:rsidR="001C6A90" w:rsidRPr="00F70181" w14:paraId="7A21D540" w14:textId="77777777" w:rsidTr="00886332">
        <w:tc>
          <w:tcPr>
            <w:tcW w:w="4405" w:type="dxa"/>
          </w:tcPr>
          <w:p w14:paraId="3FD3C48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8.2.2.22 </w:t>
            </w:r>
            <w:r w:rsidRPr="008F5C15">
              <w:rPr>
                <w:rFonts w:ascii="Verdana" w:hAnsi="Verdana"/>
                <w:sz w:val="16"/>
                <w:szCs w:val="16"/>
                <w:lang w:val="es-MX"/>
              </w:rPr>
              <w:t>Las áreas en las que se realicen las pruebas de inspección visual deben contar con los requisitos de iluminación necesarios.</w:t>
            </w:r>
          </w:p>
        </w:tc>
        <w:tc>
          <w:tcPr>
            <w:tcW w:w="4427" w:type="dxa"/>
          </w:tcPr>
          <w:p w14:paraId="3A26B60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8.2.2.22 </w:t>
            </w:r>
            <w:r w:rsidRPr="008F5C15">
              <w:rPr>
                <w:rFonts w:ascii="Verdana" w:hAnsi="Verdana"/>
                <w:sz w:val="16"/>
                <w:szCs w:val="16"/>
                <w:lang w:val="en-US"/>
              </w:rPr>
              <w:t xml:space="preserve">The areas in which the visual inspection tests are made must meet the necessary illumination requirements. </w:t>
            </w:r>
          </w:p>
        </w:tc>
      </w:tr>
      <w:tr w:rsidR="001C6A90" w:rsidRPr="00F70181" w14:paraId="668BB1EB" w14:textId="77777777" w:rsidTr="00886332">
        <w:tc>
          <w:tcPr>
            <w:tcW w:w="4405" w:type="dxa"/>
          </w:tcPr>
          <w:p w14:paraId="7EFEE69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8.2.2.23 </w:t>
            </w:r>
            <w:r w:rsidRPr="008F5C15">
              <w:rPr>
                <w:rFonts w:ascii="Verdana" w:hAnsi="Verdana"/>
                <w:sz w:val="16"/>
                <w:szCs w:val="16"/>
                <w:lang w:val="es-MX"/>
              </w:rPr>
              <w:t>Para procesos asépticos, las instalaciones deben considerar además lo siguiente:</w:t>
            </w:r>
          </w:p>
        </w:tc>
        <w:tc>
          <w:tcPr>
            <w:tcW w:w="4427" w:type="dxa"/>
          </w:tcPr>
          <w:p w14:paraId="13E22AA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8.2.2.23 </w:t>
            </w:r>
            <w:r w:rsidRPr="008F5C15">
              <w:rPr>
                <w:rFonts w:ascii="Verdana" w:hAnsi="Verdana"/>
                <w:sz w:val="16"/>
                <w:szCs w:val="16"/>
                <w:lang w:val="en-US"/>
              </w:rPr>
              <w:t xml:space="preserve">For aseptic processes, the installations must also consider the following: </w:t>
            </w:r>
          </w:p>
        </w:tc>
      </w:tr>
      <w:tr w:rsidR="001C6A90" w:rsidRPr="00F70181" w14:paraId="3B901C3C" w14:textId="77777777" w:rsidTr="00886332">
        <w:tc>
          <w:tcPr>
            <w:tcW w:w="4405" w:type="dxa"/>
          </w:tcPr>
          <w:p w14:paraId="18356F5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8.2.2.23.1 </w:t>
            </w:r>
            <w:r w:rsidRPr="008F5C15">
              <w:rPr>
                <w:rFonts w:ascii="Verdana" w:hAnsi="Verdana"/>
                <w:sz w:val="16"/>
                <w:szCs w:val="16"/>
                <w:lang w:val="es-MX"/>
              </w:rPr>
              <w:t>En las áreas asépticas, los techos falsos deben ser sellados para prevenir contaminación proveniente del espacio encima de ellos.</w:t>
            </w:r>
          </w:p>
        </w:tc>
        <w:tc>
          <w:tcPr>
            <w:tcW w:w="4427" w:type="dxa"/>
          </w:tcPr>
          <w:p w14:paraId="54FE51A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8.2.2.23.1 </w:t>
            </w:r>
            <w:r w:rsidRPr="008F5C15">
              <w:rPr>
                <w:rFonts w:ascii="Verdana" w:hAnsi="Verdana"/>
                <w:sz w:val="16"/>
                <w:szCs w:val="16"/>
                <w:lang w:val="en-US"/>
              </w:rPr>
              <w:t xml:space="preserve">In the aseptic areas, the suspended ceilings must be sealed to prevent contamination coming from the space above them. </w:t>
            </w:r>
          </w:p>
        </w:tc>
      </w:tr>
      <w:tr w:rsidR="001C6A90" w:rsidRPr="00F70181" w14:paraId="7A21AE92" w14:textId="77777777" w:rsidTr="00886332">
        <w:tc>
          <w:tcPr>
            <w:tcW w:w="4405" w:type="dxa"/>
          </w:tcPr>
          <w:p w14:paraId="2298011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8.2.2.23.2 </w:t>
            </w:r>
            <w:r w:rsidRPr="008F5C15">
              <w:rPr>
                <w:rFonts w:ascii="Verdana" w:hAnsi="Verdana"/>
                <w:sz w:val="16"/>
                <w:szCs w:val="16"/>
                <w:lang w:val="es-MX"/>
              </w:rPr>
              <w:t>Se debe contar con sistemas que eviten que dos puertas consecutivas sean abiertas simultáneamente, por lo que se debe contar con un sistema de interlock y un sistema de alarma visual y/o auditivo.</w:t>
            </w:r>
          </w:p>
        </w:tc>
        <w:tc>
          <w:tcPr>
            <w:tcW w:w="4427" w:type="dxa"/>
          </w:tcPr>
          <w:p w14:paraId="3C6E9A4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8.2.2.23.2 </w:t>
            </w:r>
            <w:r w:rsidRPr="008F5C15">
              <w:rPr>
                <w:rFonts w:ascii="Verdana" w:hAnsi="Verdana"/>
                <w:sz w:val="16"/>
                <w:szCs w:val="16"/>
                <w:lang w:val="en-US"/>
              </w:rPr>
              <w:t xml:space="preserve">There must be systems that avoid two consecutive doors being opened simultaneously, for which there must be an interlock system and a visual and/or auditory alarm system. </w:t>
            </w:r>
          </w:p>
        </w:tc>
      </w:tr>
      <w:tr w:rsidR="001C6A90" w:rsidRPr="00F70181" w14:paraId="44FDE3E7" w14:textId="77777777" w:rsidTr="00886332">
        <w:tc>
          <w:tcPr>
            <w:tcW w:w="4405" w:type="dxa"/>
          </w:tcPr>
          <w:p w14:paraId="7932FEE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8.2.2.23.3 </w:t>
            </w:r>
            <w:r w:rsidRPr="008F5C15">
              <w:rPr>
                <w:rFonts w:ascii="Verdana" w:hAnsi="Verdana"/>
                <w:sz w:val="16"/>
                <w:szCs w:val="16"/>
                <w:lang w:val="es-MX"/>
              </w:rPr>
              <w:t>Se debe demostrar que el patrón de flujo de aire no representa un riesgo de contaminación.</w:t>
            </w:r>
          </w:p>
        </w:tc>
        <w:tc>
          <w:tcPr>
            <w:tcW w:w="4427" w:type="dxa"/>
          </w:tcPr>
          <w:p w14:paraId="3469416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8.2.2.23.3 </w:t>
            </w:r>
            <w:r w:rsidRPr="008F5C15">
              <w:rPr>
                <w:rFonts w:ascii="Verdana" w:hAnsi="Verdana"/>
                <w:sz w:val="16"/>
                <w:szCs w:val="16"/>
                <w:lang w:val="en-US"/>
              </w:rPr>
              <w:t xml:space="preserve">It must be demonstrated that the air flow pattern does not represent a risk of contamination. </w:t>
            </w:r>
          </w:p>
        </w:tc>
      </w:tr>
      <w:tr w:rsidR="001C6A90" w:rsidRPr="00F70181" w14:paraId="47990FC0" w14:textId="77777777" w:rsidTr="00886332">
        <w:tc>
          <w:tcPr>
            <w:tcW w:w="4405" w:type="dxa"/>
          </w:tcPr>
          <w:p w14:paraId="5B1D019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8.2.2.23.4 </w:t>
            </w:r>
            <w:r w:rsidRPr="008F5C15">
              <w:rPr>
                <w:rFonts w:ascii="Verdana" w:hAnsi="Verdana"/>
                <w:sz w:val="16"/>
                <w:szCs w:val="16"/>
                <w:lang w:val="es-MX"/>
              </w:rPr>
              <w:t>Se debe contar con un Sistema de alarma para indicar cualquier falla en el Sistema de aire. Indicadores de presión diferencial deben ser apropiados entre áreas donde la diferencial es importante, y la diferencial de presiones debe ser registrada.</w:t>
            </w:r>
          </w:p>
        </w:tc>
        <w:tc>
          <w:tcPr>
            <w:tcW w:w="4427" w:type="dxa"/>
          </w:tcPr>
          <w:p w14:paraId="02D1D9B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8.2.2.23.4 </w:t>
            </w:r>
            <w:r w:rsidRPr="008F5C15">
              <w:rPr>
                <w:rFonts w:ascii="Verdana" w:hAnsi="Verdana"/>
                <w:sz w:val="16"/>
                <w:szCs w:val="16"/>
                <w:lang w:val="en-US"/>
              </w:rPr>
              <w:t xml:space="preserve">There must be an Alarm System to indicate any failure in the Air System. Differential pressure indicators must be appropriate between areas where the differential is important, and the pressure differential must be recorded. </w:t>
            </w:r>
          </w:p>
        </w:tc>
      </w:tr>
      <w:tr w:rsidR="001C6A90" w:rsidRPr="00F70181" w14:paraId="000D886D" w14:textId="77777777" w:rsidTr="00886332">
        <w:tc>
          <w:tcPr>
            <w:tcW w:w="4405" w:type="dxa"/>
          </w:tcPr>
          <w:p w14:paraId="55FE184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8.2.2.23.5 </w:t>
            </w:r>
            <w:r w:rsidRPr="008F5C15">
              <w:rPr>
                <w:rFonts w:ascii="Verdana" w:hAnsi="Verdana"/>
                <w:sz w:val="16"/>
                <w:szCs w:val="16"/>
                <w:lang w:val="es-MX"/>
              </w:rPr>
              <w:t>Los vestidores para ingreso a áreas de procesamiento aséptico deben diseñarse como esclusas de aire y proporcionar separación física de las diferentes etapas de cambio. La etapa final de los vestidores, en condiciones estáticas, debe cumplir con la misma clasificación del área a la que conduce. Se debe tener vestidores separados para entrada y salida del personal.</w:t>
            </w:r>
          </w:p>
        </w:tc>
        <w:tc>
          <w:tcPr>
            <w:tcW w:w="4427" w:type="dxa"/>
          </w:tcPr>
          <w:p w14:paraId="0FF689B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8.2.2.23.5 </w:t>
            </w:r>
            <w:r w:rsidRPr="008F5C15">
              <w:rPr>
                <w:rFonts w:ascii="Verdana" w:hAnsi="Verdana"/>
                <w:sz w:val="16"/>
                <w:szCs w:val="16"/>
                <w:lang w:val="en-US"/>
              </w:rPr>
              <w:t xml:space="preserve">The dressing rooms to enter aseptic processing areas must be designed as decontamination areas and provide physical separation from the different stages of change. The final stage of the dressing rooms, in static conditions, must comply with the same classification of the area to which it leads. There must be separate dressing rooms for the entry and exit of personnel. </w:t>
            </w:r>
          </w:p>
        </w:tc>
      </w:tr>
      <w:tr w:rsidR="001C6A90" w:rsidRPr="00F70181" w14:paraId="7A1A3F9A" w14:textId="77777777" w:rsidTr="00886332">
        <w:tc>
          <w:tcPr>
            <w:tcW w:w="4405" w:type="dxa"/>
          </w:tcPr>
          <w:p w14:paraId="22375C65"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8.2.2.24 </w:t>
            </w:r>
            <w:r w:rsidRPr="008F5C15">
              <w:rPr>
                <w:rFonts w:ascii="Verdana" w:hAnsi="Verdana"/>
                <w:sz w:val="16"/>
                <w:szCs w:val="16"/>
                <w:lang w:val="es-MX"/>
              </w:rPr>
              <w:t xml:space="preserve">Las áreas de producción, muestreo, pesadas, envasado primario y todas aquéllas donde se encuentren expuestos componentes, productos y sus servicios inherentes (particularmente los sistemas de aire) de productos penicilínicos, cefalosporínicos, citotóxico, hormonales esteroidales de los grupos andrógenos, estrógenos y progestágenos, hemoderivados, biológicos virales, y biológicos bacterianos, fabricación de biofármacos y aquellos que tengan alta actividad farmacológica o </w:t>
            </w:r>
            <w:r w:rsidRPr="008F5C15">
              <w:rPr>
                <w:rFonts w:ascii="Verdana" w:hAnsi="Verdana"/>
                <w:sz w:val="16"/>
                <w:szCs w:val="16"/>
                <w:lang w:val="es-MX"/>
              </w:rPr>
              <w:lastRenderedPageBreak/>
              <w:t>alta toxicidad, deben ser completamente independientes y autocontenidas.</w:t>
            </w:r>
          </w:p>
        </w:tc>
        <w:tc>
          <w:tcPr>
            <w:tcW w:w="4427" w:type="dxa"/>
          </w:tcPr>
          <w:p w14:paraId="40E05B4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8.2.2.24 </w:t>
            </w:r>
            <w:r w:rsidRPr="008F5C15">
              <w:rPr>
                <w:rFonts w:ascii="Verdana" w:hAnsi="Verdana"/>
                <w:sz w:val="16"/>
                <w:szCs w:val="16"/>
                <w:lang w:val="en-US"/>
              </w:rPr>
              <w:t xml:space="preserve">The areas for production, sampling, weighing, primary containment and all those where exposed components, products and their inherent services are found (particularly the air systems) of penicillin, cephalosporin, cytotoxic, steroid hormones of the products of the androgen, estrogen and progesterone, hemoderivatives, viral biological, and bacterial biologicals, manufacture of biological drug substances groups and those that have high </w:t>
            </w:r>
            <w:r w:rsidRPr="008F5C15">
              <w:rPr>
                <w:rFonts w:ascii="Verdana" w:hAnsi="Verdana"/>
                <w:sz w:val="16"/>
                <w:szCs w:val="16"/>
                <w:lang w:val="en-US"/>
              </w:rPr>
              <w:lastRenderedPageBreak/>
              <w:t xml:space="preserve">pharmacological activity or high toxicity must be completely independent and self-contained. </w:t>
            </w:r>
          </w:p>
        </w:tc>
      </w:tr>
      <w:tr w:rsidR="001C6A90" w:rsidRPr="00F70181" w14:paraId="39AA3A10" w14:textId="77777777" w:rsidTr="00886332">
        <w:tc>
          <w:tcPr>
            <w:tcW w:w="4405" w:type="dxa"/>
          </w:tcPr>
          <w:p w14:paraId="5C06F97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8.2.2.25 </w:t>
            </w:r>
            <w:r w:rsidRPr="008F5C15">
              <w:rPr>
                <w:rFonts w:ascii="Verdana" w:hAnsi="Verdana"/>
                <w:sz w:val="16"/>
                <w:szCs w:val="16"/>
                <w:lang w:val="es-MX"/>
              </w:rPr>
              <w:t>Los medicamentos que demuestren que no tienen alta actividad farmacológica o alta toxicidad, podrán ser fabricados en áreas comunes, previa autorización de la Secretaría, la cual se basará en la valoración del riesgo de los productos, implementación de precauciones específicas para el manejo común de productos, fabricación por campaña y la validación de limpieza correspondiente.</w:t>
            </w:r>
          </w:p>
        </w:tc>
        <w:tc>
          <w:tcPr>
            <w:tcW w:w="4427" w:type="dxa"/>
          </w:tcPr>
          <w:p w14:paraId="129D5A9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8.2.2.25 </w:t>
            </w:r>
            <w:r w:rsidRPr="008F5C15">
              <w:rPr>
                <w:rFonts w:ascii="Verdana" w:hAnsi="Verdana"/>
                <w:sz w:val="16"/>
                <w:szCs w:val="16"/>
                <w:lang w:val="en-US"/>
              </w:rPr>
              <w:t xml:space="preserve">The drug products that demonstrate that they do not have high pharmacological activity or high toxicity, can be manufactured in common areas, after authorization from the Secretary, which will be based on the evaluation of the risk of the products, implementation of specific precautions for the common handling of products, manufacture by campaign and the corresponding validation of cleaning.  </w:t>
            </w:r>
          </w:p>
        </w:tc>
      </w:tr>
      <w:tr w:rsidR="001C6A90" w:rsidRPr="00F70181" w14:paraId="20C67406" w14:textId="77777777" w:rsidTr="00886332">
        <w:tc>
          <w:tcPr>
            <w:tcW w:w="4405" w:type="dxa"/>
          </w:tcPr>
          <w:p w14:paraId="5282496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8.2.2.26 </w:t>
            </w:r>
            <w:r w:rsidRPr="008F5C15">
              <w:rPr>
                <w:rFonts w:ascii="Verdana" w:hAnsi="Verdana"/>
                <w:sz w:val="16"/>
                <w:szCs w:val="16"/>
                <w:lang w:val="es-MX"/>
              </w:rPr>
              <w:t>Los procesos de formulación y llenado de biotecnológicos podrán efectuarse en áreas de fabricación comunes de productos estériles previa autorización de la Secretaría, la cual se basará en la valoración del riesgo de los productos, implementación de precauciones específicas para el manejo común de productos y la validación de limpieza correspondiente.</w:t>
            </w:r>
          </w:p>
        </w:tc>
        <w:tc>
          <w:tcPr>
            <w:tcW w:w="4427" w:type="dxa"/>
          </w:tcPr>
          <w:p w14:paraId="6B47139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8.2.2.26 </w:t>
            </w:r>
            <w:r w:rsidRPr="008F5C15">
              <w:rPr>
                <w:rFonts w:ascii="Verdana" w:hAnsi="Verdana"/>
                <w:sz w:val="16"/>
                <w:szCs w:val="16"/>
                <w:lang w:val="en-US"/>
              </w:rPr>
              <w:t xml:space="preserve">The processes of formulation and filling of biotechnologicals can be made in common fabrication areas of sterile products with authorization from the Secretary, which will be based on the evaluation of the risk of the products, implementation of specific precautions for the common handling of products and the corresponding validation of cleaning. </w:t>
            </w:r>
          </w:p>
        </w:tc>
      </w:tr>
      <w:tr w:rsidR="001C6A90" w:rsidRPr="00F70181" w14:paraId="2CCFDAF2" w14:textId="77777777" w:rsidTr="00886332">
        <w:tc>
          <w:tcPr>
            <w:tcW w:w="4405" w:type="dxa"/>
          </w:tcPr>
          <w:p w14:paraId="785DD5A1"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8.2.2.27 </w:t>
            </w:r>
            <w:r w:rsidRPr="008F5C15">
              <w:rPr>
                <w:rFonts w:ascii="Verdana" w:hAnsi="Verdana"/>
                <w:sz w:val="16"/>
                <w:szCs w:val="16"/>
                <w:lang w:val="es-MX"/>
              </w:rPr>
              <w:t>Otros productos penicilínicos como carbapenemas, podrán ser fabricados en áreas de cefalosporínicos, previa autorización de la Secretaría, la cual se basará en la evaluación del riesgo de los productos, implementación de precauciones específicas para el manejo común de productos, fabricación por campaña y la validación de limpieza correspondiente.</w:t>
            </w:r>
          </w:p>
        </w:tc>
        <w:tc>
          <w:tcPr>
            <w:tcW w:w="4427" w:type="dxa"/>
          </w:tcPr>
          <w:p w14:paraId="42D97E5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8.2.2.27 </w:t>
            </w:r>
            <w:r w:rsidRPr="008F5C15">
              <w:rPr>
                <w:rFonts w:ascii="Verdana" w:hAnsi="Verdana"/>
                <w:sz w:val="16"/>
                <w:szCs w:val="16"/>
                <w:lang w:val="en-US"/>
              </w:rPr>
              <w:t xml:space="preserve">Other penicillin products such as carbapenems can be manufactured in cephalosporin areas, with authorization from the Secretary, which will be based on the evaluation of the risk of the products, implementation of specific precautions for the common handling of products, manufacturing by campaign and the corresponding cleaning validation. </w:t>
            </w:r>
          </w:p>
        </w:tc>
      </w:tr>
      <w:tr w:rsidR="001C6A90" w:rsidRPr="00F70181" w14:paraId="3A082C01" w14:textId="77777777" w:rsidTr="00886332">
        <w:tc>
          <w:tcPr>
            <w:tcW w:w="4405" w:type="dxa"/>
          </w:tcPr>
          <w:p w14:paraId="3D0F308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8.2.2.27.1 </w:t>
            </w:r>
            <w:r w:rsidRPr="008F5C15">
              <w:rPr>
                <w:rFonts w:ascii="Verdana" w:hAnsi="Verdana"/>
                <w:sz w:val="16"/>
                <w:szCs w:val="16"/>
                <w:lang w:val="es-MX"/>
              </w:rPr>
              <w:t>Cuando los inhibidores de betalactamasas se formulen con penicilínicos podrán ser fabricados en áreas de penicilínicos.</w:t>
            </w:r>
          </w:p>
        </w:tc>
        <w:tc>
          <w:tcPr>
            <w:tcW w:w="4427" w:type="dxa"/>
          </w:tcPr>
          <w:p w14:paraId="0AC4C6B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8.2.2.27.1 </w:t>
            </w:r>
            <w:r w:rsidRPr="008F5C15">
              <w:rPr>
                <w:rFonts w:ascii="Verdana" w:hAnsi="Verdana"/>
                <w:sz w:val="16"/>
                <w:szCs w:val="16"/>
                <w:lang w:val="en-US"/>
              </w:rPr>
              <w:t xml:space="preserve">When the Beta lactamase inhibitors are manufactured with penicillins, they can be manufactured in penicillin areas.  </w:t>
            </w:r>
          </w:p>
        </w:tc>
      </w:tr>
      <w:tr w:rsidR="001C6A90" w:rsidRPr="00F70181" w14:paraId="6AB58AB1" w14:textId="77777777" w:rsidTr="00886332">
        <w:tc>
          <w:tcPr>
            <w:tcW w:w="4405" w:type="dxa"/>
          </w:tcPr>
          <w:p w14:paraId="668CEDD0"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8.2.2.28 </w:t>
            </w:r>
            <w:r w:rsidRPr="008F5C15">
              <w:rPr>
                <w:rFonts w:ascii="Verdana" w:hAnsi="Verdana"/>
                <w:sz w:val="16"/>
                <w:szCs w:val="16"/>
                <w:lang w:val="es-MX"/>
              </w:rPr>
              <w:t>Se debe asegurar especialmente la contención en áreas donde se manejen productos que contengan agentes patógenos, de alta toxicidad, virus o bacterias vivas.</w:t>
            </w:r>
          </w:p>
        </w:tc>
        <w:tc>
          <w:tcPr>
            <w:tcW w:w="4427" w:type="dxa"/>
          </w:tcPr>
          <w:p w14:paraId="478C416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8.2.2.28 </w:t>
            </w:r>
            <w:r w:rsidRPr="008F5C15">
              <w:rPr>
                <w:rFonts w:ascii="Verdana" w:hAnsi="Verdana"/>
                <w:sz w:val="16"/>
                <w:szCs w:val="16"/>
                <w:lang w:val="en-US"/>
              </w:rPr>
              <w:t xml:space="preserve">The containment in areas where products that contain pathogenic agents are handled must be secured, from high toxicity, virus or live bacteria. </w:t>
            </w:r>
          </w:p>
        </w:tc>
      </w:tr>
      <w:tr w:rsidR="001C6A90" w:rsidRPr="00F70181" w14:paraId="29BD731C" w14:textId="77777777" w:rsidTr="00886332">
        <w:tc>
          <w:tcPr>
            <w:tcW w:w="4405" w:type="dxa"/>
          </w:tcPr>
          <w:p w14:paraId="5196A1A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8.2.2.29 </w:t>
            </w:r>
            <w:r w:rsidRPr="008F5C15">
              <w:rPr>
                <w:rFonts w:ascii="Verdana" w:hAnsi="Verdana"/>
                <w:sz w:val="16"/>
                <w:szCs w:val="16"/>
                <w:lang w:val="es-MX"/>
              </w:rPr>
              <w:t>El uso de aisladores debe cumplir la calidad del aire requerida para el proceso y producto que se manejen en éstos.</w:t>
            </w:r>
          </w:p>
        </w:tc>
        <w:tc>
          <w:tcPr>
            <w:tcW w:w="4427" w:type="dxa"/>
          </w:tcPr>
          <w:p w14:paraId="1AC59A4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8.2.2.29 </w:t>
            </w:r>
            <w:r w:rsidRPr="008F5C15">
              <w:rPr>
                <w:rFonts w:ascii="Verdana" w:hAnsi="Verdana"/>
                <w:sz w:val="16"/>
                <w:szCs w:val="16"/>
                <w:lang w:val="en-US"/>
              </w:rPr>
              <w:t xml:space="preserve">The use of isolators must comply with the air quality required for the process and product that are handled in them. </w:t>
            </w:r>
          </w:p>
        </w:tc>
      </w:tr>
      <w:tr w:rsidR="001C6A90" w:rsidRPr="00F70181" w14:paraId="15E8E7F2" w14:textId="77777777" w:rsidTr="00886332">
        <w:tc>
          <w:tcPr>
            <w:tcW w:w="4405" w:type="dxa"/>
          </w:tcPr>
          <w:p w14:paraId="63F5CBA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8.2.2.29.1</w:t>
            </w:r>
            <w:r w:rsidRPr="008F5C15">
              <w:rPr>
                <w:rFonts w:ascii="Verdana" w:hAnsi="Verdana"/>
                <w:sz w:val="16"/>
                <w:szCs w:val="16"/>
                <w:lang w:val="es-MX"/>
              </w:rPr>
              <w:t xml:space="preserve"> La clasificación del área donde se coloque el aislador depende del diseño del aislador y su aplicación, sin embargo, debe colocarse en un área Clase D como mínimo.</w:t>
            </w:r>
          </w:p>
        </w:tc>
        <w:tc>
          <w:tcPr>
            <w:tcW w:w="4427" w:type="dxa"/>
          </w:tcPr>
          <w:p w14:paraId="6793386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8.2.2.29.1 </w:t>
            </w:r>
            <w:r w:rsidRPr="008F5C15">
              <w:rPr>
                <w:rFonts w:ascii="Verdana" w:hAnsi="Verdana"/>
                <w:sz w:val="16"/>
                <w:szCs w:val="16"/>
                <w:lang w:val="en-US"/>
              </w:rPr>
              <w:t xml:space="preserve">The classification of the area where the isolator is placed depends on the design of the isolator and its application, nevertheless it must be placed in a Class D area as a minimum. </w:t>
            </w:r>
          </w:p>
        </w:tc>
      </w:tr>
      <w:tr w:rsidR="001C6A90" w:rsidRPr="00F70181" w14:paraId="66CAE5F3" w14:textId="77777777" w:rsidTr="00886332">
        <w:tc>
          <w:tcPr>
            <w:tcW w:w="4405" w:type="dxa"/>
          </w:tcPr>
          <w:p w14:paraId="2316FECA"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8.2.2.29.2 </w:t>
            </w:r>
            <w:r w:rsidRPr="008F5C15">
              <w:rPr>
                <w:rFonts w:ascii="Verdana" w:hAnsi="Verdana"/>
                <w:sz w:val="16"/>
                <w:szCs w:val="16"/>
                <w:lang w:val="es-MX"/>
              </w:rPr>
              <w:t>Deben contar con un sistema de monitoreo de las variables críticas incluidas la prueba de fuga del aislador y la de los guantes.</w:t>
            </w:r>
          </w:p>
        </w:tc>
        <w:tc>
          <w:tcPr>
            <w:tcW w:w="4427" w:type="dxa"/>
          </w:tcPr>
          <w:p w14:paraId="443956F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8.2.2.29.2 </w:t>
            </w:r>
            <w:r w:rsidRPr="008F5C15">
              <w:rPr>
                <w:rFonts w:ascii="Verdana" w:hAnsi="Verdana"/>
                <w:sz w:val="16"/>
                <w:szCs w:val="16"/>
                <w:lang w:val="en-US"/>
              </w:rPr>
              <w:t xml:space="preserve">There must be a monitoring system of the critical variables including the leak test of the isolator and the gloves. </w:t>
            </w:r>
          </w:p>
        </w:tc>
      </w:tr>
      <w:tr w:rsidR="001C6A90" w:rsidRPr="00F70181" w14:paraId="1B2A0920" w14:textId="77777777" w:rsidTr="00886332">
        <w:tc>
          <w:tcPr>
            <w:tcW w:w="4405" w:type="dxa"/>
          </w:tcPr>
          <w:p w14:paraId="10E48468"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8.2.2.30 </w:t>
            </w:r>
            <w:r w:rsidRPr="008F5C15">
              <w:rPr>
                <w:rFonts w:ascii="Verdana" w:hAnsi="Verdana"/>
                <w:sz w:val="16"/>
                <w:szCs w:val="16"/>
                <w:lang w:val="es-MX"/>
              </w:rPr>
              <w:t>Debe asegurarse que los equipos e instrumentos así como los métodos de muestreo que se utilicen para realizar los controles en proceso no se vean afectados directa o indirectamente por el proceso y viceversa.</w:t>
            </w:r>
          </w:p>
        </w:tc>
        <w:tc>
          <w:tcPr>
            <w:tcW w:w="4427" w:type="dxa"/>
          </w:tcPr>
          <w:p w14:paraId="29B8373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8.2.2.30 </w:t>
            </w:r>
            <w:r w:rsidRPr="008F5C15">
              <w:rPr>
                <w:rFonts w:ascii="Verdana" w:hAnsi="Verdana"/>
                <w:sz w:val="16"/>
                <w:szCs w:val="16"/>
                <w:lang w:val="en-US"/>
              </w:rPr>
              <w:t xml:space="preserve">It must be assured that the equipment and instruments, as well as the sampling methods that are used for executing the controls in process are not directly or indirectly affected by the process and vice versa. </w:t>
            </w:r>
          </w:p>
        </w:tc>
      </w:tr>
      <w:tr w:rsidR="001C6A90" w:rsidRPr="00F70181" w14:paraId="30BFBAB1" w14:textId="77777777" w:rsidTr="00886332">
        <w:tc>
          <w:tcPr>
            <w:tcW w:w="4405" w:type="dxa"/>
          </w:tcPr>
          <w:p w14:paraId="36ACDE8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8.2.2.31 </w:t>
            </w:r>
            <w:r w:rsidRPr="008F5C15">
              <w:rPr>
                <w:rFonts w:ascii="Verdana" w:hAnsi="Verdana"/>
                <w:sz w:val="16"/>
                <w:szCs w:val="16"/>
                <w:lang w:val="es-MX"/>
              </w:rPr>
              <w:t xml:space="preserve">Las operaciones de acondicionamiento deben realizarse en un área específica, diseñada y localizada de forma tal que el flujo de personal, </w:t>
            </w:r>
            <w:r w:rsidRPr="008F5C15">
              <w:rPr>
                <w:rFonts w:ascii="Verdana" w:hAnsi="Verdana"/>
                <w:sz w:val="16"/>
                <w:szCs w:val="16"/>
                <w:lang w:val="es-MX"/>
              </w:rPr>
              <w:lastRenderedPageBreak/>
              <w:t>insumos y producto en proceso evite contaminación, confusión y mezcla de productos e insumos.</w:t>
            </w:r>
          </w:p>
        </w:tc>
        <w:tc>
          <w:tcPr>
            <w:tcW w:w="4427" w:type="dxa"/>
          </w:tcPr>
          <w:p w14:paraId="20E29D7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8.2.2.31 </w:t>
            </w:r>
            <w:r w:rsidRPr="008F5C15">
              <w:rPr>
                <w:rFonts w:ascii="Verdana" w:hAnsi="Verdana"/>
                <w:sz w:val="16"/>
                <w:szCs w:val="16"/>
                <w:lang w:val="en-US"/>
              </w:rPr>
              <w:t xml:space="preserve">The conditioning operations must be made in a specific area, designed and located in such a way that the flow of personnel, materials and product in </w:t>
            </w:r>
            <w:r w:rsidRPr="008F5C15">
              <w:rPr>
                <w:rFonts w:ascii="Verdana" w:hAnsi="Verdana"/>
                <w:sz w:val="16"/>
                <w:szCs w:val="16"/>
                <w:lang w:val="en-US"/>
              </w:rPr>
              <w:lastRenderedPageBreak/>
              <w:t xml:space="preserve">process avoid contamination, confusion and mixture of products and materials. </w:t>
            </w:r>
          </w:p>
        </w:tc>
      </w:tr>
      <w:tr w:rsidR="001C6A90" w:rsidRPr="009B3B54" w14:paraId="13FEDB0D" w14:textId="77777777" w:rsidTr="00886332">
        <w:tc>
          <w:tcPr>
            <w:tcW w:w="4405" w:type="dxa"/>
          </w:tcPr>
          <w:p w14:paraId="4669F7A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8.2.3 </w:t>
            </w:r>
            <w:r w:rsidRPr="008F5C15">
              <w:rPr>
                <w:rFonts w:ascii="Verdana" w:hAnsi="Verdana"/>
                <w:sz w:val="16"/>
                <w:szCs w:val="16"/>
                <w:lang w:val="es-MX"/>
              </w:rPr>
              <w:t>Áreas de almacenamiento.</w:t>
            </w:r>
          </w:p>
        </w:tc>
        <w:tc>
          <w:tcPr>
            <w:tcW w:w="4427" w:type="dxa"/>
          </w:tcPr>
          <w:p w14:paraId="6A4FD72D"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8.2.3 </w:t>
            </w:r>
            <w:r w:rsidRPr="008F5C15">
              <w:rPr>
                <w:rFonts w:ascii="Verdana" w:hAnsi="Verdana"/>
                <w:sz w:val="16"/>
                <w:szCs w:val="16"/>
                <w:lang w:val="en-US"/>
              </w:rPr>
              <w:t>Storage areas.</w:t>
            </w:r>
          </w:p>
        </w:tc>
      </w:tr>
      <w:tr w:rsidR="001C6A90" w:rsidRPr="00F70181" w14:paraId="014AE76A" w14:textId="77777777" w:rsidTr="00886332">
        <w:tc>
          <w:tcPr>
            <w:tcW w:w="4405" w:type="dxa"/>
          </w:tcPr>
          <w:p w14:paraId="3326454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8.2.3.1 </w:t>
            </w:r>
            <w:r w:rsidRPr="008F5C15">
              <w:rPr>
                <w:rFonts w:ascii="Verdana" w:hAnsi="Verdana"/>
                <w:sz w:val="16"/>
                <w:szCs w:val="16"/>
                <w:lang w:val="es-MX"/>
              </w:rPr>
              <w:t>Las áreas de almacenamiento debe ser diseñadas y construidas para asegurar las BPAD, deben cumplir con condiciones de limpieza, temperatura y humedad relativa requeridos por el tipo de insumos y/o productos, y llevar a cabo su monitoreo y verificación.</w:t>
            </w:r>
          </w:p>
        </w:tc>
        <w:tc>
          <w:tcPr>
            <w:tcW w:w="4427" w:type="dxa"/>
          </w:tcPr>
          <w:p w14:paraId="5E3DBB6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8.2.3.1 </w:t>
            </w:r>
            <w:r w:rsidRPr="008F5C15">
              <w:rPr>
                <w:rFonts w:ascii="Verdana" w:hAnsi="Verdana"/>
                <w:sz w:val="16"/>
                <w:szCs w:val="16"/>
                <w:lang w:val="en-US"/>
              </w:rPr>
              <w:t xml:space="preserve">The storage areas must be designed and constructed to assure that the </w:t>
            </w:r>
            <w:r w:rsidRPr="008F5C15">
              <w:rPr>
                <w:rFonts w:ascii="Verdana" w:hAnsi="Verdana"/>
                <w:b/>
                <w:sz w:val="16"/>
                <w:szCs w:val="16"/>
                <w:lang w:val="en-US"/>
              </w:rPr>
              <w:t>GPSD</w:t>
            </w:r>
            <w:r w:rsidRPr="008F5C15">
              <w:rPr>
                <w:rFonts w:ascii="Verdana" w:hAnsi="Verdana"/>
                <w:sz w:val="16"/>
                <w:szCs w:val="16"/>
                <w:lang w:val="en-US"/>
              </w:rPr>
              <w:t xml:space="preserve"> (Good Practices of Storage and Distribution) must comply with the cleaning, temperature and relative humidity conditions required by the type of materials and/or products and carry out their monitoring and verification. </w:t>
            </w:r>
          </w:p>
        </w:tc>
      </w:tr>
      <w:tr w:rsidR="001C6A90" w:rsidRPr="00F70181" w14:paraId="3058E59B" w14:textId="77777777" w:rsidTr="00886332">
        <w:tc>
          <w:tcPr>
            <w:tcW w:w="4405" w:type="dxa"/>
          </w:tcPr>
          <w:p w14:paraId="319C793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8.2.3.1.1 </w:t>
            </w:r>
            <w:r w:rsidRPr="008F5C15">
              <w:rPr>
                <w:rFonts w:ascii="Verdana" w:hAnsi="Verdana"/>
                <w:sz w:val="16"/>
                <w:szCs w:val="16"/>
                <w:lang w:val="es-MX"/>
              </w:rPr>
              <w:t>Para insumos y/o productos que requieran de cadena de frío, se debe contar con la infraestructura y equipo necesarios para cumplir con los requisitos y llevar a cabo su control, monitoreo continuo y verificación.</w:t>
            </w:r>
          </w:p>
        </w:tc>
        <w:tc>
          <w:tcPr>
            <w:tcW w:w="4427" w:type="dxa"/>
          </w:tcPr>
          <w:p w14:paraId="5AE222A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8.2.3.1.1 </w:t>
            </w:r>
            <w:r w:rsidRPr="008F5C15">
              <w:rPr>
                <w:rFonts w:ascii="Verdana" w:hAnsi="Verdana"/>
                <w:sz w:val="16"/>
                <w:szCs w:val="16"/>
                <w:lang w:val="en-US"/>
              </w:rPr>
              <w:t xml:space="preserve">For materials and/or products that require a cold chain, there must be the infrastructure and equipment necessary for complying with the requirements and carry out their control, continuous monitoring and verification. </w:t>
            </w:r>
          </w:p>
        </w:tc>
      </w:tr>
      <w:tr w:rsidR="001C6A90" w:rsidRPr="00F70181" w14:paraId="691A8C19" w14:textId="77777777" w:rsidTr="00886332">
        <w:tc>
          <w:tcPr>
            <w:tcW w:w="4405" w:type="dxa"/>
          </w:tcPr>
          <w:p w14:paraId="5D6D479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8.2.3.2 </w:t>
            </w:r>
            <w:r w:rsidRPr="008F5C15">
              <w:rPr>
                <w:rFonts w:ascii="Verdana" w:hAnsi="Verdana"/>
                <w:sz w:val="16"/>
                <w:szCs w:val="16"/>
                <w:lang w:val="es-MX"/>
              </w:rPr>
              <w:t>El área de recepción de insumos y productos debe ser diseñada y construida de tal forma que los proteja del medio exterior, que permita su inspección y limpieza.</w:t>
            </w:r>
          </w:p>
        </w:tc>
        <w:tc>
          <w:tcPr>
            <w:tcW w:w="4427" w:type="dxa"/>
          </w:tcPr>
          <w:p w14:paraId="44617035"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8.2.3.1</w:t>
            </w:r>
            <w:r w:rsidRPr="008F5C15">
              <w:rPr>
                <w:rFonts w:ascii="Verdana" w:hAnsi="Verdana"/>
                <w:sz w:val="16"/>
                <w:szCs w:val="16"/>
                <w:lang w:val="en-US"/>
              </w:rPr>
              <w:t xml:space="preserve"> The reception area of materials and products must be designed and constructed in such a way that protects them from the outdoor environment, that permits their inspection and cleaning.</w:t>
            </w:r>
          </w:p>
        </w:tc>
      </w:tr>
      <w:tr w:rsidR="001C6A90" w:rsidRPr="00F70181" w14:paraId="154F811A" w14:textId="77777777" w:rsidTr="00886332">
        <w:tc>
          <w:tcPr>
            <w:tcW w:w="4405" w:type="dxa"/>
          </w:tcPr>
          <w:p w14:paraId="3A7D9C0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8.2.3.3 </w:t>
            </w:r>
            <w:r w:rsidRPr="008F5C15">
              <w:rPr>
                <w:rFonts w:ascii="Verdana" w:hAnsi="Verdana"/>
                <w:sz w:val="16"/>
                <w:szCs w:val="16"/>
                <w:lang w:val="es-MX"/>
              </w:rPr>
              <w:t>Deben contar con área para el muestreo de materias primas dedicada e independiente que cumpla con las mismas condiciones de un área de producción.</w:t>
            </w:r>
          </w:p>
        </w:tc>
        <w:tc>
          <w:tcPr>
            <w:tcW w:w="4427" w:type="dxa"/>
          </w:tcPr>
          <w:p w14:paraId="7FD7CFE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8.2.3.3 </w:t>
            </w:r>
            <w:r w:rsidRPr="008F5C15">
              <w:rPr>
                <w:rFonts w:ascii="Verdana" w:hAnsi="Verdana"/>
                <w:sz w:val="16"/>
                <w:szCs w:val="16"/>
                <w:lang w:val="en-US"/>
              </w:rPr>
              <w:t xml:space="preserve">There must be a designated and independent area for the sampling of raw materials that complies with the same conditions of a production area. </w:t>
            </w:r>
          </w:p>
        </w:tc>
      </w:tr>
      <w:tr w:rsidR="001C6A90" w:rsidRPr="00F70181" w14:paraId="18915A8B" w14:textId="77777777" w:rsidTr="00886332">
        <w:tc>
          <w:tcPr>
            <w:tcW w:w="4405" w:type="dxa"/>
          </w:tcPr>
          <w:p w14:paraId="26186E2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8.2.3.4 </w:t>
            </w:r>
            <w:r w:rsidRPr="008F5C15">
              <w:rPr>
                <w:rFonts w:ascii="Verdana" w:hAnsi="Verdana"/>
                <w:sz w:val="16"/>
                <w:szCs w:val="16"/>
                <w:lang w:val="es-MX"/>
              </w:rPr>
              <w:t>Deben contar con un área de embarque que asegure la conservación de las propiedades de los medicamentos e insumos.</w:t>
            </w:r>
          </w:p>
        </w:tc>
        <w:tc>
          <w:tcPr>
            <w:tcW w:w="4427" w:type="dxa"/>
          </w:tcPr>
          <w:p w14:paraId="1245BDD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8.2.3.4 </w:t>
            </w:r>
            <w:r w:rsidRPr="008F5C15">
              <w:rPr>
                <w:rFonts w:ascii="Verdana" w:hAnsi="Verdana"/>
                <w:sz w:val="16"/>
                <w:szCs w:val="16"/>
                <w:lang w:val="en-US"/>
              </w:rPr>
              <w:t>There must be a shipping area that assures the conservation of the properties of the drug products and materials.</w:t>
            </w:r>
          </w:p>
        </w:tc>
      </w:tr>
      <w:tr w:rsidR="001C6A90" w:rsidRPr="00F70181" w14:paraId="41774238" w14:textId="77777777" w:rsidTr="00886332">
        <w:tc>
          <w:tcPr>
            <w:tcW w:w="4405" w:type="dxa"/>
          </w:tcPr>
          <w:p w14:paraId="1B4B5420"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8.2.3.5 </w:t>
            </w:r>
            <w:r w:rsidRPr="008F5C15">
              <w:rPr>
                <w:rFonts w:ascii="Verdana" w:hAnsi="Verdana"/>
                <w:sz w:val="16"/>
                <w:szCs w:val="16"/>
                <w:lang w:val="es-MX"/>
              </w:rPr>
              <w:t>Deben contar con áreas delimitadas para el almacenamiento de insumos y productos, recuperados o devueltos. Los productos rechazados deberán estar en áreas segregadas e identificadas.</w:t>
            </w:r>
          </w:p>
        </w:tc>
        <w:tc>
          <w:tcPr>
            <w:tcW w:w="4427" w:type="dxa"/>
          </w:tcPr>
          <w:p w14:paraId="33E709F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8.2.3.5 </w:t>
            </w:r>
            <w:r w:rsidRPr="008F5C15">
              <w:rPr>
                <w:rFonts w:ascii="Verdana" w:hAnsi="Verdana"/>
                <w:sz w:val="16"/>
                <w:szCs w:val="16"/>
                <w:lang w:val="en-US"/>
              </w:rPr>
              <w:t xml:space="preserve">There must be areas delimited for the storage of materials and products, that are recovered or returned. The rejected products must be in segregated and identified areas. </w:t>
            </w:r>
          </w:p>
        </w:tc>
      </w:tr>
      <w:tr w:rsidR="001C6A90" w:rsidRPr="00F70181" w14:paraId="343AB2DF" w14:textId="77777777" w:rsidTr="00886332">
        <w:tc>
          <w:tcPr>
            <w:tcW w:w="4405" w:type="dxa"/>
          </w:tcPr>
          <w:p w14:paraId="17343C3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8.2.3.6 </w:t>
            </w:r>
            <w:r w:rsidRPr="008F5C15">
              <w:rPr>
                <w:rFonts w:ascii="Verdana" w:hAnsi="Verdana"/>
                <w:sz w:val="16"/>
                <w:szCs w:val="16"/>
                <w:lang w:val="es-MX"/>
              </w:rPr>
              <w:t>Los insumos o productos clasificados como estupefacientes y psicotrópicos (controlados) deben contar con un área segregada, segura y con acceso controlado y restringido.</w:t>
            </w:r>
          </w:p>
        </w:tc>
        <w:tc>
          <w:tcPr>
            <w:tcW w:w="4427" w:type="dxa"/>
          </w:tcPr>
          <w:p w14:paraId="49F76DC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8.2.3.6 </w:t>
            </w:r>
            <w:r w:rsidRPr="008F5C15">
              <w:rPr>
                <w:rFonts w:ascii="Verdana" w:hAnsi="Verdana"/>
                <w:sz w:val="16"/>
                <w:szCs w:val="16"/>
                <w:lang w:val="en-US"/>
              </w:rPr>
              <w:t xml:space="preserve">The materials or products classified as narcotics and psychotropics (controlled) must have an area that is segregated and secure and with controlled and restricted access. </w:t>
            </w:r>
          </w:p>
        </w:tc>
      </w:tr>
      <w:tr w:rsidR="001C6A90" w:rsidRPr="00F70181" w14:paraId="167A9978" w14:textId="77777777" w:rsidTr="00886332">
        <w:tc>
          <w:tcPr>
            <w:tcW w:w="4405" w:type="dxa"/>
          </w:tcPr>
          <w:p w14:paraId="4AECF77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8.2.3.7 </w:t>
            </w:r>
            <w:r w:rsidRPr="008F5C15">
              <w:rPr>
                <w:rFonts w:ascii="Verdana" w:hAnsi="Verdana"/>
                <w:sz w:val="16"/>
                <w:szCs w:val="16"/>
                <w:lang w:val="es-MX"/>
              </w:rPr>
              <w:t>Los materiales impresos para el acondicionamiento deben almacenarse en un área con acceso controlado y restringido.</w:t>
            </w:r>
          </w:p>
        </w:tc>
        <w:tc>
          <w:tcPr>
            <w:tcW w:w="4427" w:type="dxa"/>
          </w:tcPr>
          <w:p w14:paraId="7FDE83F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8.2.3.7 </w:t>
            </w:r>
            <w:r w:rsidRPr="008F5C15">
              <w:rPr>
                <w:rFonts w:ascii="Verdana" w:hAnsi="Verdana"/>
                <w:sz w:val="16"/>
                <w:szCs w:val="16"/>
                <w:lang w:val="en-US"/>
              </w:rPr>
              <w:t xml:space="preserve">The printed materials for conditioning must be stored in an area with controlled and restricted access. </w:t>
            </w:r>
          </w:p>
        </w:tc>
      </w:tr>
      <w:tr w:rsidR="001C6A90" w:rsidRPr="00262EF8" w14:paraId="72393B36" w14:textId="77777777" w:rsidTr="00886332">
        <w:tc>
          <w:tcPr>
            <w:tcW w:w="4405" w:type="dxa"/>
          </w:tcPr>
          <w:p w14:paraId="785E3D2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8.2.4 </w:t>
            </w:r>
            <w:r w:rsidRPr="008F5C15">
              <w:rPr>
                <w:rFonts w:ascii="Verdana" w:hAnsi="Verdana"/>
                <w:sz w:val="16"/>
                <w:szCs w:val="16"/>
                <w:lang w:val="es-MX"/>
              </w:rPr>
              <w:t>Áreas de control de calidad.</w:t>
            </w:r>
          </w:p>
        </w:tc>
        <w:tc>
          <w:tcPr>
            <w:tcW w:w="4427" w:type="dxa"/>
          </w:tcPr>
          <w:p w14:paraId="525DC41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8.2.4 </w:t>
            </w:r>
            <w:r w:rsidRPr="008F5C15">
              <w:rPr>
                <w:rFonts w:ascii="Verdana" w:hAnsi="Verdana"/>
                <w:sz w:val="16"/>
                <w:szCs w:val="16"/>
                <w:lang w:val="en-US"/>
              </w:rPr>
              <w:t>Quality control areas.</w:t>
            </w:r>
          </w:p>
        </w:tc>
      </w:tr>
      <w:tr w:rsidR="001C6A90" w:rsidRPr="00F70181" w14:paraId="5EB8866C" w14:textId="77777777" w:rsidTr="00886332">
        <w:tc>
          <w:tcPr>
            <w:tcW w:w="4405" w:type="dxa"/>
          </w:tcPr>
          <w:p w14:paraId="18A18D0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8.2.4.1</w:t>
            </w:r>
            <w:r w:rsidRPr="008F5C15">
              <w:rPr>
                <w:rFonts w:ascii="Verdana" w:hAnsi="Verdana"/>
                <w:sz w:val="16"/>
                <w:szCs w:val="16"/>
                <w:lang w:val="es-MX"/>
              </w:rPr>
              <w:t xml:space="preserve"> El laboratorio de control de calidad debe estar separado físicamente de las áreas de producción y almacenes.</w:t>
            </w:r>
          </w:p>
        </w:tc>
        <w:tc>
          <w:tcPr>
            <w:tcW w:w="4427" w:type="dxa"/>
          </w:tcPr>
          <w:p w14:paraId="08AC8D6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8.2.4.1 </w:t>
            </w:r>
            <w:r w:rsidRPr="008F5C15">
              <w:rPr>
                <w:rFonts w:ascii="Verdana" w:hAnsi="Verdana"/>
                <w:sz w:val="16"/>
                <w:szCs w:val="16"/>
                <w:lang w:val="en-US"/>
              </w:rPr>
              <w:t>The quality control laboratory must be physically separated from the production and storage areas.</w:t>
            </w:r>
          </w:p>
        </w:tc>
      </w:tr>
      <w:tr w:rsidR="001C6A90" w:rsidRPr="00F70181" w14:paraId="450D5D64" w14:textId="77777777" w:rsidTr="00886332">
        <w:tc>
          <w:tcPr>
            <w:tcW w:w="4405" w:type="dxa"/>
          </w:tcPr>
          <w:p w14:paraId="6809C24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8.2.4.1.1</w:t>
            </w:r>
            <w:r w:rsidRPr="008F5C15">
              <w:rPr>
                <w:rFonts w:ascii="Verdana" w:hAnsi="Verdana"/>
                <w:sz w:val="16"/>
                <w:szCs w:val="16"/>
                <w:lang w:val="es-MX"/>
              </w:rPr>
              <w:t xml:space="preserve"> Deben contar con sistema de inyección de aire a fin de contar con presión positiva respecto al medio ambiente externo.</w:t>
            </w:r>
          </w:p>
        </w:tc>
        <w:tc>
          <w:tcPr>
            <w:tcW w:w="4427" w:type="dxa"/>
          </w:tcPr>
          <w:p w14:paraId="5970522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8.2.4.1.1</w:t>
            </w:r>
            <w:r w:rsidRPr="008F5C15">
              <w:rPr>
                <w:rFonts w:ascii="Verdana" w:hAnsi="Verdana"/>
                <w:sz w:val="16"/>
                <w:szCs w:val="16"/>
                <w:lang w:val="en-US"/>
              </w:rPr>
              <w:t xml:space="preserve"> There must be an air injection system for the purpose of having positive pressure with respect to the external environment. </w:t>
            </w:r>
          </w:p>
        </w:tc>
      </w:tr>
      <w:tr w:rsidR="001C6A90" w:rsidRPr="00F70181" w14:paraId="7EA1998F" w14:textId="77777777" w:rsidTr="00886332">
        <w:tc>
          <w:tcPr>
            <w:tcW w:w="4405" w:type="dxa"/>
          </w:tcPr>
          <w:p w14:paraId="2CC4A56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8.2.4.2 </w:t>
            </w:r>
            <w:r w:rsidRPr="008F5C15">
              <w:rPr>
                <w:rFonts w:ascii="Verdana" w:hAnsi="Verdana"/>
                <w:sz w:val="16"/>
                <w:szCs w:val="16"/>
                <w:lang w:val="es-MX"/>
              </w:rPr>
              <w:t>El diseño y construcción del laboratorio de control de calidad debe contar con instalaciones y espacio suficiente para las pruebas y análisis efectuadas en ellos, para evitar mezclas y contaminación.</w:t>
            </w:r>
          </w:p>
        </w:tc>
        <w:tc>
          <w:tcPr>
            <w:tcW w:w="4427" w:type="dxa"/>
          </w:tcPr>
          <w:p w14:paraId="0F099B9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8.2.4.2 </w:t>
            </w:r>
            <w:r w:rsidRPr="008F5C15">
              <w:rPr>
                <w:rFonts w:ascii="Verdana" w:hAnsi="Verdana"/>
                <w:sz w:val="16"/>
                <w:szCs w:val="16"/>
                <w:lang w:val="en-US"/>
              </w:rPr>
              <w:t>The design and construction of the quality control laboratory must have installations and sufficient space for the tests and analyses conducted within them, to avoid mixing and contamination.</w:t>
            </w:r>
          </w:p>
        </w:tc>
      </w:tr>
      <w:tr w:rsidR="001C6A90" w:rsidRPr="00F70181" w14:paraId="47AB74EB" w14:textId="77777777" w:rsidTr="00886332">
        <w:tc>
          <w:tcPr>
            <w:tcW w:w="4405" w:type="dxa"/>
          </w:tcPr>
          <w:p w14:paraId="188CF046"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 xml:space="preserve">8.2.4.2.1 </w:t>
            </w:r>
            <w:r w:rsidRPr="008F5C15">
              <w:rPr>
                <w:rFonts w:ascii="Verdana" w:hAnsi="Verdana"/>
                <w:sz w:val="16"/>
                <w:szCs w:val="16"/>
                <w:lang w:val="es-MX"/>
              </w:rPr>
              <w:t>En el caso de productos de alto riesgo, debe de contar con las instalaciones para el manejo seguro de las muestras que eviten la exposición del personal y la contaminación al medio ambiente.</w:t>
            </w:r>
          </w:p>
        </w:tc>
        <w:tc>
          <w:tcPr>
            <w:tcW w:w="4427" w:type="dxa"/>
          </w:tcPr>
          <w:p w14:paraId="71EA618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8.2.4.2.1</w:t>
            </w:r>
            <w:r w:rsidRPr="008F5C15">
              <w:rPr>
                <w:rFonts w:ascii="Verdana" w:hAnsi="Verdana"/>
                <w:sz w:val="16"/>
                <w:szCs w:val="16"/>
                <w:lang w:val="en-US"/>
              </w:rPr>
              <w:t xml:space="preserve"> In the case of high risk products, there must be installations for the safe handling of samples which avoid the exposure of personnel and environmental contamination.</w:t>
            </w:r>
          </w:p>
        </w:tc>
      </w:tr>
      <w:tr w:rsidR="001C6A90" w:rsidRPr="00F70181" w14:paraId="503E52D6" w14:textId="77777777" w:rsidTr="00886332">
        <w:tc>
          <w:tcPr>
            <w:tcW w:w="4405" w:type="dxa"/>
          </w:tcPr>
          <w:p w14:paraId="17B13A4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8.2.4.3 </w:t>
            </w:r>
            <w:r w:rsidRPr="008F5C15">
              <w:rPr>
                <w:rFonts w:ascii="Verdana" w:hAnsi="Verdana"/>
                <w:sz w:val="16"/>
                <w:szCs w:val="16"/>
                <w:lang w:val="es-MX"/>
              </w:rPr>
              <w:t>Las áreas destinadas a pruebas biológicas, microbiológicas e instrumentales deben estar físicamente separadas entre ellas.</w:t>
            </w:r>
          </w:p>
        </w:tc>
        <w:tc>
          <w:tcPr>
            <w:tcW w:w="4427" w:type="dxa"/>
          </w:tcPr>
          <w:p w14:paraId="0516A18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8.2.4.3 </w:t>
            </w:r>
            <w:r w:rsidRPr="008F5C15">
              <w:rPr>
                <w:rFonts w:ascii="Verdana" w:hAnsi="Verdana"/>
                <w:sz w:val="16"/>
                <w:szCs w:val="16"/>
                <w:lang w:val="en-US"/>
              </w:rPr>
              <w:t xml:space="preserve">The areas designated for biological, microbiological and instrumental tests must be separated from each other. </w:t>
            </w:r>
          </w:p>
        </w:tc>
      </w:tr>
      <w:tr w:rsidR="001C6A90" w:rsidRPr="00F70181" w14:paraId="0B5BA5A4" w14:textId="77777777" w:rsidTr="00886332">
        <w:tc>
          <w:tcPr>
            <w:tcW w:w="4405" w:type="dxa"/>
          </w:tcPr>
          <w:p w14:paraId="01FCC37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8.2.4.4 </w:t>
            </w:r>
            <w:r w:rsidRPr="008F5C15">
              <w:rPr>
                <w:rFonts w:ascii="Verdana" w:hAnsi="Verdana"/>
                <w:sz w:val="16"/>
                <w:szCs w:val="16"/>
                <w:lang w:val="es-MX"/>
              </w:rPr>
              <w:t>Si en el área de instrumental se cuenta con instrumentos sensibles a vibraciones, interferencia eléctrica, humedad o que requieran condiciones especiales, se debe tenerlos en cuartos separados o que aseguren las condiciones recomendadas por el fabricante para su protección.</w:t>
            </w:r>
          </w:p>
        </w:tc>
        <w:tc>
          <w:tcPr>
            <w:tcW w:w="4427" w:type="dxa"/>
          </w:tcPr>
          <w:p w14:paraId="58E2AEE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8.2.4.4 </w:t>
            </w:r>
            <w:r w:rsidRPr="008F5C15">
              <w:rPr>
                <w:rFonts w:ascii="Verdana" w:hAnsi="Verdana"/>
                <w:sz w:val="16"/>
                <w:szCs w:val="16"/>
                <w:lang w:val="en-US"/>
              </w:rPr>
              <w:t>If in the instrumental areas there are instruments that are sensitive to vibrations, electric interference, humidity or that require special conditions, these must be kept in separate rooms or rooms which assure the conditions recommended by the manufacturer for their protection.</w:t>
            </w:r>
          </w:p>
        </w:tc>
      </w:tr>
      <w:tr w:rsidR="001C6A90" w:rsidRPr="00F70181" w14:paraId="1A46D213" w14:textId="77777777" w:rsidTr="00886332">
        <w:tc>
          <w:tcPr>
            <w:tcW w:w="4405" w:type="dxa"/>
          </w:tcPr>
          <w:p w14:paraId="55EE3C0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8.2.4.5</w:t>
            </w:r>
            <w:r w:rsidRPr="008F5C15">
              <w:rPr>
                <w:rFonts w:ascii="Verdana" w:hAnsi="Verdana"/>
                <w:sz w:val="16"/>
                <w:szCs w:val="16"/>
                <w:lang w:val="es-MX"/>
              </w:rPr>
              <w:t xml:space="preserve"> Debe contar con un área específica para las muestras de retención de producto terminado que cumpla con las condiciones establecidas en el marbete.</w:t>
            </w:r>
          </w:p>
        </w:tc>
        <w:tc>
          <w:tcPr>
            <w:tcW w:w="4427" w:type="dxa"/>
          </w:tcPr>
          <w:p w14:paraId="2F819BE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8.2.4.5 </w:t>
            </w:r>
            <w:r w:rsidRPr="008F5C15">
              <w:rPr>
                <w:rFonts w:ascii="Verdana" w:hAnsi="Verdana"/>
                <w:sz w:val="16"/>
                <w:szCs w:val="16"/>
                <w:lang w:val="en-US"/>
              </w:rPr>
              <w:t>There must be a specific area for the retention of samples of finished products which complies with the conditions established on the label.</w:t>
            </w:r>
          </w:p>
        </w:tc>
      </w:tr>
      <w:tr w:rsidR="001C6A90" w:rsidRPr="00F70181" w14:paraId="00BFFC03" w14:textId="77777777" w:rsidTr="00886332">
        <w:tc>
          <w:tcPr>
            <w:tcW w:w="4405" w:type="dxa"/>
          </w:tcPr>
          <w:p w14:paraId="29F5DE9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8.2.4.6</w:t>
            </w:r>
            <w:r w:rsidRPr="008F5C15">
              <w:rPr>
                <w:rFonts w:ascii="Verdana" w:hAnsi="Verdana"/>
                <w:sz w:val="16"/>
                <w:szCs w:val="16"/>
                <w:lang w:val="es-MX"/>
              </w:rPr>
              <w:t xml:space="preserve"> Debe contar con un área específica para las muestras de retención de insumos y productos, que cumpla con las condiciones de conservación de sus propiedades.</w:t>
            </w:r>
          </w:p>
        </w:tc>
        <w:tc>
          <w:tcPr>
            <w:tcW w:w="4427" w:type="dxa"/>
            <w:shd w:val="clear" w:color="auto" w:fill="auto"/>
          </w:tcPr>
          <w:p w14:paraId="586A4AA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8.2.4.6 </w:t>
            </w:r>
            <w:r w:rsidRPr="008F5C15">
              <w:rPr>
                <w:rFonts w:ascii="Verdana" w:hAnsi="Verdana"/>
                <w:sz w:val="16"/>
                <w:szCs w:val="16"/>
                <w:lang w:val="en-US"/>
              </w:rPr>
              <w:t>There must be a specific area for the retention of materials which complies with the conditions for the conservation of their properties.</w:t>
            </w:r>
          </w:p>
        </w:tc>
      </w:tr>
      <w:tr w:rsidR="001C6A90" w:rsidRPr="00F70181" w14:paraId="324173FB" w14:textId="77777777" w:rsidTr="00886332">
        <w:tc>
          <w:tcPr>
            <w:tcW w:w="4405" w:type="dxa"/>
          </w:tcPr>
          <w:p w14:paraId="6033A9C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8.2.4.7 </w:t>
            </w:r>
            <w:r w:rsidRPr="008F5C15">
              <w:rPr>
                <w:rFonts w:ascii="Verdana" w:hAnsi="Verdana"/>
                <w:sz w:val="16"/>
                <w:szCs w:val="16"/>
                <w:lang w:val="es-MX"/>
              </w:rPr>
              <w:t>Deben contar con una zona específica e independiente para el manejo de las muestras para análisis de fármacos, producto en proceso y producto terminado considerados como de alto riesgo.</w:t>
            </w:r>
          </w:p>
        </w:tc>
        <w:tc>
          <w:tcPr>
            <w:tcW w:w="4427" w:type="dxa"/>
            <w:shd w:val="clear" w:color="auto" w:fill="auto"/>
          </w:tcPr>
          <w:p w14:paraId="3905E57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8.2.4.7 </w:t>
            </w:r>
            <w:r w:rsidRPr="008F5C15">
              <w:rPr>
                <w:rFonts w:ascii="Verdana" w:hAnsi="Verdana"/>
                <w:sz w:val="16"/>
                <w:szCs w:val="16"/>
                <w:lang w:val="en-US"/>
              </w:rPr>
              <w:t>There must be a specific and independent area for the handling of samples for drug substance analysis, product in process and finished product considered as high risk.</w:t>
            </w:r>
          </w:p>
        </w:tc>
      </w:tr>
      <w:tr w:rsidR="001C6A90" w:rsidRPr="00262EF8" w14:paraId="75C81C36" w14:textId="77777777" w:rsidTr="00886332">
        <w:tc>
          <w:tcPr>
            <w:tcW w:w="4405" w:type="dxa"/>
          </w:tcPr>
          <w:p w14:paraId="140B24E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8.2.5 </w:t>
            </w:r>
            <w:r w:rsidRPr="008F5C15">
              <w:rPr>
                <w:rFonts w:ascii="Verdana" w:hAnsi="Verdana"/>
                <w:sz w:val="16"/>
                <w:szCs w:val="16"/>
                <w:lang w:val="es-MX"/>
              </w:rPr>
              <w:t>Áreas auxiliares.</w:t>
            </w:r>
          </w:p>
        </w:tc>
        <w:tc>
          <w:tcPr>
            <w:tcW w:w="4427" w:type="dxa"/>
            <w:shd w:val="clear" w:color="auto" w:fill="auto"/>
          </w:tcPr>
          <w:p w14:paraId="0A94492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8.2.5</w:t>
            </w:r>
            <w:r w:rsidRPr="008F5C15">
              <w:rPr>
                <w:rFonts w:ascii="Verdana" w:hAnsi="Verdana"/>
                <w:sz w:val="16"/>
                <w:szCs w:val="16"/>
                <w:lang w:val="en-US"/>
              </w:rPr>
              <w:t xml:space="preserve"> Auxiliary areas</w:t>
            </w:r>
          </w:p>
        </w:tc>
      </w:tr>
      <w:tr w:rsidR="001C6A90" w:rsidRPr="00F70181" w14:paraId="1D961AC6" w14:textId="77777777" w:rsidTr="00886332">
        <w:tc>
          <w:tcPr>
            <w:tcW w:w="4405" w:type="dxa"/>
          </w:tcPr>
          <w:p w14:paraId="18EF2DC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8.2.5.1</w:t>
            </w:r>
            <w:r w:rsidRPr="008F5C15">
              <w:rPr>
                <w:rFonts w:ascii="Verdana" w:hAnsi="Verdana"/>
                <w:sz w:val="16"/>
                <w:szCs w:val="16"/>
                <w:lang w:val="es-MX"/>
              </w:rPr>
              <w:t xml:space="preserve"> Las áreas destinadas al servicio médico y comedores deben estar separados de áreas de fabricación.</w:t>
            </w:r>
          </w:p>
        </w:tc>
        <w:tc>
          <w:tcPr>
            <w:tcW w:w="4427" w:type="dxa"/>
            <w:shd w:val="clear" w:color="auto" w:fill="auto"/>
          </w:tcPr>
          <w:p w14:paraId="2ABC870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8.2.5.1 </w:t>
            </w:r>
            <w:r w:rsidRPr="008F5C15">
              <w:rPr>
                <w:rFonts w:ascii="Verdana" w:hAnsi="Verdana"/>
                <w:sz w:val="16"/>
                <w:szCs w:val="16"/>
                <w:lang w:val="en-US"/>
              </w:rPr>
              <w:t>The areas designated for medical services and dining rooms must be separated from the manufacturing areas.</w:t>
            </w:r>
          </w:p>
        </w:tc>
      </w:tr>
      <w:tr w:rsidR="001C6A90" w:rsidRPr="00F70181" w14:paraId="7497F74B" w14:textId="77777777" w:rsidTr="00886332">
        <w:tc>
          <w:tcPr>
            <w:tcW w:w="4405" w:type="dxa"/>
          </w:tcPr>
          <w:p w14:paraId="228DECF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8.2.5.2</w:t>
            </w:r>
            <w:r w:rsidRPr="008F5C15">
              <w:rPr>
                <w:rFonts w:ascii="Verdana" w:hAnsi="Verdana"/>
                <w:sz w:val="16"/>
                <w:szCs w:val="16"/>
                <w:lang w:val="es-MX"/>
              </w:rPr>
              <w:t xml:space="preserve"> Las áreas destinadas para ropería, vestidores, lavado, duchas y servicios sanitarios deben estar en lugares de fácil acceso y su tamaño debe de estar en correspondencia con el número de trabajadores.</w:t>
            </w:r>
          </w:p>
        </w:tc>
        <w:tc>
          <w:tcPr>
            <w:tcW w:w="4427" w:type="dxa"/>
            <w:shd w:val="clear" w:color="auto" w:fill="auto"/>
          </w:tcPr>
          <w:p w14:paraId="39C924D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8.2.5.2 </w:t>
            </w:r>
            <w:r w:rsidRPr="008F5C15">
              <w:rPr>
                <w:rFonts w:ascii="Verdana" w:hAnsi="Verdana"/>
                <w:sz w:val="16"/>
                <w:szCs w:val="16"/>
                <w:lang w:val="en-US"/>
              </w:rPr>
              <w:t>The areas designated for clothing, dressing rooms, washing, showers and sanitary services must be in places with easy access and their size must correspond to the number of workers.</w:t>
            </w:r>
          </w:p>
        </w:tc>
      </w:tr>
      <w:tr w:rsidR="001C6A90" w:rsidRPr="00F70181" w14:paraId="501F5FDB" w14:textId="77777777" w:rsidTr="00886332">
        <w:tc>
          <w:tcPr>
            <w:tcW w:w="4405" w:type="dxa"/>
          </w:tcPr>
          <w:p w14:paraId="04F6DD4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8.2.5.3</w:t>
            </w:r>
            <w:r w:rsidRPr="008F5C15">
              <w:rPr>
                <w:rFonts w:ascii="Verdana" w:hAnsi="Verdana"/>
                <w:sz w:val="16"/>
                <w:szCs w:val="16"/>
                <w:lang w:val="es-MX"/>
              </w:rPr>
              <w:t xml:space="preserve"> Los servicios sanitarios no deben comunicar directamente, ni localizarse en vías de paso con las áreas de fabricación.</w:t>
            </w:r>
          </w:p>
        </w:tc>
        <w:tc>
          <w:tcPr>
            <w:tcW w:w="4427" w:type="dxa"/>
            <w:shd w:val="clear" w:color="auto" w:fill="auto"/>
          </w:tcPr>
          <w:p w14:paraId="0D92B46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8.2.5.3</w:t>
            </w:r>
            <w:r w:rsidRPr="008F5C15">
              <w:rPr>
                <w:rFonts w:ascii="Verdana" w:hAnsi="Verdana"/>
                <w:sz w:val="16"/>
                <w:szCs w:val="16"/>
                <w:lang w:val="en-US"/>
              </w:rPr>
              <w:t xml:space="preserve"> The sanitary services must not directly communicate with, or be located in passageways with manufacturing areas.</w:t>
            </w:r>
          </w:p>
        </w:tc>
      </w:tr>
      <w:tr w:rsidR="001C6A90" w:rsidRPr="00F70181" w14:paraId="3C9D8C6F" w14:textId="77777777" w:rsidTr="00886332">
        <w:tc>
          <w:tcPr>
            <w:tcW w:w="4405" w:type="dxa"/>
          </w:tcPr>
          <w:p w14:paraId="5EAD343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8.2.5.4</w:t>
            </w:r>
            <w:r w:rsidRPr="008F5C15">
              <w:rPr>
                <w:rFonts w:ascii="Verdana" w:hAnsi="Verdana"/>
                <w:sz w:val="16"/>
                <w:szCs w:val="16"/>
                <w:lang w:val="es-MX"/>
              </w:rPr>
              <w:t xml:space="preserve"> Las áreas de mantenimiento deben estar separadas y fuera de las áreas de fabricación. Si se requiere un área de mantenimiento dentro de las áreas de producción, ésta deberá cumplir con las condiciones sanitarias del área donde se encuentra.</w:t>
            </w:r>
          </w:p>
        </w:tc>
        <w:tc>
          <w:tcPr>
            <w:tcW w:w="4427" w:type="dxa"/>
            <w:shd w:val="clear" w:color="auto" w:fill="auto"/>
          </w:tcPr>
          <w:p w14:paraId="35BA06A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8.2.5.4</w:t>
            </w:r>
            <w:r w:rsidRPr="008F5C15">
              <w:rPr>
                <w:rFonts w:ascii="Verdana" w:hAnsi="Verdana"/>
                <w:sz w:val="16"/>
                <w:szCs w:val="16"/>
                <w:lang w:val="en-US"/>
              </w:rPr>
              <w:t xml:space="preserve"> The maintenance areas must be separated and outside of the manufacturing areas. If a maintenance area is required within the production areas, it must comply with the sanitary conditions of the area where it is located.</w:t>
            </w:r>
          </w:p>
        </w:tc>
      </w:tr>
      <w:tr w:rsidR="001C6A90" w:rsidRPr="00F70181" w14:paraId="303F3424" w14:textId="77777777" w:rsidTr="00886332">
        <w:tc>
          <w:tcPr>
            <w:tcW w:w="4405" w:type="dxa"/>
          </w:tcPr>
          <w:p w14:paraId="0321436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8.2.5.5</w:t>
            </w:r>
            <w:r w:rsidRPr="008F5C15">
              <w:rPr>
                <w:rFonts w:ascii="Verdana" w:hAnsi="Verdana"/>
                <w:sz w:val="16"/>
                <w:szCs w:val="16"/>
                <w:lang w:val="es-MX"/>
              </w:rPr>
              <w:t xml:space="preserve"> Las instalaciones destinadas para el manejo de animales de laboratorio deben estar aisladas de las áreas de fabricación y cumplir con las disposiciones jurídicas aplicables.</w:t>
            </w:r>
          </w:p>
        </w:tc>
        <w:tc>
          <w:tcPr>
            <w:tcW w:w="4427" w:type="dxa"/>
            <w:shd w:val="clear" w:color="auto" w:fill="auto"/>
          </w:tcPr>
          <w:p w14:paraId="2E23D8C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8.2.5.5 </w:t>
            </w:r>
            <w:r w:rsidRPr="008F5C15">
              <w:rPr>
                <w:rFonts w:ascii="Verdana" w:hAnsi="Verdana"/>
                <w:sz w:val="16"/>
                <w:szCs w:val="16"/>
                <w:lang w:val="en-US"/>
              </w:rPr>
              <w:t>The installations designated for the handling of laboratory animals must be isolated from the manufacturing areas and comply with the applicable legal provisions.</w:t>
            </w:r>
          </w:p>
        </w:tc>
      </w:tr>
      <w:tr w:rsidR="001C6A90" w:rsidRPr="00F70181" w14:paraId="3E50033D" w14:textId="77777777" w:rsidTr="00886332">
        <w:tc>
          <w:tcPr>
            <w:tcW w:w="4405" w:type="dxa"/>
          </w:tcPr>
          <w:p w14:paraId="03C0134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8.2.5.6</w:t>
            </w:r>
            <w:r w:rsidRPr="008F5C15">
              <w:rPr>
                <w:rFonts w:ascii="Verdana" w:hAnsi="Verdana"/>
                <w:sz w:val="16"/>
                <w:szCs w:val="16"/>
                <w:lang w:val="es-MX"/>
              </w:rPr>
              <w:t xml:space="preserve"> Deben contar con área específica con condiciones de seguridad y almacenaje para los expedientes de fabricación.</w:t>
            </w:r>
          </w:p>
        </w:tc>
        <w:tc>
          <w:tcPr>
            <w:tcW w:w="4427" w:type="dxa"/>
            <w:shd w:val="clear" w:color="auto" w:fill="auto"/>
          </w:tcPr>
          <w:p w14:paraId="7AAF9E1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8.2.5.6 </w:t>
            </w:r>
            <w:r w:rsidRPr="008F5C15">
              <w:rPr>
                <w:rFonts w:ascii="Verdana" w:hAnsi="Verdana"/>
                <w:sz w:val="16"/>
                <w:szCs w:val="16"/>
                <w:lang w:val="en-US"/>
              </w:rPr>
              <w:t>There must be a specific area with safety and storage conditions for the production files.</w:t>
            </w:r>
          </w:p>
        </w:tc>
      </w:tr>
      <w:tr w:rsidR="001C6A90" w:rsidRPr="00F70181" w14:paraId="3B1E3D1E" w14:textId="77777777" w:rsidTr="00886332">
        <w:tc>
          <w:tcPr>
            <w:tcW w:w="4405" w:type="dxa"/>
          </w:tcPr>
          <w:p w14:paraId="1E9907D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8.2.5.7</w:t>
            </w:r>
            <w:r w:rsidRPr="008F5C15">
              <w:rPr>
                <w:rFonts w:ascii="Verdana" w:hAnsi="Verdana"/>
                <w:sz w:val="16"/>
                <w:szCs w:val="16"/>
                <w:lang w:val="es-MX"/>
              </w:rPr>
              <w:t xml:space="preserve"> Deben contar con área específica y separada de las áreas de fabricación, para guardar </w:t>
            </w:r>
            <w:r w:rsidRPr="008F5C15">
              <w:rPr>
                <w:rFonts w:ascii="Verdana" w:hAnsi="Verdana"/>
                <w:sz w:val="16"/>
                <w:szCs w:val="16"/>
                <w:lang w:val="es-MX"/>
              </w:rPr>
              <w:lastRenderedPageBreak/>
              <w:t>los residuos que se generen durante la fabricación y/o análisis de los productos.</w:t>
            </w:r>
          </w:p>
        </w:tc>
        <w:tc>
          <w:tcPr>
            <w:tcW w:w="4427" w:type="dxa"/>
            <w:shd w:val="clear" w:color="auto" w:fill="auto"/>
          </w:tcPr>
          <w:p w14:paraId="6FCD896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lastRenderedPageBreak/>
              <w:t xml:space="preserve">8.2.5.7 </w:t>
            </w:r>
            <w:r w:rsidRPr="008F5C15">
              <w:rPr>
                <w:rFonts w:ascii="Verdana" w:hAnsi="Verdana"/>
                <w:sz w:val="16"/>
                <w:szCs w:val="16"/>
                <w:lang w:val="en-US"/>
              </w:rPr>
              <w:t xml:space="preserve">There must be a specific and separate from manufacturing areas, to store the wastes generated </w:t>
            </w:r>
            <w:r w:rsidRPr="008F5C15">
              <w:rPr>
                <w:rFonts w:ascii="Verdana" w:hAnsi="Verdana"/>
                <w:sz w:val="16"/>
                <w:szCs w:val="16"/>
                <w:lang w:val="en-US"/>
              </w:rPr>
              <w:lastRenderedPageBreak/>
              <w:t xml:space="preserve">during manufacturing and/or the analysis of the products. </w:t>
            </w:r>
          </w:p>
        </w:tc>
      </w:tr>
      <w:tr w:rsidR="001C6A90" w:rsidRPr="00F70181" w14:paraId="0A78D05E" w14:textId="77777777" w:rsidTr="00886332">
        <w:tc>
          <w:tcPr>
            <w:tcW w:w="4405" w:type="dxa"/>
          </w:tcPr>
          <w:p w14:paraId="121B80F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8.2.5.8 </w:t>
            </w:r>
            <w:r w:rsidRPr="008F5C15">
              <w:rPr>
                <w:rFonts w:ascii="Verdana" w:hAnsi="Verdana"/>
                <w:sz w:val="16"/>
                <w:szCs w:val="16"/>
                <w:lang w:val="es-MX"/>
              </w:rPr>
              <w:t>Para el tratamiento de residuos generados durante la fabricación de productos de alto riesgo deben contar con un sistema de contención e inactivación y cumplir con las disposiciones jurídicas aplicables en materia ecológica y sanitaria para el destino final de los residuos.</w:t>
            </w:r>
          </w:p>
        </w:tc>
        <w:tc>
          <w:tcPr>
            <w:tcW w:w="4427" w:type="dxa"/>
            <w:shd w:val="clear" w:color="auto" w:fill="auto"/>
          </w:tcPr>
          <w:p w14:paraId="443042A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8.2.5.8 </w:t>
            </w:r>
            <w:r w:rsidRPr="008F5C15">
              <w:rPr>
                <w:rFonts w:ascii="Verdana" w:hAnsi="Verdana"/>
                <w:sz w:val="16"/>
                <w:szCs w:val="16"/>
                <w:lang w:val="en-US"/>
              </w:rPr>
              <w:t>For the treatment of wastes generated during the manufacture of high risk products there must be a containment and inactivation system and comply with the applicable legal provisions in ecological and sanitary elements for the final destination of the waste.</w:t>
            </w:r>
          </w:p>
        </w:tc>
      </w:tr>
      <w:tr w:rsidR="001C6A90" w:rsidRPr="00262EF8" w14:paraId="2B913FEA" w14:textId="77777777" w:rsidTr="00886332">
        <w:tc>
          <w:tcPr>
            <w:tcW w:w="4405" w:type="dxa"/>
          </w:tcPr>
          <w:p w14:paraId="57DE4A4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8.3 </w:t>
            </w:r>
            <w:r w:rsidRPr="008F5C15">
              <w:rPr>
                <w:rFonts w:ascii="Verdana" w:hAnsi="Verdana"/>
                <w:sz w:val="16"/>
                <w:szCs w:val="16"/>
                <w:lang w:val="es-MX"/>
              </w:rPr>
              <w:t>Equipo.</w:t>
            </w:r>
          </w:p>
        </w:tc>
        <w:tc>
          <w:tcPr>
            <w:tcW w:w="4427" w:type="dxa"/>
            <w:shd w:val="clear" w:color="auto" w:fill="auto"/>
          </w:tcPr>
          <w:p w14:paraId="05D3DB5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8.3 </w:t>
            </w:r>
            <w:r w:rsidRPr="008F5C15">
              <w:rPr>
                <w:rFonts w:ascii="Verdana" w:hAnsi="Verdana"/>
                <w:sz w:val="16"/>
                <w:szCs w:val="16"/>
                <w:lang w:val="en-US"/>
              </w:rPr>
              <w:t>Equipment.</w:t>
            </w:r>
          </w:p>
        </w:tc>
      </w:tr>
      <w:tr w:rsidR="001C6A90" w:rsidRPr="00F70181" w14:paraId="10E2DA76" w14:textId="77777777" w:rsidTr="00886332">
        <w:tc>
          <w:tcPr>
            <w:tcW w:w="4405" w:type="dxa"/>
          </w:tcPr>
          <w:p w14:paraId="7E4DC22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8.3.1 </w:t>
            </w:r>
            <w:r w:rsidRPr="008F5C15">
              <w:rPr>
                <w:rFonts w:ascii="Verdana" w:hAnsi="Verdana"/>
                <w:sz w:val="16"/>
                <w:szCs w:val="16"/>
                <w:lang w:val="es-MX"/>
              </w:rPr>
              <w:t>El equipo de fabricación debe ser diseñado y localizado para cumplir con el uso propuesto y evitar riesgo de contaminación, deben permitir su desmontaje/montaje, limpieza, mantenimiento y esterilización si aplica.</w:t>
            </w:r>
          </w:p>
        </w:tc>
        <w:tc>
          <w:tcPr>
            <w:tcW w:w="4427" w:type="dxa"/>
            <w:shd w:val="clear" w:color="auto" w:fill="auto"/>
          </w:tcPr>
          <w:p w14:paraId="081E63A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8.3.1 </w:t>
            </w:r>
            <w:r w:rsidRPr="008F5C15">
              <w:rPr>
                <w:rFonts w:ascii="Verdana" w:hAnsi="Verdana"/>
                <w:sz w:val="16"/>
                <w:szCs w:val="16"/>
                <w:lang w:val="en-US"/>
              </w:rPr>
              <w:t>The manufacturing equipment must be designed and located to comply with its proposed use and avoid the risk of contamination, it must permit its disassembly/assembly, cleaning, maintenance and sterilization, when applicable.</w:t>
            </w:r>
          </w:p>
        </w:tc>
      </w:tr>
      <w:tr w:rsidR="001C6A90" w:rsidRPr="00F70181" w14:paraId="5954BDE6" w14:textId="77777777" w:rsidTr="00886332">
        <w:tc>
          <w:tcPr>
            <w:tcW w:w="4405" w:type="dxa"/>
          </w:tcPr>
          <w:p w14:paraId="69E3A8F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8.3.2 </w:t>
            </w:r>
            <w:r w:rsidRPr="008F5C15">
              <w:rPr>
                <w:rFonts w:ascii="Verdana" w:hAnsi="Verdana"/>
                <w:sz w:val="16"/>
                <w:szCs w:val="16"/>
                <w:lang w:val="es-MX"/>
              </w:rPr>
              <w:t>La ubicación de los equipos de fabricación no debe obstaculizar los movimientos del personal, ni las rejillas del sistema de ventilación, éstos deben facilitar el flujo de materiales, asegurar el orden de los procesos para controlar el riesgo de confusión o mezcla de alguna etapa del proceso.</w:t>
            </w:r>
          </w:p>
        </w:tc>
        <w:tc>
          <w:tcPr>
            <w:tcW w:w="4427" w:type="dxa"/>
            <w:shd w:val="clear" w:color="auto" w:fill="auto"/>
          </w:tcPr>
          <w:p w14:paraId="5DD5421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8.3.2 </w:t>
            </w:r>
            <w:r w:rsidRPr="008F5C15">
              <w:rPr>
                <w:rFonts w:ascii="Verdana" w:hAnsi="Verdana"/>
                <w:sz w:val="16"/>
                <w:szCs w:val="16"/>
                <w:lang w:val="en-US"/>
              </w:rPr>
              <w:t>The location of the manufacturing equipment must not obstruct the movements of personnel, nor with the ventilation system grids; the latter must facilitate the flow of materials, assure the order of the processes to control the risk of confusion, or mixture of any stage of the product.</w:t>
            </w:r>
          </w:p>
        </w:tc>
      </w:tr>
      <w:tr w:rsidR="001C6A90" w:rsidRPr="00F70181" w14:paraId="77A6C9BE" w14:textId="77777777" w:rsidTr="00886332">
        <w:tc>
          <w:tcPr>
            <w:tcW w:w="4405" w:type="dxa"/>
          </w:tcPr>
          <w:p w14:paraId="2306091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8.3.3 </w:t>
            </w:r>
            <w:r w:rsidRPr="008F5C15">
              <w:rPr>
                <w:rFonts w:ascii="Verdana" w:hAnsi="Verdana"/>
                <w:sz w:val="16"/>
                <w:szCs w:val="16"/>
                <w:lang w:val="es-MX"/>
              </w:rPr>
              <w:t>Los sistemas de control deben estar en lugares accesibles y acordes con la clase de área en la cual será operado.</w:t>
            </w:r>
          </w:p>
        </w:tc>
        <w:tc>
          <w:tcPr>
            <w:tcW w:w="4427" w:type="dxa"/>
            <w:shd w:val="clear" w:color="auto" w:fill="auto"/>
          </w:tcPr>
          <w:p w14:paraId="39972D0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8.3.3 </w:t>
            </w:r>
            <w:r w:rsidRPr="008F5C15">
              <w:rPr>
                <w:rFonts w:ascii="Verdana" w:hAnsi="Verdana"/>
                <w:sz w:val="16"/>
                <w:szCs w:val="16"/>
                <w:lang w:val="en-US"/>
              </w:rPr>
              <w:t>The control systems must be in accessible locations and in accordance with the class of the area in which it will be operated.</w:t>
            </w:r>
          </w:p>
        </w:tc>
      </w:tr>
      <w:tr w:rsidR="001C6A90" w:rsidRPr="00F70181" w14:paraId="71B82A2B" w14:textId="77777777" w:rsidTr="00886332">
        <w:tc>
          <w:tcPr>
            <w:tcW w:w="4405" w:type="dxa"/>
          </w:tcPr>
          <w:p w14:paraId="54966F5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8.3.4 </w:t>
            </w:r>
            <w:r w:rsidRPr="008F5C15">
              <w:rPr>
                <w:rFonts w:ascii="Verdana" w:hAnsi="Verdana"/>
                <w:sz w:val="16"/>
                <w:szCs w:val="16"/>
                <w:lang w:val="es-MX"/>
              </w:rPr>
              <w:t>El lavado, limpieza y mantenimiento de los equipos de fabricación no deben poner en riesgo la calidad de los productos, ni ser fuente de contaminación.</w:t>
            </w:r>
          </w:p>
        </w:tc>
        <w:tc>
          <w:tcPr>
            <w:tcW w:w="4427" w:type="dxa"/>
            <w:shd w:val="clear" w:color="auto" w:fill="auto"/>
          </w:tcPr>
          <w:p w14:paraId="2A39427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8.3.4 </w:t>
            </w:r>
            <w:r w:rsidRPr="008F5C15">
              <w:rPr>
                <w:rFonts w:ascii="Verdana" w:hAnsi="Verdana"/>
                <w:sz w:val="16"/>
                <w:szCs w:val="16"/>
                <w:lang w:val="en-US"/>
              </w:rPr>
              <w:t>The washing, cleaning and maintenance of manufacturing equipment must not place at risk the quality of products, nor be a source of contamination.</w:t>
            </w:r>
          </w:p>
        </w:tc>
      </w:tr>
      <w:tr w:rsidR="001C6A90" w:rsidRPr="00F70181" w14:paraId="6F524630" w14:textId="77777777" w:rsidTr="00886332">
        <w:tc>
          <w:tcPr>
            <w:tcW w:w="4405" w:type="dxa"/>
          </w:tcPr>
          <w:p w14:paraId="4136AA6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8.3.5 </w:t>
            </w:r>
            <w:r w:rsidRPr="008F5C15">
              <w:rPr>
                <w:rFonts w:ascii="Verdana" w:hAnsi="Verdana"/>
                <w:sz w:val="16"/>
                <w:szCs w:val="16"/>
                <w:lang w:val="es-MX"/>
              </w:rPr>
              <w:t>Los materiales que se consideren para el diseño y construcción de los equipos de fabricación y los accesorios que estén en contacto directo con el producto, deben ser inertes y no ser absorbente o adsorbente.</w:t>
            </w:r>
          </w:p>
        </w:tc>
        <w:tc>
          <w:tcPr>
            <w:tcW w:w="4427" w:type="dxa"/>
            <w:shd w:val="clear" w:color="auto" w:fill="auto"/>
          </w:tcPr>
          <w:p w14:paraId="693347B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8.3.5 </w:t>
            </w:r>
            <w:r w:rsidRPr="008F5C15">
              <w:rPr>
                <w:rFonts w:ascii="Verdana" w:hAnsi="Verdana"/>
                <w:sz w:val="16"/>
                <w:szCs w:val="16"/>
                <w:lang w:val="en-US"/>
              </w:rPr>
              <w:t>The materials that are considered for the design and construction of the manufacturing equipment and the accessories that are in direct contact with the product must be inert and not be absorbent or adsorbent.</w:t>
            </w:r>
          </w:p>
        </w:tc>
      </w:tr>
      <w:tr w:rsidR="001C6A90" w:rsidRPr="00F70181" w14:paraId="19C82C60" w14:textId="77777777" w:rsidTr="00886332">
        <w:tc>
          <w:tcPr>
            <w:tcW w:w="4405" w:type="dxa"/>
          </w:tcPr>
          <w:p w14:paraId="425B871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8.3.6 </w:t>
            </w:r>
            <w:r w:rsidRPr="008F5C15">
              <w:rPr>
                <w:rFonts w:ascii="Verdana" w:hAnsi="Verdana"/>
                <w:sz w:val="16"/>
                <w:szCs w:val="16"/>
                <w:lang w:val="es-MX"/>
              </w:rPr>
              <w:t>Los lubricantes, refrigerantes u otras sustancias requeridas para la operación de los equipos de fabricación, no deben estar en contacto directo con el producto o con envases primarios. En caso de lubricantes u otras sustancias requeridas para la operación de los equipos de fabricación que podrían estar en contacto con el producto deben ser al menos grado alimenticio, adquirirse bajo una especificación y establecer su manejo.</w:t>
            </w:r>
          </w:p>
        </w:tc>
        <w:tc>
          <w:tcPr>
            <w:tcW w:w="4427" w:type="dxa"/>
            <w:shd w:val="clear" w:color="auto" w:fill="auto"/>
          </w:tcPr>
          <w:p w14:paraId="4C5952B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8.3.6 </w:t>
            </w:r>
            <w:r w:rsidRPr="008F5C15">
              <w:rPr>
                <w:rFonts w:ascii="Verdana" w:hAnsi="Verdana"/>
                <w:sz w:val="16"/>
                <w:szCs w:val="16"/>
                <w:lang w:val="en-US"/>
              </w:rPr>
              <w:t>The lubricants, coolants and other substances required for the operation of manufacturing equipment must not be in direct contact with the product or primary container. In case lubricants or other substances required for the operation of manufacturing equipment which may be in contact with the product, these must be of at least food grade, acquired under a specification and its handling must be established.</w:t>
            </w:r>
          </w:p>
        </w:tc>
      </w:tr>
      <w:tr w:rsidR="001C6A90" w:rsidRPr="00F70181" w14:paraId="7E7E4DE3" w14:textId="77777777" w:rsidTr="00886332">
        <w:tc>
          <w:tcPr>
            <w:tcW w:w="4405" w:type="dxa"/>
          </w:tcPr>
          <w:p w14:paraId="2F5B213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8.3.7 </w:t>
            </w:r>
            <w:r w:rsidRPr="008F5C15">
              <w:rPr>
                <w:rFonts w:ascii="Verdana" w:hAnsi="Verdana"/>
                <w:sz w:val="16"/>
                <w:szCs w:val="16"/>
                <w:lang w:val="es-MX"/>
              </w:rPr>
              <w:t>El equipo de fabricación fuera de uso debe ser removido de las áreas de producción.</w:t>
            </w:r>
          </w:p>
        </w:tc>
        <w:tc>
          <w:tcPr>
            <w:tcW w:w="4427" w:type="dxa"/>
            <w:shd w:val="clear" w:color="auto" w:fill="auto"/>
          </w:tcPr>
          <w:p w14:paraId="5614FEC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8.3.7 </w:t>
            </w:r>
            <w:r w:rsidRPr="008F5C15">
              <w:rPr>
                <w:rFonts w:ascii="Verdana" w:hAnsi="Verdana"/>
                <w:sz w:val="16"/>
                <w:szCs w:val="16"/>
                <w:lang w:val="en-US"/>
              </w:rPr>
              <w:t>The manufacturing equipment that is out of use must be removed from production areas.</w:t>
            </w:r>
          </w:p>
        </w:tc>
      </w:tr>
      <w:tr w:rsidR="001C6A90" w:rsidRPr="00F70181" w14:paraId="686F898A" w14:textId="77777777" w:rsidTr="00886332">
        <w:tc>
          <w:tcPr>
            <w:tcW w:w="4405" w:type="dxa"/>
          </w:tcPr>
          <w:p w14:paraId="4E7EEF8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8.3.8 </w:t>
            </w:r>
            <w:r w:rsidRPr="008F5C15">
              <w:rPr>
                <w:rFonts w:ascii="Verdana" w:hAnsi="Verdana"/>
                <w:sz w:val="16"/>
                <w:szCs w:val="16"/>
                <w:lang w:val="es-MX"/>
              </w:rPr>
              <w:t>El equipo dañado y en espera de mantenimiento debe ser identificado y no representar un riesgo para el personal y la operación.</w:t>
            </w:r>
          </w:p>
        </w:tc>
        <w:tc>
          <w:tcPr>
            <w:tcW w:w="4427" w:type="dxa"/>
            <w:shd w:val="clear" w:color="auto" w:fill="auto"/>
          </w:tcPr>
          <w:p w14:paraId="76B7136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8.3.8 </w:t>
            </w:r>
            <w:r w:rsidRPr="008F5C15">
              <w:rPr>
                <w:rFonts w:ascii="Verdana" w:hAnsi="Verdana"/>
                <w:sz w:val="16"/>
                <w:szCs w:val="16"/>
                <w:lang w:val="en-US"/>
              </w:rPr>
              <w:t>The damaged equipment and equipment waiting maintenance must be identified and must not represent a risk to personnel and to the operation.</w:t>
            </w:r>
          </w:p>
        </w:tc>
      </w:tr>
      <w:tr w:rsidR="001C6A90" w:rsidRPr="00F70181" w14:paraId="16BF7D85" w14:textId="77777777" w:rsidTr="00886332">
        <w:tc>
          <w:tcPr>
            <w:tcW w:w="4405" w:type="dxa"/>
          </w:tcPr>
          <w:p w14:paraId="19FC658D"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8.3.9 </w:t>
            </w:r>
            <w:r w:rsidRPr="008F5C15">
              <w:rPr>
                <w:rFonts w:ascii="Verdana" w:hAnsi="Verdana"/>
                <w:sz w:val="16"/>
                <w:szCs w:val="16"/>
                <w:lang w:val="es-MX"/>
              </w:rPr>
              <w:t>Los equipos de fabricación, sus accesorios, utensilios y todas las tuberías deben limpiarse y mantenerse de acuerdo con los procedimientos escritos que detallen las actividades a realizar.</w:t>
            </w:r>
          </w:p>
        </w:tc>
        <w:tc>
          <w:tcPr>
            <w:tcW w:w="4427" w:type="dxa"/>
            <w:shd w:val="clear" w:color="auto" w:fill="auto"/>
          </w:tcPr>
          <w:p w14:paraId="02D093B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8.3.9 </w:t>
            </w:r>
            <w:r w:rsidRPr="008F5C15">
              <w:rPr>
                <w:rFonts w:ascii="Verdana" w:hAnsi="Verdana"/>
                <w:sz w:val="16"/>
                <w:szCs w:val="16"/>
                <w:lang w:val="en-US"/>
              </w:rPr>
              <w:t>The manufacturing equipment, its accessories and all pipes must be cleaned and maintained in accordance with the written procedures which detail the activities to be performed.</w:t>
            </w:r>
          </w:p>
        </w:tc>
      </w:tr>
      <w:tr w:rsidR="001C6A90" w:rsidRPr="00F70181" w14:paraId="052C4523" w14:textId="77777777" w:rsidTr="00886332">
        <w:tc>
          <w:tcPr>
            <w:tcW w:w="4405" w:type="dxa"/>
          </w:tcPr>
          <w:p w14:paraId="4B3F06F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 xml:space="preserve">8.3.10 </w:t>
            </w:r>
            <w:r w:rsidRPr="008F5C15">
              <w:rPr>
                <w:rFonts w:ascii="Verdana" w:hAnsi="Verdana"/>
                <w:sz w:val="16"/>
                <w:szCs w:val="16"/>
                <w:lang w:val="es-MX"/>
              </w:rPr>
              <w:t>Los filtros empleados en la producción o envasado primario de productos deben ser de materiales que no liberen fibras u otros cuerpos extraños.</w:t>
            </w:r>
          </w:p>
        </w:tc>
        <w:tc>
          <w:tcPr>
            <w:tcW w:w="4427" w:type="dxa"/>
            <w:shd w:val="clear" w:color="auto" w:fill="auto"/>
          </w:tcPr>
          <w:p w14:paraId="4BFB5D0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8.3.10</w:t>
            </w:r>
            <w:r w:rsidRPr="008F5C15">
              <w:rPr>
                <w:rFonts w:ascii="Verdana" w:hAnsi="Verdana"/>
                <w:sz w:val="16"/>
                <w:szCs w:val="16"/>
                <w:lang w:val="en-US"/>
              </w:rPr>
              <w:t xml:space="preserve"> The filters employed in the production or in the primary containment of products must be from materials that do not release fibers or other foreign bodies</w:t>
            </w:r>
          </w:p>
        </w:tc>
      </w:tr>
      <w:tr w:rsidR="001C6A90" w:rsidRPr="00F70181" w14:paraId="3A22F8FE" w14:textId="77777777" w:rsidTr="00886332">
        <w:tc>
          <w:tcPr>
            <w:tcW w:w="4405" w:type="dxa"/>
          </w:tcPr>
          <w:p w14:paraId="0E650BA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8.3.11 </w:t>
            </w:r>
            <w:r w:rsidRPr="008F5C15">
              <w:rPr>
                <w:rFonts w:ascii="Verdana" w:hAnsi="Verdana"/>
                <w:sz w:val="16"/>
                <w:szCs w:val="16"/>
                <w:lang w:val="es-MX"/>
              </w:rPr>
              <w:t>Cuando los procesos estériles sean en línea, los equipos (mesa banda) no deben pasar de un área ISO 5 o ISO 6 a otra de menor clasificación, a menos que el equipo cuente con su propio sistema de aire ambiental y/o efectúe la esterilización de forma continua (p. ej. túnel de despirogenización).</w:t>
            </w:r>
          </w:p>
        </w:tc>
        <w:tc>
          <w:tcPr>
            <w:tcW w:w="4427" w:type="dxa"/>
            <w:shd w:val="clear" w:color="auto" w:fill="auto"/>
          </w:tcPr>
          <w:p w14:paraId="557D11D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8.3.11</w:t>
            </w:r>
            <w:r w:rsidRPr="008F5C15">
              <w:rPr>
                <w:rFonts w:ascii="Verdana" w:hAnsi="Verdana"/>
                <w:sz w:val="16"/>
                <w:szCs w:val="16"/>
                <w:lang w:val="en-US"/>
              </w:rPr>
              <w:t xml:space="preserve"> When the sterile processes are online, the equipment (table band) must not pass from an ISO 5 or ISO 6 area to another of lesser classification, unless the equipment has its own environmental air system and/or performs continuous sterilization (for example, despyrogenization tunnel). </w:t>
            </w:r>
          </w:p>
        </w:tc>
      </w:tr>
      <w:tr w:rsidR="001C6A90" w:rsidRPr="009A27E2" w14:paraId="70A96DCB" w14:textId="77777777" w:rsidTr="00886332">
        <w:tc>
          <w:tcPr>
            <w:tcW w:w="4405" w:type="dxa"/>
          </w:tcPr>
          <w:p w14:paraId="6AB6FA78"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8.4 </w:t>
            </w:r>
            <w:r w:rsidRPr="008F5C15">
              <w:rPr>
                <w:rFonts w:ascii="Verdana" w:hAnsi="Verdana"/>
                <w:sz w:val="16"/>
                <w:szCs w:val="16"/>
                <w:lang w:val="es-MX"/>
              </w:rPr>
              <w:t>Sistemas críticos.</w:t>
            </w:r>
          </w:p>
        </w:tc>
        <w:tc>
          <w:tcPr>
            <w:tcW w:w="4427" w:type="dxa"/>
          </w:tcPr>
          <w:p w14:paraId="08B3B16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8.4 </w:t>
            </w:r>
            <w:r w:rsidRPr="008F5C15">
              <w:rPr>
                <w:rFonts w:ascii="Verdana" w:hAnsi="Verdana"/>
                <w:sz w:val="16"/>
                <w:szCs w:val="16"/>
                <w:lang w:val="en-US"/>
              </w:rPr>
              <w:t>Critical systems</w:t>
            </w:r>
          </w:p>
        </w:tc>
      </w:tr>
      <w:tr w:rsidR="001C6A90" w:rsidRPr="00F70181" w14:paraId="02534D24" w14:textId="77777777" w:rsidTr="00886332">
        <w:tc>
          <w:tcPr>
            <w:tcW w:w="4405" w:type="dxa"/>
          </w:tcPr>
          <w:p w14:paraId="2EE5F97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8.4.1 </w:t>
            </w:r>
            <w:r w:rsidRPr="008F5C15">
              <w:rPr>
                <w:rFonts w:ascii="Verdana" w:hAnsi="Verdana"/>
                <w:sz w:val="16"/>
                <w:szCs w:val="16"/>
                <w:lang w:val="es-MX"/>
              </w:rPr>
              <w:t>El sistema de generación y distribución de agua para uso farmacéutico debe ser diseñado, construido y mantenido para asegurar la calidad de agua, de acuerdo con la FEUM.</w:t>
            </w:r>
          </w:p>
        </w:tc>
        <w:tc>
          <w:tcPr>
            <w:tcW w:w="4427" w:type="dxa"/>
          </w:tcPr>
          <w:p w14:paraId="47A0E3E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8.4.1</w:t>
            </w:r>
            <w:r w:rsidRPr="008F5C15">
              <w:rPr>
                <w:rFonts w:ascii="Verdana" w:hAnsi="Verdana"/>
                <w:sz w:val="16"/>
                <w:szCs w:val="16"/>
                <w:lang w:val="en-US"/>
              </w:rPr>
              <w:t xml:space="preserve"> The system of generation and distribution of water for pharmaceutical use must be designed, constructed and maintained to assure water quality, according to the FEUM (Pharmacopeia of the United Mexican States).</w:t>
            </w:r>
          </w:p>
        </w:tc>
      </w:tr>
      <w:tr w:rsidR="001C6A90" w:rsidRPr="00F70181" w14:paraId="0C3EC707" w14:textId="77777777" w:rsidTr="00886332">
        <w:tc>
          <w:tcPr>
            <w:tcW w:w="4405" w:type="dxa"/>
          </w:tcPr>
          <w:p w14:paraId="50C3111B"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8.4.2 </w:t>
            </w:r>
            <w:r w:rsidRPr="008F5C15">
              <w:rPr>
                <w:rFonts w:ascii="Verdana" w:hAnsi="Verdana"/>
                <w:sz w:val="16"/>
                <w:szCs w:val="16"/>
                <w:lang w:val="es-MX"/>
              </w:rPr>
              <w:t>El sistema HVAC debe ser diseñado, construido y mantenido de acuerdo con la FEUM, para asegurar la clasificación requerida en el Apéndice A Normativo de esta Norma.</w:t>
            </w:r>
          </w:p>
        </w:tc>
        <w:tc>
          <w:tcPr>
            <w:tcW w:w="4427" w:type="dxa"/>
          </w:tcPr>
          <w:p w14:paraId="6674070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8.4.2</w:t>
            </w:r>
            <w:r w:rsidRPr="008F5C15">
              <w:rPr>
                <w:rFonts w:ascii="Verdana" w:hAnsi="Verdana"/>
                <w:sz w:val="16"/>
                <w:szCs w:val="16"/>
                <w:lang w:val="en-US"/>
              </w:rPr>
              <w:t xml:space="preserve"> The HVAC system must be designed, constructed and maintained according to the FEUM to assure the classification required in Obligatory Appendix A of this Standard. </w:t>
            </w:r>
          </w:p>
        </w:tc>
      </w:tr>
      <w:tr w:rsidR="001C6A90" w:rsidRPr="00F70181" w14:paraId="217A1A47" w14:textId="77777777" w:rsidTr="00886332">
        <w:tc>
          <w:tcPr>
            <w:tcW w:w="4405" w:type="dxa"/>
          </w:tcPr>
          <w:p w14:paraId="5F661A74"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8.4.2.1 </w:t>
            </w:r>
            <w:r w:rsidRPr="008F5C15">
              <w:rPr>
                <w:rFonts w:ascii="Verdana" w:hAnsi="Verdana"/>
                <w:sz w:val="16"/>
                <w:szCs w:val="16"/>
                <w:lang w:val="es-MX"/>
              </w:rPr>
              <w:t>Los correspondientes a Clase A, B y C deben contar como mínimo con filtros terminales HEPA de 99.97% de 0.3 µm. En el caso de Clase D deben contar como mínimo con filtros de eficiencia de 95% y para clase ISO 9 deben contar como mínimo con filtros de eficiencia de 85%.</w:t>
            </w:r>
          </w:p>
        </w:tc>
        <w:tc>
          <w:tcPr>
            <w:tcW w:w="4427" w:type="dxa"/>
          </w:tcPr>
          <w:p w14:paraId="6B11B5D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8.4.2.1 </w:t>
            </w:r>
            <w:r w:rsidRPr="008F5C15">
              <w:rPr>
                <w:rFonts w:ascii="Verdana" w:hAnsi="Verdana"/>
                <w:sz w:val="16"/>
                <w:szCs w:val="16"/>
                <w:lang w:val="en-US"/>
              </w:rPr>
              <w:t xml:space="preserve">Those corresponding to Class A, B and C must have as a minimum HEPA terminal filters of 99.97% of 0.3 µm. In the case of Class D, they must have as a minimum, filters with an efficiency of 95% and for Class ISO 9, they must have as a minimum, efficiency filters of 85%. </w:t>
            </w:r>
          </w:p>
        </w:tc>
      </w:tr>
      <w:tr w:rsidR="001C6A90" w:rsidRPr="00262EF8" w14:paraId="11E21541" w14:textId="77777777" w:rsidTr="00886332">
        <w:tc>
          <w:tcPr>
            <w:tcW w:w="4405" w:type="dxa"/>
          </w:tcPr>
          <w:p w14:paraId="644EE48A"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9. Calificación y validación</w:t>
            </w:r>
          </w:p>
        </w:tc>
        <w:tc>
          <w:tcPr>
            <w:tcW w:w="4427" w:type="dxa"/>
          </w:tcPr>
          <w:p w14:paraId="41A27EA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9. Validation and qualification</w:t>
            </w:r>
          </w:p>
        </w:tc>
      </w:tr>
      <w:tr w:rsidR="001C6A90" w:rsidRPr="00262EF8" w14:paraId="596817D4" w14:textId="77777777" w:rsidTr="00886332">
        <w:tc>
          <w:tcPr>
            <w:tcW w:w="4405" w:type="dxa"/>
          </w:tcPr>
          <w:p w14:paraId="29561BC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w:t>
            </w:r>
            <w:r w:rsidRPr="008F5C15">
              <w:rPr>
                <w:rFonts w:ascii="Verdana" w:hAnsi="Verdana"/>
                <w:sz w:val="16"/>
                <w:szCs w:val="16"/>
                <w:lang w:val="es-MX"/>
              </w:rPr>
              <w:t xml:space="preserve"> Generalidades.</w:t>
            </w:r>
          </w:p>
        </w:tc>
        <w:tc>
          <w:tcPr>
            <w:tcW w:w="4427" w:type="dxa"/>
          </w:tcPr>
          <w:p w14:paraId="67739D5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9.1 </w:t>
            </w:r>
            <w:r w:rsidRPr="008F5C15">
              <w:rPr>
                <w:rFonts w:ascii="Verdana" w:hAnsi="Verdana"/>
                <w:sz w:val="16"/>
                <w:szCs w:val="16"/>
                <w:lang w:val="en-US"/>
              </w:rPr>
              <w:t>General provisions.</w:t>
            </w:r>
          </w:p>
        </w:tc>
      </w:tr>
      <w:tr w:rsidR="001C6A90" w:rsidRPr="00F70181" w14:paraId="757D4F3A" w14:textId="77777777" w:rsidTr="00886332">
        <w:tc>
          <w:tcPr>
            <w:tcW w:w="4405" w:type="dxa"/>
          </w:tcPr>
          <w:p w14:paraId="0966F83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Un elemento esencial para el cumplimiento de las BPF es la calificación y validación, que permite demostrar que la fabricación de los medicamentos cumple las características fundamentales de funcionalidad, consistencia y robustez, para asegurar la calidad de los medicamentos.</w:t>
            </w:r>
          </w:p>
        </w:tc>
        <w:tc>
          <w:tcPr>
            <w:tcW w:w="4427" w:type="dxa"/>
          </w:tcPr>
          <w:p w14:paraId="4E4CDB1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An essential element for compliance with GMP is validation, which enables us to demonstrate that the manufacture of products complies with the fundamental characteristics of functionality, consistency and robustness in order to assure the quality of drug products.</w:t>
            </w:r>
          </w:p>
        </w:tc>
      </w:tr>
      <w:tr w:rsidR="001C6A90" w:rsidRPr="00F70181" w14:paraId="6644188C" w14:textId="77777777" w:rsidTr="00886332">
        <w:tc>
          <w:tcPr>
            <w:tcW w:w="4405" w:type="dxa"/>
          </w:tcPr>
          <w:p w14:paraId="6355506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La validación de procesos no es un evento puntual en el tiempo, sino que involucra un enfoque relacionado al ciclo de vida del producto, el cual debe considerar que la variabilidad es una característica intrínseca de los procesos de fabricación; conocer esta variabilidad, controlarla y analizar el impacto en la calidad, seguridad y eficacia de los medicamentos debe conducir a los procesos de mejora continua.</w:t>
            </w:r>
          </w:p>
        </w:tc>
        <w:tc>
          <w:tcPr>
            <w:tcW w:w="4427" w:type="dxa"/>
          </w:tcPr>
          <w:p w14:paraId="5AFAE58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 validation of processes is not a scheduled event, but involves a focus related to the life cycle of the product, which must take into consideration that variability is an intrinsic characteristic of the manufacturing processes; recognize this variability, control it and analyze its impact on the quality, safety and efficiency of the drug products must lead to continuous improvement processes.  </w:t>
            </w:r>
          </w:p>
        </w:tc>
      </w:tr>
      <w:tr w:rsidR="001C6A90" w:rsidRPr="00262EF8" w14:paraId="12079E58" w14:textId="77777777" w:rsidTr="00886332">
        <w:tc>
          <w:tcPr>
            <w:tcW w:w="4405" w:type="dxa"/>
          </w:tcPr>
          <w:p w14:paraId="5D6EAF0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9.2</w:t>
            </w:r>
            <w:r w:rsidRPr="008F5C15">
              <w:rPr>
                <w:rFonts w:ascii="Verdana" w:hAnsi="Verdana"/>
                <w:sz w:val="16"/>
                <w:szCs w:val="16"/>
                <w:lang w:val="es-MX"/>
              </w:rPr>
              <w:t xml:space="preserve"> Impacto de la validación.</w:t>
            </w:r>
          </w:p>
        </w:tc>
        <w:tc>
          <w:tcPr>
            <w:tcW w:w="4427" w:type="dxa"/>
          </w:tcPr>
          <w:p w14:paraId="7A3D057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9.2 </w:t>
            </w:r>
            <w:r w:rsidRPr="008F5C15">
              <w:rPr>
                <w:rFonts w:ascii="Verdana" w:hAnsi="Verdana"/>
                <w:sz w:val="16"/>
                <w:szCs w:val="16"/>
                <w:lang w:val="en-US"/>
              </w:rPr>
              <w:t>Impact of validation.</w:t>
            </w:r>
          </w:p>
        </w:tc>
      </w:tr>
      <w:tr w:rsidR="001C6A90" w:rsidRPr="00F70181" w14:paraId="15EBC7C3" w14:textId="77777777" w:rsidTr="00886332">
        <w:tc>
          <w:tcPr>
            <w:tcW w:w="4405" w:type="dxa"/>
          </w:tcPr>
          <w:p w14:paraId="4952500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El fabricante debe determinar el impacto de los elementos de la fabricación en la calidad del producto, utilizando la gestión de riesgos como la herramienta para determinar el alcance de la calificación y validación.</w:t>
            </w:r>
          </w:p>
        </w:tc>
        <w:tc>
          <w:tcPr>
            <w:tcW w:w="4427" w:type="dxa"/>
          </w:tcPr>
          <w:p w14:paraId="75D560B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The manufacturer must determine the impact of the manufacturing elements in the quality of the product, using risk management as a tool to establish the scope of the qualification and validation.</w:t>
            </w:r>
          </w:p>
        </w:tc>
      </w:tr>
      <w:tr w:rsidR="001C6A90" w:rsidRPr="00262EF8" w14:paraId="5B631533" w14:textId="77777777" w:rsidTr="00886332">
        <w:tc>
          <w:tcPr>
            <w:tcW w:w="4405" w:type="dxa"/>
          </w:tcPr>
          <w:p w14:paraId="115B4CC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9.3</w:t>
            </w:r>
            <w:r w:rsidRPr="008F5C15">
              <w:rPr>
                <w:rFonts w:ascii="Verdana" w:hAnsi="Verdana"/>
                <w:sz w:val="16"/>
                <w:szCs w:val="16"/>
                <w:lang w:val="es-MX"/>
              </w:rPr>
              <w:t xml:space="preserve"> Calificación y validación.</w:t>
            </w:r>
          </w:p>
        </w:tc>
        <w:tc>
          <w:tcPr>
            <w:tcW w:w="4427" w:type="dxa"/>
          </w:tcPr>
          <w:p w14:paraId="769C0B1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9.3</w:t>
            </w:r>
            <w:r w:rsidRPr="008F5C15">
              <w:rPr>
                <w:rFonts w:ascii="Verdana" w:hAnsi="Verdana"/>
                <w:sz w:val="16"/>
                <w:szCs w:val="16"/>
                <w:lang w:val="en-US"/>
              </w:rPr>
              <w:t xml:space="preserve"> Qualification and validation</w:t>
            </w:r>
          </w:p>
        </w:tc>
      </w:tr>
      <w:tr w:rsidR="001C6A90" w:rsidRPr="00F70181" w14:paraId="6600D020" w14:textId="77777777" w:rsidTr="00886332">
        <w:tc>
          <w:tcPr>
            <w:tcW w:w="4405" w:type="dxa"/>
          </w:tcPr>
          <w:p w14:paraId="0331324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lastRenderedPageBreak/>
              <w:t>Un requisito esencial para la validación es la calificación de todos los elementos involucrados en el proceso, sistema o método a validar.</w:t>
            </w:r>
          </w:p>
        </w:tc>
        <w:tc>
          <w:tcPr>
            <w:tcW w:w="4427" w:type="dxa"/>
          </w:tcPr>
          <w:p w14:paraId="11618A3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An essential requirement for validation is the qualification of all the essential elements involved in the process, system or method to be validated.</w:t>
            </w:r>
          </w:p>
        </w:tc>
      </w:tr>
      <w:tr w:rsidR="001C6A90" w:rsidRPr="00262EF8" w14:paraId="17DDDFE3" w14:textId="77777777" w:rsidTr="00886332">
        <w:tc>
          <w:tcPr>
            <w:tcW w:w="4405" w:type="dxa"/>
          </w:tcPr>
          <w:p w14:paraId="483D528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w:t>
            </w:r>
            <w:r w:rsidRPr="008F5C15">
              <w:rPr>
                <w:rFonts w:ascii="Verdana" w:hAnsi="Verdana"/>
                <w:sz w:val="16"/>
                <w:szCs w:val="16"/>
                <w:lang w:val="es-MX"/>
              </w:rPr>
              <w:t xml:space="preserve"> PMV. (Plan Maestro de Validación)</w:t>
            </w:r>
          </w:p>
        </w:tc>
        <w:tc>
          <w:tcPr>
            <w:tcW w:w="4427" w:type="dxa"/>
          </w:tcPr>
          <w:p w14:paraId="739435B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9.4 </w:t>
            </w:r>
            <w:r w:rsidRPr="008F5C15">
              <w:rPr>
                <w:rFonts w:ascii="Verdana" w:hAnsi="Verdana"/>
                <w:sz w:val="16"/>
                <w:szCs w:val="16"/>
                <w:lang w:val="en-US"/>
              </w:rPr>
              <w:t>VMP. (Validation Master Plan)</w:t>
            </w:r>
          </w:p>
        </w:tc>
      </w:tr>
      <w:tr w:rsidR="001C6A90" w:rsidRPr="00F70181" w14:paraId="686FA9C3" w14:textId="77777777" w:rsidTr="00886332">
        <w:tc>
          <w:tcPr>
            <w:tcW w:w="4405" w:type="dxa"/>
          </w:tcPr>
          <w:p w14:paraId="35E2CDA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9.4.1</w:t>
            </w:r>
            <w:r w:rsidRPr="008F5C15">
              <w:rPr>
                <w:rFonts w:ascii="Verdana" w:hAnsi="Verdana"/>
                <w:sz w:val="16"/>
                <w:szCs w:val="16"/>
                <w:lang w:val="es-MX"/>
              </w:rPr>
              <w:t xml:space="preserve"> Debe existir un plan escrito para el desarrollo de las actividades de calificación y validación, el cual debe ser autorizado por el mayor nivel jerárquico de la organización y por el Responsable Sanitario, en el que debe quedar establecido el alcance, las responsabilidades y las prioridades de la calificación y validación.</w:t>
            </w:r>
          </w:p>
        </w:tc>
        <w:tc>
          <w:tcPr>
            <w:tcW w:w="4427" w:type="dxa"/>
          </w:tcPr>
          <w:p w14:paraId="58F920E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9.4.1 </w:t>
            </w:r>
            <w:r w:rsidRPr="008F5C15">
              <w:rPr>
                <w:rFonts w:ascii="Verdana" w:hAnsi="Verdana"/>
                <w:sz w:val="16"/>
                <w:szCs w:val="16"/>
                <w:lang w:val="en-US"/>
              </w:rPr>
              <w:t>There must be a written plan for carrying out the activities of qualification and validation, which must be authorized by the greater hierarchical level of the organization and by the Person responsible for sanitary compliance in which the scope, responsibilities, and priorities of the qualification and validation should be established,</w:t>
            </w:r>
          </w:p>
        </w:tc>
      </w:tr>
      <w:tr w:rsidR="001C6A90" w:rsidRPr="00262EF8" w14:paraId="363758BB" w14:textId="77777777" w:rsidTr="00886332">
        <w:tc>
          <w:tcPr>
            <w:tcW w:w="4405" w:type="dxa"/>
          </w:tcPr>
          <w:p w14:paraId="1ED07D0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w:t>
            </w:r>
            <w:r w:rsidRPr="008F5C15">
              <w:rPr>
                <w:rFonts w:ascii="Verdana" w:hAnsi="Verdana"/>
                <w:sz w:val="16"/>
                <w:szCs w:val="16"/>
                <w:lang w:val="es-MX"/>
              </w:rPr>
              <w:t xml:space="preserve"> El PMV debe contener:</w:t>
            </w:r>
          </w:p>
        </w:tc>
        <w:tc>
          <w:tcPr>
            <w:tcW w:w="4427" w:type="dxa"/>
            <w:shd w:val="clear" w:color="auto" w:fill="auto"/>
          </w:tcPr>
          <w:p w14:paraId="3F5836B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 </w:t>
            </w:r>
            <w:r w:rsidRPr="008F5C15">
              <w:rPr>
                <w:rFonts w:ascii="Verdana" w:hAnsi="Verdana"/>
                <w:sz w:val="16"/>
                <w:szCs w:val="16"/>
                <w:lang w:val="en-US"/>
              </w:rPr>
              <w:t>VMP must contain:</w:t>
            </w:r>
          </w:p>
        </w:tc>
      </w:tr>
      <w:tr w:rsidR="001C6A90" w:rsidRPr="00262EF8" w14:paraId="16DF1773" w14:textId="77777777" w:rsidTr="00886332">
        <w:tc>
          <w:tcPr>
            <w:tcW w:w="4405" w:type="dxa"/>
          </w:tcPr>
          <w:p w14:paraId="0453C06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9.4.2.1</w:t>
            </w:r>
            <w:r w:rsidRPr="008F5C15">
              <w:rPr>
                <w:rFonts w:ascii="Verdana" w:hAnsi="Verdana"/>
                <w:sz w:val="16"/>
                <w:szCs w:val="16"/>
                <w:lang w:val="es-MX"/>
              </w:rPr>
              <w:t xml:space="preserve"> Política de validación.</w:t>
            </w:r>
          </w:p>
        </w:tc>
        <w:tc>
          <w:tcPr>
            <w:tcW w:w="4427" w:type="dxa"/>
            <w:shd w:val="clear" w:color="auto" w:fill="auto"/>
          </w:tcPr>
          <w:p w14:paraId="1C08C0F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9.4.2.1 </w:t>
            </w:r>
            <w:r w:rsidRPr="008F5C15">
              <w:rPr>
                <w:rFonts w:ascii="Verdana" w:hAnsi="Verdana"/>
                <w:sz w:val="16"/>
                <w:szCs w:val="16"/>
                <w:lang w:val="en-US"/>
              </w:rPr>
              <w:t>Validation Policy.</w:t>
            </w:r>
          </w:p>
        </w:tc>
      </w:tr>
      <w:tr w:rsidR="001C6A90" w:rsidRPr="00F70181" w14:paraId="23629480" w14:textId="77777777" w:rsidTr="00886332">
        <w:tc>
          <w:tcPr>
            <w:tcW w:w="4405" w:type="dxa"/>
          </w:tcPr>
          <w:p w14:paraId="0793633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9.4.2.2</w:t>
            </w:r>
            <w:r w:rsidRPr="008F5C15">
              <w:rPr>
                <w:rFonts w:ascii="Verdana" w:hAnsi="Verdana"/>
                <w:sz w:val="16"/>
                <w:szCs w:val="16"/>
                <w:lang w:val="es-MX"/>
              </w:rPr>
              <w:t xml:space="preserve"> Estructura organizacional para las actividades de validación.</w:t>
            </w:r>
          </w:p>
        </w:tc>
        <w:tc>
          <w:tcPr>
            <w:tcW w:w="4427" w:type="dxa"/>
            <w:shd w:val="clear" w:color="auto" w:fill="auto"/>
          </w:tcPr>
          <w:p w14:paraId="3C51A63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9.4.2.2 </w:t>
            </w:r>
            <w:r w:rsidRPr="008F5C15">
              <w:rPr>
                <w:rFonts w:ascii="Verdana" w:hAnsi="Verdana"/>
                <w:sz w:val="16"/>
                <w:szCs w:val="16"/>
                <w:lang w:val="en-US"/>
              </w:rPr>
              <w:t>Organizational structure for validation activities.</w:t>
            </w:r>
          </w:p>
        </w:tc>
      </w:tr>
      <w:tr w:rsidR="001C6A90" w:rsidRPr="00262EF8" w14:paraId="31727707" w14:textId="77777777" w:rsidTr="00886332">
        <w:tc>
          <w:tcPr>
            <w:tcW w:w="4405" w:type="dxa"/>
          </w:tcPr>
          <w:p w14:paraId="17E7CA6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9.4.2.3</w:t>
            </w:r>
            <w:r w:rsidRPr="008F5C15">
              <w:rPr>
                <w:rFonts w:ascii="Verdana" w:hAnsi="Verdana"/>
                <w:sz w:val="16"/>
                <w:szCs w:val="16"/>
                <w:lang w:val="es-MX"/>
              </w:rPr>
              <w:t xml:space="preserve"> Responsabilidades.</w:t>
            </w:r>
          </w:p>
        </w:tc>
        <w:tc>
          <w:tcPr>
            <w:tcW w:w="4427" w:type="dxa"/>
            <w:shd w:val="clear" w:color="auto" w:fill="auto"/>
          </w:tcPr>
          <w:p w14:paraId="324C3AA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9.4.2.3 </w:t>
            </w:r>
            <w:r w:rsidRPr="008F5C15">
              <w:rPr>
                <w:rFonts w:ascii="Verdana" w:hAnsi="Verdana"/>
                <w:sz w:val="16"/>
                <w:szCs w:val="16"/>
                <w:lang w:val="en-US"/>
              </w:rPr>
              <w:t>Responsibilities.</w:t>
            </w:r>
          </w:p>
        </w:tc>
      </w:tr>
      <w:tr w:rsidR="001C6A90" w:rsidRPr="00F70181" w14:paraId="58C339FB" w14:textId="77777777" w:rsidTr="00886332">
        <w:tc>
          <w:tcPr>
            <w:tcW w:w="4405" w:type="dxa"/>
          </w:tcPr>
          <w:p w14:paraId="0F4D0C0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9.4.2.4</w:t>
            </w:r>
            <w:r w:rsidRPr="008F5C15">
              <w:rPr>
                <w:rFonts w:ascii="Verdana" w:hAnsi="Verdana"/>
                <w:sz w:val="16"/>
                <w:szCs w:val="16"/>
                <w:lang w:val="es-MX"/>
              </w:rPr>
              <w:t xml:space="preserve"> Comité de validación o su equivalente.</w:t>
            </w:r>
          </w:p>
        </w:tc>
        <w:tc>
          <w:tcPr>
            <w:tcW w:w="4427" w:type="dxa"/>
            <w:shd w:val="clear" w:color="auto" w:fill="auto"/>
          </w:tcPr>
          <w:p w14:paraId="19D3432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9.4.2.4 </w:t>
            </w:r>
            <w:r w:rsidRPr="008F5C15">
              <w:rPr>
                <w:rFonts w:ascii="Verdana" w:hAnsi="Verdana"/>
                <w:sz w:val="16"/>
                <w:szCs w:val="16"/>
                <w:lang w:val="en-US"/>
              </w:rPr>
              <w:t>Validation committee or its equivalent.</w:t>
            </w:r>
          </w:p>
        </w:tc>
      </w:tr>
      <w:tr w:rsidR="001C6A90" w:rsidRPr="00F70181" w14:paraId="250B5866" w14:textId="77777777" w:rsidTr="00886332">
        <w:tc>
          <w:tcPr>
            <w:tcW w:w="4405" w:type="dxa"/>
          </w:tcPr>
          <w:p w14:paraId="549428B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9.4.2.5</w:t>
            </w:r>
            <w:r w:rsidRPr="008F5C15">
              <w:rPr>
                <w:rFonts w:ascii="Verdana" w:hAnsi="Verdana"/>
                <w:sz w:val="16"/>
                <w:szCs w:val="16"/>
                <w:lang w:val="es-MX"/>
              </w:rPr>
              <w:t xml:space="preserve"> Listado de las instalaciones, equipos, sistemas, métodos y procesos a calificar y/o validar.</w:t>
            </w:r>
          </w:p>
        </w:tc>
        <w:tc>
          <w:tcPr>
            <w:tcW w:w="4427" w:type="dxa"/>
            <w:shd w:val="clear" w:color="auto" w:fill="auto"/>
          </w:tcPr>
          <w:p w14:paraId="52EB398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9.4.2.5</w:t>
            </w:r>
            <w:r w:rsidRPr="008F5C15">
              <w:rPr>
                <w:rFonts w:ascii="Verdana" w:hAnsi="Verdana"/>
                <w:sz w:val="16"/>
                <w:szCs w:val="16"/>
                <w:lang w:val="en-US"/>
              </w:rPr>
              <w:t xml:space="preserve"> List of the installations, equipment, systems, methods and processes to qualify and/or validate.</w:t>
            </w:r>
          </w:p>
        </w:tc>
      </w:tr>
      <w:tr w:rsidR="001C6A90" w:rsidRPr="00F70181" w14:paraId="7B5D9EAC" w14:textId="77777777" w:rsidTr="00886332">
        <w:tc>
          <w:tcPr>
            <w:tcW w:w="4405" w:type="dxa"/>
          </w:tcPr>
          <w:p w14:paraId="3F4AFEC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9.4.2.6</w:t>
            </w:r>
            <w:r w:rsidRPr="008F5C15">
              <w:rPr>
                <w:rFonts w:ascii="Verdana" w:hAnsi="Verdana"/>
                <w:sz w:val="16"/>
                <w:szCs w:val="16"/>
                <w:lang w:val="es-MX"/>
              </w:rPr>
              <w:t xml:space="preserve"> Formatos a emplearse para los protocolos y reportes.</w:t>
            </w:r>
          </w:p>
        </w:tc>
        <w:tc>
          <w:tcPr>
            <w:tcW w:w="4427" w:type="dxa"/>
            <w:shd w:val="clear" w:color="auto" w:fill="auto"/>
          </w:tcPr>
          <w:p w14:paraId="3B1DA55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9.4.2.6 </w:t>
            </w:r>
            <w:r w:rsidRPr="008F5C15">
              <w:rPr>
                <w:rFonts w:ascii="Verdana" w:hAnsi="Verdana"/>
                <w:sz w:val="16"/>
                <w:szCs w:val="16"/>
                <w:lang w:val="en-US"/>
              </w:rPr>
              <w:t>Formats to be employed for the protocols and reports.</w:t>
            </w:r>
          </w:p>
        </w:tc>
      </w:tr>
      <w:tr w:rsidR="001C6A90" w:rsidRPr="00F70181" w14:paraId="7C80E4F6" w14:textId="77777777" w:rsidTr="00886332">
        <w:tc>
          <w:tcPr>
            <w:tcW w:w="4405" w:type="dxa"/>
          </w:tcPr>
          <w:p w14:paraId="519D2E0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9.4.2.7</w:t>
            </w:r>
            <w:r w:rsidRPr="008F5C15">
              <w:rPr>
                <w:rFonts w:ascii="Verdana" w:hAnsi="Verdana"/>
                <w:sz w:val="16"/>
                <w:szCs w:val="16"/>
                <w:lang w:val="es-MX"/>
              </w:rPr>
              <w:t xml:space="preserve"> Matriz de capacitación y calificación del personal.</w:t>
            </w:r>
          </w:p>
        </w:tc>
        <w:tc>
          <w:tcPr>
            <w:tcW w:w="4427" w:type="dxa"/>
            <w:shd w:val="clear" w:color="auto" w:fill="auto"/>
          </w:tcPr>
          <w:p w14:paraId="15FBEB5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9.4.2.7 </w:t>
            </w:r>
            <w:r w:rsidRPr="008F5C15">
              <w:rPr>
                <w:rFonts w:ascii="Verdana" w:hAnsi="Verdana"/>
                <w:sz w:val="16"/>
                <w:szCs w:val="16"/>
                <w:lang w:val="en-US"/>
              </w:rPr>
              <w:t>Training and qualification matrix of the personnel.</w:t>
            </w:r>
          </w:p>
        </w:tc>
      </w:tr>
      <w:tr w:rsidR="001C6A90" w:rsidRPr="00262EF8" w14:paraId="0623FF94" w14:textId="77777777" w:rsidTr="00886332">
        <w:tc>
          <w:tcPr>
            <w:tcW w:w="4405" w:type="dxa"/>
          </w:tcPr>
          <w:p w14:paraId="77DCA89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9.4.2.8</w:t>
            </w:r>
            <w:r w:rsidRPr="008F5C15">
              <w:rPr>
                <w:rFonts w:ascii="Verdana" w:hAnsi="Verdana"/>
                <w:sz w:val="16"/>
                <w:szCs w:val="16"/>
                <w:lang w:val="es-MX"/>
              </w:rPr>
              <w:t xml:space="preserve"> Control de cambios.</w:t>
            </w:r>
          </w:p>
        </w:tc>
        <w:tc>
          <w:tcPr>
            <w:tcW w:w="4427" w:type="dxa"/>
            <w:shd w:val="clear" w:color="auto" w:fill="auto"/>
          </w:tcPr>
          <w:p w14:paraId="673C0F4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9.4.2.8 </w:t>
            </w:r>
            <w:r w:rsidRPr="008F5C15">
              <w:rPr>
                <w:rFonts w:ascii="Verdana" w:hAnsi="Verdana"/>
                <w:sz w:val="16"/>
                <w:szCs w:val="16"/>
                <w:lang w:val="en-US"/>
              </w:rPr>
              <w:t>Control of changes.</w:t>
            </w:r>
          </w:p>
        </w:tc>
      </w:tr>
      <w:tr w:rsidR="001C6A90" w:rsidRPr="00262EF8" w14:paraId="444D5BF8" w14:textId="77777777" w:rsidTr="00886332">
        <w:tc>
          <w:tcPr>
            <w:tcW w:w="4405" w:type="dxa"/>
          </w:tcPr>
          <w:p w14:paraId="2E1074E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9.4.2.9</w:t>
            </w:r>
            <w:r w:rsidRPr="008F5C15">
              <w:rPr>
                <w:rFonts w:ascii="Verdana" w:hAnsi="Verdana"/>
                <w:sz w:val="16"/>
                <w:szCs w:val="16"/>
                <w:lang w:val="es-MX"/>
              </w:rPr>
              <w:t xml:space="preserve"> Referencia a documentos aplicables.</w:t>
            </w:r>
          </w:p>
        </w:tc>
        <w:tc>
          <w:tcPr>
            <w:tcW w:w="4427" w:type="dxa"/>
            <w:shd w:val="clear" w:color="auto" w:fill="auto"/>
          </w:tcPr>
          <w:p w14:paraId="4860CAB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9.4.2.9</w:t>
            </w:r>
            <w:r w:rsidRPr="008F5C15">
              <w:rPr>
                <w:rFonts w:ascii="Verdana" w:hAnsi="Verdana"/>
                <w:sz w:val="16"/>
                <w:szCs w:val="16"/>
                <w:lang w:val="en-US"/>
              </w:rPr>
              <w:t xml:space="preserve"> Reference to applicable documents.</w:t>
            </w:r>
          </w:p>
        </w:tc>
      </w:tr>
      <w:tr w:rsidR="001C6A90" w:rsidRPr="00262EF8" w14:paraId="4A045695" w14:textId="77777777" w:rsidTr="00886332">
        <w:tc>
          <w:tcPr>
            <w:tcW w:w="4405" w:type="dxa"/>
          </w:tcPr>
          <w:p w14:paraId="66CE073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9.4.2.10</w:t>
            </w:r>
            <w:r w:rsidRPr="008F5C15">
              <w:rPr>
                <w:rFonts w:ascii="Verdana" w:hAnsi="Verdana"/>
                <w:sz w:val="16"/>
                <w:szCs w:val="16"/>
                <w:lang w:val="es-MX"/>
              </w:rPr>
              <w:t xml:space="preserve"> Métodos analíticos.</w:t>
            </w:r>
          </w:p>
        </w:tc>
        <w:tc>
          <w:tcPr>
            <w:tcW w:w="4427" w:type="dxa"/>
            <w:shd w:val="clear" w:color="auto" w:fill="auto"/>
          </w:tcPr>
          <w:p w14:paraId="08F8C0A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9.4.2.11 </w:t>
            </w:r>
            <w:r w:rsidRPr="008F5C15">
              <w:rPr>
                <w:rFonts w:ascii="Verdana" w:hAnsi="Verdana"/>
                <w:sz w:val="16"/>
                <w:szCs w:val="16"/>
                <w:lang w:val="en-US"/>
              </w:rPr>
              <w:t>Analytical methods.</w:t>
            </w:r>
          </w:p>
        </w:tc>
      </w:tr>
      <w:tr w:rsidR="001C6A90" w:rsidRPr="00F70181" w14:paraId="4F2C3ADC" w14:textId="77777777" w:rsidTr="00886332">
        <w:tc>
          <w:tcPr>
            <w:tcW w:w="4405" w:type="dxa"/>
          </w:tcPr>
          <w:p w14:paraId="237A72A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9.4.2.11</w:t>
            </w:r>
            <w:r w:rsidRPr="008F5C15">
              <w:rPr>
                <w:rFonts w:ascii="Verdana" w:hAnsi="Verdana"/>
                <w:sz w:val="16"/>
                <w:szCs w:val="16"/>
                <w:lang w:val="es-MX"/>
              </w:rPr>
              <w:t xml:space="preserve"> Sistemas computacionales que impactan a la calidad del producto</w:t>
            </w:r>
            <w:r w:rsidRPr="008F5C15">
              <w:rPr>
                <w:rFonts w:ascii="Verdana" w:hAnsi="Verdana"/>
                <w:i/>
                <w:sz w:val="16"/>
                <w:szCs w:val="16"/>
                <w:lang w:val="es-MX"/>
              </w:rPr>
              <w:t>.</w:t>
            </w:r>
          </w:p>
        </w:tc>
        <w:tc>
          <w:tcPr>
            <w:tcW w:w="4427" w:type="dxa"/>
            <w:shd w:val="clear" w:color="auto" w:fill="auto"/>
          </w:tcPr>
          <w:p w14:paraId="2B8CAF4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9.4.2.11 </w:t>
            </w:r>
            <w:r w:rsidRPr="008F5C15">
              <w:rPr>
                <w:rFonts w:ascii="Verdana" w:hAnsi="Verdana"/>
                <w:sz w:val="16"/>
                <w:szCs w:val="16"/>
                <w:lang w:val="en-US"/>
              </w:rPr>
              <w:t>Computer systems that impact the quality of the product.</w:t>
            </w:r>
          </w:p>
        </w:tc>
      </w:tr>
      <w:tr w:rsidR="001C6A90" w:rsidRPr="00262EF8" w14:paraId="23194C46" w14:textId="77777777" w:rsidTr="00886332">
        <w:tc>
          <w:tcPr>
            <w:tcW w:w="4405" w:type="dxa"/>
          </w:tcPr>
          <w:p w14:paraId="6EDAF97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9.4.2.12</w:t>
            </w:r>
            <w:r w:rsidRPr="008F5C15">
              <w:rPr>
                <w:rFonts w:ascii="Verdana" w:hAnsi="Verdana"/>
                <w:sz w:val="16"/>
                <w:szCs w:val="16"/>
                <w:lang w:val="es-MX"/>
              </w:rPr>
              <w:t xml:space="preserve"> Sistemas críticos.</w:t>
            </w:r>
          </w:p>
        </w:tc>
        <w:tc>
          <w:tcPr>
            <w:tcW w:w="4427" w:type="dxa"/>
            <w:shd w:val="clear" w:color="auto" w:fill="auto"/>
          </w:tcPr>
          <w:p w14:paraId="61A21C0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9.4.2.12 </w:t>
            </w:r>
            <w:r w:rsidRPr="008F5C15">
              <w:rPr>
                <w:rFonts w:ascii="Verdana" w:hAnsi="Verdana"/>
                <w:sz w:val="16"/>
                <w:szCs w:val="16"/>
                <w:lang w:val="en-US"/>
              </w:rPr>
              <w:t>Critical systems.</w:t>
            </w:r>
          </w:p>
        </w:tc>
      </w:tr>
      <w:tr w:rsidR="001C6A90" w:rsidRPr="00262EF8" w14:paraId="12A5CF67" w14:textId="77777777" w:rsidTr="00886332">
        <w:tc>
          <w:tcPr>
            <w:tcW w:w="4405" w:type="dxa"/>
          </w:tcPr>
          <w:p w14:paraId="1C8FE13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9.4.2.13 </w:t>
            </w:r>
            <w:r w:rsidRPr="008F5C15">
              <w:rPr>
                <w:rFonts w:ascii="Verdana" w:hAnsi="Verdana"/>
                <w:sz w:val="16"/>
                <w:szCs w:val="16"/>
                <w:lang w:val="es-MX"/>
              </w:rPr>
              <w:t>Equipo de producción y acondicionamiento.</w:t>
            </w:r>
          </w:p>
        </w:tc>
        <w:tc>
          <w:tcPr>
            <w:tcW w:w="4427" w:type="dxa"/>
            <w:shd w:val="clear" w:color="auto" w:fill="auto"/>
          </w:tcPr>
          <w:p w14:paraId="56BFAEE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9.4.2.13</w:t>
            </w:r>
            <w:r w:rsidRPr="008F5C15">
              <w:rPr>
                <w:rFonts w:ascii="Verdana" w:hAnsi="Verdana"/>
                <w:sz w:val="16"/>
                <w:szCs w:val="16"/>
                <w:lang w:val="en-US"/>
              </w:rPr>
              <w:t xml:space="preserve"> Production and conditioning equipment.</w:t>
            </w:r>
          </w:p>
        </w:tc>
      </w:tr>
      <w:tr w:rsidR="001C6A90" w:rsidRPr="00262EF8" w14:paraId="3AE7DB95" w14:textId="77777777" w:rsidTr="00886332">
        <w:tc>
          <w:tcPr>
            <w:tcW w:w="4405" w:type="dxa"/>
          </w:tcPr>
          <w:p w14:paraId="7E12631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9.4.2.14 </w:t>
            </w:r>
            <w:r w:rsidRPr="008F5C15">
              <w:rPr>
                <w:rFonts w:ascii="Verdana" w:hAnsi="Verdana"/>
                <w:sz w:val="16"/>
                <w:szCs w:val="16"/>
                <w:lang w:val="es-MX"/>
              </w:rPr>
              <w:t>Procedimiento o métodos de limpieza y/o sanitización.</w:t>
            </w:r>
          </w:p>
        </w:tc>
        <w:tc>
          <w:tcPr>
            <w:tcW w:w="4427" w:type="dxa"/>
            <w:shd w:val="clear" w:color="auto" w:fill="auto"/>
          </w:tcPr>
          <w:p w14:paraId="226FED1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9.4.2.14</w:t>
            </w:r>
            <w:r w:rsidRPr="008F5C15">
              <w:rPr>
                <w:rFonts w:ascii="Verdana" w:hAnsi="Verdana"/>
                <w:sz w:val="16"/>
                <w:szCs w:val="16"/>
                <w:lang w:val="en-US"/>
              </w:rPr>
              <w:t xml:space="preserve"> Cleaning processes or methods.</w:t>
            </w:r>
          </w:p>
        </w:tc>
      </w:tr>
      <w:tr w:rsidR="001C6A90" w:rsidRPr="00262EF8" w14:paraId="5EF64605" w14:textId="77777777" w:rsidTr="00886332">
        <w:tc>
          <w:tcPr>
            <w:tcW w:w="4405" w:type="dxa"/>
          </w:tcPr>
          <w:p w14:paraId="6BDFB48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9.4.2.15</w:t>
            </w:r>
            <w:r w:rsidRPr="008F5C15">
              <w:rPr>
                <w:rFonts w:ascii="Verdana" w:hAnsi="Verdana"/>
                <w:sz w:val="16"/>
                <w:szCs w:val="16"/>
                <w:lang w:val="es-MX"/>
              </w:rPr>
              <w:t xml:space="preserve"> Procesos de producción y acondicionamiento.</w:t>
            </w:r>
          </w:p>
        </w:tc>
        <w:tc>
          <w:tcPr>
            <w:tcW w:w="4427" w:type="dxa"/>
            <w:shd w:val="clear" w:color="auto" w:fill="auto"/>
          </w:tcPr>
          <w:p w14:paraId="001C766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9.4.2.15 </w:t>
            </w:r>
            <w:r w:rsidRPr="008F5C15">
              <w:rPr>
                <w:rFonts w:ascii="Verdana" w:hAnsi="Verdana"/>
                <w:sz w:val="16"/>
                <w:szCs w:val="16"/>
                <w:lang w:val="en-US"/>
              </w:rPr>
              <w:t>Production and conditioning processes.</w:t>
            </w:r>
          </w:p>
        </w:tc>
      </w:tr>
      <w:tr w:rsidR="001C6A90" w:rsidRPr="00F70181" w14:paraId="0324B58C" w14:textId="77777777" w:rsidTr="00886332">
        <w:tc>
          <w:tcPr>
            <w:tcW w:w="4405" w:type="dxa"/>
          </w:tcPr>
          <w:p w14:paraId="28E9256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9.4.2.16</w:t>
            </w:r>
            <w:r w:rsidRPr="008F5C15">
              <w:rPr>
                <w:rFonts w:ascii="Verdana" w:hAnsi="Verdana"/>
                <w:sz w:val="16"/>
                <w:szCs w:val="16"/>
                <w:lang w:val="es-MX"/>
              </w:rPr>
              <w:t xml:space="preserve"> Mantenimiento del estado validado.</w:t>
            </w:r>
          </w:p>
        </w:tc>
        <w:tc>
          <w:tcPr>
            <w:tcW w:w="4427" w:type="dxa"/>
            <w:shd w:val="clear" w:color="auto" w:fill="auto"/>
          </w:tcPr>
          <w:p w14:paraId="134CC4C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9.4.2.16 </w:t>
            </w:r>
            <w:r w:rsidRPr="008F5C15">
              <w:rPr>
                <w:rFonts w:ascii="Verdana" w:hAnsi="Verdana"/>
                <w:sz w:val="16"/>
                <w:szCs w:val="16"/>
                <w:lang w:val="en-US"/>
              </w:rPr>
              <w:t>Maintenance of the validated state.</w:t>
            </w:r>
          </w:p>
        </w:tc>
      </w:tr>
      <w:tr w:rsidR="001C6A90" w:rsidRPr="00F70181" w14:paraId="7A1ECB3D" w14:textId="77777777" w:rsidTr="00886332">
        <w:tc>
          <w:tcPr>
            <w:tcW w:w="4405" w:type="dxa"/>
          </w:tcPr>
          <w:p w14:paraId="32556D6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9.4.2.17</w:t>
            </w:r>
            <w:r w:rsidRPr="008F5C15">
              <w:rPr>
                <w:rFonts w:ascii="Verdana" w:hAnsi="Verdana"/>
                <w:sz w:val="16"/>
                <w:szCs w:val="16"/>
                <w:lang w:val="es-MX"/>
              </w:rPr>
              <w:t xml:space="preserve"> Debe incluir un programa de actividades, el cual deberá ser actualizado con la frecuencia requerida.</w:t>
            </w:r>
          </w:p>
        </w:tc>
        <w:tc>
          <w:tcPr>
            <w:tcW w:w="4427" w:type="dxa"/>
            <w:shd w:val="clear" w:color="auto" w:fill="auto"/>
          </w:tcPr>
          <w:p w14:paraId="12524B4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9.4.2.17 </w:t>
            </w:r>
            <w:r w:rsidRPr="008F5C15">
              <w:rPr>
                <w:rFonts w:ascii="Verdana" w:hAnsi="Verdana"/>
                <w:sz w:val="16"/>
                <w:szCs w:val="16"/>
                <w:lang w:val="en-US"/>
              </w:rPr>
              <w:t>A program of activities which must be updated as frequently as required.</w:t>
            </w:r>
          </w:p>
        </w:tc>
      </w:tr>
      <w:tr w:rsidR="001C6A90" w:rsidRPr="00262EF8" w14:paraId="50CF722C" w14:textId="77777777" w:rsidTr="00886332">
        <w:tc>
          <w:tcPr>
            <w:tcW w:w="4405" w:type="dxa"/>
          </w:tcPr>
          <w:p w14:paraId="0A67EB4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9.5</w:t>
            </w:r>
            <w:r w:rsidRPr="008F5C15">
              <w:rPr>
                <w:rFonts w:ascii="Verdana" w:hAnsi="Verdana"/>
                <w:sz w:val="16"/>
                <w:szCs w:val="16"/>
                <w:lang w:val="es-MX"/>
              </w:rPr>
              <w:t xml:space="preserve"> Protocolos de calificación y validación.</w:t>
            </w:r>
          </w:p>
        </w:tc>
        <w:tc>
          <w:tcPr>
            <w:tcW w:w="4427" w:type="dxa"/>
            <w:shd w:val="clear" w:color="auto" w:fill="auto"/>
          </w:tcPr>
          <w:p w14:paraId="4FBAEAD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9.5</w:t>
            </w:r>
            <w:r w:rsidRPr="008F5C15">
              <w:rPr>
                <w:rFonts w:ascii="Verdana" w:hAnsi="Verdana"/>
                <w:sz w:val="16"/>
                <w:szCs w:val="16"/>
                <w:lang w:val="en-US"/>
              </w:rPr>
              <w:t xml:space="preserve"> Qualification and validation protocols.</w:t>
            </w:r>
          </w:p>
        </w:tc>
      </w:tr>
      <w:tr w:rsidR="001C6A90" w:rsidRPr="00F70181" w14:paraId="71B0498D" w14:textId="77777777" w:rsidTr="00886332">
        <w:tc>
          <w:tcPr>
            <w:tcW w:w="4405" w:type="dxa"/>
          </w:tcPr>
          <w:p w14:paraId="415BF3C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Se debe contar con protocolos escritos donde se especifique cómo se realizará la calificación y validación, éstos deben especificar las etapas críticas e incluir los criterios de aceptación.</w:t>
            </w:r>
          </w:p>
        </w:tc>
        <w:tc>
          <w:tcPr>
            <w:tcW w:w="4427" w:type="dxa"/>
          </w:tcPr>
          <w:p w14:paraId="7FA4D5F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There must be written protocols where it is specified how the qualification and validation will be carried out, they must specify the critical stages and include the acceptance criteria. </w:t>
            </w:r>
          </w:p>
        </w:tc>
      </w:tr>
      <w:tr w:rsidR="001C6A90" w:rsidRPr="00F70181" w14:paraId="3F5C572B" w14:textId="77777777" w:rsidTr="00886332">
        <w:tc>
          <w:tcPr>
            <w:tcW w:w="4405" w:type="dxa"/>
          </w:tcPr>
          <w:p w14:paraId="13029FA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9.5.1</w:t>
            </w:r>
            <w:r w:rsidRPr="008F5C15">
              <w:rPr>
                <w:rFonts w:ascii="Verdana" w:hAnsi="Verdana"/>
                <w:sz w:val="16"/>
                <w:szCs w:val="16"/>
                <w:lang w:val="es-MX"/>
              </w:rPr>
              <w:t xml:space="preserve"> Reportes de calificación y validación.</w:t>
            </w:r>
          </w:p>
        </w:tc>
        <w:tc>
          <w:tcPr>
            <w:tcW w:w="4427" w:type="dxa"/>
          </w:tcPr>
          <w:p w14:paraId="66B4C0F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9.5.1 </w:t>
            </w:r>
            <w:r w:rsidRPr="008F5C15">
              <w:rPr>
                <w:rFonts w:ascii="Verdana" w:hAnsi="Verdana"/>
                <w:sz w:val="16"/>
                <w:szCs w:val="16"/>
                <w:lang w:val="en-US"/>
              </w:rPr>
              <w:t>Reports of qualification and validation.</w:t>
            </w:r>
          </w:p>
        </w:tc>
      </w:tr>
      <w:tr w:rsidR="001C6A90" w:rsidRPr="00F70181" w14:paraId="46CB65B4" w14:textId="77777777" w:rsidTr="00886332">
        <w:tc>
          <w:tcPr>
            <w:tcW w:w="4405" w:type="dxa"/>
          </w:tcPr>
          <w:p w14:paraId="5488DB5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lastRenderedPageBreak/>
              <w:t>Se debe contar con reportes escritos de la calificación y validación que demuestren la trazabilidad al protocolo correspondiente, éstos deben incluir los resultados obtenidos, las desviaciones observadas y conclusiones. Cualquier cambio al protocolo durante la ejecución debe documentarse y justificarse.</w:t>
            </w:r>
          </w:p>
        </w:tc>
        <w:tc>
          <w:tcPr>
            <w:tcW w:w="4427" w:type="dxa"/>
          </w:tcPr>
          <w:p w14:paraId="2154A1A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There must be written reports of the qualification and validation that demonstrate the traceability to the corresponding protocol, they must include the results obtained, the deviations observed and the conclusions. Any change to the protocol during the execution must be documented and justified. </w:t>
            </w:r>
          </w:p>
        </w:tc>
      </w:tr>
      <w:tr w:rsidR="001C6A90" w:rsidRPr="00F70181" w14:paraId="686D4A17" w14:textId="77777777" w:rsidTr="00886332">
        <w:tc>
          <w:tcPr>
            <w:tcW w:w="4405" w:type="dxa"/>
          </w:tcPr>
          <w:p w14:paraId="04098DE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9.6</w:t>
            </w:r>
            <w:r w:rsidRPr="008F5C15">
              <w:rPr>
                <w:rFonts w:ascii="Verdana" w:hAnsi="Verdana"/>
                <w:sz w:val="16"/>
                <w:szCs w:val="16"/>
                <w:lang w:val="es-MX"/>
              </w:rPr>
              <w:t xml:space="preserve"> Calificación. La calificación se debe efectuar mediante las siguientes cuatro etapas consecutivas:</w:t>
            </w:r>
          </w:p>
        </w:tc>
        <w:tc>
          <w:tcPr>
            <w:tcW w:w="4427" w:type="dxa"/>
          </w:tcPr>
          <w:p w14:paraId="7D956C6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9.6 </w:t>
            </w:r>
            <w:r w:rsidRPr="008F5C15">
              <w:rPr>
                <w:rFonts w:ascii="Verdana" w:hAnsi="Verdana"/>
                <w:sz w:val="16"/>
                <w:szCs w:val="16"/>
                <w:lang w:val="en-US"/>
              </w:rPr>
              <w:t xml:space="preserve">Qualification. The qualification must be made through the following four consecutive stages: </w:t>
            </w:r>
          </w:p>
        </w:tc>
      </w:tr>
      <w:tr w:rsidR="001C6A90" w:rsidRPr="00F70181" w14:paraId="4A753E56" w14:textId="77777777" w:rsidTr="00886332">
        <w:tc>
          <w:tcPr>
            <w:tcW w:w="4405" w:type="dxa"/>
          </w:tcPr>
          <w:p w14:paraId="43C0530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9.6.1</w:t>
            </w:r>
            <w:r w:rsidRPr="008F5C15">
              <w:rPr>
                <w:rFonts w:ascii="Verdana" w:hAnsi="Verdana"/>
                <w:sz w:val="16"/>
                <w:szCs w:val="16"/>
                <w:lang w:val="es-MX"/>
              </w:rPr>
              <w:t xml:space="preserve"> Deben contar con calificación de diseño basada en los requisitos de usuario, que incluyan requisitos funcionales y regulatorios.</w:t>
            </w:r>
          </w:p>
        </w:tc>
        <w:tc>
          <w:tcPr>
            <w:tcW w:w="4427" w:type="dxa"/>
          </w:tcPr>
          <w:p w14:paraId="443F463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9.6.1 </w:t>
            </w:r>
            <w:r w:rsidRPr="008F5C15">
              <w:rPr>
                <w:rFonts w:ascii="Verdana" w:hAnsi="Verdana"/>
                <w:sz w:val="16"/>
                <w:szCs w:val="16"/>
                <w:lang w:val="en-US"/>
              </w:rPr>
              <w:t xml:space="preserve">There must be a qualification of the design based on the requirements of the user, that include functional and regulatory requirements. </w:t>
            </w:r>
          </w:p>
        </w:tc>
      </w:tr>
      <w:tr w:rsidR="001C6A90" w:rsidRPr="00F70181" w14:paraId="74B80742" w14:textId="77777777" w:rsidTr="00886332">
        <w:tc>
          <w:tcPr>
            <w:tcW w:w="4405" w:type="dxa"/>
          </w:tcPr>
          <w:p w14:paraId="0EE5565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9.6.2 </w:t>
            </w:r>
            <w:r w:rsidRPr="008F5C15">
              <w:rPr>
                <w:rFonts w:ascii="Verdana" w:hAnsi="Verdana"/>
                <w:sz w:val="16"/>
                <w:szCs w:val="16"/>
                <w:lang w:val="es-MX"/>
              </w:rPr>
              <w:t>Deben contar con calificación de instalación de acuerdo a la calificación del diseño y los requisitos del fabricante.</w:t>
            </w:r>
          </w:p>
        </w:tc>
        <w:tc>
          <w:tcPr>
            <w:tcW w:w="4427" w:type="dxa"/>
          </w:tcPr>
          <w:p w14:paraId="0F2E0D1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9.6.2 </w:t>
            </w:r>
            <w:r w:rsidRPr="008F5C15">
              <w:rPr>
                <w:rFonts w:ascii="Verdana" w:hAnsi="Verdana"/>
                <w:sz w:val="16"/>
                <w:szCs w:val="16"/>
                <w:lang w:val="en-US"/>
              </w:rPr>
              <w:t xml:space="preserve">There must be a qualification of installation according to the qualification of the design and the manufacturer requirements. </w:t>
            </w:r>
          </w:p>
        </w:tc>
      </w:tr>
      <w:tr w:rsidR="001C6A90" w:rsidRPr="00F70181" w14:paraId="20D08646" w14:textId="77777777" w:rsidTr="00886332">
        <w:tc>
          <w:tcPr>
            <w:tcW w:w="4405" w:type="dxa"/>
          </w:tcPr>
          <w:p w14:paraId="52FB771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9.6.3</w:t>
            </w:r>
            <w:r w:rsidRPr="008F5C15">
              <w:rPr>
                <w:rFonts w:ascii="Verdana" w:hAnsi="Verdana"/>
                <w:sz w:val="16"/>
                <w:szCs w:val="16"/>
                <w:lang w:val="es-MX"/>
              </w:rPr>
              <w:t xml:space="preserve"> Deben contar con calificación de operación basada en las condiciones e intervalos de operación establecidas por el fabricante y usuario.</w:t>
            </w:r>
          </w:p>
        </w:tc>
        <w:tc>
          <w:tcPr>
            <w:tcW w:w="4427" w:type="dxa"/>
          </w:tcPr>
          <w:p w14:paraId="1415BBC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9.6.3 </w:t>
            </w:r>
            <w:r w:rsidRPr="008F5C15">
              <w:rPr>
                <w:rFonts w:ascii="Verdana" w:hAnsi="Verdana"/>
                <w:sz w:val="16"/>
                <w:szCs w:val="16"/>
                <w:lang w:val="en-US"/>
              </w:rPr>
              <w:t xml:space="preserve">There must be a qualification of operation based on the conditions and intervals of operation established by the manufacturer and user. </w:t>
            </w:r>
          </w:p>
        </w:tc>
      </w:tr>
      <w:tr w:rsidR="001C6A90" w:rsidRPr="00F70181" w14:paraId="16043632" w14:textId="77777777" w:rsidTr="00886332">
        <w:tc>
          <w:tcPr>
            <w:tcW w:w="4405" w:type="dxa"/>
          </w:tcPr>
          <w:p w14:paraId="7ABBF6E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9.6.4</w:t>
            </w:r>
            <w:r w:rsidRPr="008F5C15">
              <w:rPr>
                <w:rFonts w:ascii="Verdana" w:hAnsi="Verdana"/>
                <w:sz w:val="16"/>
                <w:szCs w:val="16"/>
                <w:lang w:val="es-MX"/>
              </w:rPr>
              <w:t xml:space="preserve"> Deben contar con calificación de desempeño que demuestre que el equipo y sistema cumple con los requisitos previamente establecidos en condiciones de uso rutinario y dentro de los intervalos de trabajo permitidos para cada producto.</w:t>
            </w:r>
          </w:p>
        </w:tc>
        <w:tc>
          <w:tcPr>
            <w:tcW w:w="4427" w:type="dxa"/>
          </w:tcPr>
          <w:p w14:paraId="17FB129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9.6.4 </w:t>
            </w:r>
            <w:r w:rsidRPr="008F5C15">
              <w:rPr>
                <w:rFonts w:ascii="Verdana" w:hAnsi="Verdana"/>
                <w:sz w:val="16"/>
                <w:szCs w:val="16"/>
                <w:lang w:val="en-US"/>
              </w:rPr>
              <w:t xml:space="preserve">There must be qualification of the performance that demonstrates that the equipment and system comply with the requirements previously established under conditions of routine use and within the work intervals permitted for each product. </w:t>
            </w:r>
          </w:p>
        </w:tc>
      </w:tr>
      <w:tr w:rsidR="001C6A90" w:rsidRPr="00F70181" w14:paraId="6517F440" w14:textId="77777777" w:rsidTr="00886332">
        <w:tc>
          <w:tcPr>
            <w:tcW w:w="4405" w:type="dxa"/>
          </w:tcPr>
          <w:p w14:paraId="3A9FD6C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9.6.5 </w:t>
            </w:r>
            <w:r w:rsidRPr="008F5C15">
              <w:rPr>
                <w:rFonts w:ascii="Verdana" w:hAnsi="Verdana"/>
                <w:sz w:val="16"/>
                <w:szCs w:val="16"/>
                <w:lang w:val="es-MX"/>
              </w:rPr>
              <w:t>Para continuar con la siguiente etapa de calificación deben concluir satisfactoriamente la precedente. Podrán iniciar la siguiente etapa, sólo cuando demuestren que no existen no conformidades mayores abiertas y haya una evaluación documentada de que no hay un impacto significativo en la siguiente etapa.</w:t>
            </w:r>
          </w:p>
        </w:tc>
        <w:tc>
          <w:tcPr>
            <w:tcW w:w="4427" w:type="dxa"/>
          </w:tcPr>
          <w:p w14:paraId="20FEABF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9.6.5 </w:t>
            </w:r>
            <w:r w:rsidRPr="008F5C15">
              <w:rPr>
                <w:rFonts w:ascii="Verdana" w:hAnsi="Verdana"/>
                <w:sz w:val="16"/>
                <w:szCs w:val="16"/>
                <w:lang w:val="en-US"/>
              </w:rPr>
              <w:t xml:space="preserve">In order to continue with the following qualification stage, the preceding must be satisfactorily concluded. They can initiate the following stage when they demonstrate that no open major noncompliances exist and there is a documented evaluation that there is no significant impact on the following stage. </w:t>
            </w:r>
          </w:p>
        </w:tc>
      </w:tr>
      <w:tr w:rsidR="001C6A90" w:rsidRPr="00F70181" w14:paraId="233673F2" w14:textId="77777777" w:rsidTr="00886332">
        <w:tc>
          <w:tcPr>
            <w:tcW w:w="4405" w:type="dxa"/>
          </w:tcPr>
          <w:p w14:paraId="63022D1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9.6.5.1</w:t>
            </w:r>
            <w:r w:rsidRPr="008F5C15">
              <w:rPr>
                <w:rFonts w:ascii="Verdana" w:hAnsi="Verdana"/>
                <w:sz w:val="16"/>
                <w:szCs w:val="16"/>
                <w:lang w:val="es-MX"/>
              </w:rPr>
              <w:t xml:space="preserve"> Los instrumentos de medición involucrados en la calificación, deben estar calibrados con trazabilidad a los patrones nacionales.</w:t>
            </w:r>
          </w:p>
        </w:tc>
        <w:tc>
          <w:tcPr>
            <w:tcW w:w="4427" w:type="dxa"/>
          </w:tcPr>
          <w:p w14:paraId="6587BBA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9.6.5.1 </w:t>
            </w:r>
            <w:r w:rsidRPr="008F5C15">
              <w:rPr>
                <w:rFonts w:ascii="Verdana" w:hAnsi="Verdana"/>
                <w:sz w:val="16"/>
                <w:szCs w:val="16"/>
                <w:lang w:val="en-US"/>
              </w:rPr>
              <w:t xml:space="preserve">The measuring instruments involved in the classification must be calibrated with traceability to the national standards. </w:t>
            </w:r>
          </w:p>
        </w:tc>
      </w:tr>
      <w:tr w:rsidR="001C6A90" w:rsidRPr="003704CC" w14:paraId="3A3C016F" w14:textId="77777777" w:rsidTr="00886332">
        <w:tc>
          <w:tcPr>
            <w:tcW w:w="4405" w:type="dxa"/>
          </w:tcPr>
          <w:p w14:paraId="7B0ADDEE"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9.7 </w:t>
            </w:r>
            <w:r w:rsidRPr="008F5C15">
              <w:rPr>
                <w:rFonts w:ascii="Verdana" w:hAnsi="Verdana"/>
                <w:sz w:val="16"/>
                <w:szCs w:val="16"/>
                <w:lang w:val="es-MX"/>
              </w:rPr>
              <w:t>Calificación del sistema HVAC.</w:t>
            </w:r>
          </w:p>
        </w:tc>
        <w:tc>
          <w:tcPr>
            <w:tcW w:w="4427" w:type="dxa"/>
          </w:tcPr>
          <w:p w14:paraId="6AF0FD8D"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9.7 </w:t>
            </w:r>
            <w:r w:rsidRPr="008F5C15">
              <w:rPr>
                <w:rFonts w:ascii="Verdana" w:hAnsi="Verdana"/>
                <w:sz w:val="16"/>
                <w:szCs w:val="16"/>
                <w:lang w:val="en-US"/>
              </w:rPr>
              <w:t>Qualification of HVAC system.</w:t>
            </w:r>
          </w:p>
        </w:tc>
      </w:tr>
      <w:tr w:rsidR="001C6A90" w:rsidRPr="00F70181" w14:paraId="77D66949" w14:textId="77777777" w:rsidTr="00886332">
        <w:tc>
          <w:tcPr>
            <w:tcW w:w="4405" w:type="dxa"/>
          </w:tcPr>
          <w:p w14:paraId="2B0FD8D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9.7.1 </w:t>
            </w:r>
            <w:r w:rsidRPr="008F5C15">
              <w:rPr>
                <w:rFonts w:ascii="Verdana" w:hAnsi="Verdana"/>
                <w:sz w:val="16"/>
                <w:szCs w:val="16"/>
                <w:lang w:val="es-MX"/>
              </w:rPr>
              <w:t>El sistema HVAC debe calificarse de acuerdo con la FEUM, tomando en consideración al menos los siguientes parámetros: temperatura y HR de las áreas que alimenta, volumen de inyección de aire, diferenciales de presión entre las áreas, número de cambios de aire, conteo de partículas, flujos de aire, niveles de limpieza, velocidad de flujo y pruebas de integridad de los filtros HEPA.</w:t>
            </w:r>
          </w:p>
        </w:tc>
        <w:tc>
          <w:tcPr>
            <w:tcW w:w="4427" w:type="dxa"/>
          </w:tcPr>
          <w:p w14:paraId="19FF727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9.7.1</w:t>
            </w:r>
            <w:r w:rsidRPr="008F5C15">
              <w:rPr>
                <w:rFonts w:ascii="Verdana" w:hAnsi="Verdana"/>
                <w:sz w:val="16"/>
                <w:szCs w:val="16"/>
                <w:lang w:val="en-US"/>
              </w:rPr>
              <w:t xml:space="preserve"> The HVAC system must be qualified according to the *FEUM (Pharmacopeia of the United Mexican States) taking into consideration at least the following parameters: the temperature and RH of the areas that it supplies, air injection volume, pressure differentials between areas, number of air changes, particle counting, air flows, levels of cleanliness, flow rate and tests of integrity of the HEPA filters.</w:t>
            </w:r>
          </w:p>
        </w:tc>
      </w:tr>
      <w:tr w:rsidR="001C6A90" w:rsidRPr="00262EF8" w14:paraId="0175CD57" w14:textId="77777777" w:rsidTr="00886332">
        <w:tc>
          <w:tcPr>
            <w:tcW w:w="4405" w:type="dxa"/>
          </w:tcPr>
          <w:p w14:paraId="7792089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9.8 </w:t>
            </w:r>
            <w:r w:rsidRPr="008F5C15">
              <w:rPr>
                <w:rFonts w:ascii="Verdana" w:hAnsi="Verdana"/>
                <w:sz w:val="16"/>
                <w:szCs w:val="16"/>
                <w:lang w:val="es-MX"/>
              </w:rPr>
              <w:t>Calificación de sistemas de agua.</w:t>
            </w:r>
          </w:p>
        </w:tc>
        <w:tc>
          <w:tcPr>
            <w:tcW w:w="4427" w:type="dxa"/>
          </w:tcPr>
          <w:p w14:paraId="3861228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9.8. </w:t>
            </w:r>
            <w:r w:rsidRPr="008F5C15">
              <w:rPr>
                <w:rFonts w:ascii="Verdana" w:hAnsi="Verdana"/>
                <w:sz w:val="16"/>
                <w:szCs w:val="16"/>
                <w:lang w:val="en-US"/>
              </w:rPr>
              <w:t>Qualification of water systems</w:t>
            </w:r>
          </w:p>
        </w:tc>
      </w:tr>
      <w:tr w:rsidR="001C6A90" w:rsidRPr="00F70181" w14:paraId="19B08C5B" w14:textId="77777777" w:rsidTr="00886332">
        <w:tc>
          <w:tcPr>
            <w:tcW w:w="4405" w:type="dxa"/>
          </w:tcPr>
          <w:p w14:paraId="1F533C9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9.8.1 </w:t>
            </w:r>
            <w:r w:rsidRPr="008F5C15">
              <w:rPr>
                <w:rFonts w:ascii="Verdana" w:hAnsi="Verdana"/>
                <w:sz w:val="16"/>
                <w:szCs w:val="16"/>
                <w:lang w:val="es-MX"/>
              </w:rPr>
              <w:t>La calificación de los sistemas de agua para uso farmacéutico debe realizarse conforme a la FEUM y sus suplementos.</w:t>
            </w:r>
          </w:p>
        </w:tc>
        <w:tc>
          <w:tcPr>
            <w:tcW w:w="4427" w:type="dxa"/>
          </w:tcPr>
          <w:p w14:paraId="5748AA0D"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9.8.1 </w:t>
            </w:r>
            <w:r w:rsidRPr="008F5C15">
              <w:rPr>
                <w:rFonts w:ascii="Verdana" w:hAnsi="Verdana"/>
                <w:sz w:val="16"/>
                <w:szCs w:val="16"/>
                <w:lang w:val="en-US"/>
              </w:rPr>
              <w:t>The qualification of the water systems for pharmaceutical use must be in accordance with FEUM and its supplements.</w:t>
            </w:r>
          </w:p>
        </w:tc>
      </w:tr>
      <w:tr w:rsidR="001C6A90" w:rsidRPr="00262EF8" w14:paraId="2E42117D" w14:textId="77777777" w:rsidTr="003B41ED">
        <w:trPr>
          <w:trHeight w:val="225"/>
        </w:trPr>
        <w:tc>
          <w:tcPr>
            <w:tcW w:w="4405" w:type="dxa"/>
          </w:tcPr>
          <w:p w14:paraId="25052FC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9.9 </w:t>
            </w:r>
            <w:r w:rsidRPr="008F5C15">
              <w:rPr>
                <w:rFonts w:ascii="Verdana" w:hAnsi="Verdana"/>
                <w:sz w:val="16"/>
                <w:szCs w:val="16"/>
                <w:lang w:val="es-MX"/>
              </w:rPr>
              <w:t>Validación de procesos.</w:t>
            </w:r>
          </w:p>
        </w:tc>
        <w:tc>
          <w:tcPr>
            <w:tcW w:w="4427" w:type="dxa"/>
          </w:tcPr>
          <w:p w14:paraId="5306283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9.9 </w:t>
            </w:r>
            <w:r w:rsidRPr="008F5C15">
              <w:rPr>
                <w:rFonts w:ascii="Verdana" w:hAnsi="Verdana"/>
                <w:sz w:val="16"/>
                <w:szCs w:val="16"/>
                <w:lang w:val="en-US"/>
              </w:rPr>
              <w:t>Validation of processes.</w:t>
            </w:r>
          </w:p>
        </w:tc>
      </w:tr>
      <w:tr w:rsidR="001C6A90" w:rsidRPr="00F70181" w14:paraId="1F9EAE4D" w14:textId="77777777" w:rsidTr="00886332">
        <w:tc>
          <w:tcPr>
            <w:tcW w:w="4405" w:type="dxa"/>
          </w:tcPr>
          <w:p w14:paraId="37A5A8C6"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9.9.1</w:t>
            </w:r>
            <w:r w:rsidRPr="008F5C15">
              <w:rPr>
                <w:rFonts w:ascii="Verdana" w:hAnsi="Verdana"/>
                <w:sz w:val="16"/>
                <w:szCs w:val="16"/>
                <w:lang w:val="es-MX"/>
              </w:rPr>
              <w:t xml:space="preserve"> La validación de los procesos debe realizarse con un enfoque de gestión de riesgos para la calidad.</w:t>
            </w:r>
          </w:p>
        </w:tc>
        <w:tc>
          <w:tcPr>
            <w:tcW w:w="4427" w:type="dxa"/>
          </w:tcPr>
          <w:p w14:paraId="69488EE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9.9.1 </w:t>
            </w:r>
            <w:r w:rsidRPr="008F5C15">
              <w:rPr>
                <w:rFonts w:ascii="Verdana" w:hAnsi="Verdana"/>
                <w:sz w:val="16"/>
                <w:szCs w:val="16"/>
                <w:lang w:val="en-US"/>
              </w:rPr>
              <w:t xml:space="preserve">The validation of the processes must be made with a focus on the management of risks for the quality. </w:t>
            </w:r>
          </w:p>
        </w:tc>
      </w:tr>
      <w:tr w:rsidR="001C6A90" w:rsidRPr="00F70181" w14:paraId="3C26EE11" w14:textId="77777777" w:rsidTr="00886332">
        <w:tc>
          <w:tcPr>
            <w:tcW w:w="4405" w:type="dxa"/>
          </w:tcPr>
          <w:p w14:paraId="259181E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 xml:space="preserve">9.9.1.1 </w:t>
            </w:r>
            <w:r w:rsidRPr="008F5C15">
              <w:rPr>
                <w:rFonts w:ascii="Verdana" w:hAnsi="Verdana"/>
                <w:sz w:val="16"/>
                <w:szCs w:val="16"/>
                <w:lang w:val="es-MX"/>
              </w:rPr>
              <w:t>Debe establecerse un sistema documental que soporte el conocimiento y mejoramiento continuo del proceso a lo largo de todo el Ciclo de Vida del Producto, desde su desarrollo hasta su descontinuación en el mercado.</w:t>
            </w:r>
          </w:p>
        </w:tc>
        <w:tc>
          <w:tcPr>
            <w:tcW w:w="4427" w:type="dxa"/>
          </w:tcPr>
          <w:p w14:paraId="5A319B7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9.9.1.1 </w:t>
            </w:r>
            <w:r w:rsidRPr="008F5C15">
              <w:rPr>
                <w:rFonts w:ascii="Verdana" w:hAnsi="Verdana"/>
                <w:sz w:val="16"/>
                <w:szCs w:val="16"/>
                <w:lang w:val="en-US"/>
              </w:rPr>
              <w:t xml:space="preserve">A documentation system must be established that supports the knowledge and continuous improvement the length of the entire Life Cycle of the Product, from its development until its discontinuation in the market. </w:t>
            </w:r>
          </w:p>
        </w:tc>
      </w:tr>
      <w:tr w:rsidR="001C6A90" w:rsidRPr="00F70181" w14:paraId="360EBB6A" w14:textId="77777777" w:rsidTr="00886332">
        <w:tc>
          <w:tcPr>
            <w:tcW w:w="4405" w:type="dxa"/>
          </w:tcPr>
          <w:p w14:paraId="3C87CBFB"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9.9.1.2 </w:t>
            </w:r>
            <w:r w:rsidRPr="008F5C15">
              <w:rPr>
                <w:rFonts w:ascii="Verdana" w:hAnsi="Verdana"/>
                <w:sz w:val="16"/>
                <w:szCs w:val="16"/>
                <w:lang w:val="es-MX"/>
              </w:rPr>
              <w:t>El enfoque que se tome debe estar basado en ciencia sólida y en el nivel de entendimiento y control demostrable de parte del fabricante.</w:t>
            </w:r>
          </w:p>
        </w:tc>
        <w:tc>
          <w:tcPr>
            <w:tcW w:w="4427" w:type="dxa"/>
          </w:tcPr>
          <w:p w14:paraId="40A932C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9.9.1.2 </w:t>
            </w:r>
            <w:r w:rsidRPr="008F5C15">
              <w:rPr>
                <w:rFonts w:ascii="Verdana" w:hAnsi="Verdana"/>
                <w:sz w:val="16"/>
                <w:szCs w:val="16"/>
                <w:lang w:val="en-US"/>
              </w:rPr>
              <w:t xml:space="preserve">The focus that is taken must be based on solid science and on the level of understanding and control demonstrable on the part of the manufacturer. </w:t>
            </w:r>
          </w:p>
        </w:tc>
      </w:tr>
      <w:tr w:rsidR="001C6A90" w:rsidRPr="00F70181" w14:paraId="35F1A6CE" w14:textId="77777777" w:rsidTr="00886332">
        <w:tc>
          <w:tcPr>
            <w:tcW w:w="4405" w:type="dxa"/>
          </w:tcPr>
          <w:p w14:paraId="6E389C4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9.9.2 </w:t>
            </w:r>
            <w:r w:rsidRPr="008F5C15">
              <w:rPr>
                <w:rFonts w:ascii="Verdana" w:hAnsi="Verdana"/>
                <w:sz w:val="16"/>
                <w:szCs w:val="16"/>
                <w:lang w:val="es-MX"/>
              </w:rPr>
              <w:t>Etapas de validación de proceso.</w:t>
            </w:r>
          </w:p>
        </w:tc>
        <w:tc>
          <w:tcPr>
            <w:tcW w:w="4427" w:type="dxa"/>
          </w:tcPr>
          <w:p w14:paraId="0CD0810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 </w:t>
            </w:r>
            <w:r w:rsidRPr="008F5C15">
              <w:rPr>
                <w:rFonts w:ascii="Verdana" w:hAnsi="Verdana"/>
                <w:sz w:val="16"/>
                <w:szCs w:val="16"/>
                <w:lang w:val="en-US"/>
              </w:rPr>
              <w:t>Validation stages of the process.</w:t>
            </w:r>
          </w:p>
        </w:tc>
      </w:tr>
      <w:tr w:rsidR="001C6A90" w:rsidRPr="00F70181" w14:paraId="4027BA68" w14:textId="77777777" w:rsidTr="00886332">
        <w:tc>
          <w:tcPr>
            <w:tcW w:w="4405" w:type="dxa"/>
          </w:tcPr>
          <w:p w14:paraId="1299037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La validación de procesos consta de tres etapas dentro del ciclo de vida del producto:</w:t>
            </w:r>
          </w:p>
        </w:tc>
        <w:tc>
          <w:tcPr>
            <w:tcW w:w="4427" w:type="dxa"/>
          </w:tcPr>
          <w:p w14:paraId="1326521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 validation of processes consists of three stages within the life cycle of the product: </w:t>
            </w:r>
          </w:p>
        </w:tc>
      </w:tr>
      <w:tr w:rsidR="001C6A90" w:rsidRPr="00F70181" w14:paraId="4356F230" w14:textId="77777777" w:rsidTr="00886332">
        <w:tc>
          <w:tcPr>
            <w:tcW w:w="4405" w:type="dxa"/>
          </w:tcPr>
          <w:p w14:paraId="4F270C42"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9.9.2.1 </w:t>
            </w:r>
            <w:r w:rsidRPr="008F5C15">
              <w:rPr>
                <w:rFonts w:ascii="Verdana" w:hAnsi="Verdana"/>
                <w:sz w:val="16"/>
                <w:szCs w:val="16"/>
                <w:lang w:val="es-MX"/>
              </w:rPr>
              <w:t>Diseño del proceso (Etapa 1)</w:t>
            </w:r>
          </w:p>
        </w:tc>
        <w:tc>
          <w:tcPr>
            <w:tcW w:w="4427" w:type="dxa"/>
          </w:tcPr>
          <w:p w14:paraId="280E301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9.9.2.1 </w:t>
            </w:r>
            <w:r w:rsidRPr="008F5C15">
              <w:rPr>
                <w:rFonts w:ascii="Verdana" w:hAnsi="Verdana"/>
                <w:sz w:val="16"/>
                <w:szCs w:val="16"/>
                <w:lang w:val="en-US"/>
              </w:rPr>
              <w:t>Design of the process (Stage 1)</w:t>
            </w:r>
          </w:p>
        </w:tc>
      </w:tr>
      <w:tr w:rsidR="001C6A90" w:rsidRPr="00F70181" w14:paraId="6B7455FE" w14:textId="77777777" w:rsidTr="00886332">
        <w:tc>
          <w:tcPr>
            <w:tcW w:w="4405" w:type="dxa"/>
          </w:tcPr>
          <w:p w14:paraId="7995F87F"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9.9.2.1.1 </w:t>
            </w:r>
            <w:r w:rsidRPr="008F5C15">
              <w:rPr>
                <w:rFonts w:ascii="Verdana" w:hAnsi="Verdana"/>
                <w:sz w:val="16"/>
                <w:szCs w:val="16"/>
                <w:lang w:val="es-MX"/>
              </w:rPr>
              <w:t>Con base en métodos y principios sólidamente científicos, incluyendo las BPD, deben definirse los procesos de fabricación y sus registros de control.</w:t>
            </w:r>
          </w:p>
        </w:tc>
        <w:tc>
          <w:tcPr>
            <w:tcW w:w="4427" w:type="dxa"/>
          </w:tcPr>
          <w:p w14:paraId="096B10E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9.9.2.1.1 </w:t>
            </w:r>
            <w:r w:rsidRPr="008F5C15">
              <w:rPr>
                <w:rFonts w:ascii="Verdana" w:hAnsi="Verdana"/>
                <w:sz w:val="16"/>
                <w:szCs w:val="16"/>
                <w:lang w:val="en-US"/>
              </w:rPr>
              <w:t xml:space="preserve">Based on solidly scientific methods and principles, including the </w:t>
            </w:r>
            <w:r w:rsidRPr="008F5C15">
              <w:rPr>
                <w:rFonts w:ascii="Verdana" w:hAnsi="Verdana"/>
                <w:b/>
                <w:sz w:val="16"/>
                <w:szCs w:val="16"/>
                <w:lang w:val="en-US"/>
              </w:rPr>
              <w:t>GDP</w:t>
            </w:r>
            <w:r w:rsidRPr="008F5C15">
              <w:rPr>
                <w:rFonts w:ascii="Verdana" w:hAnsi="Verdana"/>
                <w:sz w:val="16"/>
                <w:szCs w:val="16"/>
                <w:lang w:val="en-US"/>
              </w:rPr>
              <w:t xml:space="preserve"> (Good Documentation Practices), the manufacturing processes and their control records must be defined. </w:t>
            </w:r>
          </w:p>
        </w:tc>
      </w:tr>
      <w:tr w:rsidR="001C6A90" w:rsidRPr="00F70181" w14:paraId="770BB8E9" w14:textId="77777777" w:rsidTr="00886332">
        <w:tc>
          <w:tcPr>
            <w:tcW w:w="4405" w:type="dxa"/>
          </w:tcPr>
          <w:p w14:paraId="6913D69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9.9.2.1.2 </w:t>
            </w:r>
            <w:r w:rsidRPr="008F5C15">
              <w:rPr>
                <w:rFonts w:ascii="Verdana" w:hAnsi="Verdana"/>
                <w:sz w:val="16"/>
                <w:szCs w:val="16"/>
                <w:lang w:val="es-MX"/>
              </w:rPr>
              <w:t>En esta etapa debe definirse la estrategia para el control del proceso, la cual debe documentarse. Ésta debe incluir la calidad de los materiales, el monitoreo de los parámetros Críticos del Proceso y de los Atributos Críticos de la Calidad que se han identificado, incluyendo los resultados obtenidos durante la ejecución del protocolo de la transferencia de tecnología.</w:t>
            </w:r>
          </w:p>
        </w:tc>
        <w:tc>
          <w:tcPr>
            <w:tcW w:w="4427" w:type="dxa"/>
          </w:tcPr>
          <w:p w14:paraId="391BB56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9.9.2.1.2 </w:t>
            </w:r>
            <w:r w:rsidRPr="008F5C15">
              <w:rPr>
                <w:rFonts w:ascii="Verdana" w:hAnsi="Verdana"/>
                <w:sz w:val="16"/>
                <w:szCs w:val="16"/>
                <w:lang w:val="en-US"/>
              </w:rPr>
              <w:t xml:space="preserve">In this stage, the strategy for process control must be defined, which must be documented. This must include the quality of the materials, the monitoring of the Critical Parameters of the Process and the Critical Attributes of Quality that have been identified, including the results obtained during the execution of the product of the technology transfer. </w:t>
            </w:r>
          </w:p>
        </w:tc>
      </w:tr>
      <w:tr w:rsidR="001C6A90" w:rsidRPr="00F70181" w14:paraId="5DAF2768" w14:textId="77777777" w:rsidTr="00886332">
        <w:tc>
          <w:tcPr>
            <w:tcW w:w="4405" w:type="dxa"/>
          </w:tcPr>
          <w:p w14:paraId="17C1CA31"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9.9.2.1.3 </w:t>
            </w:r>
            <w:r w:rsidRPr="008F5C15">
              <w:rPr>
                <w:rFonts w:ascii="Verdana" w:hAnsi="Verdana"/>
                <w:sz w:val="16"/>
                <w:szCs w:val="16"/>
                <w:lang w:val="es-MX"/>
              </w:rPr>
              <w:t>Los registros planeados para Producción y Control que contiene los límites operativos y la estrategia total de control deberán ser confirmados en la siguiente etapa.</w:t>
            </w:r>
          </w:p>
        </w:tc>
        <w:tc>
          <w:tcPr>
            <w:tcW w:w="4427" w:type="dxa"/>
          </w:tcPr>
          <w:p w14:paraId="007683E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9.9.2.1.3 </w:t>
            </w:r>
            <w:r w:rsidRPr="008F5C15">
              <w:rPr>
                <w:rFonts w:ascii="Verdana" w:hAnsi="Verdana"/>
                <w:sz w:val="16"/>
                <w:szCs w:val="16"/>
                <w:lang w:val="en-US"/>
              </w:rPr>
              <w:t xml:space="preserve">The records planned for Production and Control that contain the operative limits and the total control strategy must be confirmed in the following stage. </w:t>
            </w:r>
          </w:p>
        </w:tc>
      </w:tr>
      <w:tr w:rsidR="001C6A90" w:rsidRPr="00F70181" w14:paraId="6ED0F44F" w14:textId="77777777" w:rsidTr="00886332">
        <w:tc>
          <w:tcPr>
            <w:tcW w:w="4405" w:type="dxa"/>
          </w:tcPr>
          <w:p w14:paraId="2387AF9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9.9.2.2 </w:t>
            </w:r>
            <w:bookmarkStart w:id="0" w:name="N_Ref415032030"/>
            <w:r w:rsidRPr="008F5C15">
              <w:rPr>
                <w:rFonts w:ascii="Verdana" w:hAnsi="Verdana"/>
                <w:sz w:val="16"/>
                <w:szCs w:val="16"/>
                <w:lang w:val="es-MX"/>
              </w:rPr>
              <w:t>Calificación del proceso (Etapa 2)</w:t>
            </w:r>
          </w:p>
        </w:tc>
        <w:tc>
          <w:tcPr>
            <w:tcW w:w="4427" w:type="dxa"/>
          </w:tcPr>
          <w:p w14:paraId="27687EB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 </w:t>
            </w:r>
            <w:r w:rsidRPr="008F5C15">
              <w:rPr>
                <w:rFonts w:ascii="Verdana" w:hAnsi="Verdana"/>
                <w:sz w:val="16"/>
                <w:szCs w:val="16"/>
                <w:lang w:val="en-US"/>
              </w:rPr>
              <w:t>Qualification of the process (Stage 2)</w:t>
            </w:r>
          </w:p>
        </w:tc>
      </w:tr>
      <w:bookmarkEnd w:id="0"/>
      <w:tr w:rsidR="001C6A90" w:rsidRPr="00F70181" w14:paraId="7481A355" w14:textId="77777777" w:rsidTr="00886332">
        <w:tc>
          <w:tcPr>
            <w:tcW w:w="4405" w:type="dxa"/>
          </w:tcPr>
          <w:p w14:paraId="61397AC0"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sz w:val="16"/>
                <w:szCs w:val="16"/>
                <w:lang w:val="es-MX"/>
              </w:rPr>
              <w:t>Esta etapa puede efectuarse con enfoque prospectivo o de liberación concurrente, y consta de dos elementos:</w:t>
            </w:r>
          </w:p>
        </w:tc>
        <w:tc>
          <w:tcPr>
            <w:tcW w:w="4427" w:type="dxa"/>
          </w:tcPr>
          <w:p w14:paraId="752701E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This stage can be made with a prospective focus or concurrent release, and consists of two elements: </w:t>
            </w:r>
          </w:p>
        </w:tc>
      </w:tr>
      <w:tr w:rsidR="001C6A90" w:rsidRPr="00F70181" w14:paraId="3BAD924A" w14:textId="77777777" w:rsidTr="00886332">
        <w:tc>
          <w:tcPr>
            <w:tcW w:w="4405" w:type="dxa"/>
          </w:tcPr>
          <w:p w14:paraId="2C63E39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9.9.2.2.1 </w:t>
            </w:r>
            <w:r w:rsidRPr="008F5C15">
              <w:rPr>
                <w:rFonts w:ascii="Verdana" w:hAnsi="Verdana"/>
                <w:sz w:val="16"/>
                <w:szCs w:val="16"/>
                <w:lang w:val="es-MX"/>
              </w:rPr>
              <w:t>Diseño de las instalaciones y calificación de equipos y servicios.</w:t>
            </w:r>
          </w:p>
        </w:tc>
        <w:tc>
          <w:tcPr>
            <w:tcW w:w="4427" w:type="dxa"/>
          </w:tcPr>
          <w:p w14:paraId="0F1F37D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9.9.2.2.1 </w:t>
            </w:r>
            <w:r w:rsidRPr="008F5C15">
              <w:rPr>
                <w:rFonts w:ascii="Verdana" w:hAnsi="Verdana"/>
                <w:sz w:val="16"/>
                <w:szCs w:val="16"/>
                <w:lang w:val="en-US"/>
              </w:rPr>
              <w:t xml:space="preserve">Design of the installations and qualification of equipment and services. </w:t>
            </w:r>
          </w:p>
        </w:tc>
      </w:tr>
      <w:tr w:rsidR="001C6A90" w:rsidRPr="00F70181" w14:paraId="6729B065" w14:textId="77777777" w:rsidTr="00886332">
        <w:tc>
          <w:tcPr>
            <w:tcW w:w="4405" w:type="dxa"/>
          </w:tcPr>
          <w:p w14:paraId="0CD1E54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9.9.2.2.1.1 </w:t>
            </w:r>
            <w:r w:rsidRPr="008F5C15">
              <w:rPr>
                <w:rFonts w:ascii="Verdana" w:hAnsi="Verdana"/>
                <w:sz w:val="16"/>
                <w:szCs w:val="16"/>
                <w:lang w:val="es-MX"/>
              </w:rPr>
              <w:t>Las instalaciones, equipos y servicios deben estar calificados.</w:t>
            </w:r>
          </w:p>
        </w:tc>
        <w:tc>
          <w:tcPr>
            <w:tcW w:w="4427" w:type="dxa"/>
          </w:tcPr>
          <w:p w14:paraId="6B5641D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9.9.2.2.1.1 </w:t>
            </w:r>
            <w:r w:rsidRPr="008F5C15">
              <w:rPr>
                <w:rFonts w:ascii="Verdana" w:hAnsi="Verdana"/>
                <w:sz w:val="16"/>
                <w:szCs w:val="16"/>
                <w:lang w:val="en-US"/>
              </w:rPr>
              <w:t xml:space="preserve">The installations, equipment and services must be qualified. </w:t>
            </w:r>
          </w:p>
        </w:tc>
      </w:tr>
      <w:tr w:rsidR="001C6A90" w:rsidRPr="00F70181" w14:paraId="5EA698EC" w14:textId="77777777" w:rsidTr="00886332">
        <w:tc>
          <w:tcPr>
            <w:tcW w:w="4405" w:type="dxa"/>
          </w:tcPr>
          <w:p w14:paraId="45610F4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9.9.2.2.1.2 </w:t>
            </w:r>
            <w:r w:rsidRPr="008F5C15">
              <w:rPr>
                <w:rFonts w:ascii="Verdana" w:hAnsi="Verdana"/>
                <w:sz w:val="16"/>
                <w:szCs w:val="16"/>
                <w:lang w:val="es-MX"/>
              </w:rPr>
              <w:t>Cada uno de estos elementos puede calificarse con planes individuales o todos juntos con un plan general.</w:t>
            </w:r>
          </w:p>
        </w:tc>
        <w:tc>
          <w:tcPr>
            <w:tcW w:w="4427" w:type="dxa"/>
          </w:tcPr>
          <w:p w14:paraId="3794B31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9.9.2.2.1.2 </w:t>
            </w:r>
            <w:r w:rsidRPr="008F5C15">
              <w:rPr>
                <w:rFonts w:ascii="Verdana" w:hAnsi="Verdana"/>
                <w:sz w:val="16"/>
                <w:szCs w:val="16"/>
                <w:lang w:val="en-US"/>
              </w:rPr>
              <w:t xml:space="preserve">Each one of these elements can be qualified with individual plans or all together with a general plan. </w:t>
            </w:r>
          </w:p>
        </w:tc>
      </w:tr>
      <w:tr w:rsidR="001C6A90" w:rsidRPr="00F70181" w14:paraId="4B941380" w14:textId="77777777" w:rsidTr="00886332">
        <w:tc>
          <w:tcPr>
            <w:tcW w:w="4405" w:type="dxa"/>
          </w:tcPr>
          <w:p w14:paraId="38457857"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9.9.2.2.2 </w:t>
            </w:r>
            <w:r w:rsidRPr="008F5C15">
              <w:rPr>
                <w:rFonts w:ascii="Verdana" w:hAnsi="Verdana"/>
                <w:sz w:val="16"/>
                <w:szCs w:val="16"/>
                <w:lang w:val="es-MX"/>
              </w:rPr>
              <w:t>Calificación del Desempeño del Proceso</w:t>
            </w:r>
          </w:p>
        </w:tc>
        <w:tc>
          <w:tcPr>
            <w:tcW w:w="4427" w:type="dxa"/>
          </w:tcPr>
          <w:p w14:paraId="5C267CF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9.9.2.2.2 </w:t>
            </w:r>
            <w:r w:rsidRPr="008F5C15">
              <w:rPr>
                <w:rFonts w:ascii="Verdana" w:hAnsi="Verdana"/>
                <w:sz w:val="16"/>
                <w:szCs w:val="16"/>
                <w:lang w:val="en-US"/>
              </w:rPr>
              <w:t xml:space="preserve">Qualification of the Performance of the Process. </w:t>
            </w:r>
          </w:p>
        </w:tc>
      </w:tr>
      <w:tr w:rsidR="001C6A90" w:rsidRPr="00F70181" w14:paraId="333AC826" w14:textId="77777777" w:rsidTr="00886332">
        <w:tc>
          <w:tcPr>
            <w:tcW w:w="4405" w:type="dxa"/>
          </w:tcPr>
          <w:p w14:paraId="0ABCE93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9.9.2.2.2.1 </w:t>
            </w:r>
            <w:r w:rsidRPr="008F5C15">
              <w:rPr>
                <w:rFonts w:ascii="Verdana" w:hAnsi="Verdana"/>
                <w:sz w:val="16"/>
                <w:szCs w:val="16"/>
                <w:lang w:val="es-MX"/>
              </w:rPr>
              <w:t>En esta etapa deben definirse y confirmarse las condiciones de fabricación. Es la combinación, con el proceso de fabricación para la producción de lotes comerciales, de todos los elementos previamente calificados que lo integran, incluyendo al personal calificado, los procedimientos de control y los insumos.</w:t>
            </w:r>
          </w:p>
        </w:tc>
        <w:tc>
          <w:tcPr>
            <w:tcW w:w="4427" w:type="dxa"/>
          </w:tcPr>
          <w:p w14:paraId="0C4AF8E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9.9.2.2.2.1 </w:t>
            </w:r>
            <w:r w:rsidRPr="008F5C15">
              <w:rPr>
                <w:rFonts w:ascii="Verdana" w:hAnsi="Verdana"/>
                <w:sz w:val="16"/>
                <w:szCs w:val="16"/>
                <w:lang w:val="en-US"/>
              </w:rPr>
              <w:t xml:space="preserve">In this stage the manufacturing conditions must be defined and confirmed. It is the combination, with the manufacturing process for the production of commercial lots of all the elements previously qualified that integrate it, including the qualified personnel, the procedures of control and the materials. </w:t>
            </w:r>
          </w:p>
        </w:tc>
      </w:tr>
      <w:tr w:rsidR="001C6A90" w:rsidRPr="00F70181" w14:paraId="2169FE4C" w14:textId="77777777" w:rsidTr="00886332">
        <w:tc>
          <w:tcPr>
            <w:tcW w:w="4405" w:type="dxa"/>
          </w:tcPr>
          <w:p w14:paraId="711D2FAB"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 xml:space="preserve">9.9.2.2.2.2 </w:t>
            </w:r>
            <w:r w:rsidRPr="008F5C15">
              <w:rPr>
                <w:rFonts w:ascii="Verdana" w:hAnsi="Verdana"/>
                <w:sz w:val="16"/>
                <w:szCs w:val="16"/>
                <w:lang w:val="es-MX"/>
              </w:rPr>
              <w:t>Se deben establecer métodos objetivos de medición aplicando herramientas estadísticas.</w:t>
            </w:r>
          </w:p>
        </w:tc>
        <w:tc>
          <w:tcPr>
            <w:tcW w:w="4427" w:type="dxa"/>
          </w:tcPr>
          <w:p w14:paraId="07BAB97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9.9.2.2.2.2 </w:t>
            </w:r>
            <w:r w:rsidRPr="008F5C15">
              <w:rPr>
                <w:rFonts w:ascii="Verdana" w:hAnsi="Verdana"/>
                <w:sz w:val="16"/>
                <w:szCs w:val="16"/>
                <w:lang w:val="en-US"/>
              </w:rPr>
              <w:t xml:space="preserve">Objective methods of measurement applying statistical tools must be established. </w:t>
            </w:r>
          </w:p>
        </w:tc>
      </w:tr>
      <w:tr w:rsidR="001C6A90" w:rsidRPr="00F70181" w14:paraId="0C986700" w14:textId="77777777" w:rsidTr="00886332">
        <w:tc>
          <w:tcPr>
            <w:tcW w:w="4405" w:type="dxa"/>
          </w:tcPr>
          <w:p w14:paraId="7A4D6AF2"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9.9.2.2.2.3 </w:t>
            </w:r>
            <w:r w:rsidRPr="008F5C15">
              <w:rPr>
                <w:rFonts w:ascii="Verdana" w:hAnsi="Verdana"/>
                <w:sz w:val="16"/>
                <w:szCs w:val="16"/>
                <w:lang w:val="es-MX"/>
              </w:rPr>
              <w:t>Durante esta fase deberán hacerse muestreos, pruebas adicionales y mayor escrutinio del desempeño del proceso de lo que sería típico en la producción comercial.</w:t>
            </w:r>
          </w:p>
        </w:tc>
        <w:tc>
          <w:tcPr>
            <w:tcW w:w="4427" w:type="dxa"/>
          </w:tcPr>
          <w:p w14:paraId="070CAEB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9.9.2.2.2.3 </w:t>
            </w:r>
            <w:r w:rsidRPr="008F5C15">
              <w:rPr>
                <w:rFonts w:ascii="Verdana" w:hAnsi="Verdana"/>
                <w:sz w:val="16"/>
                <w:szCs w:val="16"/>
                <w:lang w:val="en-US"/>
              </w:rPr>
              <w:t xml:space="preserve">During this phase samples, additional tests and major scrutiny of the performance of the process which would be typical in the commercial production must be made. </w:t>
            </w:r>
          </w:p>
        </w:tc>
      </w:tr>
      <w:tr w:rsidR="001C6A90" w:rsidRPr="00F70181" w14:paraId="177DF445" w14:textId="77777777" w:rsidTr="00886332">
        <w:tc>
          <w:tcPr>
            <w:tcW w:w="4405" w:type="dxa"/>
          </w:tcPr>
          <w:p w14:paraId="4DB4126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9.9.2.2.2.4 </w:t>
            </w:r>
            <w:r w:rsidRPr="008F5C15">
              <w:rPr>
                <w:rFonts w:ascii="Verdana" w:hAnsi="Verdana"/>
                <w:sz w:val="16"/>
                <w:szCs w:val="16"/>
                <w:lang w:val="es-MX"/>
              </w:rPr>
              <w:t>El nivel de monitoreo y pruebas debe ser suficiente para confirmar la uniformidad de la calidad del producto en todo el lote.</w:t>
            </w:r>
          </w:p>
        </w:tc>
        <w:tc>
          <w:tcPr>
            <w:tcW w:w="4427" w:type="dxa"/>
          </w:tcPr>
          <w:p w14:paraId="103334D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9.9.2.2.2.4 </w:t>
            </w:r>
            <w:r w:rsidRPr="008F5C15">
              <w:rPr>
                <w:rFonts w:ascii="Verdana" w:hAnsi="Verdana"/>
                <w:sz w:val="16"/>
                <w:szCs w:val="16"/>
                <w:lang w:val="en-US"/>
              </w:rPr>
              <w:t xml:space="preserve">The monitoring and testing level must be sufficient to confirm the uniformity of the quality of the product in the whole lot. </w:t>
            </w:r>
          </w:p>
        </w:tc>
      </w:tr>
      <w:tr w:rsidR="001C6A90" w:rsidRPr="00F70181" w14:paraId="3C19B003" w14:textId="77777777" w:rsidTr="00886332">
        <w:tc>
          <w:tcPr>
            <w:tcW w:w="4405" w:type="dxa"/>
          </w:tcPr>
          <w:p w14:paraId="5610B35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9.9.2.2.3 </w:t>
            </w:r>
            <w:r w:rsidRPr="008F5C15">
              <w:rPr>
                <w:rFonts w:ascii="Verdana" w:hAnsi="Verdana"/>
                <w:sz w:val="16"/>
                <w:szCs w:val="16"/>
                <w:lang w:val="es-MX"/>
              </w:rPr>
              <w:t>La calificación de procesos debe realizarse con lotes tamaño comercial, empleando al menos tres lotes consecutivos en un periodo de tiempo definido, los cuales deben aportar la cantidad suficiente de datos para demostrar que el proceso es capaz, estable y consistente.</w:t>
            </w:r>
          </w:p>
        </w:tc>
        <w:tc>
          <w:tcPr>
            <w:tcW w:w="4427" w:type="dxa"/>
          </w:tcPr>
          <w:p w14:paraId="59BCD3E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9.9.2.2.3 </w:t>
            </w:r>
            <w:r w:rsidRPr="008F5C15">
              <w:rPr>
                <w:rFonts w:ascii="Verdana" w:hAnsi="Verdana"/>
                <w:sz w:val="16"/>
                <w:szCs w:val="16"/>
                <w:lang w:val="en-US"/>
              </w:rPr>
              <w:t xml:space="preserve">The qualification of the processes must be made with commercial size lots, employing at least three consecutive lots in a defined time period, which must contribute a sufficient amount of data to demonstrate that the process is capable, stable and consistent. </w:t>
            </w:r>
          </w:p>
        </w:tc>
      </w:tr>
      <w:tr w:rsidR="001C6A90" w:rsidRPr="00F70181" w14:paraId="520659B3" w14:textId="77777777" w:rsidTr="00886332">
        <w:tc>
          <w:tcPr>
            <w:tcW w:w="4405" w:type="dxa"/>
          </w:tcPr>
          <w:p w14:paraId="4082494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9.9.2.2.4</w:t>
            </w:r>
            <w:r w:rsidRPr="008F5C15">
              <w:rPr>
                <w:rFonts w:ascii="Verdana" w:hAnsi="Verdana"/>
                <w:sz w:val="16"/>
                <w:szCs w:val="16"/>
                <w:lang w:val="es-MX"/>
              </w:rPr>
              <w:t xml:space="preserve"> Los lotes producidos con este fin podrán ser comercializados si éstos cumplen con: todos los requisitos de las BPF, los criterios de aceptación establecidos, las conclusiones son satisfactorias y las especificaciones de liberación previamente establecidas.</w:t>
            </w:r>
          </w:p>
        </w:tc>
        <w:tc>
          <w:tcPr>
            <w:tcW w:w="4427" w:type="dxa"/>
          </w:tcPr>
          <w:p w14:paraId="614292C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9.9.2.2.4 </w:t>
            </w:r>
            <w:r w:rsidRPr="008F5C15">
              <w:rPr>
                <w:rFonts w:ascii="Verdana" w:hAnsi="Verdana"/>
                <w:sz w:val="16"/>
                <w:szCs w:val="16"/>
                <w:lang w:val="en-US"/>
              </w:rPr>
              <w:t xml:space="preserve">The lots produced for this purpose can be commercially distributed if they comply with: all the GMP (Good Manufacturing Practices), the established acceptance criteria, the conclusions are satisfactory and the previously established release specifications.   </w:t>
            </w:r>
          </w:p>
        </w:tc>
      </w:tr>
      <w:tr w:rsidR="001C6A90" w:rsidRPr="00F70181" w14:paraId="3C5A44E7" w14:textId="77777777" w:rsidTr="00886332">
        <w:tc>
          <w:tcPr>
            <w:tcW w:w="4405" w:type="dxa"/>
          </w:tcPr>
          <w:p w14:paraId="58AC0DB4"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9.9.2.2.5 </w:t>
            </w:r>
            <w:r w:rsidRPr="008F5C15">
              <w:rPr>
                <w:rFonts w:ascii="Verdana" w:hAnsi="Verdana"/>
                <w:sz w:val="16"/>
                <w:szCs w:val="16"/>
                <w:lang w:val="es-MX"/>
              </w:rPr>
              <w:t>Liberación Concurrente de los lotes de la calificación del proceso.</w:t>
            </w:r>
          </w:p>
        </w:tc>
        <w:tc>
          <w:tcPr>
            <w:tcW w:w="4427" w:type="dxa"/>
          </w:tcPr>
          <w:p w14:paraId="5B969EE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9.9.2.2.5 </w:t>
            </w:r>
            <w:r w:rsidRPr="008F5C15">
              <w:rPr>
                <w:rFonts w:ascii="Verdana" w:hAnsi="Verdana"/>
                <w:sz w:val="16"/>
                <w:szCs w:val="16"/>
                <w:lang w:val="en-US"/>
              </w:rPr>
              <w:t xml:space="preserve">Concurrent Release of the lots of the process qualification. </w:t>
            </w:r>
          </w:p>
        </w:tc>
      </w:tr>
      <w:tr w:rsidR="001C6A90" w:rsidRPr="00F70181" w14:paraId="17FA02D3" w14:textId="77777777" w:rsidTr="00886332">
        <w:tc>
          <w:tcPr>
            <w:tcW w:w="4405" w:type="dxa"/>
          </w:tcPr>
          <w:p w14:paraId="6E1234F8"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9.9.2.2.5.1 </w:t>
            </w:r>
            <w:r w:rsidRPr="008F5C15">
              <w:rPr>
                <w:rFonts w:ascii="Verdana" w:hAnsi="Verdana"/>
                <w:sz w:val="16"/>
                <w:szCs w:val="16"/>
                <w:lang w:val="es-MX"/>
              </w:rPr>
              <w:t>La liberación concurrente en la etapa de calificación del proceso sólo es aceptable en casos tales como: demanda limitada, vidas medias cortas, por emergencia sanitaria, entre otros; esta decisión deberá ser previamente justificada y aprobada desde el protocolo por el Responsable Sanitario o Persona Autorizada. Los requisitos de documentación deben ser los mismos que para la validación prospectiva.</w:t>
            </w:r>
          </w:p>
        </w:tc>
        <w:tc>
          <w:tcPr>
            <w:tcW w:w="4427" w:type="dxa"/>
          </w:tcPr>
          <w:p w14:paraId="4B87133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9.9.2.2.5.1 </w:t>
            </w:r>
            <w:r w:rsidRPr="008F5C15">
              <w:rPr>
                <w:rFonts w:ascii="Verdana" w:hAnsi="Verdana"/>
                <w:sz w:val="16"/>
                <w:szCs w:val="16"/>
                <w:lang w:val="en-US"/>
              </w:rPr>
              <w:t xml:space="preserve">The Concurrent Release in the qualification of the process stage is acceptable in cases such as: limited demand, medium short lives, from sanitary emergency, among others; this decision must be previously justified and approved from the protocol by the Person responsible for sanitary compliance or the Authorized Person. The documentation requirements must be the same as for the prospective validation. </w:t>
            </w:r>
          </w:p>
        </w:tc>
      </w:tr>
      <w:tr w:rsidR="001C6A90" w:rsidRPr="00F70181" w14:paraId="689B6560" w14:textId="77777777" w:rsidTr="00886332">
        <w:tc>
          <w:tcPr>
            <w:tcW w:w="4405" w:type="dxa"/>
          </w:tcPr>
          <w:p w14:paraId="6D4B0F3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9.9.2.2.5.2 </w:t>
            </w:r>
            <w:r w:rsidRPr="008F5C15">
              <w:rPr>
                <w:rFonts w:ascii="Verdana" w:hAnsi="Verdana"/>
                <w:sz w:val="16"/>
                <w:szCs w:val="16"/>
                <w:lang w:val="es-MX"/>
              </w:rPr>
              <w:t>Ésta permite que, aunque la validación con el mínimo de lotes necesario para completarla no se haya concluido, se puede hacer la liberación de éstos, si cumplen con todos sus Atributos Críticos de la Calidad.</w:t>
            </w:r>
          </w:p>
        </w:tc>
        <w:tc>
          <w:tcPr>
            <w:tcW w:w="4427" w:type="dxa"/>
          </w:tcPr>
          <w:p w14:paraId="7392FA5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9.9.2.2.5.2 </w:t>
            </w:r>
            <w:r w:rsidRPr="008F5C15">
              <w:rPr>
                <w:rFonts w:ascii="Verdana" w:hAnsi="Verdana"/>
                <w:sz w:val="16"/>
                <w:szCs w:val="16"/>
                <w:lang w:val="en-US"/>
              </w:rPr>
              <w:t xml:space="preserve">This permits that although the validation with the minimum of lots necessary for completing it is not concluded, the release of them can be made, if they comply with all their Critical Attributes of Quality. </w:t>
            </w:r>
          </w:p>
        </w:tc>
      </w:tr>
      <w:tr w:rsidR="001C6A90" w:rsidRPr="00F70181" w14:paraId="521FDCD0" w14:textId="77777777" w:rsidTr="00886332">
        <w:tc>
          <w:tcPr>
            <w:tcW w:w="4405" w:type="dxa"/>
          </w:tcPr>
          <w:p w14:paraId="2C8CF881"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9.9.2.2.5.3 </w:t>
            </w:r>
            <w:r w:rsidRPr="008F5C15">
              <w:rPr>
                <w:rFonts w:ascii="Verdana" w:hAnsi="Verdana"/>
                <w:sz w:val="16"/>
                <w:szCs w:val="16"/>
                <w:lang w:val="es-MX"/>
              </w:rPr>
              <w:t>Los lotes fabricados bajo esta condición, podrán ser liberados y comercializados si éstos cumplen con: todos los requisitos de las BPF, los criterios de aceptación establecidos en el protocolo de validación, las conclusiones satisfactorias del reporte de validación de cada lote y las especificaciones de liberación previamente establecidas.</w:t>
            </w:r>
          </w:p>
        </w:tc>
        <w:tc>
          <w:tcPr>
            <w:tcW w:w="4427" w:type="dxa"/>
          </w:tcPr>
          <w:p w14:paraId="3726448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9.9.2.2.5.3 </w:t>
            </w:r>
            <w:r w:rsidRPr="008F5C15">
              <w:rPr>
                <w:rFonts w:ascii="Verdana" w:hAnsi="Verdana"/>
                <w:sz w:val="16"/>
                <w:szCs w:val="16"/>
                <w:lang w:val="en-US"/>
              </w:rPr>
              <w:t xml:space="preserve">The lots manufactured under this condition can be released and commercially distributed if they comply with: all the requirements of the GMP (Good Manufacturing Practices), the acceptance criteria established in the validation protocol, the satisfactory conclusions of the validation report of each lot and the previously established release specifications. </w:t>
            </w:r>
          </w:p>
        </w:tc>
      </w:tr>
      <w:tr w:rsidR="001C6A90" w:rsidRPr="00F70181" w14:paraId="5D4E0DF3" w14:textId="77777777" w:rsidTr="00886332">
        <w:tc>
          <w:tcPr>
            <w:tcW w:w="4405" w:type="dxa"/>
          </w:tcPr>
          <w:p w14:paraId="2B66F560"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9.9.2.2.5.4 </w:t>
            </w:r>
            <w:r w:rsidRPr="008F5C15">
              <w:rPr>
                <w:rFonts w:ascii="Verdana" w:hAnsi="Verdana"/>
                <w:sz w:val="16"/>
                <w:szCs w:val="16"/>
                <w:lang w:val="es-MX"/>
              </w:rPr>
              <w:t>Cualquier reporte de no conformidad o evento proveniente de los clientes, debe ser investigado de manera inmediata para determinar la causa raíz y corregirla.</w:t>
            </w:r>
          </w:p>
        </w:tc>
        <w:tc>
          <w:tcPr>
            <w:tcW w:w="4427" w:type="dxa"/>
          </w:tcPr>
          <w:p w14:paraId="27E0273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9.9.2.2.5.4 </w:t>
            </w:r>
            <w:r w:rsidRPr="008F5C15">
              <w:rPr>
                <w:rFonts w:ascii="Verdana" w:hAnsi="Verdana"/>
                <w:sz w:val="16"/>
                <w:szCs w:val="16"/>
                <w:lang w:val="en-US"/>
              </w:rPr>
              <w:t xml:space="preserve">Any report of noncompliance or event coming from clients must be investigated immediately to determine the root cause and correct it. </w:t>
            </w:r>
          </w:p>
        </w:tc>
      </w:tr>
      <w:tr w:rsidR="001C6A90" w:rsidRPr="00F70181" w14:paraId="5D1EEF66" w14:textId="77777777" w:rsidTr="00886332">
        <w:tc>
          <w:tcPr>
            <w:tcW w:w="4405" w:type="dxa"/>
          </w:tcPr>
          <w:p w14:paraId="167A055D"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9.9.2.2.5.5 </w:t>
            </w:r>
            <w:r w:rsidRPr="008F5C15">
              <w:rPr>
                <w:rFonts w:ascii="Verdana" w:hAnsi="Verdana"/>
                <w:sz w:val="16"/>
                <w:szCs w:val="16"/>
                <w:lang w:val="es-MX"/>
              </w:rPr>
              <w:t>Los lotes liberados de forma concurrente se deben incluir en el programa de estabilidades.</w:t>
            </w:r>
          </w:p>
        </w:tc>
        <w:tc>
          <w:tcPr>
            <w:tcW w:w="4427" w:type="dxa"/>
          </w:tcPr>
          <w:p w14:paraId="622C6B5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9.9.2.2.5.5 </w:t>
            </w:r>
            <w:r w:rsidRPr="008F5C15">
              <w:rPr>
                <w:rFonts w:ascii="Verdana" w:hAnsi="Verdana"/>
                <w:sz w:val="16"/>
                <w:szCs w:val="16"/>
                <w:lang w:val="en-US"/>
              </w:rPr>
              <w:t xml:space="preserve">The lots released concurrently must be included in the stabilities program. </w:t>
            </w:r>
          </w:p>
        </w:tc>
      </w:tr>
      <w:tr w:rsidR="001C6A90" w:rsidRPr="00F70181" w14:paraId="0682117E" w14:textId="77777777" w:rsidTr="00886332">
        <w:tc>
          <w:tcPr>
            <w:tcW w:w="4405" w:type="dxa"/>
          </w:tcPr>
          <w:p w14:paraId="06D3137F"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 xml:space="preserve">9.9.2.2.5.6 </w:t>
            </w:r>
            <w:r w:rsidRPr="008F5C15">
              <w:rPr>
                <w:rFonts w:ascii="Verdana" w:hAnsi="Verdana"/>
                <w:sz w:val="16"/>
                <w:szCs w:val="16"/>
                <w:lang w:val="es-MX"/>
              </w:rPr>
              <w:t>La liberación concurrente de lotes de calificación de proceso debe ser una práctica excepcional en la validación de procesos.</w:t>
            </w:r>
          </w:p>
        </w:tc>
        <w:tc>
          <w:tcPr>
            <w:tcW w:w="4427" w:type="dxa"/>
          </w:tcPr>
          <w:p w14:paraId="6A9F90C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9.9.2.2.5.6 </w:t>
            </w:r>
            <w:r w:rsidRPr="008F5C15">
              <w:rPr>
                <w:rFonts w:ascii="Verdana" w:hAnsi="Verdana"/>
                <w:sz w:val="16"/>
                <w:szCs w:val="16"/>
                <w:lang w:val="en-US"/>
              </w:rPr>
              <w:t xml:space="preserve">The concurrent release of lots from the qualification process must be an exceptional practice in the validation of processes. </w:t>
            </w:r>
          </w:p>
        </w:tc>
      </w:tr>
      <w:tr w:rsidR="001C6A90" w:rsidRPr="00F70181" w14:paraId="17AD020E" w14:textId="77777777" w:rsidTr="00886332">
        <w:tc>
          <w:tcPr>
            <w:tcW w:w="4405" w:type="dxa"/>
          </w:tcPr>
          <w:p w14:paraId="46E5B12A"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9.9.2.3 </w:t>
            </w:r>
            <w:r w:rsidRPr="008F5C15">
              <w:rPr>
                <w:rFonts w:ascii="Verdana" w:hAnsi="Verdana"/>
                <w:sz w:val="16"/>
                <w:szCs w:val="16"/>
                <w:lang w:val="es-MX"/>
              </w:rPr>
              <w:t>Verificación Continua del proceso (Etapa 3)</w:t>
            </w:r>
          </w:p>
        </w:tc>
        <w:tc>
          <w:tcPr>
            <w:tcW w:w="4427" w:type="dxa"/>
          </w:tcPr>
          <w:p w14:paraId="74CA806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9.9.2.3 </w:t>
            </w:r>
            <w:r w:rsidRPr="008F5C15">
              <w:rPr>
                <w:rFonts w:ascii="Verdana" w:hAnsi="Verdana"/>
                <w:sz w:val="16"/>
                <w:szCs w:val="16"/>
                <w:lang w:val="en-US"/>
              </w:rPr>
              <w:t>Continuous verification of the process (Stage 3).</w:t>
            </w:r>
          </w:p>
        </w:tc>
      </w:tr>
      <w:tr w:rsidR="001C6A90" w:rsidRPr="00F70181" w14:paraId="756A9D79" w14:textId="77777777" w:rsidTr="00886332">
        <w:tc>
          <w:tcPr>
            <w:tcW w:w="4405" w:type="dxa"/>
          </w:tcPr>
          <w:p w14:paraId="633498B1"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9.9.2.3.1 </w:t>
            </w:r>
            <w:r w:rsidRPr="008F5C15">
              <w:rPr>
                <w:rFonts w:ascii="Verdana" w:hAnsi="Verdana"/>
                <w:sz w:val="16"/>
                <w:szCs w:val="16"/>
                <w:lang w:val="es-MX"/>
              </w:rPr>
              <w:t>Debe asegurarse de manera continua que el proceso permanece en un estado de control durante la fabricación comercial.</w:t>
            </w:r>
          </w:p>
        </w:tc>
        <w:tc>
          <w:tcPr>
            <w:tcW w:w="4427" w:type="dxa"/>
          </w:tcPr>
          <w:p w14:paraId="73D2B4A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9.9.2.3.1 </w:t>
            </w:r>
            <w:r w:rsidRPr="008F5C15">
              <w:rPr>
                <w:rFonts w:ascii="Verdana" w:hAnsi="Verdana"/>
                <w:sz w:val="16"/>
                <w:szCs w:val="16"/>
                <w:lang w:val="en-US"/>
              </w:rPr>
              <w:t xml:space="preserve">It must be continuously assured that the process remains in a state of control during commercial manufacturing. </w:t>
            </w:r>
          </w:p>
        </w:tc>
      </w:tr>
      <w:tr w:rsidR="001C6A90" w:rsidRPr="00F70181" w14:paraId="2CA2D170" w14:textId="77777777" w:rsidTr="00886332">
        <w:tc>
          <w:tcPr>
            <w:tcW w:w="4405" w:type="dxa"/>
          </w:tcPr>
          <w:p w14:paraId="16282D8F"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9.9.2.3.2 </w:t>
            </w:r>
            <w:r w:rsidRPr="008F5C15">
              <w:rPr>
                <w:rFonts w:ascii="Verdana" w:hAnsi="Verdana"/>
                <w:sz w:val="16"/>
                <w:szCs w:val="16"/>
                <w:lang w:val="es-MX"/>
              </w:rPr>
              <w:t>Deben establecerse sistemas de control que detecten los cambios en la variabilidad de los procesos a fin de poder corregirlos de inmediato y llevarlos nuevamente a sus condiciones validadas de operación. Éstos deben estar definidos en procedimientos que incluyan los datos a colectar, las frecuencias de colección, los cálculos y la interpretación de los resultados obtenidos, así como las acciones que de ellos se deriven. Cuando la naturaleza de la medición lo permita se deben aplicar herramientas estadísticas.</w:t>
            </w:r>
          </w:p>
        </w:tc>
        <w:tc>
          <w:tcPr>
            <w:tcW w:w="4427" w:type="dxa"/>
          </w:tcPr>
          <w:p w14:paraId="1E68918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9.9.2.3.2 </w:t>
            </w:r>
            <w:r w:rsidRPr="008F5C15">
              <w:rPr>
                <w:rFonts w:ascii="Verdana" w:hAnsi="Verdana"/>
                <w:sz w:val="16"/>
                <w:szCs w:val="16"/>
                <w:lang w:val="en-US"/>
              </w:rPr>
              <w:t xml:space="preserve">Control systems must be established that detect changes in the variability of the processes for the purpose of being able to correct them immediately and return them to their validated operating conditions. They must be defined in procedures that include the data to be collected, the frequencies of collection, the calculations and the interpretation of the results obtained, as well as the actions derived from them. When the nature of the measurement permits it, statistical tools must be applied. </w:t>
            </w:r>
          </w:p>
        </w:tc>
      </w:tr>
      <w:tr w:rsidR="001C6A90" w:rsidRPr="00F70181" w14:paraId="32853A57" w14:textId="77777777" w:rsidTr="00886332">
        <w:tc>
          <w:tcPr>
            <w:tcW w:w="4405" w:type="dxa"/>
          </w:tcPr>
          <w:p w14:paraId="7D498BC7"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9.9.2.3.3 </w:t>
            </w:r>
            <w:r w:rsidRPr="008F5C15">
              <w:rPr>
                <w:rFonts w:ascii="Verdana" w:hAnsi="Verdana"/>
                <w:sz w:val="16"/>
                <w:szCs w:val="16"/>
                <w:lang w:val="es-MX"/>
              </w:rPr>
              <w:t>La variabilidad también puede detectarse mediante la evaluación oportuna de las quejas relacionadas al proceso y al producto, reportes de producto no conforme, reportes de desviación, variaciones de los rendimientos, revisión de los expedientes de los lotes, registros de recepción de insumos y reportes de eventos adversos.</w:t>
            </w:r>
          </w:p>
        </w:tc>
        <w:tc>
          <w:tcPr>
            <w:tcW w:w="4427" w:type="dxa"/>
          </w:tcPr>
          <w:p w14:paraId="0984462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9.9.2.3.3 </w:t>
            </w:r>
            <w:r w:rsidRPr="008F5C15">
              <w:rPr>
                <w:rFonts w:ascii="Verdana" w:hAnsi="Verdana"/>
                <w:sz w:val="16"/>
                <w:szCs w:val="16"/>
                <w:lang w:val="en-US"/>
              </w:rPr>
              <w:t xml:space="preserve">The variability also can be detected through the opportune evaluation of the complaints related to the process and to the product, reports of noncompliant product, deviation reports, variations of the yields, review of the files of the lots, records of reception of materials and reports of adverse events. </w:t>
            </w:r>
          </w:p>
        </w:tc>
      </w:tr>
      <w:tr w:rsidR="001C6A90" w:rsidRPr="00F70181" w14:paraId="10A5E7AB" w14:textId="77777777" w:rsidTr="00886332">
        <w:tc>
          <w:tcPr>
            <w:tcW w:w="4405" w:type="dxa"/>
          </w:tcPr>
          <w:p w14:paraId="3C1BD71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9.9.2.3.4 </w:t>
            </w:r>
            <w:r w:rsidRPr="008F5C15">
              <w:rPr>
                <w:rFonts w:ascii="Verdana" w:hAnsi="Verdana"/>
                <w:sz w:val="16"/>
                <w:szCs w:val="16"/>
                <w:lang w:val="es-MX"/>
              </w:rPr>
              <w:t>Toda esta información debe contribuir al mejoramiento continuo de los procesos.</w:t>
            </w:r>
          </w:p>
        </w:tc>
        <w:tc>
          <w:tcPr>
            <w:tcW w:w="4427" w:type="dxa"/>
          </w:tcPr>
          <w:p w14:paraId="1317BC7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9.9.2.3.4 </w:t>
            </w:r>
            <w:r w:rsidRPr="008F5C15">
              <w:rPr>
                <w:rFonts w:ascii="Verdana" w:hAnsi="Verdana"/>
                <w:sz w:val="16"/>
                <w:szCs w:val="16"/>
                <w:lang w:val="en-US"/>
              </w:rPr>
              <w:t xml:space="preserve">All this information must contribute to the continuous improvement of the processes. </w:t>
            </w:r>
          </w:p>
        </w:tc>
      </w:tr>
      <w:tr w:rsidR="001C6A90" w:rsidRPr="00F70181" w14:paraId="47320E6F" w14:textId="77777777" w:rsidTr="00886332">
        <w:tc>
          <w:tcPr>
            <w:tcW w:w="4405" w:type="dxa"/>
          </w:tcPr>
          <w:p w14:paraId="47B534B5"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9.9.2.3.5 </w:t>
            </w:r>
            <w:r w:rsidRPr="008F5C15">
              <w:rPr>
                <w:rFonts w:ascii="Verdana" w:hAnsi="Verdana"/>
                <w:sz w:val="16"/>
                <w:szCs w:val="16"/>
                <w:lang w:val="es-MX"/>
              </w:rPr>
              <w:t>Una vez establecido el estado de calificación de un proceso, éste debe mantenerse mediante la definición de programas de mantenimiento preventivo para las instalaciones, equipos y servicios, así como para la calibración periódica de los instrumentos críticos de medición. Estos aspectos contribuirán también al mantenimiento del estado validado del proceso.</w:t>
            </w:r>
          </w:p>
        </w:tc>
        <w:tc>
          <w:tcPr>
            <w:tcW w:w="4427" w:type="dxa"/>
          </w:tcPr>
          <w:p w14:paraId="0DB3D65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9.9.2.3.5 </w:t>
            </w:r>
            <w:r w:rsidRPr="008F5C15">
              <w:rPr>
                <w:rFonts w:ascii="Verdana" w:hAnsi="Verdana"/>
                <w:sz w:val="16"/>
                <w:szCs w:val="16"/>
                <w:lang w:val="en-US"/>
              </w:rPr>
              <w:t xml:space="preserve">Once the state of qualification of a process is established, it must be maintained through the definition of preventive maintenance programs for the installations, equipment and services, as well as for the periodic calibration of the critical measurement instruments. These aspects will also contribute to the maintenance of the validated state of the process. </w:t>
            </w:r>
          </w:p>
        </w:tc>
      </w:tr>
      <w:tr w:rsidR="001C6A90" w:rsidRPr="00E74246" w14:paraId="6A62C4FF" w14:textId="77777777" w:rsidTr="00886332">
        <w:tc>
          <w:tcPr>
            <w:tcW w:w="4405" w:type="dxa"/>
          </w:tcPr>
          <w:p w14:paraId="6660A1D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9.10</w:t>
            </w:r>
            <w:r w:rsidRPr="008F5C15">
              <w:rPr>
                <w:rFonts w:ascii="Verdana" w:hAnsi="Verdana"/>
                <w:sz w:val="16"/>
                <w:szCs w:val="16"/>
                <w:lang w:val="es-MX"/>
              </w:rPr>
              <w:t xml:space="preserve"> Validación de procesos asépticos.</w:t>
            </w:r>
          </w:p>
        </w:tc>
        <w:tc>
          <w:tcPr>
            <w:tcW w:w="4427" w:type="dxa"/>
          </w:tcPr>
          <w:p w14:paraId="242CEBE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9.10 </w:t>
            </w:r>
            <w:r w:rsidRPr="008F5C15">
              <w:rPr>
                <w:rFonts w:ascii="Verdana" w:hAnsi="Verdana"/>
                <w:sz w:val="16"/>
                <w:szCs w:val="16"/>
                <w:lang w:val="en-US"/>
              </w:rPr>
              <w:t xml:space="preserve">Validation of aseptic processes. </w:t>
            </w:r>
          </w:p>
        </w:tc>
      </w:tr>
      <w:tr w:rsidR="001C6A90" w:rsidRPr="00F70181" w14:paraId="2E22BD56" w14:textId="77777777" w:rsidTr="00886332">
        <w:tc>
          <w:tcPr>
            <w:tcW w:w="4405" w:type="dxa"/>
          </w:tcPr>
          <w:p w14:paraId="6A2C60C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9.10.1</w:t>
            </w:r>
            <w:r w:rsidRPr="008F5C15">
              <w:rPr>
                <w:rFonts w:ascii="Verdana" w:hAnsi="Verdana"/>
                <w:sz w:val="16"/>
                <w:szCs w:val="16"/>
                <w:lang w:val="es-MX"/>
              </w:rPr>
              <w:t xml:space="preserve"> En productos que pretenden ser estériles y que no son sometidos a esterilización terminal, cada una de las operaciones unitarias involucradas deben validarse independientemente y confirmarse en conjunto.</w:t>
            </w:r>
          </w:p>
        </w:tc>
        <w:tc>
          <w:tcPr>
            <w:tcW w:w="4427" w:type="dxa"/>
          </w:tcPr>
          <w:p w14:paraId="438A5D1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9.10.1 </w:t>
            </w:r>
            <w:r w:rsidRPr="008F5C15">
              <w:rPr>
                <w:rFonts w:ascii="Verdana" w:hAnsi="Verdana"/>
                <w:sz w:val="16"/>
                <w:szCs w:val="16"/>
                <w:lang w:val="en-US"/>
              </w:rPr>
              <w:t xml:space="preserve">In products intended to be sterile and that are not submitted to a terminal sterilization, each one of the unitary operations involved must be independently validated and be jointly confirmed. </w:t>
            </w:r>
          </w:p>
        </w:tc>
      </w:tr>
      <w:tr w:rsidR="001C6A90" w:rsidRPr="00F70181" w14:paraId="168BBC96" w14:textId="77777777" w:rsidTr="00886332">
        <w:tc>
          <w:tcPr>
            <w:tcW w:w="4405" w:type="dxa"/>
          </w:tcPr>
          <w:p w14:paraId="05C64EA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9.10.2</w:t>
            </w:r>
            <w:r w:rsidRPr="008F5C15">
              <w:rPr>
                <w:rFonts w:ascii="Verdana" w:hAnsi="Verdana"/>
                <w:sz w:val="16"/>
                <w:szCs w:val="16"/>
                <w:lang w:val="es-MX"/>
              </w:rPr>
              <w:t xml:space="preserve"> La validación de procesos asépticos debe realizarse conforme a la FEUM y sus suplementos.</w:t>
            </w:r>
          </w:p>
        </w:tc>
        <w:tc>
          <w:tcPr>
            <w:tcW w:w="4427" w:type="dxa"/>
          </w:tcPr>
          <w:p w14:paraId="23C34DC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9.10.2 </w:t>
            </w:r>
            <w:r w:rsidRPr="008F5C15">
              <w:rPr>
                <w:rFonts w:ascii="Verdana" w:hAnsi="Verdana"/>
                <w:sz w:val="16"/>
                <w:szCs w:val="16"/>
                <w:lang w:val="en-US"/>
              </w:rPr>
              <w:t xml:space="preserve">The validation of aseptic processes must be made according to the FEUM (Pharmacopeia of the United Mexican States) and its supplements. </w:t>
            </w:r>
          </w:p>
        </w:tc>
      </w:tr>
      <w:tr w:rsidR="001C6A90" w:rsidRPr="00262EF8" w14:paraId="1B3E14BC" w14:textId="77777777" w:rsidTr="00886332">
        <w:tc>
          <w:tcPr>
            <w:tcW w:w="4405" w:type="dxa"/>
          </w:tcPr>
          <w:p w14:paraId="09CE928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9.11</w:t>
            </w:r>
            <w:r w:rsidRPr="008F5C15">
              <w:rPr>
                <w:rFonts w:ascii="Verdana" w:hAnsi="Verdana"/>
                <w:sz w:val="16"/>
                <w:szCs w:val="16"/>
                <w:lang w:val="es-MX"/>
              </w:rPr>
              <w:t xml:space="preserve"> Validación de limpieza.</w:t>
            </w:r>
          </w:p>
        </w:tc>
        <w:tc>
          <w:tcPr>
            <w:tcW w:w="4427" w:type="dxa"/>
          </w:tcPr>
          <w:p w14:paraId="54D8C65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9.11 </w:t>
            </w:r>
            <w:r w:rsidRPr="008F5C15">
              <w:rPr>
                <w:rFonts w:ascii="Verdana" w:hAnsi="Verdana"/>
                <w:sz w:val="16"/>
                <w:szCs w:val="16"/>
                <w:lang w:val="en-US"/>
              </w:rPr>
              <w:t xml:space="preserve">Validation of cleaning. </w:t>
            </w:r>
          </w:p>
        </w:tc>
      </w:tr>
      <w:tr w:rsidR="001C6A90" w:rsidRPr="00F70181" w14:paraId="34AAB8E9" w14:textId="77777777" w:rsidTr="00886332">
        <w:tc>
          <w:tcPr>
            <w:tcW w:w="4405" w:type="dxa"/>
          </w:tcPr>
          <w:p w14:paraId="37AE1FF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9.11.1</w:t>
            </w:r>
            <w:r w:rsidRPr="008F5C15">
              <w:rPr>
                <w:rFonts w:ascii="Verdana" w:hAnsi="Verdana"/>
                <w:sz w:val="16"/>
                <w:szCs w:val="16"/>
                <w:lang w:val="es-MX"/>
              </w:rPr>
              <w:t xml:space="preserve"> Se debe realizar la validación de limpieza con el objetivo de demostrar la efectividad de los procedimientos de limpieza.</w:t>
            </w:r>
          </w:p>
        </w:tc>
        <w:tc>
          <w:tcPr>
            <w:tcW w:w="4427" w:type="dxa"/>
          </w:tcPr>
          <w:p w14:paraId="2E0C9B3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9.11.1 </w:t>
            </w:r>
            <w:r w:rsidRPr="008F5C15">
              <w:rPr>
                <w:rFonts w:ascii="Verdana" w:hAnsi="Verdana"/>
                <w:sz w:val="16"/>
                <w:szCs w:val="16"/>
                <w:lang w:val="en-US"/>
              </w:rPr>
              <w:t xml:space="preserve">The validation of cleaning must be made with the objective of demonstrating the effectiveness of the cleaning procedures. </w:t>
            </w:r>
          </w:p>
        </w:tc>
      </w:tr>
      <w:tr w:rsidR="001C6A90" w:rsidRPr="00F70181" w14:paraId="760D2714" w14:textId="77777777" w:rsidTr="00886332">
        <w:tc>
          <w:tcPr>
            <w:tcW w:w="4405" w:type="dxa"/>
          </w:tcPr>
          <w:p w14:paraId="1484A42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9.11.2</w:t>
            </w:r>
            <w:r w:rsidRPr="008F5C15">
              <w:rPr>
                <w:rFonts w:ascii="Verdana" w:hAnsi="Verdana"/>
                <w:sz w:val="16"/>
                <w:szCs w:val="16"/>
                <w:lang w:val="es-MX"/>
              </w:rPr>
              <w:t xml:space="preserve"> Los métodos de limpieza deben ser acordes a la naturaleza de los productos.</w:t>
            </w:r>
          </w:p>
        </w:tc>
        <w:tc>
          <w:tcPr>
            <w:tcW w:w="4427" w:type="dxa"/>
          </w:tcPr>
          <w:p w14:paraId="3F99458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9.11.2 </w:t>
            </w:r>
            <w:r w:rsidRPr="008F5C15">
              <w:rPr>
                <w:rFonts w:ascii="Verdana" w:hAnsi="Verdana"/>
                <w:sz w:val="16"/>
                <w:szCs w:val="16"/>
                <w:lang w:val="en-US"/>
              </w:rPr>
              <w:t xml:space="preserve">The cleaning methods must be according to the nature of the products. </w:t>
            </w:r>
          </w:p>
        </w:tc>
      </w:tr>
      <w:tr w:rsidR="001C6A90" w:rsidRPr="00F70181" w14:paraId="70184C12" w14:textId="77777777" w:rsidTr="00886332">
        <w:tc>
          <w:tcPr>
            <w:tcW w:w="4405" w:type="dxa"/>
          </w:tcPr>
          <w:p w14:paraId="71A11EB4"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9.11.2.1</w:t>
            </w:r>
            <w:r w:rsidRPr="008F5C15">
              <w:rPr>
                <w:rFonts w:ascii="Verdana" w:hAnsi="Verdana"/>
                <w:sz w:val="16"/>
                <w:szCs w:val="16"/>
                <w:lang w:val="es-MX"/>
              </w:rPr>
              <w:t xml:space="preserve"> Deben contar con un programa para el uso de sanitizantes el cual debe incluir un agente esporicida.</w:t>
            </w:r>
          </w:p>
        </w:tc>
        <w:tc>
          <w:tcPr>
            <w:tcW w:w="4427" w:type="dxa"/>
          </w:tcPr>
          <w:p w14:paraId="4D23C3B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9.11.2.1 </w:t>
            </w:r>
            <w:r w:rsidRPr="008F5C15">
              <w:rPr>
                <w:rFonts w:ascii="Verdana" w:hAnsi="Verdana"/>
                <w:sz w:val="16"/>
                <w:szCs w:val="16"/>
                <w:lang w:val="en-US"/>
              </w:rPr>
              <w:t xml:space="preserve">They must have a program for the use of sanitizers which must include a sporicidal agent. </w:t>
            </w:r>
          </w:p>
        </w:tc>
      </w:tr>
      <w:tr w:rsidR="001C6A90" w:rsidRPr="00F70181" w14:paraId="6A2D1C8B" w14:textId="77777777" w:rsidTr="00886332">
        <w:tc>
          <w:tcPr>
            <w:tcW w:w="4405" w:type="dxa"/>
          </w:tcPr>
          <w:p w14:paraId="6F2B53C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9.11.2.3</w:t>
            </w:r>
            <w:r w:rsidRPr="008F5C15">
              <w:rPr>
                <w:rFonts w:ascii="Verdana" w:hAnsi="Verdana"/>
                <w:sz w:val="16"/>
                <w:szCs w:val="16"/>
                <w:lang w:val="es-MX"/>
              </w:rPr>
              <w:t xml:space="preserve"> Cuando el método de limpieza incluya procesos de sanitización, esterilización y/o descontaminación, éstos deberán ser validados.</w:t>
            </w:r>
          </w:p>
        </w:tc>
        <w:tc>
          <w:tcPr>
            <w:tcW w:w="4427" w:type="dxa"/>
          </w:tcPr>
          <w:p w14:paraId="6C39382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9.11.2.3 </w:t>
            </w:r>
            <w:r w:rsidRPr="008F5C15">
              <w:rPr>
                <w:rFonts w:ascii="Verdana" w:hAnsi="Verdana"/>
                <w:sz w:val="16"/>
                <w:szCs w:val="16"/>
                <w:lang w:val="en-US"/>
              </w:rPr>
              <w:t xml:space="preserve">When the cleaning methods includes the processes of sanitization, sterilization and/or decontamination, they must be validated. </w:t>
            </w:r>
          </w:p>
        </w:tc>
      </w:tr>
      <w:tr w:rsidR="001C6A90" w:rsidRPr="00F70181" w14:paraId="4B034E77" w14:textId="77777777" w:rsidTr="00886332">
        <w:tc>
          <w:tcPr>
            <w:tcW w:w="4405" w:type="dxa"/>
          </w:tcPr>
          <w:p w14:paraId="5FACE69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9.11.2.4 </w:t>
            </w:r>
            <w:r w:rsidRPr="008F5C15">
              <w:rPr>
                <w:rFonts w:ascii="Verdana" w:hAnsi="Verdana"/>
                <w:sz w:val="16"/>
                <w:szCs w:val="16"/>
                <w:lang w:val="es-MX"/>
              </w:rPr>
              <w:t>Las interacciones entre los diferentes agentes sanitizantes deben ser evaluadas y ser incluidas en la validación.</w:t>
            </w:r>
          </w:p>
        </w:tc>
        <w:tc>
          <w:tcPr>
            <w:tcW w:w="4427" w:type="dxa"/>
          </w:tcPr>
          <w:p w14:paraId="071851B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9.11.2.4 </w:t>
            </w:r>
            <w:r w:rsidRPr="008F5C15">
              <w:rPr>
                <w:rFonts w:ascii="Verdana" w:hAnsi="Verdana"/>
                <w:sz w:val="16"/>
                <w:szCs w:val="16"/>
                <w:lang w:val="en-US"/>
              </w:rPr>
              <w:t xml:space="preserve">The interactions between the different sanitizing agents must be evaluated and be included in the validation. </w:t>
            </w:r>
          </w:p>
        </w:tc>
      </w:tr>
      <w:tr w:rsidR="001C6A90" w:rsidRPr="00F70181" w14:paraId="7EB01B46" w14:textId="77777777" w:rsidTr="00886332">
        <w:tc>
          <w:tcPr>
            <w:tcW w:w="4405" w:type="dxa"/>
          </w:tcPr>
          <w:p w14:paraId="58E6108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9.11.3</w:t>
            </w:r>
            <w:r w:rsidRPr="008F5C15">
              <w:rPr>
                <w:rFonts w:ascii="Verdana" w:hAnsi="Verdana"/>
                <w:sz w:val="16"/>
                <w:szCs w:val="16"/>
                <w:lang w:val="es-MX"/>
              </w:rPr>
              <w:t xml:space="preserve"> Se deben utilizar métodos analíticos validados considerando la técnica de muestreo, para detectar trazas de contaminantes, detergentes y/o sanitizantes.</w:t>
            </w:r>
          </w:p>
        </w:tc>
        <w:tc>
          <w:tcPr>
            <w:tcW w:w="4427" w:type="dxa"/>
          </w:tcPr>
          <w:p w14:paraId="0D15216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9.11.3 </w:t>
            </w:r>
            <w:r w:rsidRPr="008F5C15">
              <w:rPr>
                <w:rFonts w:ascii="Verdana" w:hAnsi="Verdana"/>
                <w:sz w:val="16"/>
                <w:szCs w:val="16"/>
                <w:lang w:val="en-US"/>
              </w:rPr>
              <w:t xml:space="preserve">Analytical methods must be used taking into consideration the sampling technique to detect traces of contaminants, detergents and/or sanitizers. </w:t>
            </w:r>
          </w:p>
        </w:tc>
      </w:tr>
      <w:tr w:rsidR="001C6A90" w:rsidRPr="00F70181" w14:paraId="5F64BB39" w14:textId="77777777" w:rsidTr="00886332">
        <w:tc>
          <w:tcPr>
            <w:tcW w:w="4405" w:type="dxa"/>
          </w:tcPr>
          <w:p w14:paraId="451353F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9.11.4</w:t>
            </w:r>
            <w:r w:rsidRPr="008F5C15">
              <w:rPr>
                <w:rFonts w:ascii="Verdana" w:hAnsi="Verdana"/>
                <w:sz w:val="16"/>
                <w:szCs w:val="16"/>
                <w:lang w:val="es-MX"/>
              </w:rPr>
              <w:t xml:space="preserve"> Se deben validar los procedimientos de limpieza de las superficies que estén en contacto con el producto.</w:t>
            </w:r>
          </w:p>
        </w:tc>
        <w:tc>
          <w:tcPr>
            <w:tcW w:w="4427" w:type="dxa"/>
          </w:tcPr>
          <w:p w14:paraId="118967E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9.11.4 </w:t>
            </w:r>
            <w:r w:rsidRPr="008F5C15">
              <w:rPr>
                <w:rFonts w:ascii="Verdana" w:hAnsi="Verdana"/>
                <w:sz w:val="16"/>
                <w:szCs w:val="16"/>
                <w:lang w:val="en-US"/>
              </w:rPr>
              <w:t xml:space="preserve">The cleaning procedures of the surfaces that are in contact with the product must be validated. </w:t>
            </w:r>
          </w:p>
        </w:tc>
      </w:tr>
      <w:tr w:rsidR="001C6A90" w:rsidRPr="00F70181" w14:paraId="7263532E" w14:textId="77777777" w:rsidTr="00886332">
        <w:tc>
          <w:tcPr>
            <w:tcW w:w="4405" w:type="dxa"/>
          </w:tcPr>
          <w:p w14:paraId="366F688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9.11.5</w:t>
            </w:r>
            <w:r w:rsidRPr="008F5C15">
              <w:rPr>
                <w:rFonts w:ascii="Verdana" w:hAnsi="Verdana"/>
                <w:sz w:val="16"/>
                <w:szCs w:val="16"/>
                <w:lang w:val="es-MX"/>
              </w:rPr>
              <w:t xml:space="preserve"> Si varios productos son procesados en el mismo equipo, y éste utiliza el mismo procedimiento de limpieza, puede usarse un producto representativo para la validación o el criterio del "peor caso". Esta selección puede estar basada en la solubilidad y dificultad de limpieza y los cálculos de los límites residuales con base en una combinación de la concentración y toxicidad.</w:t>
            </w:r>
          </w:p>
        </w:tc>
        <w:tc>
          <w:tcPr>
            <w:tcW w:w="4427" w:type="dxa"/>
          </w:tcPr>
          <w:p w14:paraId="6B09CF5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9.11.5 </w:t>
            </w:r>
            <w:r w:rsidRPr="008F5C15">
              <w:rPr>
                <w:rFonts w:ascii="Verdana" w:hAnsi="Verdana"/>
                <w:sz w:val="16"/>
                <w:szCs w:val="16"/>
                <w:lang w:val="en-US"/>
              </w:rPr>
              <w:t xml:space="preserve">If several products are processed in the same equipment and the same cleaning procedure is used in it, a representative product for the validation or the “worst case” criteria can be used. This selection can be based on the solubility and difficulty of cleaning and the calculations of the residual limits based on a combination of concentration and toxicity. </w:t>
            </w:r>
          </w:p>
        </w:tc>
      </w:tr>
      <w:tr w:rsidR="001C6A90" w:rsidRPr="00F70181" w14:paraId="7711952D" w14:textId="77777777" w:rsidTr="00886332">
        <w:tc>
          <w:tcPr>
            <w:tcW w:w="4405" w:type="dxa"/>
          </w:tcPr>
          <w:p w14:paraId="677AF62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9.11.6</w:t>
            </w:r>
            <w:r w:rsidRPr="008F5C15">
              <w:rPr>
                <w:rFonts w:ascii="Verdana" w:hAnsi="Verdana"/>
                <w:sz w:val="16"/>
                <w:szCs w:val="16"/>
                <w:lang w:val="es-MX"/>
              </w:rPr>
              <w:t xml:space="preserve"> La validación de limpieza debe realizarse en tres aplicaciones consecutivas del procedimiento de limpieza con resultados satisfactorios.</w:t>
            </w:r>
          </w:p>
        </w:tc>
        <w:tc>
          <w:tcPr>
            <w:tcW w:w="4427" w:type="dxa"/>
          </w:tcPr>
          <w:p w14:paraId="7343474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9.11.6 </w:t>
            </w:r>
            <w:r w:rsidRPr="008F5C15">
              <w:rPr>
                <w:rFonts w:ascii="Verdana" w:hAnsi="Verdana"/>
                <w:sz w:val="16"/>
                <w:szCs w:val="16"/>
                <w:lang w:val="en-US"/>
              </w:rPr>
              <w:t xml:space="preserve">The cleaning validation must be made in three consecutive applications of the cleaning procedure with satisfactory results. </w:t>
            </w:r>
          </w:p>
        </w:tc>
      </w:tr>
      <w:tr w:rsidR="001C6A90" w:rsidRPr="00F70181" w14:paraId="0CDDC116" w14:textId="77777777" w:rsidTr="00886332">
        <w:tc>
          <w:tcPr>
            <w:tcW w:w="4405" w:type="dxa"/>
          </w:tcPr>
          <w:p w14:paraId="7894D64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9.11.7</w:t>
            </w:r>
            <w:r w:rsidRPr="008F5C15">
              <w:rPr>
                <w:rFonts w:ascii="Verdana" w:hAnsi="Verdana"/>
                <w:sz w:val="16"/>
                <w:szCs w:val="16"/>
                <w:lang w:val="es-MX"/>
              </w:rPr>
              <w:t xml:space="preserve"> La vigencia de la limpieza de los equipos de fabricación, accesorios, utensilios y todas las tuberías debe establecerse con base en los resultados de la validación.</w:t>
            </w:r>
          </w:p>
        </w:tc>
        <w:tc>
          <w:tcPr>
            <w:tcW w:w="4427" w:type="dxa"/>
          </w:tcPr>
          <w:p w14:paraId="00EC860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9.11.7 </w:t>
            </w:r>
            <w:r w:rsidRPr="008F5C15">
              <w:rPr>
                <w:rFonts w:ascii="Verdana" w:hAnsi="Verdana"/>
                <w:sz w:val="16"/>
                <w:szCs w:val="16"/>
                <w:lang w:val="en-US"/>
              </w:rPr>
              <w:t xml:space="preserve">The effective period of the cleaning of the manufacturing equipment, accessories, utensils and all the pipes must be established based on the results of the validation. </w:t>
            </w:r>
          </w:p>
        </w:tc>
      </w:tr>
      <w:tr w:rsidR="001C6A90" w:rsidRPr="00F70181" w14:paraId="0C4E71DD" w14:textId="77777777" w:rsidTr="00886332">
        <w:tc>
          <w:tcPr>
            <w:tcW w:w="4405" w:type="dxa"/>
          </w:tcPr>
          <w:p w14:paraId="324531F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9.11.8</w:t>
            </w:r>
            <w:r w:rsidRPr="008F5C15">
              <w:rPr>
                <w:rFonts w:ascii="Verdana" w:hAnsi="Verdana"/>
                <w:sz w:val="16"/>
                <w:szCs w:val="16"/>
                <w:lang w:val="es-MX"/>
              </w:rPr>
              <w:t xml:space="preserve"> Se debe establecer un programa periódico para la determinación de trazas de productos incluidos en la validación de limpieza. Esta periodicidad debe establecerse con base en la valoración de riesgo.</w:t>
            </w:r>
          </w:p>
        </w:tc>
        <w:tc>
          <w:tcPr>
            <w:tcW w:w="4427" w:type="dxa"/>
          </w:tcPr>
          <w:p w14:paraId="239AFFA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9.11.8 </w:t>
            </w:r>
            <w:r w:rsidRPr="008F5C15">
              <w:rPr>
                <w:rFonts w:ascii="Verdana" w:hAnsi="Verdana"/>
                <w:sz w:val="16"/>
                <w:szCs w:val="16"/>
                <w:lang w:val="en-US"/>
              </w:rPr>
              <w:t xml:space="preserve">A periodic program must be established for the determination of traces of products included in the validation of cleaning. This schedule must be established based on the evaluation of risk. </w:t>
            </w:r>
          </w:p>
        </w:tc>
      </w:tr>
      <w:tr w:rsidR="001C6A90" w:rsidRPr="00262EF8" w14:paraId="1DE5955A" w14:textId="77777777" w:rsidTr="00886332">
        <w:tc>
          <w:tcPr>
            <w:tcW w:w="4405" w:type="dxa"/>
          </w:tcPr>
          <w:p w14:paraId="3872F25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9.12</w:t>
            </w:r>
            <w:r w:rsidRPr="008F5C15">
              <w:rPr>
                <w:rFonts w:ascii="Verdana" w:hAnsi="Verdana"/>
                <w:sz w:val="16"/>
                <w:szCs w:val="16"/>
                <w:lang w:val="es-MX"/>
              </w:rPr>
              <w:t xml:space="preserve"> Validación de métodos analíticos.</w:t>
            </w:r>
          </w:p>
        </w:tc>
        <w:tc>
          <w:tcPr>
            <w:tcW w:w="4427" w:type="dxa"/>
          </w:tcPr>
          <w:p w14:paraId="2CC85EB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9.12 </w:t>
            </w:r>
            <w:r w:rsidRPr="008F5C15">
              <w:rPr>
                <w:rFonts w:ascii="Verdana" w:hAnsi="Verdana"/>
                <w:sz w:val="16"/>
                <w:szCs w:val="16"/>
                <w:lang w:val="en-US"/>
              </w:rPr>
              <w:t xml:space="preserve">Validation of analytical methods. </w:t>
            </w:r>
          </w:p>
        </w:tc>
      </w:tr>
      <w:tr w:rsidR="001C6A90" w:rsidRPr="00F70181" w14:paraId="19A49378" w14:textId="77777777" w:rsidTr="00886332">
        <w:tc>
          <w:tcPr>
            <w:tcW w:w="4405" w:type="dxa"/>
          </w:tcPr>
          <w:p w14:paraId="0B9F6A8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9.12.1</w:t>
            </w:r>
            <w:r w:rsidRPr="008F5C15">
              <w:rPr>
                <w:rFonts w:ascii="Verdana" w:hAnsi="Verdana"/>
                <w:sz w:val="16"/>
                <w:szCs w:val="16"/>
                <w:lang w:val="es-MX"/>
              </w:rPr>
              <w:t xml:space="preserve"> Los métodos analíticos no farmacopeicos deben validarse conforme a sus protocolos considerando lo indicado en la FEUM.</w:t>
            </w:r>
          </w:p>
        </w:tc>
        <w:tc>
          <w:tcPr>
            <w:tcW w:w="4427" w:type="dxa"/>
          </w:tcPr>
          <w:p w14:paraId="7DC56AF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9.12.1 </w:t>
            </w:r>
            <w:r w:rsidRPr="008F5C15">
              <w:rPr>
                <w:rFonts w:ascii="Verdana" w:hAnsi="Verdana"/>
                <w:sz w:val="16"/>
                <w:szCs w:val="16"/>
                <w:lang w:val="en-US"/>
              </w:rPr>
              <w:t xml:space="preserve">The non-pharmacopeia analytical methods must be validated according to their protocols considering that indicated in the FEUM (Pharmacopeia of the United Mexican States). </w:t>
            </w:r>
          </w:p>
        </w:tc>
      </w:tr>
      <w:tr w:rsidR="001C6A90" w:rsidRPr="00F70181" w14:paraId="7CA92B01" w14:textId="77777777" w:rsidTr="00886332">
        <w:tc>
          <w:tcPr>
            <w:tcW w:w="4405" w:type="dxa"/>
          </w:tcPr>
          <w:p w14:paraId="59BA161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9.12.2</w:t>
            </w:r>
            <w:r w:rsidRPr="008F5C15">
              <w:rPr>
                <w:rFonts w:ascii="Verdana" w:hAnsi="Verdana"/>
                <w:sz w:val="16"/>
                <w:szCs w:val="16"/>
                <w:lang w:val="es-MX"/>
              </w:rPr>
              <w:t xml:space="preserve"> Cuando se utilizan métodos farmacopeicos, se debe demostrar la aplicabilidad al producto, bajo las condiciones de operación del laboratorio y en función del método analítico deseado.</w:t>
            </w:r>
          </w:p>
        </w:tc>
        <w:tc>
          <w:tcPr>
            <w:tcW w:w="4427" w:type="dxa"/>
          </w:tcPr>
          <w:p w14:paraId="52ED823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9.12.2 </w:t>
            </w:r>
            <w:r w:rsidRPr="008F5C15">
              <w:rPr>
                <w:rFonts w:ascii="Verdana" w:hAnsi="Verdana"/>
                <w:sz w:val="16"/>
                <w:szCs w:val="16"/>
                <w:lang w:val="en-US"/>
              </w:rPr>
              <w:t xml:space="preserve">When non-pharmacopeia methods are used, the applicability to the product must be demonstrated, under the operating conditions of the laboratory and depending on the desired analytical method. </w:t>
            </w:r>
          </w:p>
        </w:tc>
      </w:tr>
      <w:tr w:rsidR="001C6A90" w:rsidRPr="00262EF8" w14:paraId="29139BAC" w14:textId="77777777" w:rsidTr="00886332">
        <w:tc>
          <w:tcPr>
            <w:tcW w:w="4405" w:type="dxa"/>
          </w:tcPr>
          <w:p w14:paraId="00E3B9F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9.13</w:t>
            </w:r>
            <w:r w:rsidRPr="008F5C15">
              <w:rPr>
                <w:rFonts w:ascii="Verdana" w:hAnsi="Verdana"/>
                <w:sz w:val="16"/>
                <w:szCs w:val="16"/>
                <w:lang w:val="es-MX"/>
              </w:rPr>
              <w:t xml:space="preserve"> Validación de sistemas computacionales.</w:t>
            </w:r>
          </w:p>
        </w:tc>
        <w:tc>
          <w:tcPr>
            <w:tcW w:w="4427" w:type="dxa"/>
          </w:tcPr>
          <w:p w14:paraId="3B61916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 </w:t>
            </w:r>
            <w:r w:rsidRPr="008F5C15">
              <w:rPr>
                <w:rFonts w:ascii="Verdana" w:hAnsi="Verdana"/>
                <w:sz w:val="16"/>
                <w:szCs w:val="16"/>
                <w:lang w:val="en-US"/>
              </w:rPr>
              <w:t xml:space="preserve">Validation of computer systems. </w:t>
            </w:r>
          </w:p>
        </w:tc>
      </w:tr>
      <w:tr w:rsidR="001C6A90" w:rsidRPr="00F70181" w14:paraId="21091F18" w14:textId="77777777" w:rsidTr="00886332">
        <w:tc>
          <w:tcPr>
            <w:tcW w:w="4405" w:type="dxa"/>
          </w:tcPr>
          <w:p w14:paraId="7047DB7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9.13.1</w:t>
            </w:r>
            <w:r w:rsidRPr="008F5C15">
              <w:rPr>
                <w:rFonts w:ascii="Verdana" w:hAnsi="Verdana"/>
                <w:sz w:val="16"/>
                <w:szCs w:val="16"/>
                <w:lang w:val="es-MX"/>
              </w:rPr>
              <w:t xml:space="preserve"> Los sistemas computacionales que impactan en la calidad del producto e integridad de datos, deben estar validados.</w:t>
            </w:r>
          </w:p>
        </w:tc>
        <w:tc>
          <w:tcPr>
            <w:tcW w:w="4427" w:type="dxa"/>
          </w:tcPr>
          <w:p w14:paraId="0FBB571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9.13.1 </w:t>
            </w:r>
            <w:r w:rsidRPr="008F5C15">
              <w:rPr>
                <w:rFonts w:ascii="Verdana" w:hAnsi="Verdana"/>
                <w:sz w:val="16"/>
                <w:szCs w:val="16"/>
                <w:lang w:val="en-US"/>
              </w:rPr>
              <w:t xml:space="preserve">The computer systems that impact on the quality of the product and data integrity must be validated. </w:t>
            </w:r>
          </w:p>
        </w:tc>
      </w:tr>
      <w:tr w:rsidR="001C6A90" w:rsidRPr="00F70181" w14:paraId="729086EA" w14:textId="77777777" w:rsidTr="00886332">
        <w:tc>
          <w:tcPr>
            <w:tcW w:w="4405" w:type="dxa"/>
          </w:tcPr>
          <w:p w14:paraId="75FA9A5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9.13.2 </w:t>
            </w:r>
            <w:r w:rsidRPr="008F5C15">
              <w:rPr>
                <w:rFonts w:ascii="Verdana" w:hAnsi="Verdana"/>
                <w:sz w:val="16"/>
                <w:szCs w:val="16"/>
                <w:lang w:val="es-MX"/>
              </w:rPr>
              <w:t>Deben contar con un inventario de todos los sistemas computacionales.</w:t>
            </w:r>
          </w:p>
        </w:tc>
        <w:tc>
          <w:tcPr>
            <w:tcW w:w="4427" w:type="dxa"/>
          </w:tcPr>
          <w:p w14:paraId="2A008F9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9.13.2 </w:t>
            </w:r>
            <w:r w:rsidRPr="008F5C15">
              <w:rPr>
                <w:rFonts w:ascii="Verdana" w:hAnsi="Verdana"/>
                <w:sz w:val="16"/>
                <w:szCs w:val="16"/>
                <w:lang w:val="en-US"/>
              </w:rPr>
              <w:t xml:space="preserve">There must be an inventory of all the computer systems. </w:t>
            </w:r>
          </w:p>
        </w:tc>
      </w:tr>
      <w:tr w:rsidR="001C6A90" w:rsidRPr="00F70181" w14:paraId="444E3F4C" w14:textId="77777777" w:rsidTr="00886332">
        <w:tc>
          <w:tcPr>
            <w:tcW w:w="4405" w:type="dxa"/>
          </w:tcPr>
          <w:p w14:paraId="2D94A5A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9.13.3 </w:t>
            </w:r>
            <w:r w:rsidRPr="008F5C15">
              <w:rPr>
                <w:rFonts w:ascii="Verdana" w:hAnsi="Verdana"/>
                <w:sz w:val="16"/>
                <w:szCs w:val="16"/>
                <w:lang w:val="es-MX"/>
              </w:rPr>
              <w:t>Los sistemas computacionales deben considerar componentes de software, instrumentos, equipos e infraestructura de tecnología de la información, entre otros.</w:t>
            </w:r>
          </w:p>
        </w:tc>
        <w:tc>
          <w:tcPr>
            <w:tcW w:w="4427" w:type="dxa"/>
          </w:tcPr>
          <w:p w14:paraId="3AA4188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9.13.3 </w:t>
            </w:r>
            <w:r w:rsidRPr="008F5C15">
              <w:rPr>
                <w:rFonts w:ascii="Verdana" w:hAnsi="Verdana"/>
                <w:sz w:val="16"/>
                <w:szCs w:val="16"/>
                <w:lang w:val="en-US"/>
              </w:rPr>
              <w:t xml:space="preserve">The computer systems must take into consideration software components, instruments, equipment and infrastructure of information technology, among others. </w:t>
            </w:r>
          </w:p>
        </w:tc>
      </w:tr>
      <w:tr w:rsidR="001C6A90" w:rsidRPr="00F70181" w14:paraId="163B31A4" w14:textId="77777777" w:rsidTr="00886332">
        <w:tc>
          <w:tcPr>
            <w:tcW w:w="4405" w:type="dxa"/>
          </w:tcPr>
          <w:p w14:paraId="08DF264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9.13.3.1</w:t>
            </w:r>
            <w:r w:rsidRPr="008F5C15">
              <w:rPr>
                <w:rFonts w:ascii="Verdana" w:hAnsi="Verdana"/>
                <w:sz w:val="16"/>
                <w:szCs w:val="16"/>
                <w:lang w:val="es-MX"/>
              </w:rPr>
              <w:t xml:space="preserve"> Deben contar con un sistema de protección, integridad y respaldo de la información, los cuales deben determinarse basados en la documentación de evaluación de riesgos del sistema computacional.  El acceso y legibilidad de los datos debe asegurarse durante todo el tiempo de retención.</w:t>
            </w:r>
          </w:p>
        </w:tc>
        <w:tc>
          <w:tcPr>
            <w:tcW w:w="4427" w:type="dxa"/>
          </w:tcPr>
          <w:p w14:paraId="73CCE35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9.13.3.1 </w:t>
            </w:r>
            <w:r w:rsidRPr="008F5C15">
              <w:rPr>
                <w:rFonts w:ascii="Verdana" w:hAnsi="Verdana"/>
                <w:sz w:val="16"/>
                <w:szCs w:val="16"/>
                <w:lang w:val="en-US"/>
              </w:rPr>
              <w:t xml:space="preserve">There must be a system of protection, integrity and support of the information which must be determined based on the documentation of evaluation of risks of the computer system. The access and legibility of the data must be assured during the whole retention time. </w:t>
            </w:r>
          </w:p>
        </w:tc>
      </w:tr>
      <w:tr w:rsidR="001C6A90" w:rsidRPr="00F70181" w14:paraId="2E5A4037" w14:textId="77777777" w:rsidTr="00886332">
        <w:tc>
          <w:tcPr>
            <w:tcW w:w="4405" w:type="dxa"/>
          </w:tcPr>
          <w:p w14:paraId="77EC25B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9.13.3.2</w:t>
            </w:r>
            <w:r w:rsidRPr="008F5C15">
              <w:rPr>
                <w:rFonts w:ascii="Verdana" w:hAnsi="Verdana"/>
                <w:sz w:val="16"/>
                <w:szCs w:val="16"/>
                <w:lang w:val="es-MX"/>
              </w:rPr>
              <w:t xml:space="preserve"> El acceso a éstos debe ser controlado.</w:t>
            </w:r>
          </w:p>
        </w:tc>
        <w:tc>
          <w:tcPr>
            <w:tcW w:w="4427" w:type="dxa"/>
          </w:tcPr>
          <w:p w14:paraId="3970903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9.13.3.2 </w:t>
            </w:r>
            <w:r w:rsidRPr="008F5C15">
              <w:rPr>
                <w:rFonts w:ascii="Verdana" w:hAnsi="Verdana"/>
                <w:sz w:val="16"/>
                <w:szCs w:val="16"/>
                <w:lang w:val="en-US"/>
              </w:rPr>
              <w:t xml:space="preserve">Access to them must be controlled. </w:t>
            </w:r>
          </w:p>
        </w:tc>
      </w:tr>
      <w:tr w:rsidR="001C6A90" w:rsidRPr="00F70181" w14:paraId="36071C4B" w14:textId="77777777" w:rsidTr="00886332">
        <w:tc>
          <w:tcPr>
            <w:tcW w:w="4405" w:type="dxa"/>
          </w:tcPr>
          <w:p w14:paraId="575E3F77"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9.13.3.2.1 </w:t>
            </w:r>
            <w:r w:rsidRPr="008F5C15">
              <w:rPr>
                <w:rFonts w:ascii="Verdana" w:hAnsi="Verdana"/>
                <w:sz w:val="16"/>
                <w:szCs w:val="16"/>
                <w:lang w:val="es-MX"/>
              </w:rPr>
              <w:t>Se deben aplicar controles físicos y/o lógicos para restringir el acceso a usuarios con diferentes niveles de autorización. Los códigos de seguridad deben definirse de acuerdo a criterios predeterminados y ser modificados periódicamente.</w:t>
            </w:r>
          </w:p>
        </w:tc>
        <w:tc>
          <w:tcPr>
            <w:tcW w:w="4427" w:type="dxa"/>
          </w:tcPr>
          <w:p w14:paraId="55B5AEF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9.13.3.2.1 </w:t>
            </w:r>
            <w:r w:rsidRPr="008F5C15">
              <w:rPr>
                <w:rFonts w:ascii="Verdana" w:hAnsi="Verdana"/>
                <w:sz w:val="16"/>
                <w:szCs w:val="16"/>
                <w:lang w:val="en-US"/>
              </w:rPr>
              <w:t xml:space="preserve">Physical and/or logical controls must be applied to restrict the access to the users with different levels of authorization. The security codes must be defined according to predetermined criteria and be periodically modified. </w:t>
            </w:r>
          </w:p>
        </w:tc>
      </w:tr>
      <w:tr w:rsidR="001C6A90" w:rsidRPr="00F70181" w14:paraId="211A89D4" w14:textId="77777777" w:rsidTr="00886332">
        <w:tc>
          <w:tcPr>
            <w:tcW w:w="4405" w:type="dxa"/>
          </w:tcPr>
          <w:p w14:paraId="49D530C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9.13.3.2.2 </w:t>
            </w:r>
            <w:r w:rsidRPr="008F5C15">
              <w:rPr>
                <w:rFonts w:ascii="Verdana" w:hAnsi="Verdana"/>
                <w:sz w:val="16"/>
                <w:szCs w:val="16"/>
                <w:lang w:val="es-MX"/>
              </w:rPr>
              <w:t>El Sistema debe bloquear un usuario después de una cantidad definida de intentos de ingreso fallido.</w:t>
            </w:r>
          </w:p>
        </w:tc>
        <w:tc>
          <w:tcPr>
            <w:tcW w:w="4427" w:type="dxa"/>
          </w:tcPr>
          <w:p w14:paraId="12BE143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9.13.3.2.2 </w:t>
            </w:r>
            <w:r w:rsidRPr="008F5C15">
              <w:rPr>
                <w:rFonts w:ascii="Verdana" w:hAnsi="Verdana"/>
                <w:sz w:val="16"/>
                <w:szCs w:val="16"/>
                <w:lang w:val="en-US"/>
              </w:rPr>
              <w:t xml:space="preserve">The System must block a user after a defined amount of failed entry attempts. </w:t>
            </w:r>
          </w:p>
        </w:tc>
      </w:tr>
      <w:tr w:rsidR="001C6A90" w:rsidRPr="00F70181" w14:paraId="028B7334" w14:textId="77777777" w:rsidTr="00886332">
        <w:tc>
          <w:tcPr>
            <w:tcW w:w="4405" w:type="dxa"/>
          </w:tcPr>
          <w:p w14:paraId="1226498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9.13.3.3</w:t>
            </w:r>
            <w:r w:rsidRPr="008F5C15">
              <w:rPr>
                <w:rFonts w:ascii="Verdana" w:hAnsi="Verdana"/>
                <w:sz w:val="16"/>
                <w:szCs w:val="16"/>
                <w:lang w:val="es-MX"/>
              </w:rPr>
              <w:t xml:space="preserve"> Cuando un sistema computarizado genere registros electrónicos y/o emplee firmas electrónicas, éstos deben ser considerados en la validación:</w:t>
            </w:r>
          </w:p>
        </w:tc>
        <w:tc>
          <w:tcPr>
            <w:tcW w:w="4427" w:type="dxa"/>
          </w:tcPr>
          <w:p w14:paraId="61E0A79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9.13.3.3 </w:t>
            </w:r>
            <w:r w:rsidRPr="008F5C15">
              <w:rPr>
                <w:rFonts w:ascii="Verdana" w:hAnsi="Verdana"/>
                <w:sz w:val="16"/>
                <w:szCs w:val="16"/>
                <w:lang w:val="en-US"/>
              </w:rPr>
              <w:t xml:space="preserve">When a computerized system generates electronic records and/or employs electronic signatures, they must be considered in the validation: </w:t>
            </w:r>
          </w:p>
        </w:tc>
      </w:tr>
      <w:tr w:rsidR="001C6A90" w:rsidRPr="00F70181" w14:paraId="11DF9599" w14:textId="77777777" w:rsidTr="00886332">
        <w:tc>
          <w:tcPr>
            <w:tcW w:w="4405" w:type="dxa"/>
          </w:tcPr>
          <w:p w14:paraId="3ACF4FB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9.13.3.3.1</w:t>
            </w:r>
            <w:r w:rsidRPr="008F5C15">
              <w:rPr>
                <w:rFonts w:ascii="Verdana" w:hAnsi="Verdana"/>
                <w:sz w:val="16"/>
                <w:szCs w:val="16"/>
                <w:lang w:val="es-MX"/>
              </w:rPr>
              <w:t xml:space="preserve"> Son considerados registros electrónicos los documentos y registros que son creados, modificados, mantenidos, archivados, recuperados y/o transmitidos a través de sistemas electrónicos.</w:t>
            </w:r>
          </w:p>
        </w:tc>
        <w:tc>
          <w:tcPr>
            <w:tcW w:w="4427" w:type="dxa"/>
          </w:tcPr>
          <w:p w14:paraId="3E31A6F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9.13.3.3.1 </w:t>
            </w:r>
            <w:r w:rsidRPr="008F5C15">
              <w:rPr>
                <w:rFonts w:ascii="Verdana" w:hAnsi="Verdana"/>
                <w:sz w:val="16"/>
                <w:szCs w:val="16"/>
                <w:lang w:val="en-US"/>
              </w:rPr>
              <w:t>The documents and records that are created, modified, maintained, filed, recovered and/or transmitted through electronic systems are considered electronic records.</w:t>
            </w:r>
          </w:p>
        </w:tc>
      </w:tr>
      <w:tr w:rsidR="001C6A90" w:rsidRPr="00F70181" w14:paraId="05B8745F" w14:textId="77777777" w:rsidTr="00886332">
        <w:tc>
          <w:tcPr>
            <w:tcW w:w="4405" w:type="dxa"/>
          </w:tcPr>
          <w:p w14:paraId="497ABAB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9.13.3.3.2 </w:t>
            </w:r>
            <w:r w:rsidRPr="008F5C15">
              <w:rPr>
                <w:rFonts w:ascii="Verdana" w:hAnsi="Verdana"/>
                <w:sz w:val="16"/>
                <w:szCs w:val="16"/>
                <w:lang w:val="es-MX"/>
              </w:rPr>
              <w:t>En caso que se determine que un Sistema genera y mantiene datos electrónicos regulados, debe existir evidencia documental para asegurar su trazabilidad, fácil acceso e integridad de los mismos.</w:t>
            </w:r>
          </w:p>
        </w:tc>
        <w:tc>
          <w:tcPr>
            <w:tcW w:w="4427" w:type="dxa"/>
          </w:tcPr>
          <w:p w14:paraId="0459D7C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9.13.3.3.2 </w:t>
            </w:r>
            <w:r w:rsidRPr="008F5C15">
              <w:rPr>
                <w:rFonts w:ascii="Verdana" w:hAnsi="Verdana"/>
                <w:sz w:val="16"/>
                <w:szCs w:val="16"/>
                <w:lang w:val="en-US"/>
              </w:rPr>
              <w:t xml:space="preserve">When it is determined that a System generates and maintains regulated electronic data, there must exist documentation evidence to assure its traceability, easy access, and integrity of the same. </w:t>
            </w:r>
          </w:p>
        </w:tc>
      </w:tr>
      <w:tr w:rsidR="001C6A90" w:rsidRPr="00F70181" w14:paraId="08910410" w14:textId="77777777" w:rsidTr="00886332">
        <w:tc>
          <w:tcPr>
            <w:tcW w:w="4405" w:type="dxa"/>
          </w:tcPr>
          <w:p w14:paraId="10550A06"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9.13.3.4</w:t>
            </w:r>
            <w:r w:rsidRPr="008F5C15">
              <w:rPr>
                <w:rFonts w:ascii="Verdana" w:hAnsi="Verdana"/>
                <w:sz w:val="16"/>
                <w:szCs w:val="16"/>
                <w:lang w:val="es-MX"/>
              </w:rPr>
              <w:t xml:space="preserve"> Si efectúan captura de datos críticos manualmente debe haber una revisión adicional en la exactitud de los datos que puede ser realizada por una segunda persona o a través de un medio electrónico validado.</w:t>
            </w:r>
          </w:p>
        </w:tc>
        <w:tc>
          <w:tcPr>
            <w:tcW w:w="4427" w:type="dxa"/>
          </w:tcPr>
          <w:p w14:paraId="296E53C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9.13.3.4 </w:t>
            </w:r>
            <w:r w:rsidRPr="008F5C15">
              <w:rPr>
                <w:rFonts w:ascii="Verdana" w:hAnsi="Verdana"/>
                <w:sz w:val="16"/>
                <w:szCs w:val="16"/>
                <w:lang w:val="en-US"/>
              </w:rPr>
              <w:t xml:space="preserve">If they manually capture critical data, there must be an additional review of the precision of the data that can be made by a second person or through a validated electronic media. </w:t>
            </w:r>
          </w:p>
        </w:tc>
      </w:tr>
      <w:tr w:rsidR="001C6A90" w:rsidRPr="00F70181" w14:paraId="2CA27FAC" w14:textId="77777777" w:rsidTr="00886332">
        <w:tc>
          <w:tcPr>
            <w:tcW w:w="4405" w:type="dxa"/>
          </w:tcPr>
          <w:p w14:paraId="3E559C9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9.13.3.5 </w:t>
            </w:r>
            <w:r w:rsidRPr="008F5C15">
              <w:rPr>
                <w:rFonts w:ascii="Verdana" w:hAnsi="Verdana"/>
                <w:sz w:val="16"/>
                <w:szCs w:val="16"/>
                <w:lang w:val="es-MX"/>
              </w:rPr>
              <w:t>Los datos deben ser protegidos por herramientas tales como copias de seguridad realizadas con las frecuencias definidas de acuerdo a un procedimiento.</w:t>
            </w:r>
          </w:p>
        </w:tc>
        <w:tc>
          <w:tcPr>
            <w:tcW w:w="4427" w:type="dxa"/>
          </w:tcPr>
          <w:p w14:paraId="7564872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9.13.3.5 </w:t>
            </w:r>
            <w:r w:rsidRPr="008F5C15">
              <w:rPr>
                <w:rFonts w:ascii="Verdana" w:hAnsi="Verdana"/>
                <w:sz w:val="16"/>
                <w:szCs w:val="16"/>
                <w:lang w:val="en-US"/>
              </w:rPr>
              <w:t xml:space="preserve">The data must be protected by tools such as security copies made with the frequency defined according to a procedure. </w:t>
            </w:r>
          </w:p>
        </w:tc>
      </w:tr>
      <w:tr w:rsidR="001C6A90" w:rsidRPr="00F70181" w14:paraId="5861D551" w14:textId="77777777" w:rsidTr="00886332">
        <w:tc>
          <w:tcPr>
            <w:tcW w:w="4405" w:type="dxa"/>
          </w:tcPr>
          <w:p w14:paraId="7108B77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9.13.3.6 </w:t>
            </w:r>
            <w:r w:rsidRPr="008F5C15">
              <w:rPr>
                <w:rFonts w:ascii="Verdana" w:hAnsi="Verdana"/>
                <w:sz w:val="16"/>
                <w:szCs w:val="16"/>
                <w:lang w:val="es-MX"/>
              </w:rPr>
              <w:t>La capacidad para restaurar los datos, así como la integridad y la exactitud para su respaldo, deberá ser verificada durante la validación y ser monitoreados en forma periódica.</w:t>
            </w:r>
          </w:p>
        </w:tc>
        <w:tc>
          <w:tcPr>
            <w:tcW w:w="4427" w:type="dxa"/>
          </w:tcPr>
          <w:p w14:paraId="7673ED4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9.13.3.6 </w:t>
            </w:r>
            <w:r w:rsidRPr="008F5C15">
              <w:rPr>
                <w:rFonts w:ascii="Verdana" w:hAnsi="Verdana"/>
                <w:sz w:val="16"/>
                <w:szCs w:val="16"/>
                <w:lang w:val="en-US"/>
              </w:rPr>
              <w:t xml:space="preserve">The capacity for restoring data, as well as the integrity and the precision for its backup must be verified during the validation and be monitored periodically. </w:t>
            </w:r>
          </w:p>
        </w:tc>
      </w:tr>
      <w:tr w:rsidR="001C6A90" w:rsidRPr="00F70181" w14:paraId="067CDB85" w14:textId="77777777" w:rsidTr="00886332">
        <w:tc>
          <w:tcPr>
            <w:tcW w:w="4405" w:type="dxa"/>
          </w:tcPr>
          <w:p w14:paraId="3C416442"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9.13.3.7 </w:t>
            </w:r>
            <w:r w:rsidRPr="008F5C15">
              <w:rPr>
                <w:rFonts w:ascii="Verdana" w:hAnsi="Verdana"/>
                <w:sz w:val="16"/>
                <w:szCs w:val="16"/>
                <w:lang w:val="es-MX"/>
              </w:rPr>
              <w:t xml:space="preserve">Basado en una valoración de riesgos determinar la necesidad de que el sistema incluya un sistema de auditoría de datos, programada para registrar independientemente la fecha y hora de </w:t>
            </w:r>
            <w:r w:rsidRPr="008F5C15">
              <w:rPr>
                <w:rFonts w:ascii="Verdana" w:hAnsi="Verdana"/>
                <w:sz w:val="16"/>
                <w:szCs w:val="16"/>
                <w:lang w:val="es-MX"/>
              </w:rPr>
              <w:lastRenderedPageBreak/>
              <w:t>ingreso de los usuarios, así como las acciones de crear, modificar o eliminar registros electrónicos.</w:t>
            </w:r>
          </w:p>
        </w:tc>
        <w:tc>
          <w:tcPr>
            <w:tcW w:w="4427" w:type="dxa"/>
          </w:tcPr>
          <w:p w14:paraId="33B01E0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9.13.3.7 </w:t>
            </w:r>
            <w:r w:rsidRPr="008F5C15">
              <w:rPr>
                <w:rFonts w:ascii="Verdana" w:hAnsi="Verdana"/>
                <w:sz w:val="16"/>
                <w:szCs w:val="16"/>
                <w:lang w:val="en-US"/>
              </w:rPr>
              <w:t xml:space="preserve">Based on an evaluation of risks to determine the necessity that the system includes a data audit system, programmed for recording independently the date and time of the entry of </w:t>
            </w:r>
            <w:r w:rsidRPr="008F5C15">
              <w:rPr>
                <w:rFonts w:ascii="Verdana" w:hAnsi="Verdana"/>
                <w:sz w:val="16"/>
                <w:szCs w:val="16"/>
                <w:lang w:val="en-US"/>
              </w:rPr>
              <w:lastRenderedPageBreak/>
              <w:t xml:space="preserve">users, as well as the actions to create, modify or eliminate electronic records. </w:t>
            </w:r>
          </w:p>
        </w:tc>
      </w:tr>
      <w:tr w:rsidR="001C6A90" w:rsidRPr="00F70181" w14:paraId="1D47128D" w14:textId="77777777" w:rsidTr="00886332">
        <w:tc>
          <w:tcPr>
            <w:tcW w:w="4405" w:type="dxa"/>
          </w:tcPr>
          <w:p w14:paraId="7EFE432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9.13.3.7.1 </w:t>
            </w:r>
            <w:r w:rsidRPr="008F5C15">
              <w:rPr>
                <w:rFonts w:ascii="Verdana" w:hAnsi="Verdana"/>
                <w:sz w:val="16"/>
                <w:szCs w:val="16"/>
                <w:lang w:val="es-MX"/>
              </w:rPr>
              <w:t>La auditoría de los datos (Audit trail) deberá prevenir su alteración y deberá estar disponible y convertible en un modo entendible, durante su periodo de retención, para permitir evidencia en la cadena de eventos.</w:t>
            </w:r>
          </w:p>
        </w:tc>
        <w:tc>
          <w:tcPr>
            <w:tcW w:w="4427" w:type="dxa"/>
          </w:tcPr>
          <w:p w14:paraId="7B62EDB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9.13.3.7.1 </w:t>
            </w:r>
            <w:r w:rsidRPr="008F5C15">
              <w:rPr>
                <w:rFonts w:ascii="Verdana" w:hAnsi="Verdana"/>
                <w:sz w:val="16"/>
                <w:szCs w:val="16"/>
                <w:lang w:val="en-US"/>
              </w:rPr>
              <w:t xml:space="preserve">The data audit (Audit trail) must prevent their alteration and must be available and convertible in an understandable mode, during their retention period, to permit evidence in the chain of events. </w:t>
            </w:r>
          </w:p>
        </w:tc>
      </w:tr>
      <w:tr w:rsidR="001C6A90" w:rsidRPr="00F70181" w14:paraId="0AEEF71D" w14:textId="77777777" w:rsidTr="00886332">
        <w:tc>
          <w:tcPr>
            <w:tcW w:w="4405" w:type="dxa"/>
          </w:tcPr>
          <w:p w14:paraId="4A9F693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9.13.4 </w:t>
            </w:r>
            <w:r w:rsidRPr="008F5C15">
              <w:rPr>
                <w:rFonts w:ascii="Verdana" w:hAnsi="Verdana"/>
                <w:sz w:val="16"/>
                <w:szCs w:val="16"/>
                <w:lang w:val="es-MX"/>
              </w:rPr>
              <w:t>El proceso de validación debe abarcar todas las fases relevantes del ciclo de vida de acuerdo a la categoría y arquitectura del sistema, para asegurar la exactitud, integridad y consistencia en el desempeño previsto de los Sistemas Computacionales.</w:t>
            </w:r>
          </w:p>
        </w:tc>
        <w:tc>
          <w:tcPr>
            <w:tcW w:w="4427" w:type="dxa"/>
          </w:tcPr>
          <w:p w14:paraId="6093389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9.13.4 </w:t>
            </w:r>
            <w:r w:rsidRPr="008F5C15">
              <w:rPr>
                <w:rFonts w:ascii="Verdana" w:hAnsi="Verdana"/>
                <w:sz w:val="16"/>
                <w:szCs w:val="16"/>
                <w:lang w:val="en-US"/>
              </w:rPr>
              <w:t xml:space="preserve">The validation process must include all the relevant phases of the life cycle according to the category and architecture of the system, to assure the precision, integrity and consistency in the performance detailed in the Computer Systems. </w:t>
            </w:r>
          </w:p>
        </w:tc>
      </w:tr>
      <w:tr w:rsidR="001C6A90" w:rsidRPr="00F70181" w14:paraId="6508AB9F" w14:textId="77777777" w:rsidTr="00886332">
        <w:tc>
          <w:tcPr>
            <w:tcW w:w="4405" w:type="dxa"/>
          </w:tcPr>
          <w:p w14:paraId="0C8AC97D"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9.13.4.1 </w:t>
            </w:r>
            <w:r w:rsidRPr="008F5C15">
              <w:rPr>
                <w:rFonts w:ascii="Verdana" w:hAnsi="Verdana"/>
                <w:sz w:val="16"/>
                <w:szCs w:val="16"/>
                <w:lang w:val="es-MX"/>
              </w:rPr>
              <w:t>La gestión de riesgos debe aplicarse al ciclo de validación completo, incluyendo las fases de planeación, especificaciones, pruebas, liberación del Sistema, mantenimiento y retiro del sistema.</w:t>
            </w:r>
          </w:p>
        </w:tc>
        <w:tc>
          <w:tcPr>
            <w:tcW w:w="4427" w:type="dxa"/>
          </w:tcPr>
          <w:p w14:paraId="43606B7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9.13.4.1 </w:t>
            </w:r>
            <w:r w:rsidRPr="008F5C15">
              <w:rPr>
                <w:rFonts w:ascii="Verdana" w:hAnsi="Verdana"/>
                <w:sz w:val="16"/>
                <w:szCs w:val="16"/>
                <w:lang w:val="en-US"/>
              </w:rPr>
              <w:t>The management of risks must be applied to the complete validation cycle, including the phases of planning, specifications, tests, release of the System, maintenance and withdrawal from the system.</w:t>
            </w:r>
          </w:p>
        </w:tc>
      </w:tr>
      <w:tr w:rsidR="001C6A90" w:rsidRPr="00F70181" w14:paraId="403506B2" w14:textId="77777777" w:rsidTr="00886332">
        <w:tc>
          <w:tcPr>
            <w:tcW w:w="4405" w:type="dxa"/>
          </w:tcPr>
          <w:p w14:paraId="18ACCD5A"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9.13.4.2 </w:t>
            </w:r>
            <w:r w:rsidRPr="008F5C15">
              <w:rPr>
                <w:rFonts w:ascii="Verdana" w:hAnsi="Verdana"/>
                <w:sz w:val="16"/>
                <w:szCs w:val="16"/>
                <w:lang w:val="es-MX"/>
              </w:rPr>
              <w:t>Los componentes de la infraestructura de tecnología de la información y cualquier instrumento o equipo relevante deben ser calificados.</w:t>
            </w:r>
          </w:p>
        </w:tc>
        <w:tc>
          <w:tcPr>
            <w:tcW w:w="4427" w:type="dxa"/>
          </w:tcPr>
          <w:p w14:paraId="384EC05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9.13.4.2 </w:t>
            </w:r>
            <w:r w:rsidRPr="008F5C15">
              <w:rPr>
                <w:rFonts w:ascii="Verdana" w:hAnsi="Verdana"/>
                <w:sz w:val="16"/>
                <w:szCs w:val="16"/>
                <w:lang w:val="en-US"/>
              </w:rPr>
              <w:t xml:space="preserve">The components of the infrastructure of information technology and any relevant instrument or equipment must be qualified. </w:t>
            </w:r>
          </w:p>
        </w:tc>
      </w:tr>
      <w:tr w:rsidR="001C6A90" w:rsidRPr="00F70181" w14:paraId="1A4114A4" w14:textId="77777777" w:rsidTr="00886332">
        <w:tc>
          <w:tcPr>
            <w:tcW w:w="4405" w:type="dxa"/>
          </w:tcPr>
          <w:p w14:paraId="4D4EACA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9.13.4.3 </w:t>
            </w:r>
            <w:r w:rsidRPr="008F5C15">
              <w:rPr>
                <w:rFonts w:ascii="Verdana" w:hAnsi="Verdana"/>
                <w:sz w:val="16"/>
                <w:szCs w:val="16"/>
                <w:lang w:val="es-MX"/>
              </w:rPr>
              <w:t>Para el proceso de validación, puede emplear las pruebas ejecutadas por el proveedor, sin embargo, las aceptaciones de los registros de prueba entregados por el proveedor no deben substituir las pruebas de validación efectuadas en sus instalaciones, equipos y personal, tales como Plan de Validación, requisitos de Usuario, Análisis de Riesgo, Calificación de Desempeño, Reporte de Validación, entre otros.</w:t>
            </w:r>
          </w:p>
        </w:tc>
        <w:tc>
          <w:tcPr>
            <w:tcW w:w="4427" w:type="dxa"/>
          </w:tcPr>
          <w:p w14:paraId="5E41B81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9.13.4.3 </w:t>
            </w:r>
            <w:r w:rsidRPr="008F5C15">
              <w:rPr>
                <w:rFonts w:ascii="Verdana" w:hAnsi="Verdana"/>
                <w:sz w:val="16"/>
                <w:szCs w:val="16"/>
                <w:lang w:val="en-US"/>
              </w:rPr>
              <w:t xml:space="preserve">For the validation process, the tests executed by the supplier can be employed, nevertheless, the acceptance of the test records delivered by the supplier must not substitute for the validation tests made in their installations, equipment and personnel, such as the Validation Plan, User requirements, Risk Analysis, Performance Qualification, Validation Report, among others. </w:t>
            </w:r>
          </w:p>
        </w:tc>
      </w:tr>
      <w:tr w:rsidR="001C6A90" w:rsidRPr="00F70181" w14:paraId="7A845B40" w14:textId="77777777" w:rsidTr="00886332">
        <w:tc>
          <w:tcPr>
            <w:tcW w:w="4405" w:type="dxa"/>
          </w:tcPr>
          <w:p w14:paraId="4DC1A4D4"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9.13.4.4 </w:t>
            </w:r>
            <w:r w:rsidRPr="008F5C15">
              <w:rPr>
                <w:rFonts w:ascii="Verdana" w:hAnsi="Verdana"/>
                <w:sz w:val="16"/>
                <w:szCs w:val="16"/>
                <w:lang w:val="es-MX"/>
              </w:rPr>
              <w:t>Si se emplea un Sistema centralizado en múltiples sitios, el proceso de validación debe incluir la verificación de los procesos ejecutados a través del Sistema en cada sitio individual.</w:t>
            </w:r>
          </w:p>
        </w:tc>
        <w:tc>
          <w:tcPr>
            <w:tcW w:w="4427" w:type="dxa"/>
          </w:tcPr>
          <w:p w14:paraId="18DD3D4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9.13.4.4 </w:t>
            </w:r>
            <w:r w:rsidRPr="008F5C15">
              <w:rPr>
                <w:rFonts w:ascii="Verdana" w:hAnsi="Verdana"/>
                <w:sz w:val="16"/>
                <w:szCs w:val="16"/>
                <w:lang w:val="en-US"/>
              </w:rPr>
              <w:t xml:space="preserve">If a centralized System is employed in multiple sites, the validation process must include the verification of the processes executed through the System in each individual site. </w:t>
            </w:r>
          </w:p>
        </w:tc>
      </w:tr>
      <w:tr w:rsidR="001C6A90" w:rsidRPr="00F70181" w14:paraId="5695E0C8" w14:textId="77777777" w:rsidTr="00886332">
        <w:tc>
          <w:tcPr>
            <w:tcW w:w="4405" w:type="dxa"/>
          </w:tcPr>
          <w:p w14:paraId="42ADA8A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9.13.5 </w:t>
            </w:r>
            <w:r w:rsidRPr="008F5C15">
              <w:rPr>
                <w:rFonts w:ascii="Verdana" w:hAnsi="Verdana"/>
                <w:sz w:val="16"/>
                <w:szCs w:val="16"/>
                <w:lang w:val="es-MX"/>
              </w:rPr>
              <w:t>Deben contar con una matriz de trazabilidad donde se documenten las múltiples etapas de especificaciones (incluyendo las revisiones) y las pruebas una vez que se han cumplido de manera satisfactoria.</w:t>
            </w:r>
          </w:p>
        </w:tc>
        <w:tc>
          <w:tcPr>
            <w:tcW w:w="4427" w:type="dxa"/>
          </w:tcPr>
          <w:p w14:paraId="1B2ADE1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9.13.5 </w:t>
            </w:r>
            <w:r w:rsidRPr="008F5C15">
              <w:rPr>
                <w:rFonts w:ascii="Verdana" w:hAnsi="Verdana"/>
                <w:sz w:val="16"/>
                <w:szCs w:val="16"/>
                <w:lang w:val="en-US"/>
              </w:rPr>
              <w:t xml:space="preserve">There must be a traceability matrix where the multiple stages of specifications are documented (including the reviews) and the tests once they have been completed satisfactorily. </w:t>
            </w:r>
          </w:p>
        </w:tc>
      </w:tr>
      <w:tr w:rsidR="001C6A90" w:rsidRPr="00F70181" w14:paraId="68C9D2AE" w14:textId="77777777" w:rsidTr="00886332">
        <w:tc>
          <w:tcPr>
            <w:tcW w:w="4405" w:type="dxa"/>
          </w:tcPr>
          <w:p w14:paraId="4EDD31B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9.13.5.1 </w:t>
            </w:r>
            <w:r w:rsidRPr="008F5C15">
              <w:rPr>
                <w:rFonts w:ascii="Verdana" w:hAnsi="Verdana"/>
                <w:sz w:val="16"/>
                <w:szCs w:val="16"/>
                <w:lang w:val="es-MX"/>
              </w:rPr>
              <w:t>Todo cambio a un Sistema computacional debe realizarse de acuerdo al sistema de control de cambios, incluyendo configuraciones de Sistema, deben aplicarse de acuerdo a un proceso predefinido y controlado que comprenda la definición del impacto del cambio y las actividades de verificación resultantes, incluyendo pruebas regresivas.</w:t>
            </w:r>
          </w:p>
        </w:tc>
        <w:tc>
          <w:tcPr>
            <w:tcW w:w="4427" w:type="dxa"/>
          </w:tcPr>
          <w:p w14:paraId="16CA451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9.13.5.1 </w:t>
            </w:r>
            <w:r w:rsidRPr="008F5C15">
              <w:rPr>
                <w:rFonts w:ascii="Verdana" w:hAnsi="Verdana"/>
                <w:sz w:val="16"/>
                <w:szCs w:val="16"/>
                <w:lang w:val="en-US"/>
              </w:rPr>
              <w:t xml:space="preserve">All changes to a computer System must be made according to the system for the control of changes, including configurations of the System, must be applied according to a predefined and controlled process that includes the definition of the impact of the change and the resulting verification activities, including regressive tests. </w:t>
            </w:r>
          </w:p>
        </w:tc>
      </w:tr>
      <w:tr w:rsidR="001C6A90" w:rsidRPr="00F70181" w14:paraId="0E8C5B85" w14:textId="77777777" w:rsidTr="00886332">
        <w:tc>
          <w:tcPr>
            <w:tcW w:w="4405" w:type="dxa"/>
          </w:tcPr>
          <w:p w14:paraId="21A44E0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9.13.5.2 </w:t>
            </w:r>
            <w:r w:rsidRPr="008F5C15">
              <w:rPr>
                <w:rFonts w:ascii="Verdana" w:hAnsi="Verdana"/>
                <w:sz w:val="16"/>
                <w:szCs w:val="16"/>
                <w:lang w:val="es-MX"/>
              </w:rPr>
              <w:t>Deberán implementarse procedimientos de control, que aseguren la revisión de la auditoría de datos de forma regular; la frecuencia y el método serán determinados, de acuerdo al riesgo.</w:t>
            </w:r>
          </w:p>
        </w:tc>
        <w:tc>
          <w:tcPr>
            <w:tcW w:w="4427" w:type="dxa"/>
          </w:tcPr>
          <w:p w14:paraId="375337B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9.13.5.2 </w:t>
            </w:r>
            <w:r w:rsidRPr="008F5C15">
              <w:rPr>
                <w:rFonts w:ascii="Verdana" w:hAnsi="Verdana"/>
                <w:sz w:val="16"/>
                <w:szCs w:val="16"/>
                <w:lang w:val="en-US"/>
              </w:rPr>
              <w:t xml:space="preserve">Control procedures must be implemented that assure the regular review of the audit data; the frequency and the method will be determined according to the risk. </w:t>
            </w:r>
          </w:p>
        </w:tc>
      </w:tr>
      <w:tr w:rsidR="001C6A90" w:rsidRPr="00F70181" w14:paraId="2548B452" w14:textId="77777777" w:rsidTr="00886332">
        <w:tc>
          <w:tcPr>
            <w:tcW w:w="4405" w:type="dxa"/>
          </w:tcPr>
          <w:p w14:paraId="399FA51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9.13.5.3 </w:t>
            </w:r>
            <w:r w:rsidRPr="008F5C15">
              <w:rPr>
                <w:rFonts w:ascii="Verdana" w:hAnsi="Verdana"/>
                <w:sz w:val="16"/>
                <w:szCs w:val="16"/>
                <w:lang w:val="es-MX"/>
              </w:rPr>
              <w:t xml:space="preserve">Los sistemas con la funcionalidad de auditoría de datos deben emitir información que </w:t>
            </w:r>
            <w:r w:rsidRPr="008F5C15">
              <w:rPr>
                <w:rFonts w:ascii="Verdana" w:hAnsi="Verdana"/>
                <w:sz w:val="16"/>
                <w:szCs w:val="16"/>
                <w:lang w:val="es-MX"/>
              </w:rPr>
              <w:lastRenderedPageBreak/>
              <w:t>permita verificar si algún dato ha sido alterado desde su ingreso original.</w:t>
            </w:r>
          </w:p>
        </w:tc>
        <w:tc>
          <w:tcPr>
            <w:tcW w:w="4427" w:type="dxa"/>
          </w:tcPr>
          <w:p w14:paraId="3C8DC19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9.13.5.3 </w:t>
            </w:r>
            <w:r w:rsidRPr="008F5C15">
              <w:rPr>
                <w:rFonts w:ascii="Verdana" w:hAnsi="Verdana"/>
                <w:sz w:val="16"/>
                <w:szCs w:val="16"/>
                <w:lang w:val="en-US"/>
              </w:rPr>
              <w:t xml:space="preserve">The systems with the functionality of data audit must issue information that permits verifying </w:t>
            </w:r>
            <w:r w:rsidRPr="008F5C15">
              <w:rPr>
                <w:rFonts w:ascii="Verdana" w:hAnsi="Verdana"/>
                <w:sz w:val="16"/>
                <w:szCs w:val="16"/>
                <w:lang w:val="en-US"/>
              </w:rPr>
              <w:lastRenderedPageBreak/>
              <w:t xml:space="preserve">whether data has been altered since its original entry. </w:t>
            </w:r>
          </w:p>
        </w:tc>
      </w:tr>
      <w:tr w:rsidR="001C6A90" w:rsidRPr="00F70181" w14:paraId="12B0EF9D" w14:textId="77777777" w:rsidTr="00886332">
        <w:tc>
          <w:tcPr>
            <w:tcW w:w="4405" w:type="dxa"/>
          </w:tcPr>
          <w:p w14:paraId="713A67E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9.13.5.4 </w:t>
            </w:r>
            <w:r w:rsidRPr="008F5C15">
              <w:rPr>
                <w:rFonts w:ascii="Verdana" w:hAnsi="Verdana"/>
                <w:sz w:val="16"/>
                <w:szCs w:val="16"/>
                <w:lang w:val="es-MX"/>
              </w:rPr>
              <w:t>Si los datos son transferidos a otro formato de datos o sistema, la validación debe incluir la revisión de que los datos no sean alterados en valor y/o definición durante el proceso de migración</w:t>
            </w:r>
          </w:p>
        </w:tc>
        <w:tc>
          <w:tcPr>
            <w:tcW w:w="4427" w:type="dxa"/>
          </w:tcPr>
          <w:p w14:paraId="68B213D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9.13.5.4 </w:t>
            </w:r>
            <w:r w:rsidRPr="008F5C15">
              <w:rPr>
                <w:rFonts w:ascii="Verdana" w:hAnsi="Verdana"/>
                <w:sz w:val="16"/>
                <w:szCs w:val="16"/>
                <w:lang w:val="en-US"/>
              </w:rPr>
              <w:t xml:space="preserve">If the data is transferred to another data or system format, the validation must include the review of whether the data is altered in value and/or definition during the migration process. </w:t>
            </w:r>
          </w:p>
        </w:tc>
      </w:tr>
      <w:tr w:rsidR="001C6A90" w:rsidRPr="005E3C0E" w14:paraId="1EE783D6" w14:textId="77777777" w:rsidTr="00886332">
        <w:tc>
          <w:tcPr>
            <w:tcW w:w="4405" w:type="dxa"/>
          </w:tcPr>
          <w:p w14:paraId="28E503D9"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9.13.6</w:t>
            </w:r>
            <w:r w:rsidRPr="008F5C15">
              <w:rPr>
                <w:rFonts w:ascii="Verdana" w:hAnsi="Verdana"/>
                <w:sz w:val="16"/>
                <w:szCs w:val="16"/>
                <w:lang w:val="es-MX"/>
              </w:rPr>
              <w:t xml:space="preserve"> Para firmas electrónicas:</w:t>
            </w:r>
          </w:p>
        </w:tc>
        <w:tc>
          <w:tcPr>
            <w:tcW w:w="4427" w:type="dxa"/>
            <w:shd w:val="clear" w:color="auto" w:fill="auto"/>
          </w:tcPr>
          <w:p w14:paraId="74D15CF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9.13.6 </w:t>
            </w:r>
            <w:r w:rsidRPr="008F5C15">
              <w:rPr>
                <w:rFonts w:ascii="Verdana" w:hAnsi="Verdana"/>
                <w:sz w:val="16"/>
                <w:szCs w:val="16"/>
                <w:lang w:val="en-US"/>
              </w:rPr>
              <w:t>For electronic signatures:</w:t>
            </w:r>
          </w:p>
        </w:tc>
      </w:tr>
      <w:tr w:rsidR="001C6A90" w:rsidRPr="00F70181" w14:paraId="65D7F459" w14:textId="77777777" w:rsidTr="00886332">
        <w:tc>
          <w:tcPr>
            <w:tcW w:w="4405" w:type="dxa"/>
          </w:tcPr>
          <w:p w14:paraId="32B96D01"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9.13.6.1</w:t>
            </w:r>
            <w:r w:rsidRPr="008F5C15">
              <w:rPr>
                <w:rFonts w:ascii="Verdana" w:hAnsi="Verdana"/>
                <w:sz w:val="16"/>
                <w:szCs w:val="16"/>
                <w:lang w:val="es-MX"/>
              </w:rPr>
              <w:t xml:space="preserve"> Éstas deben ser únicas para cada persona e intransferibles.</w:t>
            </w:r>
          </w:p>
        </w:tc>
        <w:tc>
          <w:tcPr>
            <w:tcW w:w="4427" w:type="dxa"/>
            <w:shd w:val="clear" w:color="auto" w:fill="auto"/>
          </w:tcPr>
          <w:p w14:paraId="0E97850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9.13.6.1 </w:t>
            </w:r>
            <w:r w:rsidRPr="008F5C15">
              <w:rPr>
                <w:rFonts w:ascii="Verdana" w:hAnsi="Verdana"/>
                <w:sz w:val="16"/>
                <w:szCs w:val="16"/>
                <w:lang w:val="en-US"/>
              </w:rPr>
              <w:t>These must be unique for every person and non-transferable.</w:t>
            </w:r>
          </w:p>
        </w:tc>
      </w:tr>
      <w:tr w:rsidR="001C6A90" w:rsidRPr="00F70181" w14:paraId="3239FFE4" w14:textId="77777777" w:rsidTr="00886332">
        <w:tc>
          <w:tcPr>
            <w:tcW w:w="4405" w:type="dxa"/>
          </w:tcPr>
          <w:p w14:paraId="28C5F61E"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9.13.6.2</w:t>
            </w:r>
            <w:r w:rsidRPr="008F5C15">
              <w:rPr>
                <w:rFonts w:ascii="Verdana" w:hAnsi="Verdana"/>
                <w:sz w:val="16"/>
                <w:szCs w:val="16"/>
                <w:lang w:val="es-MX"/>
              </w:rPr>
              <w:t xml:space="preserve"> Cuando el uso de firmas electrónicas sea adoptado, se debe establecer la fecha a partir de la cual las firmas electrónicas son vigentes y equivalentes a las firmas autógrafas.</w:t>
            </w:r>
          </w:p>
        </w:tc>
        <w:tc>
          <w:tcPr>
            <w:tcW w:w="4427" w:type="dxa"/>
            <w:shd w:val="clear" w:color="auto" w:fill="auto"/>
          </w:tcPr>
          <w:p w14:paraId="4D7F931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9.13.6.2 </w:t>
            </w:r>
            <w:r w:rsidRPr="008F5C15">
              <w:rPr>
                <w:rFonts w:ascii="Verdana" w:hAnsi="Verdana"/>
                <w:sz w:val="16"/>
                <w:szCs w:val="16"/>
                <w:lang w:val="en-US"/>
              </w:rPr>
              <w:t xml:space="preserve">When the use of electronic signatures is adopted, the date from which electronic signatures are valid and equivalent to handwritten signatures must be established. </w:t>
            </w:r>
          </w:p>
        </w:tc>
      </w:tr>
      <w:tr w:rsidR="001C6A90" w:rsidRPr="00F70181" w14:paraId="632E165B" w14:textId="77777777" w:rsidTr="00886332">
        <w:tc>
          <w:tcPr>
            <w:tcW w:w="4405" w:type="dxa"/>
          </w:tcPr>
          <w:p w14:paraId="761AAC4F"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9.13.6.3</w:t>
            </w:r>
            <w:r w:rsidRPr="008F5C15">
              <w:rPr>
                <w:rFonts w:ascii="Verdana" w:hAnsi="Verdana"/>
                <w:sz w:val="16"/>
                <w:szCs w:val="16"/>
                <w:lang w:val="es-MX"/>
              </w:rPr>
              <w:t xml:space="preserve"> Las firmas electrónicas deben contar con al menos dos elementos distintos tales como un código de identificación y una contraseña.</w:t>
            </w:r>
          </w:p>
        </w:tc>
        <w:tc>
          <w:tcPr>
            <w:tcW w:w="4427" w:type="dxa"/>
            <w:shd w:val="clear" w:color="auto" w:fill="auto"/>
          </w:tcPr>
          <w:p w14:paraId="785154C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9.13.6.3 </w:t>
            </w:r>
            <w:r w:rsidRPr="008F5C15">
              <w:rPr>
                <w:rFonts w:ascii="Verdana" w:hAnsi="Verdana"/>
                <w:sz w:val="16"/>
                <w:szCs w:val="16"/>
                <w:lang w:val="en-US"/>
              </w:rPr>
              <w:t>Electronic signatures must have at least two different elements such as an identification code and a password.</w:t>
            </w:r>
          </w:p>
        </w:tc>
      </w:tr>
      <w:tr w:rsidR="001C6A90" w:rsidRPr="00F70181" w14:paraId="1F6F608E" w14:textId="77777777" w:rsidTr="00886332">
        <w:tc>
          <w:tcPr>
            <w:tcW w:w="4405" w:type="dxa"/>
          </w:tcPr>
          <w:p w14:paraId="7A1C8695"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9.13.6.4</w:t>
            </w:r>
            <w:r w:rsidRPr="008F5C15">
              <w:rPr>
                <w:rFonts w:ascii="Verdana" w:hAnsi="Verdana"/>
                <w:sz w:val="16"/>
                <w:szCs w:val="16"/>
                <w:lang w:val="es-MX"/>
              </w:rPr>
              <w:t xml:space="preserve"> Las firmas electrónicas deberán estar enlazadas a sus respectivos registros electrónicos que aseguren que las firmas no han sido alteradas, copiadas o de alguna manera, transferidas a un registro electrónico para ser falsificadas por medios ordinarios.</w:t>
            </w:r>
          </w:p>
        </w:tc>
        <w:tc>
          <w:tcPr>
            <w:tcW w:w="4427" w:type="dxa"/>
          </w:tcPr>
          <w:p w14:paraId="3364070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9.13.6.4 </w:t>
            </w:r>
            <w:r w:rsidRPr="008F5C15">
              <w:rPr>
                <w:rFonts w:ascii="Verdana" w:hAnsi="Verdana"/>
                <w:sz w:val="16"/>
                <w:szCs w:val="16"/>
                <w:lang w:val="en-US"/>
              </w:rPr>
              <w:t xml:space="preserve">The electronic signatures must be linked to their respective electronic records that assure that the signatures have not been altered, copied or in any manner, transferred to an electronic record to be falsified by ordinary means. </w:t>
            </w:r>
          </w:p>
        </w:tc>
      </w:tr>
      <w:tr w:rsidR="001C6A90" w:rsidRPr="00F70181" w14:paraId="673809BE" w14:textId="77777777" w:rsidTr="00886332">
        <w:tc>
          <w:tcPr>
            <w:tcW w:w="4405" w:type="dxa"/>
          </w:tcPr>
          <w:p w14:paraId="0ED7F178"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9.13.6.5 </w:t>
            </w:r>
            <w:r w:rsidRPr="008F5C15">
              <w:rPr>
                <w:rFonts w:ascii="Verdana" w:hAnsi="Verdana"/>
                <w:sz w:val="16"/>
                <w:szCs w:val="16"/>
                <w:lang w:val="es-MX"/>
              </w:rPr>
              <w:t>En caso que la firma electrónica sea realizada mediante tokens o dispositivos biométricos, el sistema deberá asegurar que no puede emplearlo otra persona y que se han implementado medidas de control necesarias.</w:t>
            </w:r>
          </w:p>
        </w:tc>
        <w:tc>
          <w:tcPr>
            <w:tcW w:w="4427" w:type="dxa"/>
          </w:tcPr>
          <w:p w14:paraId="0D573FD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9.13.6.5 </w:t>
            </w:r>
            <w:r w:rsidRPr="008F5C15">
              <w:rPr>
                <w:rFonts w:ascii="Verdana" w:hAnsi="Verdana"/>
                <w:sz w:val="16"/>
                <w:szCs w:val="16"/>
                <w:lang w:val="en-US"/>
              </w:rPr>
              <w:t xml:space="preserve">When the electronic signature is made through tokens or biometric devices, the system must assure that it cannot be employed by another person and that the necessary measures for control have been implemented. </w:t>
            </w:r>
          </w:p>
        </w:tc>
      </w:tr>
      <w:tr w:rsidR="001C6A90" w:rsidRPr="00F70181" w14:paraId="2461A7FF" w14:textId="77777777" w:rsidTr="00886332">
        <w:tc>
          <w:tcPr>
            <w:tcW w:w="4405" w:type="dxa"/>
          </w:tcPr>
          <w:p w14:paraId="6BDAAF8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9.14</w:t>
            </w:r>
            <w:r w:rsidRPr="008F5C15">
              <w:rPr>
                <w:rFonts w:ascii="Verdana" w:hAnsi="Verdana"/>
                <w:sz w:val="16"/>
                <w:szCs w:val="16"/>
                <w:lang w:val="es-MX"/>
              </w:rPr>
              <w:t xml:space="preserve"> Mantenimiento del estado validado.</w:t>
            </w:r>
          </w:p>
        </w:tc>
        <w:tc>
          <w:tcPr>
            <w:tcW w:w="4427" w:type="dxa"/>
            <w:shd w:val="clear" w:color="auto" w:fill="auto"/>
          </w:tcPr>
          <w:p w14:paraId="3F8D221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9.14. </w:t>
            </w:r>
            <w:r w:rsidRPr="008F5C15">
              <w:rPr>
                <w:rFonts w:ascii="Verdana" w:hAnsi="Verdana"/>
                <w:sz w:val="16"/>
                <w:szCs w:val="16"/>
                <w:lang w:val="en-US"/>
              </w:rPr>
              <w:t>Maintenance of the validated state.</w:t>
            </w:r>
          </w:p>
        </w:tc>
      </w:tr>
      <w:tr w:rsidR="001C6A90" w:rsidRPr="00F70181" w14:paraId="784A0F71" w14:textId="77777777" w:rsidTr="00886332">
        <w:tc>
          <w:tcPr>
            <w:tcW w:w="4405" w:type="dxa"/>
          </w:tcPr>
          <w:p w14:paraId="51769AB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9.14.1</w:t>
            </w:r>
            <w:r w:rsidRPr="008F5C15">
              <w:rPr>
                <w:rFonts w:ascii="Verdana" w:hAnsi="Verdana"/>
                <w:sz w:val="16"/>
                <w:szCs w:val="16"/>
                <w:lang w:val="es-MX"/>
              </w:rPr>
              <w:t xml:space="preserve"> El mantenimiento de las instalaciones, equipos y sistemas es otro aspecto importante para asegurar que el proceso se mantiene bajo control. Una vez que se ha logrado el estado calificado/validado debe mantenerse a través de monitoreo de rutina, mantenimiento, procedimientos y programas de calibración.</w:t>
            </w:r>
          </w:p>
        </w:tc>
        <w:tc>
          <w:tcPr>
            <w:tcW w:w="4427" w:type="dxa"/>
            <w:shd w:val="clear" w:color="auto" w:fill="auto"/>
          </w:tcPr>
          <w:p w14:paraId="4E1AE18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9.14.1 </w:t>
            </w:r>
            <w:r w:rsidRPr="008F5C15">
              <w:rPr>
                <w:rFonts w:ascii="Verdana" w:hAnsi="Verdana"/>
                <w:sz w:val="16"/>
                <w:szCs w:val="16"/>
                <w:lang w:val="en-US"/>
              </w:rPr>
              <w:t xml:space="preserve">The maintenance of the installations, equipment and systems is another important aspect to assure that the process is maintained under control. Once the qualified/validated state has been achieved, it must be maintained through routine monitoring, maintenance, procedures and calibration programs. </w:t>
            </w:r>
          </w:p>
        </w:tc>
      </w:tr>
      <w:tr w:rsidR="001C6A90" w:rsidRPr="00F70181" w14:paraId="4A53C6B5" w14:textId="77777777" w:rsidTr="00886332">
        <w:tc>
          <w:tcPr>
            <w:tcW w:w="4405" w:type="dxa"/>
          </w:tcPr>
          <w:p w14:paraId="4C3F4C6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9.14.2</w:t>
            </w:r>
            <w:r w:rsidRPr="008F5C15">
              <w:rPr>
                <w:rFonts w:ascii="Verdana" w:hAnsi="Verdana"/>
                <w:sz w:val="16"/>
                <w:szCs w:val="16"/>
                <w:lang w:val="es-MX"/>
              </w:rPr>
              <w:t xml:space="preserve"> Debe efectuarse una revisión periódica de las instalaciones, sistemas y equipos, a fin de determinar si es necesario efectuar una nueva calificación. Ésta debe quedar documentada como parte del mantenimiento del estado validado.</w:t>
            </w:r>
          </w:p>
        </w:tc>
        <w:tc>
          <w:tcPr>
            <w:tcW w:w="4427" w:type="dxa"/>
            <w:shd w:val="clear" w:color="auto" w:fill="auto"/>
          </w:tcPr>
          <w:p w14:paraId="3361CF2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9.14.2</w:t>
            </w:r>
            <w:r w:rsidRPr="008F5C15">
              <w:rPr>
                <w:rFonts w:ascii="Verdana" w:hAnsi="Verdana"/>
                <w:sz w:val="16"/>
                <w:szCs w:val="16"/>
                <w:lang w:val="en-US"/>
              </w:rPr>
              <w:t xml:space="preserve"> A periodic review of the installations, systems and equipment, for the purpose of determining whether it is necessary to make a new qualification. It must remain documented as part of the maintenance of the validated state. </w:t>
            </w:r>
          </w:p>
        </w:tc>
      </w:tr>
      <w:tr w:rsidR="001C6A90" w:rsidRPr="00F70181" w14:paraId="3B5C2DDF" w14:textId="77777777" w:rsidTr="00886332">
        <w:tc>
          <w:tcPr>
            <w:tcW w:w="4405" w:type="dxa"/>
          </w:tcPr>
          <w:p w14:paraId="0AFADD8E"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9.14.2.1 </w:t>
            </w:r>
            <w:r w:rsidRPr="008F5C15">
              <w:rPr>
                <w:rFonts w:ascii="Verdana" w:hAnsi="Verdana"/>
                <w:sz w:val="16"/>
                <w:szCs w:val="16"/>
                <w:lang w:val="es-MX"/>
              </w:rPr>
              <w:t>Si las instalaciones, sistemas y equipos no han tenido cambios significativos, la evidencia documental de que éstos cumplen los requisitos predefinidos es suficiente como evidencia de su mantenimiento del estado validado.</w:t>
            </w:r>
          </w:p>
        </w:tc>
        <w:tc>
          <w:tcPr>
            <w:tcW w:w="4427" w:type="dxa"/>
            <w:shd w:val="clear" w:color="auto" w:fill="auto"/>
          </w:tcPr>
          <w:p w14:paraId="5512553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9.14.2.1 </w:t>
            </w:r>
            <w:r w:rsidRPr="008F5C15">
              <w:rPr>
                <w:rFonts w:ascii="Verdana" w:hAnsi="Verdana"/>
                <w:sz w:val="16"/>
                <w:szCs w:val="16"/>
                <w:lang w:val="en-US"/>
              </w:rPr>
              <w:t xml:space="preserve">If the installations, systems and equipment have not had significant changes, the documentation evidence that they comply with the predefined requirements is sufficient as evidence of their maintenance of the validated state. </w:t>
            </w:r>
          </w:p>
        </w:tc>
      </w:tr>
      <w:tr w:rsidR="001C6A90" w:rsidRPr="00F70181" w14:paraId="6580F742" w14:textId="77777777" w:rsidTr="00886332">
        <w:tc>
          <w:tcPr>
            <w:tcW w:w="4405" w:type="dxa"/>
          </w:tcPr>
          <w:p w14:paraId="5A58866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9.14.3</w:t>
            </w:r>
            <w:r w:rsidRPr="008F5C15">
              <w:rPr>
                <w:rFonts w:ascii="Verdana" w:hAnsi="Verdana"/>
                <w:sz w:val="16"/>
                <w:szCs w:val="16"/>
                <w:lang w:val="es-MX"/>
              </w:rPr>
              <w:t xml:space="preserve"> Cuando un cambio afecte la calidad o características del producto, o sus componentes y/o proceso, debe llevarse a cabo una nueva calificación y/o validación.</w:t>
            </w:r>
          </w:p>
        </w:tc>
        <w:tc>
          <w:tcPr>
            <w:tcW w:w="4427" w:type="dxa"/>
            <w:shd w:val="clear" w:color="auto" w:fill="auto"/>
          </w:tcPr>
          <w:p w14:paraId="1128CE5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9.14.3 </w:t>
            </w:r>
            <w:r w:rsidRPr="008F5C15">
              <w:rPr>
                <w:rFonts w:ascii="Verdana" w:hAnsi="Verdana"/>
                <w:sz w:val="16"/>
                <w:szCs w:val="16"/>
                <w:lang w:val="en-US"/>
              </w:rPr>
              <w:t>When a change affects the quality or characteristics of the product, or its components and/or process, a new qualification and/or validation must be carried out.</w:t>
            </w:r>
          </w:p>
        </w:tc>
      </w:tr>
      <w:tr w:rsidR="001C6A90" w:rsidRPr="00F70181" w14:paraId="3476621C" w14:textId="77777777" w:rsidTr="00886332">
        <w:tc>
          <w:tcPr>
            <w:tcW w:w="4405" w:type="dxa"/>
          </w:tcPr>
          <w:p w14:paraId="1F9A916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9.14.4 </w:t>
            </w:r>
            <w:r w:rsidRPr="008F5C15">
              <w:rPr>
                <w:rFonts w:ascii="Verdana" w:hAnsi="Verdana"/>
                <w:sz w:val="16"/>
                <w:szCs w:val="16"/>
                <w:lang w:val="es-MX"/>
              </w:rPr>
              <w:t xml:space="preserve">El mantenimiento del estado validado de los procesos de fabricación deben efectuarse de acuerdo a lo establecido en la verificación continua </w:t>
            </w:r>
            <w:r w:rsidRPr="008F5C15">
              <w:rPr>
                <w:rFonts w:ascii="Verdana" w:hAnsi="Verdana"/>
                <w:sz w:val="16"/>
                <w:szCs w:val="16"/>
                <w:lang w:val="es-MX"/>
              </w:rPr>
              <w:lastRenderedPageBreak/>
              <w:t>del proceso (etapa 3), véase el punto 9.9.2.3 de esta Norma.</w:t>
            </w:r>
          </w:p>
        </w:tc>
        <w:tc>
          <w:tcPr>
            <w:tcW w:w="4427" w:type="dxa"/>
          </w:tcPr>
          <w:p w14:paraId="07C8912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9.14.4 </w:t>
            </w:r>
            <w:r w:rsidRPr="008F5C15">
              <w:rPr>
                <w:rFonts w:ascii="Verdana" w:hAnsi="Verdana"/>
                <w:sz w:val="16"/>
                <w:szCs w:val="16"/>
                <w:lang w:val="en-US"/>
              </w:rPr>
              <w:t xml:space="preserve">The maintenance of the validated state of the manufacturing processes must be made according to that established in the continuous verification of the </w:t>
            </w:r>
            <w:r w:rsidRPr="008F5C15">
              <w:rPr>
                <w:rFonts w:ascii="Verdana" w:hAnsi="Verdana"/>
                <w:sz w:val="16"/>
                <w:szCs w:val="16"/>
                <w:lang w:val="en-US"/>
              </w:rPr>
              <w:lastRenderedPageBreak/>
              <w:t xml:space="preserve">process (stage 3), see the point 9.9.2.3 of this Standard. </w:t>
            </w:r>
          </w:p>
        </w:tc>
      </w:tr>
      <w:tr w:rsidR="001C6A90" w:rsidRPr="00F70181" w14:paraId="022B03CF" w14:textId="77777777" w:rsidTr="00886332">
        <w:tc>
          <w:tcPr>
            <w:tcW w:w="4405" w:type="dxa"/>
          </w:tcPr>
          <w:p w14:paraId="3C9EA231"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9.15</w:t>
            </w:r>
            <w:r w:rsidRPr="008F5C15">
              <w:rPr>
                <w:rFonts w:ascii="Verdana" w:hAnsi="Verdana"/>
                <w:sz w:val="16"/>
                <w:szCs w:val="16"/>
                <w:lang w:val="es-MX"/>
              </w:rPr>
              <w:t xml:space="preserve"> Guías para la calificación y validación.</w:t>
            </w:r>
          </w:p>
        </w:tc>
        <w:tc>
          <w:tcPr>
            <w:tcW w:w="4427" w:type="dxa"/>
          </w:tcPr>
          <w:p w14:paraId="2CC0F95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9.15 </w:t>
            </w:r>
            <w:r w:rsidRPr="008F5C15">
              <w:rPr>
                <w:rFonts w:ascii="Verdana" w:hAnsi="Verdana"/>
                <w:sz w:val="16"/>
                <w:szCs w:val="16"/>
                <w:lang w:val="en-US"/>
              </w:rPr>
              <w:t>Guides for qualification and validation.</w:t>
            </w:r>
          </w:p>
        </w:tc>
      </w:tr>
      <w:tr w:rsidR="001C6A90" w:rsidRPr="00F70181" w14:paraId="2AD09C8F" w14:textId="77777777" w:rsidTr="00886332">
        <w:tc>
          <w:tcPr>
            <w:tcW w:w="4405" w:type="dxa"/>
          </w:tcPr>
          <w:p w14:paraId="473DD751"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9.15.1</w:t>
            </w:r>
            <w:r w:rsidRPr="008F5C15">
              <w:rPr>
                <w:rFonts w:ascii="Verdana" w:hAnsi="Verdana"/>
                <w:sz w:val="16"/>
                <w:szCs w:val="16"/>
                <w:lang w:val="es-MX"/>
              </w:rPr>
              <w:t xml:space="preserve"> Se podrán utilizar como apoyo para realizar la calificación y validación, las guías nacionales e internacionales descritas en la bibliografía de esta Norma.</w:t>
            </w:r>
          </w:p>
        </w:tc>
        <w:tc>
          <w:tcPr>
            <w:tcW w:w="4427" w:type="dxa"/>
          </w:tcPr>
          <w:p w14:paraId="2A7A245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9.15.1 </w:t>
            </w:r>
            <w:r w:rsidRPr="008F5C15">
              <w:rPr>
                <w:rFonts w:ascii="Verdana" w:hAnsi="Verdana"/>
                <w:sz w:val="16"/>
                <w:szCs w:val="16"/>
                <w:lang w:val="en-US"/>
              </w:rPr>
              <w:t>The National and international guides described in the bibliography of this Standard may be used as support for performing the qualification and validation</w:t>
            </w:r>
          </w:p>
        </w:tc>
      </w:tr>
      <w:tr w:rsidR="001C6A90" w:rsidRPr="00262EF8" w14:paraId="17F11AE0" w14:textId="77777777" w:rsidTr="00886332">
        <w:tc>
          <w:tcPr>
            <w:tcW w:w="4405" w:type="dxa"/>
          </w:tcPr>
          <w:p w14:paraId="2012DEF6" w14:textId="77777777" w:rsidR="001C6A90" w:rsidRPr="008F5C15" w:rsidRDefault="001C6A90" w:rsidP="001C6A90">
            <w:pPr>
              <w:pStyle w:val="Texto"/>
              <w:spacing w:after="80" w:line="276" w:lineRule="auto"/>
              <w:ind w:firstLine="0"/>
              <w:rPr>
                <w:rFonts w:ascii="Verdana" w:hAnsi="Verdana"/>
                <w:b/>
                <w:sz w:val="16"/>
                <w:szCs w:val="16"/>
                <w:lang w:val="es-MX"/>
              </w:rPr>
            </w:pPr>
            <w:r w:rsidRPr="008F5C15">
              <w:rPr>
                <w:rFonts w:ascii="Verdana" w:hAnsi="Verdana"/>
                <w:b/>
                <w:sz w:val="16"/>
                <w:szCs w:val="16"/>
                <w:lang w:val="es-MX"/>
              </w:rPr>
              <w:t>10. Sistemas de fabricación</w:t>
            </w:r>
          </w:p>
        </w:tc>
        <w:tc>
          <w:tcPr>
            <w:tcW w:w="4427" w:type="dxa"/>
            <w:shd w:val="clear" w:color="auto" w:fill="auto"/>
          </w:tcPr>
          <w:p w14:paraId="0F004203"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10. Manufacturing systems</w:t>
            </w:r>
          </w:p>
        </w:tc>
      </w:tr>
      <w:tr w:rsidR="001C6A90" w:rsidRPr="00F70181" w14:paraId="582F5705" w14:textId="77777777" w:rsidTr="00886332">
        <w:tc>
          <w:tcPr>
            <w:tcW w:w="4405" w:type="dxa"/>
          </w:tcPr>
          <w:p w14:paraId="17A0B62E" w14:textId="77777777" w:rsidR="001C6A90" w:rsidRPr="008F5C15" w:rsidRDefault="001C6A90" w:rsidP="001C6A90">
            <w:pPr>
              <w:pStyle w:val="Texto"/>
              <w:spacing w:after="80" w:line="276" w:lineRule="auto"/>
              <w:ind w:firstLine="0"/>
              <w:rPr>
                <w:rFonts w:ascii="Verdana" w:hAnsi="Verdana"/>
                <w:b/>
                <w:sz w:val="16"/>
                <w:szCs w:val="16"/>
                <w:lang w:val="es-MX"/>
              </w:rPr>
            </w:pPr>
            <w:r w:rsidRPr="008F5C15">
              <w:rPr>
                <w:rFonts w:ascii="Verdana" w:hAnsi="Verdana"/>
                <w:sz w:val="16"/>
                <w:szCs w:val="16"/>
                <w:lang w:val="es-MX"/>
              </w:rPr>
              <w:t>Los sistemas de fabricación farmacéuticos deben seguir procedimientos escritos para asegurar el cumplimento de las BPF. Las características de cada sistema estarán condicionadas entre otros elementos por la naturaleza de los procesos, la forma farmacéutica y las especificaciones de calidad de cada producto.</w:t>
            </w:r>
          </w:p>
        </w:tc>
        <w:tc>
          <w:tcPr>
            <w:tcW w:w="4427" w:type="dxa"/>
            <w:shd w:val="clear" w:color="auto" w:fill="auto"/>
          </w:tcPr>
          <w:p w14:paraId="0B79BC0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The Pharmaceutical manufacturing systems must follow written procedures to assure compliance with GMP. The characteristics of each system will be conditioned among other elements by the nature of the processes, the pharmaceutical form and quality specifications of the product.</w:t>
            </w:r>
          </w:p>
        </w:tc>
      </w:tr>
      <w:tr w:rsidR="001C6A90" w:rsidRPr="00262EF8" w14:paraId="5A00FAAA" w14:textId="77777777" w:rsidTr="00886332">
        <w:tc>
          <w:tcPr>
            <w:tcW w:w="4405" w:type="dxa"/>
          </w:tcPr>
          <w:p w14:paraId="2B2A4C09"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10.1</w:t>
            </w:r>
            <w:r w:rsidRPr="008F5C15">
              <w:rPr>
                <w:rFonts w:ascii="Verdana" w:hAnsi="Verdana"/>
                <w:sz w:val="16"/>
                <w:szCs w:val="16"/>
                <w:lang w:val="es-MX"/>
              </w:rPr>
              <w:t xml:space="preserve"> Control de Insumos.</w:t>
            </w:r>
          </w:p>
        </w:tc>
        <w:tc>
          <w:tcPr>
            <w:tcW w:w="4427" w:type="dxa"/>
            <w:shd w:val="clear" w:color="auto" w:fill="auto"/>
          </w:tcPr>
          <w:p w14:paraId="10B3BA5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 </w:t>
            </w:r>
            <w:r w:rsidRPr="008F5C15">
              <w:rPr>
                <w:rFonts w:ascii="Verdana" w:hAnsi="Verdana"/>
                <w:sz w:val="16"/>
                <w:szCs w:val="16"/>
                <w:lang w:val="en-US"/>
              </w:rPr>
              <w:t>Control of materials.</w:t>
            </w:r>
          </w:p>
        </w:tc>
      </w:tr>
      <w:tr w:rsidR="001C6A90" w:rsidRPr="00262EF8" w14:paraId="00EB9F6D" w14:textId="77777777" w:rsidTr="00886332">
        <w:tc>
          <w:tcPr>
            <w:tcW w:w="4405" w:type="dxa"/>
          </w:tcPr>
          <w:p w14:paraId="729D4224"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10.1.1</w:t>
            </w:r>
            <w:r w:rsidRPr="008F5C15">
              <w:rPr>
                <w:rFonts w:ascii="Verdana" w:hAnsi="Verdana"/>
                <w:sz w:val="16"/>
                <w:szCs w:val="16"/>
                <w:lang w:val="es-MX"/>
              </w:rPr>
              <w:t xml:space="preserve"> Generalidades.</w:t>
            </w:r>
          </w:p>
        </w:tc>
        <w:tc>
          <w:tcPr>
            <w:tcW w:w="4427" w:type="dxa"/>
            <w:shd w:val="clear" w:color="auto" w:fill="auto"/>
          </w:tcPr>
          <w:p w14:paraId="15FF5EF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10.1.1 </w:t>
            </w:r>
            <w:r w:rsidRPr="008F5C15">
              <w:rPr>
                <w:rFonts w:ascii="Verdana" w:hAnsi="Verdana"/>
                <w:sz w:val="16"/>
                <w:szCs w:val="16"/>
                <w:lang w:val="en-US"/>
              </w:rPr>
              <w:t>General provisions.</w:t>
            </w:r>
          </w:p>
        </w:tc>
      </w:tr>
      <w:tr w:rsidR="001C6A90" w:rsidRPr="00F70181" w14:paraId="0AF00EAC" w14:textId="77777777" w:rsidTr="00886332">
        <w:tc>
          <w:tcPr>
            <w:tcW w:w="4405" w:type="dxa"/>
          </w:tcPr>
          <w:p w14:paraId="6A4FBCB6"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10.1.1.1</w:t>
            </w:r>
            <w:r w:rsidRPr="008F5C15">
              <w:rPr>
                <w:rFonts w:ascii="Verdana" w:hAnsi="Verdana"/>
                <w:sz w:val="16"/>
                <w:szCs w:val="16"/>
                <w:lang w:val="es-MX"/>
              </w:rPr>
              <w:t xml:space="preserve"> Debe haber procedimientos escritos para realizar la recepción, identificación, almacenamiento, control y manejo de todos los insumos que se utilizan en la fabricación de los medicamentos.</w:t>
            </w:r>
          </w:p>
        </w:tc>
        <w:tc>
          <w:tcPr>
            <w:tcW w:w="4427" w:type="dxa"/>
            <w:shd w:val="clear" w:color="auto" w:fill="auto"/>
          </w:tcPr>
          <w:p w14:paraId="1007811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10.1.1.1 </w:t>
            </w:r>
            <w:r w:rsidRPr="008F5C15">
              <w:rPr>
                <w:rFonts w:ascii="Verdana" w:hAnsi="Verdana"/>
                <w:sz w:val="16"/>
                <w:szCs w:val="16"/>
                <w:lang w:val="en-US"/>
              </w:rPr>
              <w:t>There must be written procedures for executing the reception, identification, storage, control and handling of all the materials used in the manufacture of drug products.</w:t>
            </w:r>
          </w:p>
        </w:tc>
      </w:tr>
      <w:tr w:rsidR="001C6A90" w:rsidRPr="00F70181" w14:paraId="69BC31CC" w14:textId="77777777" w:rsidTr="00886332">
        <w:tc>
          <w:tcPr>
            <w:tcW w:w="4405" w:type="dxa"/>
          </w:tcPr>
          <w:p w14:paraId="366FA29E"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10.1.1.2</w:t>
            </w:r>
            <w:r w:rsidRPr="008F5C15">
              <w:rPr>
                <w:rFonts w:ascii="Verdana" w:hAnsi="Verdana"/>
                <w:sz w:val="16"/>
                <w:szCs w:val="16"/>
                <w:lang w:val="es-MX"/>
              </w:rPr>
              <w:t xml:space="preserve"> Los insumos deben comprarse, cuando sea posible, directamente del fabricante.</w:t>
            </w:r>
          </w:p>
        </w:tc>
        <w:tc>
          <w:tcPr>
            <w:tcW w:w="4427" w:type="dxa"/>
            <w:shd w:val="clear" w:color="auto" w:fill="auto"/>
          </w:tcPr>
          <w:p w14:paraId="73BE61D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10.1.1.1 </w:t>
            </w:r>
            <w:r w:rsidRPr="008F5C15">
              <w:rPr>
                <w:rFonts w:ascii="Verdana" w:hAnsi="Verdana"/>
                <w:sz w:val="16"/>
                <w:szCs w:val="16"/>
                <w:lang w:val="en-US"/>
              </w:rPr>
              <w:t>The materials must be bought, when possible, directly from the manufacturer.</w:t>
            </w:r>
          </w:p>
        </w:tc>
      </w:tr>
      <w:tr w:rsidR="001C6A90" w:rsidRPr="00F70181" w14:paraId="4794CB62" w14:textId="77777777" w:rsidTr="00886332">
        <w:tc>
          <w:tcPr>
            <w:tcW w:w="4405" w:type="dxa"/>
          </w:tcPr>
          <w:p w14:paraId="73CF3E0A"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10.1.1.2.1</w:t>
            </w:r>
            <w:r w:rsidRPr="008F5C15">
              <w:rPr>
                <w:rFonts w:ascii="Verdana" w:hAnsi="Verdana"/>
                <w:sz w:val="16"/>
                <w:szCs w:val="16"/>
                <w:lang w:val="es-MX"/>
              </w:rPr>
              <w:t xml:space="preserve"> Se debe asegurar que los certificados de análisis de los insumos sean los emitidos por el fabricante.</w:t>
            </w:r>
          </w:p>
        </w:tc>
        <w:tc>
          <w:tcPr>
            <w:tcW w:w="4427" w:type="dxa"/>
            <w:shd w:val="clear" w:color="auto" w:fill="auto"/>
          </w:tcPr>
          <w:p w14:paraId="708C0B2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10.1.1.2.1</w:t>
            </w:r>
            <w:r w:rsidRPr="008F5C15">
              <w:rPr>
                <w:rFonts w:ascii="Verdana" w:hAnsi="Verdana"/>
                <w:sz w:val="16"/>
                <w:szCs w:val="16"/>
                <w:lang w:val="en-US"/>
              </w:rPr>
              <w:t xml:space="preserve"> It must be assured that analysis certificates of materials are issued by the manufacturer.</w:t>
            </w:r>
          </w:p>
        </w:tc>
      </w:tr>
      <w:tr w:rsidR="001C6A90" w:rsidRPr="00F70181" w14:paraId="5A38F1E7" w14:textId="77777777" w:rsidTr="00886332">
        <w:tc>
          <w:tcPr>
            <w:tcW w:w="4405" w:type="dxa"/>
          </w:tcPr>
          <w:p w14:paraId="324B3DF4" w14:textId="77777777" w:rsidR="001C6A90" w:rsidRPr="008F5C15" w:rsidRDefault="001C6A90" w:rsidP="001C6A90">
            <w:pPr>
              <w:pStyle w:val="Texto"/>
              <w:spacing w:after="80" w:line="276" w:lineRule="auto"/>
              <w:ind w:firstLine="0"/>
              <w:rPr>
                <w:rFonts w:ascii="Verdana" w:hAnsi="Verdana"/>
                <w:b/>
                <w:sz w:val="16"/>
                <w:szCs w:val="16"/>
                <w:lang w:val="es-MX"/>
              </w:rPr>
            </w:pPr>
            <w:r w:rsidRPr="008F5C15">
              <w:rPr>
                <w:rFonts w:ascii="Verdana" w:hAnsi="Verdana"/>
                <w:b/>
                <w:sz w:val="16"/>
                <w:szCs w:val="16"/>
                <w:lang w:val="es-MX"/>
              </w:rPr>
              <w:t>10.1.1.2.2</w:t>
            </w:r>
            <w:r w:rsidRPr="008F5C15">
              <w:rPr>
                <w:rFonts w:ascii="Verdana" w:hAnsi="Verdana"/>
                <w:sz w:val="16"/>
                <w:szCs w:val="16"/>
                <w:lang w:val="es-MX"/>
              </w:rPr>
              <w:t xml:space="preserve"> Debe realizarse la calificación y aprobación de proveedores antes de adquirir cualquier insumo.</w:t>
            </w:r>
          </w:p>
        </w:tc>
        <w:tc>
          <w:tcPr>
            <w:tcW w:w="4427" w:type="dxa"/>
          </w:tcPr>
          <w:p w14:paraId="0B947AD5"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10.1.1.2.2 </w:t>
            </w:r>
            <w:r w:rsidRPr="008F5C15">
              <w:rPr>
                <w:rFonts w:ascii="Verdana" w:hAnsi="Verdana"/>
                <w:sz w:val="16"/>
                <w:szCs w:val="16"/>
                <w:lang w:val="en-US"/>
              </w:rPr>
              <w:t xml:space="preserve">The qualification and approval of suppliers must be made before acquiring any materials. </w:t>
            </w:r>
          </w:p>
        </w:tc>
      </w:tr>
      <w:tr w:rsidR="001C6A90" w:rsidRPr="00F70181" w14:paraId="0C226AB8" w14:textId="77777777" w:rsidTr="00886332">
        <w:tc>
          <w:tcPr>
            <w:tcW w:w="4405" w:type="dxa"/>
          </w:tcPr>
          <w:p w14:paraId="55A5116B"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10.1.1.3 </w:t>
            </w:r>
            <w:r w:rsidRPr="008F5C15">
              <w:rPr>
                <w:rFonts w:ascii="Verdana" w:hAnsi="Verdana"/>
                <w:sz w:val="16"/>
                <w:szCs w:val="16"/>
                <w:lang w:val="es-MX"/>
              </w:rPr>
              <w:t>Los insumos en cualquiera de las etapas de fabricación, deben ser manejados y almacenados de tal manera que prevengan su contaminación y alteración.</w:t>
            </w:r>
          </w:p>
        </w:tc>
        <w:tc>
          <w:tcPr>
            <w:tcW w:w="4427" w:type="dxa"/>
          </w:tcPr>
          <w:p w14:paraId="389A224B" w14:textId="77777777" w:rsidR="001C6A90" w:rsidRPr="008F5C15" w:rsidRDefault="001C6A90" w:rsidP="001C6A90">
            <w:pPr>
              <w:pStyle w:val="Texto"/>
              <w:spacing w:after="80" w:line="276" w:lineRule="auto"/>
              <w:ind w:firstLine="0"/>
              <w:rPr>
                <w:rFonts w:ascii="Verdana" w:hAnsi="Verdana"/>
                <w:b/>
                <w:sz w:val="16"/>
                <w:szCs w:val="16"/>
                <w:lang w:val="en-US"/>
              </w:rPr>
            </w:pPr>
            <w:r w:rsidRPr="008F5C15">
              <w:rPr>
                <w:rFonts w:ascii="Verdana" w:hAnsi="Verdana"/>
                <w:b/>
                <w:sz w:val="16"/>
                <w:szCs w:val="16"/>
                <w:lang w:val="en-US"/>
              </w:rPr>
              <w:t xml:space="preserve">10.1.1.3 </w:t>
            </w:r>
            <w:r w:rsidRPr="008F5C15">
              <w:rPr>
                <w:rFonts w:ascii="Verdana" w:hAnsi="Verdana"/>
                <w:sz w:val="16"/>
                <w:szCs w:val="16"/>
                <w:lang w:val="en-US"/>
              </w:rPr>
              <w:t>The materials in any of the manufacturing stages must be handled and stored in such a way that their contamination and modification is prevented.</w:t>
            </w:r>
          </w:p>
        </w:tc>
      </w:tr>
      <w:tr w:rsidR="001C6A90" w:rsidRPr="00F70181" w14:paraId="1FFDFFCC" w14:textId="77777777" w:rsidTr="00886332">
        <w:tc>
          <w:tcPr>
            <w:tcW w:w="4405" w:type="dxa"/>
          </w:tcPr>
          <w:p w14:paraId="1F64D5A9"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10.1.1.4</w:t>
            </w:r>
            <w:r w:rsidRPr="008F5C15">
              <w:rPr>
                <w:rFonts w:ascii="Verdana" w:hAnsi="Verdana"/>
                <w:sz w:val="16"/>
                <w:szCs w:val="16"/>
                <w:lang w:val="es-MX"/>
              </w:rPr>
              <w:t xml:space="preserve"> Los insumos y productos en cualquiera de las etapas de fabricación, no se deben colocar directamente sobre el piso.</w:t>
            </w:r>
          </w:p>
        </w:tc>
        <w:tc>
          <w:tcPr>
            <w:tcW w:w="4427" w:type="dxa"/>
          </w:tcPr>
          <w:p w14:paraId="7A656C70" w14:textId="77777777" w:rsidR="001C6A90" w:rsidRPr="008F5C15" w:rsidRDefault="001C6A90" w:rsidP="001C6A90">
            <w:pPr>
              <w:pStyle w:val="Texto"/>
              <w:spacing w:after="80" w:line="276" w:lineRule="auto"/>
              <w:ind w:firstLine="0"/>
              <w:rPr>
                <w:rFonts w:ascii="Verdana" w:hAnsi="Verdana"/>
                <w:b/>
                <w:sz w:val="16"/>
                <w:szCs w:val="16"/>
                <w:lang w:val="en-US"/>
              </w:rPr>
            </w:pPr>
            <w:r w:rsidRPr="008F5C15">
              <w:rPr>
                <w:rFonts w:ascii="Verdana" w:hAnsi="Verdana"/>
                <w:b/>
                <w:sz w:val="16"/>
                <w:szCs w:val="16"/>
                <w:lang w:val="en-US"/>
              </w:rPr>
              <w:t>10.1.1.4</w:t>
            </w:r>
            <w:r w:rsidRPr="008F5C15">
              <w:rPr>
                <w:rFonts w:ascii="Verdana" w:hAnsi="Verdana"/>
                <w:sz w:val="16"/>
                <w:szCs w:val="16"/>
                <w:lang w:val="en-US"/>
              </w:rPr>
              <w:t xml:space="preserve"> The materials and products in any of the stages of manufacturing must not be placed directly on the floor.</w:t>
            </w:r>
          </w:p>
        </w:tc>
      </w:tr>
      <w:tr w:rsidR="001C6A90" w:rsidRPr="00F70181" w14:paraId="2FE2904F" w14:textId="77777777" w:rsidTr="00886332">
        <w:tc>
          <w:tcPr>
            <w:tcW w:w="4405" w:type="dxa"/>
          </w:tcPr>
          <w:p w14:paraId="6E4AF95E"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10.1.1.4.1</w:t>
            </w:r>
            <w:r w:rsidRPr="008F5C15">
              <w:rPr>
                <w:rFonts w:ascii="Verdana" w:hAnsi="Verdana"/>
                <w:sz w:val="16"/>
                <w:szCs w:val="16"/>
                <w:lang w:val="es-MX"/>
              </w:rPr>
              <w:t xml:space="preserve"> Las tarimas y contenedores utilizados dentro de las áreas de producción deberán ser de fácil limpieza y evitar desprendimiento de partículas.</w:t>
            </w:r>
          </w:p>
        </w:tc>
        <w:tc>
          <w:tcPr>
            <w:tcW w:w="4427" w:type="dxa"/>
          </w:tcPr>
          <w:p w14:paraId="4D4D7732" w14:textId="77777777" w:rsidR="001C6A90" w:rsidRPr="008F5C15" w:rsidRDefault="001C6A90" w:rsidP="001C6A90">
            <w:pPr>
              <w:pStyle w:val="Texto"/>
              <w:spacing w:after="80" w:line="276" w:lineRule="auto"/>
              <w:ind w:firstLine="0"/>
              <w:rPr>
                <w:rFonts w:ascii="Verdana" w:hAnsi="Verdana"/>
                <w:b/>
                <w:sz w:val="16"/>
                <w:szCs w:val="16"/>
                <w:lang w:val="en-US"/>
              </w:rPr>
            </w:pPr>
            <w:r w:rsidRPr="008F5C15">
              <w:rPr>
                <w:rFonts w:ascii="Verdana" w:hAnsi="Verdana"/>
                <w:b/>
                <w:sz w:val="16"/>
                <w:szCs w:val="16"/>
                <w:lang w:val="en-US"/>
              </w:rPr>
              <w:t xml:space="preserve">10.1.1.4.1 </w:t>
            </w:r>
            <w:r w:rsidRPr="008F5C15">
              <w:rPr>
                <w:rFonts w:ascii="Verdana" w:hAnsi="Verdana"/>
                <w:sz w:val="16"/>
                <w:szCs w:val="16"/>
                <w:lang w:val="en-US"/>
              </w:rPr>
              <w:t>The pallets and containers used within production areas must be easy to clean and particle shedding must be avoided.</w:t>
            </w:r>
          </w:p>
        </w:tc>
      </w:tr>
      <w:tr w:rsidR="001C6A90" w:rsidRPr="00F70181" w14:paraId="078A9B53" w14:textId="77777777" w:rsidTr="00886332">
        <w:tc>
          <w:tcPr>
            <w:tcW w:w="4405" w:type="dxa"/>
          </w:tcPr>
          <w:p w14:paraId="21C6E3B1"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10.1.1.5</w:t>
            </w:r>
            <w:r w:rsidRPr="008F5C15">
              <w:rPr>
                <w:rFonts w:ascii="Verdana" w:hAnsi="Verdana"/>
                <w:sz w:val="16"/>
                <w:szCs w:val="16"/>
                <w:lang w:val="es-MX"/>
              </w:rPr>
              <w:t xml:space="preserve"> Los insumos deben ser identificados con un número de lote interno de acuerdo a cada embarque recibido.</w:t>
            </w:r>
          </w:p>
        </w:tc>
        <w:tc>
          <w:tcPr>
            <w:tcW w:w="4427" w:type="dxa"/>
          </w:tcPr>
          <w:p w14:paraId="6619D198" w14:textId="77777777" w:rsidR="001C6A90" w:rsidRPr="008F5C15" w:rsidRDefault="001C6A90" w:rsidP="001C6A90">
            <w:pPr>
              <w:pStyle w:val="Texto"/>
              <w:spacing w:after="80" w:line="276" w:lineRule="auto"/>
              <w:ind w:firstLine="0"/>
              <w:rPr>
                <w:rFonts w:ascii="Verdana" w:hAnsi="Verdana"/>
                <w:b/>
                <w:sz w:val="16"/>
                <w:szCs w:val="16"/>
                <w:lang w:val="en-US"/>
              </w:rPr>
            </w:pPr>
            <w:r w:rsidRPr="008F5C15">
              <w:rPr>
                <w:rFonts w:ascii="Verdana" w:hAnsi="Verdana"/>
                <w:b/>
                <w:sz w:val="16"/>
                <w:szCs w:val="16"/>
                <w:lang w:val="en-US"/>
              </w:rPr>
              <w:t xml:space="preserve">10.1.1.5 </w:t>
            </w:r>
            <w:r w:rsidRPr="008F5C15">
              <w:rPr>
                <w:rFonts w:ascii="Verdana" w:hAnsi="Verdana"/>
                <w:sz w:val="16"/>
                <w:szCs w:val="16"/>
                <w:lang w:val="en-US"/>
              </w:rPr>
              <w:t>The materials must be identified with an internal lot number according to each shipment received.</w:t>
            </w:r>
          </w:p>
        </w:tc>
      </w:tr>
      <w:tr w:rsidR="001C6A90" w:rsidRPr="00F70181" w14:paraId="4CFE2DEF" w14:textId="77777777" w:rsidTr="00886332">
        <w:tc>
          <w:tcPr>
            <w:tcW w:w="4405" w:type="dxa"/>
          </w:tcPr>
          <w:p w14:paraId="6B75703A"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10.1.1.5.1</w:t>
            </w:r>
            <w:r w:rsidRPr="008F5C15">
              <w:rPr>
                <w:rFonts w:ascii="Verdana" w:hAnsi="Verdana"/>
                <w:sz w:val="16"/>
                <w:szCs w:val="16"/>
                <w:lang w:val="es-MX"/>
              </w:rPr>
              <w:t xml:space="preserve"> Cuando en un embarque se reciban diferentes lotes, cada lote debe ser considerado por separado para muestreo, análisis y liberación.</w:t>
            </w:r>
          </w:p>
        </w:tc>
        <w:tc>
          <w:tcPr>
            <w:tcW w:w="4427" w:type="dxa"/>
          </w:tcPr>
          <w:p w14:paraId="135F604D" w14:textId="77777777" w:rsidR="001C6A90" w:rsidRPr="008F5C15" w:rsidRDefault="001C6A90" w:rsidP="001C6A90">
            <w:pPr>
              <w:pStyle w:val="Texto"/>
              <w:spacing w:after="80" w:line="276" w:lineRule="auto"/>
              <w:ind w:firstLine="0"/>
              <w:rPr>
                <w:rFonts w:ascii="Verdana" w:hAnsi="Verdana"/>
                <w:b/>
                <w:sz w:val="16"/>
                <w:szCs w:val="16"/>
                <w:lang w:val="en-US"/>
              </w:rPr>
            </w:pPr>
            <w:r w:rsidRPr="008F5C15">
              <w:rPr>
                <w:rFonts w:ascii="Verdana" w:hAnsi="Verdana"/>
                <w:b/>
                <w:sz w:val="16"/>
                <w:szCs w:val="16"/>
                <w:lang w:val="en-US"/>
              </w:rPr>
              <w:t xml:space="preserve">10.1.1.5.1 </w:t>
            </w:r>
            <w:r w:rsidRPr="008F5C15">
              <w:rPr>
                <w:rFonts w:ascii="Verdana" w:hAnsi="Verdana"/>
                <w:sz w:val="16"/>
                <w:szCs w:val="16"/>
                <w:lang w:val="en-US"/>
              </w:rPr>
              <w:t>When different lots are received in a shipment, each lot must be considered separately for sampling, analysis and release.</w:t>
            </w:r>
          </w:p>
        </w:tc>
      </w:tr>
      <w:tr w:rsidR="001C6A90" w:rsidRPr="00F70181" w14:paraId="5D839374" w14:textId="77777777" w:rsidTr="00886332">
        <w:tc>
          <w:tcPr>
            <w:tcW w:w="4405" w:type="dxa"/>
          </w:tcPr>
          <w:p w14:paraId="4E34F9FF"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10.1.1.5.2</w:t>
            </w:r>
            <w:r w:rsidRPr="008F5C15">
              <w:rPr>
                <w:rFonts w:ascii="Verdana" w:hAnsi="Verdana"/>
                <w:sz w:val="16"/>
                <w:szCs w:val="16"/>
                <w:lang w:val="es-MX"/>
              </w:rPr>
              <w:t xml:space="preserve"> Cuando se trate de una partida de un lote ya recibido se deben establecer los criterios para evaluar o analizar los insumos.</w:t>
            </w:r>
          </w:p>
        </w:tc>
        <w:tc>
          <w:tcPr>
            <w:tcW w:w="4427" w:type="dxa"/>
          </w:tcPr>
          <w:p w14:paraId="6167931C" w14:textId="77777777" w:rsidR="001C6A90" w:rsidRPr="008F5C15" w:rsidRDefault="001C6A90" w:rsidP="001C6A90">
            <w:pPr>
              <w:pStyle w:val="Texto"/>
              <w:spacing w:after="80" w:line="276" w:lineRule="auto"/>
              <w:ind w:firstLine="0"/>
              <w:rPr>
                <w:rFonts w:ascii="Verdana" w:hAnsi="Verdana"/>
                <w:b/>
                <w:sz w:val="16"/>
                <w:szCs w:val="16"/>
                <w:lang w:val="en-US"/>
              </w:rPr>
            </w:pPr>
            <w:r w:rsidRPr="008F5C15">
              <w:rPr>
                <w:rFonts w:ascii="Verdana" w:hAnsi="Verdana"/>
                <w:b/>
                <w:sz w:val="16"/>
                <w:szCs w:val="16"/>
                <w:lang w:val="en-US"/>
              </w:rPr>
              <w:t>10.1.1.5.2</w:t>
            </w:r>
            <w:r w:rsidRPr="008F5C15">
              <w:rPr>
                <w:rFonts w:ascii="Verdana" w:hAnsi="Verdana"/>
                <w:sz w:val="16"/>
                <w:szCs w:val="16"/>
                <w:lang w:val="en-US"/>
              </w:rPr>
              <w:t xml:space="preserve"> In the case of materials of a lot that has already been received, criteria to evaluate or analyze the materials must be established.</w:t>
            </w:r>
          </w:p>
        </w:tc>
      </w:tr>
      <w:tr w:rsidR="001C6A90" w:rsidRPr="00F70181" w14:paraId="5F257A74" w14:textId="77777777" w:rsidTr="00886332">
        <w:tc>
          <w:tcPr>
            <w:tcW w:w="4405" w:type="dxa"/>
          </w:tcPr>
          <w:p w14:paraId="1BBCB3C4"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lastRenderedPageBreak/>
              <w:t>10.1.1.6</w:t>
            </w:r>
            <w:r w:rsidRPr="008F5C15">
              <w:rPr>
                <w:rFonts w:ascii="Verdana" w:hAnsi="Verdana"/>
                <w:sz w:val="16"/>
                <w:szCs w:val="16"/>
                <w:lang w:val="es-MX"/>
              </w:rPr>
              <w:t xml:space="preserve"> El número de lote debe ser utilizado para registrar el uso de cada insumo. Cada lote debe ser identificado con su estatus: cuarentena, aprobado o rechazado.</w:t>
            </w:r>
          </w:p>
        </w:tc>
        <w:tc>
          <w:tcPr>
            <w:tcW w:w="4427" w:type="dxa"/>
            <w:shd w:val="clear" w:color="auto" w:fill="auto"/>
          </w:tcPr>
          <w:p w14:paraId="31492BE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10.1.1.6 </w:t>
            </w:r>
            <w:r w:rsidRPr="008F5C15">
              <w:rPr>
                <w:rFonts w:ascii="Verdana" w:hAnsi="Verdana"/>
                <w:sz w:val="16"/>
                <w:szCs w:val="16"/>
                <w:lang w:val="en-US"/>
              </w:rPr>
              <w:t>The lot number must be used to record the use of every material. Each lot must be identified with its status: quarantine, approved or rejected.</w:t>
            </w:r>
          </w:p>
        </w:tc>
      </w:tr>
      <w:tr w:rsidR="001C6A90" w:rsidRPr="00F70181" w14:paraId="6DC3B66A" w14:textId="77777777" w:rsidTr="00886332">
        <w:tc>
          <w:tcPr>
            <w:tcW w:w="4405" w:type="dxa"/>
          </w:tcPr>
          <w:p w14:paraId="3BD7AFEC"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10.1.1.7</w:t>
            </w:r>
            <w:r w:rsidRPr="008F5C15">
              <w:rPr>
                <w:rFonts w:ascii="Verdana" w:hAnsi="Verdana"/>
                <w:sz w:val="16"/>
                <w:szCs w:val="16"/>
                <w:lang w:val="es-MX"/>
              </w:rPr>
              <w:t xml:space="preserve"> Se debe contar con un sistema que asegure que los insumos son utilizados bajo el criterio de Primeras Caducidades–Primeras Salidas o Primeras Entradas–Primeras Salidas.</w:t>
            </w:r>
          </w:p>
        </w:tc>
        <w:tc>
          <w:tcPr>
            <w:tcW w:w="4427" w:type="dxa"/>
            <w:shd w:val="clear" w:color="auto" w:fill="auto"/>
          </w:tcPr>
          <w:p w14:paraId="5C84CD4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10.1.1.7</w:t>
            </w:r>
            <w:r w:rsidRPr="008F5C15">
              <w:rPr>
                <w:rFonts w:ascii="Verdana" w:hAnsi="Verdana"/>
                <w:sz w:val="16"/>
                <w:szCs w:val="16"/>
                <w:lang w:val="en-US"/>
              </w:rPr>
              <w:t xml:space="preserve"> There must be a system that assures that materials are used under the criteria of First Expirations-First Out or First In-First Outs.</w:t>
            </w:r>
          </w:p>
        </w:tc>
      </w:tr>
      <w:tr w:rsidR="001C6A90" w:rsidRPr="00F70181" w14:paraId="68BFFEDD" w14:textId="77777777" w:rsidTr="00886332">
        <w:tc>
          <w:tcPr>
            <w:tcW w:w="4405" w:type="dxa"/>
          </w:tcPr>
          <w:p w14:paraId="083A055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10.1.1.8</w:t>
            </w:r>
            <w:r w:rsidRPr="008F5C15">
              <w:rPr>
                <w:rFonts w:ascii="Verdana" w:hAnsi="Verdana"/>
                <w:sz w:val="16"/>
                <w:szCs w:val="16"/>
                <w:lang w:val="es-MX"/>
              </w:rPr>
              <w:t xml:space="preserve"> Cuando en el control de los insumos se utilicen sistemas computarizados, éstos deben estar validados, y la identificación manejada a través de etiquetas o códigos.</w:t>
            </w:r>
          </w:p>
        </w:tc>
        <w:tc>
          <w:tcPr>
            <w:tcW w:w="4427" w:type="dxa"/>
            <w:shd w:val="clear" w:color="auto" w:fill="auto"/>
          </w:tcPr>
          <w:p w14:paraId="34EC4FD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10.1.1.8 </w:t>
            </w:r>
            <w:r w:rsidRPr="008F5C15">
              <w:rPr>
                <w:rFonts w:ascii="Verdana" w:hAnsi="Verdana"/>
                <w:sz w:val="16"/>
                <w:szCs w:val="16"/>
                <w:lang w:val="en-US"/>
              </w:rPr>
              <w:t>When computer systems are used in the control of materials, these must be validated, and identification managed through labels or codes.</w:t>
            </w:r>
          </w:p>
        </w:tc>
      </w:tr>
      <w:tr w:rsidR="001C6A90" w:rsidRPr="00F70181" w14:paraId="54AD5110" w14:textId="77777777" w:rsidTr="00886332">
        <w:tc>
          <w:tcPr>
            <w:tcW w:w="4405" w:type="dxa"/>
          </w:tcPr>
          <w:p w14:paraId="28A1459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10.1.1.9</w:t>
            </w:r>
            <w:r w:rsidRPr="008F5C15">
              <w:rPr>
                <w:rFonts w:ascii="Verdana" w:hAnsi="Verdana"/>
                <w:sz w:val="16"/>
                <w:szCs w:val="16"/>
                <w:lang w:val="es-MX"/>
              </w:rPr>
              <w:t xml:space="preserve"> Los insumos cuya vigencia de aprobación ha terminado, deben ponerse en cuarentena, para su reanálisis o disposición final.</w:t>
            </w:r>
          </w:p>
        </w:tc>
        <w:tc>
          <w:tcPr>
            <w:tcW w:w="4427" w:type="dxa"/>
            <w:shd w:val="clear" w:color="auto" w:fill="auto"/>
          </w:tcPr>
          <w:p w14:paraId="4DF8965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10.1.1.9</w:t>
            </w:r>
            <w:r w:rsidRPr="008F5C15">
              <w:rPr>
                <w:rFonts w:ascii="Verdana" w:hAnsi="Verdana"/>
                <w:sz w:val="16"/>
                <w:szCs w:val="16"/>
                <w:lang w:val="en-US"/>
              </w:rPr>
              <w:t xml:space="preserve"> Materials whose approval validity is expired must be quarantined for their re-analysis or final disposal.</w:t>
            </w:r>
          </w:p>
        </w:tc>
      </w:tr>
      <w:tr w:rsidR="001C6A90" w:rsidRPr="00F70181" w14:paraId="05F41B47" w14:textId="77777777" w:rsidTr="00886332">
        <w:tc>
          <w:tcPr>
            <w:tcW w:w="4405" w:type="dxa"/>
          </w:tcPr>
          <w:p w14:paraId="180BC68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10.1.1.10</w:t>
            </w:r>
            <w:r w:rsidRPr="008F5C15">
              <w:rPr>
                <w:rFonts w:ascii="Verdana" w:hAnsi="Verdana"/>
                <w:sz w:val="16"/>
                <w:szCs w:val="16"/>
                <w:lang w:val="es-MX"/>
              </w:rPr>
              <w:t xml:space="preserve"> Los insumos rechazados, deben ser identificados y segregados para prevenir su uso en la fabricación.</w:t>
            </w:r>
          </w:p>
        </w:tc>
        <w:tc>
          <w:tcPr>
            <w:tcW w:w="4427" w:type="dxa"/>
            <w:shd w:val="clear" w:color="auto" w:fill="auto"/>
          </w:tcPr>
          <w:p w14:paraId="16CB07B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10.1.1.10 </w:t>
            </w:r>
            <w:r w:rsidRPr="008F5C15">
              <w:rPr>
                <w:rFonts w:ascii="Verdana" w:hAnsi="Verdana"/>
                <w:sz w:val="16"/>
                <w:szCs w:val="16"/>
                <w:lang w:val="en-US"/>
              </w:rPr>
              <w:t>The rejected materials must be identified and segregated to prevent their use in manufacturing.</w:t>
            </w:r>
          </w:p>
        </w:tc>
      </w:tr>
      <w:tr w:rsidR="001C6A90" w:rsidRPr="00262EF8" w14:paraId="05479A56" w14:textId="77777777" w:rsidTr="00886332">
        <w:tc>
          <w:tcPr>
            <w:tcW w:w="4405" w:type="dxa"/>
          </w:tcPr>
          <w:p w14:paraId="00C728D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10.1.2</w:t>
            </w:r>
            <w:r w:rsidRPr="008F5C15">
              <w:rPr>
                <w:rFonts w:ascii="Verdana" w:hAnsi="Verdana"/>
                <w:sz w:val="16"/>
                <w:szCs w:val="16"/>
                <w:lang w:val="es-MX"/>
              </w:rPr>
              <w:t xml:space="preserve"> Recepción.</w:t>
            </w:r>
          </w:p>
        </w:tc>
        <w:tc>
          <w:tcPr>
            <w:tcW w:w="4427" w:type="dxa"/>
            <w:shd w:val="clear" w:color="auto" w:fill="auto"/>
          </w:tcPr>
          <w:p w14:paraId="7375B25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10.1.2 </w:t>
            </w:r>
            <w:r w:rsidRPr="008F5C15">
              <w:rPr>
                <w:rFonts w:ascii="Verdana" w:hAnsi="Verdana"/>
                <w:sz w:val="16"/>
                <w:szCs w:val="16"/>
                <w:lang w:val="en-US"/>
              </w:rPr>
              <w:t>Reception.</w:t>
            </w:r>
          </w:p>
        </w:tc>
      </w:tr>
      <w:tr w:rsidR="001C6A90" w:rsidRPr="00F70181" w14:paraId="3FF20EC1" w14:textId="77777777" w:rsidTr="00886332">
        <w:tc>
          <w:tcPr>
            <w:tcW w:w="4405" w:type="dxa"/>
          </w:tcPr>
          <w:p w14:paraId="26F8957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10.1.2.1</w:t>
            </w:r>
            <w:r w:rsidRPr="008F5C15">
              <w:rPr>
                <w:rFonts w:ascii="Verdana" w:hAnsi="Verdana"/>
                <w:sz w:val="16"/>
                <w:szCs w:val="16"/>
                <w:lang w:val="es-MX"/>
              </w:rPr>
              <w:t xml:space="preserve"> En la recepción de insumos se debe revisar que cada contenedor o grupo de contenedores, estén íntegros, identificados con al menos nombre, cantidad y número de lote.</w:t>
            </w:r>
          </w:p>
        </w:tc>
        <w:tc>
          <w:tcPr>
            <w:tcW w:w="4427" w:type="dxa"/>
            <w:shd w:val="clear" w:color="auto" w:fill="auto"/>
          </w:tcPr>
          <w:p w14:paraId="298A768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10.1.2.1 </w:t>
            </w:r>
            <w:r w:rsidRPr="008F5C15">
              <w:rPr>
                <w:rFonts w:ascii="Verdana" w:hAnsi="Verdana"/>
                <w:sz w:val="16"/>
                <w:szCs w:val="16"/>
                <w:lang w:val="en-US"/>
              </w:rPr>
              <w:t>In the reception of materials, it must be reviewed that each container or group of containers are intact, identified with at least the name, amount and lot number.</w:t>
            </w:r>
          </w:p>
        </w:tc>
      </w:tr>
      <w:tr w:rsidR="001C6A90" w:rsidRPr="00F70181" w14:paraId="2ED21572" w14:textId="77777777" w:rsidTr="00886332">
        <w:tc>
          <w:tcPr>
            <w:tcW w:w="4405" w:type="dxa"/>
          </w:tcPr>
          <w:p w14:paraId="442CE9A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10.1.2.2</w:t>
            </w:r>
            <w:r w:rsidRPr="008F5C15">
              <w:rPr>
                <w:rFonts w:ascii="Verdana" w:hAnsi="Verdana"/>
                <w:sz w:val="16"/>
                <w:szCs w:val="16"/>
                <w:lang w:val="es-MX"/>
              </w:rPr>
              <w:t xml:space="preserve"> Los insumos deben ser identificados para su almacenamiento indicando al menos la siguiente información:</w:t>
            </w:r>
          </w:p>
        </w:tc>
        <w:tc>
          <w:tcPr>
            <w:tcW w:w="4427" w:type="dxa"/>
            <w:shd w:val="clear" w:color="auto" w:fill="auto"/>
          </w:tcPr>
          <w:p w14:paraId="0A0CF9A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10.1.2.2 </w:t>
            </w:r>
            <w:r w:rsidRPr="008F5C15">
              <w:rPr>
                <w:rFonts w:ascii="Verdana" w:hAnsi="Verdana"/>
                <w:sz w:val="16"/>
                <w:szCs w:val="16"/>
                <w:lang w:val="en-US"/>
              </w:rPr>
              <w:t>The materials must be identified for their storage indicating at least the following information:</w:t>
            </w:r>
          </w:p>
        </w:tc>
      </w:tr>
      <w:tr w:rsidR="001C6A90" w:rsidRPr="00F70181" w14:paraId="215C99C7" w14:textId="77777777" w:rsidTr="00886332">
        <w:tc>
          <w:tcPr>
            <w:tcW w:w="4405" w:type="dxa"/>
          </w:tcPr>
          <w:p w14:paraId="4C8D7C7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10.1.2.2.1</w:t>
            </w:r>
            <w:r w:rsidRPr="008F5C15">
              <w:rPr>
                <w:rFonts w:ascii="Verdana" w:hAnsi="Verdana"/>
                <w:sz w:val="16"/>
                <w:szCs w:val="16"/>
                <w:lang w:val="es-MX"/>
              </w:rPr>
              <w:t xml:space="preserve"> El nombre y la denominación internacional, cuando aplique.</w:t>
            </w:r>
          </w:p>
        </w:tc>
        <w:tc>
          <w:tcPr>
            <w:tcW w:w="4427" w:type="dxa"/>
            <w:shd w:val="clear" w:color="auto" w:fill="auto"/>
          </w:tcPr>
          <w:p w14:paraId="6AED016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10.1.2.2.1 </w:t>
            </w:r>
            <w:r w:rsidRPr="008F5C15">
              <w:rPr>
                <w:rFonts w:ascii="Verdana" w:hAnsi="Verdana"/>
                <w:sz w:val="16"/>
                <w:szCs w:val="16"/>
                <w:lang w:val="en-US"/>
              </w:rPr>
              <w:t>The name and the international name, when applicable.</w:t>
            </w:r>
          </w:p>
        </w:tc>
      </w:tr>
      <w:tr w:rsidR="001C6A90" w:rsidRPr="00262EF8" w14:paraId="0459A7C6" w14:textId="77777777" w:rsidTr="00886332">
        <w:tc>
          <w:tcPr>
            <w:tcW w:w="4405" w:type="dxa"/>
          </w:tcPr>
          <w:p w14:paraId="78841F6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10.1.2.2.2</w:t>
            </w:r>
            <w:r w:rsidRPr="008F5C15">
              <w:rPr>
                <w:rFonts w:ascii="Verdana" w:hAnsi="Verdana"/>
                <w:sz w:val="16"/>
                <w:szCs w:val="16"/>
                <w:lang w:val="es-MX"/>
              </w:rPr>
              <w:t xml:space="preserve"> El número de lote interno.</w:t>
            </w:r>
          </w:p>
        </w:tc>
        <w:tc>
          <w:tcPr>
            <w:tcW w:w="4427" w:type="dxa"/>
            <w:shd w:val="clear" w:color="auto" w:fill="auto"/>
          </w:tcPr>
          <w:p w14:paraId="7FB6013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10.1.2.2.2 </w:t>
            </w:r>
            <w:r w:rsidRPr="008F5C15">
              <w:rPr>
                <w:rFonts w:ascii="Verdana" w:hAnsi="Verdana"/>
                <w:sz w:val="16"/>
                <w:szCs w:val="16"/>
                <w:lang w:val="en-US"/>
              </w:rPr>
              <w:t>The internal lot number</w:t>
            </w:r>
          </w:p>
        </w:tc>
      </w:tr>
      <w:tr w:rsidR="001C6A90" w:rsidRPr="00F70181" w14:paraId="214207A0" w14:textId="77777777" w:rsidTr="00886332">
        <w:tc>
          <w:tcPr>
            <w:tcW w:w="4405" w:type="dxa"/>
          </w:tcPr>
          <w:p w14:paraId="7E86161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10.1.2.2.3</w:t>
            </w:r>
            <w:r w:rsidRPr="008F5C15">
              <w:rPr>
                <w:rFonts w:ascii="Verdana" w:hAnsi="Verdana"/>
                <w:sz w:val="16"/>
                <w:szCs w:val="16"/>
                <w:lang w:val="es-MX"/>
              </w:rPr>
              <w:t xml:space="preserve"> Cantidad y número de contenedores.</w:t>
            </w:r>
          </w:p>
        </w:tc>
        <w:tc>
          <w:tcPr>
            <w:tcW w:w="4427" w:type="dxa"/>
            <w:shd w:val="clear" w:color="auto" w:fill="auto"/>
          </w:tcPr>
          <w:p w14:paraId="790A754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10.1.2.2.3 </w:t>
            </w:r>
            <w:r w:rsidRPr="008F5C15">
              <w:rPr>
                <w:rFonts w:ascii="Verdana" w:hAnsi="Verdana"/>
                <w:sz w:val="16"/>
                <w:szCs w:val="16"/>
                <w:lang w:val="en-US"/>
              </w:rPr>
              <w:t>Amount and number of containers.</w:t>
            </w:r>
          </w:p>
        </w:tc>
      </w:tr>
      <w:tr w:rsidR="001C6A90" w:rsidRPr="00262EF8" w14:paraId="7CF7C722" w14:textId="77777777" w:rsidTr="00886332">
        <w:tc>
          <w:tcPr>
            <w:tcW w:w="4405" w:type="dxa"/>
          </w:tcPr>
          <w:p w14:paraId="7D2B4F1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10.1.2.2.4</w:t>
            </w:r>
            <w:r w:rsidRPr="008F5C15">
              <w:rPr>
                <w:rFonts w:ascii="Verdana" w:hAnsi="Verdana"/>
                <w:sz w:val="16"/>
                <w:szCs w:val="16"/>
                <w:lang w:val="es-MX"/>
              </w:rPr>
              <w:t xml:space="preserve"> El estatus.</w:t>
            </w:r>
          </w:p>
        </w:tc>
        <w:tc>
          <w:tcPr>
            <w:tcW w:w="4427" w:type="dxa"/>
            <w:shd w:val="clear" w:color="auto" w:fill="auto"/>
          </w:tcPr>
          <w:p w14:paraId="018596D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10.1.2.2.4</w:t>
            </w:r>
            <w:r w:rsidRPr="008F5C15">
              <w:rPr>
                <w:rFonts w:ascii="Verdana" w:hAnsi="Verdana"/>
                <w:sz w:val="16"/>
                <w:szCs w:val="16"/>
                <w:lang w:val="en-US"/>
              </w:rPr>
              <w:t xml:space="preserve"> The status.</w:t>
            </w:r>
          </w:p>
        </w:tc>
      </w:tr>
      <w:tr w:rsidR="001C6A90" w:rsidRPr="00F70181" w14:paraId="6EC627FE" w14:textId="77777777" w:rsidTr="00886332">
        <w:tc>
          <w:tcPr>
            <w:tcW w:w="4405" w:type="dxa"/>
          </w:tcPr>
          <w:p w14:paraId="489F632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10.1.2.2.5</w:t>
            </w:r>
            <w:r w:rsidRPr="008F5C15">
              <w:rPr>
                <w:rFonts w:ascii="Verdana" w:hAnsi="Verdana"/>
                <w:sz w:val="16"/>
                <w:szCs w:val="16"/>
                <w:lang w:val="es-MX"/>
              </w:rPr>
              <w:t xml:space="preserve"> La fecha de caducidad o de reanálisis.</w:t>
            </w:r>
          </w:p>
        </w:tc>
        <w:tc>
          <w:tcPr>
            <w:tcW w:w="4427" w:type="dxa"/>
            <w:shd w:val="clear" w:color="auto" w:fill="auto"/>
          </w:tcPr>
          <w:p w14:paraId="25ACBC7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10.1.2.2.5</w:t>
            </w:r>
            <w:r w:rsidRPr="008F5C15">
              <w:rPr>
                <w:rFonts w:ascii="Verdana" w:hAnsi="Verdana"/>
                <w:sz w:val="16"/>
                <w:szCs w:val="16"/>
                <w:lang w:val="en-US"/>
              </w:rPr>
              <w:t xml:space="preserve"> Expiration or re-analysis expiration date.</w:t>
            </w:r>
          </w:p>
        </w:tc>
      </w:tr>
      <w:tr w:rsidR="001C6A90" w:rsidRPr="00262EF8" w14:paraId="715087A0" w14:textId="77777777" w:rsidTr="00886332">
        <w:tc>
          <w:tcPr>
            <w:tcW w:w="4405" w:type="dxa"/>
          </w:tcPr>
          <w:p w14:paraId="42F93F8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10.1.3</w:t>
            </w:r>
            <w:r w:rsidRPr="008F5C15">
              <w:rPr>
                <w:rFonts w:ascii="Verdana" w:hAnsi="Verdana"/>
                <w:sz w:val="16"/>
                <w:szCs w:val="16"/>
                <w:lang w:val="es-MX"/>
              </w:rPr>
              <w:t xml:space="preserve"> Muestreo.</w:t>
            </w:r>
          </w:p>
        </w:tc>
        <w:tc>
          <w:tcPr>
            <w:tcW w:w="4427" w:type="dxa"/>
            <w:shd w:val="clear" w:color="auto" w:fill="auto"/>
          </w:tcPr>
          <w:p w14:paraId="6F06C21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 </w:t>
            </w:r>
            <w:r w:rsidRPr="008F5C15">
              <w:rPr>
                <w:rFonts w:ascii="Verdana" w:hAnsi="Verdana"/>
                <w:sz w:val="16"/>
                <w:szCs w:val="16"/>
                <w:lang w:val="en-US"/>
              </w:rPr>
              <w:t>Sampling.</w:t>
            </w:r>
          </w:p>
        </w:tc>
      </w:tr>
      <w:tr w:rsidR="001C6A90" w:rsidRPr="00F70181" w14:paraId="18E77124" w14:textId="77777777" w:rsidTr="00886332">
        <w:tc>
          <w:tcPr>
            <w:tcW w:w="4405" w:type="dxa"/>
          </w:tcPr>
          <w:p w14:paraId="397009D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10.1.3.1</w:t>
            </w:r>
            <w:r w:rsidRPr="008F5C15">
              <w:rPr>
                <w:rFonts w:ascii="Verdana" w:hAnsi="Verdana"/>
                <w:sz w:val="16"/>
                <w:szCs w:val="16"/>
                <w:lang w:val="es-MX"/>
              </w:rPr>
              <w:t xml:space="preserve"> Los insumos, deben ser almacenados en cuarentena, hasta que hayan sido muestreados, analizados o evaluados y liberados por la Unidad de Calidad para su uso.</w:t>
            </w:r>
          </w:p>
        </w:tc>
        <w:tc>
          <w:tcPr>
            <w:tcW w:w="4427" w:type="dxa"/>
            <w:shd w:val="clear" w:color="auto" w:fill="auto"/>
          </w:tcPr>
          <w:p w14:paraId="1A35B18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10.1.3.1 </w:t>
            </w:r>
            <w:r w:rsidRPr="008F5C15">
              <w:rPr>
                <w:rFonts w:ascii="Verdana" w:hAnsi="Verdana"/>
                <w:sz w:val="16"/>
                <w:szCs w:val="16"/>
                <w:lang w:val="en-US"/>
              </w:rPr>
              <w:t>The materials must be stored in quarantine, until they have been sampled, analyzed or evaluated and released by the Quality Unit for their use.</w:t>
            </w:r>
          </w:p>
        </w:tc>
      </w:tr>
      <w:tr w:rsidR="001C6A90" w:rsidRPr="00F70181" w14:paraId="3FAB1987" w14:textId="77777777" w:rsidTr="00886332">
        <w:tc>
          <w:tcPr>
            <w:tcW w:w="4405" w:type="dxa"/>
          </w:tcPr>
          <w:p w14:paraId="01EC2C4D"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10.1.3.2 </w:t>
            </w:r>
            <w:r w:rsidRPr="008F5C15">
              <w:rPr>
                <w:rFonts w:ascii="Verdana" w:hAnsi="Verdana"/>
                <w:sz w:val="16"/>
                <w:szCs w:val="16"/>
                <w:lang w:val="es-MX"/>
              </w:rPr>
              <w:t>La identidad de un lote completo de ingredientes activos o aditivos sólo puede garantizarse si se toman muestras individuales de todos los contenedores y se realiza un ensayo de identidad a cada muestra. Se puede muestrear sólo una parte de los contenedores, siempre y cuando se haya establecido un procedimiento validado para garantizar que ningún envase de estos materiales, será identificado incorrectamente en su etiqueta.</w:t>
            </w:r>
          </w:p>
        </w:tc>
        <w:tc>
          <w:tcPr>
            <w:tcW w:w="4427" w:type="dxa"/>
            <w:shd w:val="clear" w:color="auto" w:fill="auto"/>
          </w:tcPr>
          <w:p w14:paraId="5C6C3E9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 </w:t>
            </w:r>
            <w:r w:rsidRPr="008F5C15">
              <w:rPr>
                <w:rFonts w:ascii="Verdana" w:hAnsi="Verdana"/>
                <w:sz w:val="16"/>
                <w:szCs w:val="16"/>
                <w:lang w:val="en-US"/>
              </w:rPr>
              <w:t xml:space="preserve">The identity of a complete lot of active ingredients or additives only can be guaranteed if individual samples of all the containers are taken and an identity test is made on each sample. Only a part of the containers can be sampled, provided a validated procedure has been established to guarantee that no packaging of those materials will be identified incorrectly on their label. </w:t>
            </w:r>
          </w:p>
        </w:tc>
      </w:tr>
      <w:tr w:rsidR="001C6A90" w:rsidRPr="00F70181" w14:paraId="5777837A" w14:textId="77777777" w:rsidTr="00886332">
        <w:tc>
          <w:tcPr>
            <w:tcW w:w="4405" w:type="dxa"/>
          </w:tcPr>
          <w:p w14:paraId="21FF30A1"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10.1.3.2.1 </w:t>
            </w:r>
            <w:r w:rsidRPr="008F5C15">
              <w:rPr>
                <w:rFonts w:ascii="Verdana" w:hAnsi="Verdana"/>
                <w:sz w:val="16"/>
                <w:szCs w:val="16"/>
                <w:lang w:val="es-MX"/>
              </w:rPr>
              <w:t>Esta validación debe considerar al menos lo siguiente:</w:t>
            </w:r>
          </w:p>
        </w:tc>
        <w:tc>
          <w:tcPr>
            <w:tcW w:w="4427" w:type="dxa"/>
            <w:shd w:val="clear" w:color="auto" w:fill="auto"/>
          </w:tcPr>
          <w:p w14:paraId="55F9492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10.1.3.2.1 </w:t>
            </w:r>
            <w:r w:rsidRPr="008F5C15">
              <w:rPr>
                <w:rFonts w:ascii="Verdana" w:hAnsi="Verdana"/>
                <w:sz w:val="16"/>
                <w:szCs w:val="16"/>
                <w:lang w:val="en-US"/>
              </w:rPr>
              <w:t xml:space="preserve">This validation must consider at least the following: </w:t>
            </w:r>
          </w:p>
        </w:tc>
      </w:tr>
      <w:tr w:rsidR="001C6A90" w:rsidRPr="00F70181" w14:paraId="06E738D1" w14:textId="77777777" w:rsidTr="00886332">
        <w:tc>
          <w:tcPr>
            <w:tcW w:w="4405" w:type="dxa"/>
          </w:tcPr>
          <w:p w14:paraId="1EFBCF4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10.1.3.2.1.1 </w:t>
            </w:r>
            <w:r w:rsidRPr="008F5C15">
              <w:rPr>
                <w:rFonts w:ascii="Verdana" w:hAnsi="Verdana"/>
                <w:sz w:val="16"/>
                <w:szCs w:val="16"/>
                <w:lang w:val="es-MX"/>
              </w:rPr>
              <w:t>Tipo de fabricante y proveedor del insumo y su nivel de cumplimiento con las BPF.</w:t>
            </w:r>
          </w:p>
        </w:tc>
        <w:tc>
          <w:tcPr>
            <w:tcW w:w="4427" w:type="dxa"/>
            <w:shd w:val="clear" w:color="auto" w:fill="auto"/>
          </w:tcPr>
          <w:p w14:paraId="3D4B256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10.1.3.2.1.1 </w:t>
            </w:r>
            <w:r w:rsidRPr="008F5C15">
              <w:rPr>
                <w:rFonts w:ascii="Verdana" w:hAnsi="Verdana"/>
                <w:sz w:val="16"/>
                <w:szCs w:val="16"/>
                <w:lang w:val="en-US"/>
              </w:rPr>
              <w:t xml:space="preserve">Type of manufacturer and supplier of the material and its level of compliance with the GMP (Good Manufacturing Practices). </w:t>
            </w:r>
          </w:p>
        </w:tc>
      </w:tr>
      <w:tr w:rsidR="001C6A90" w:rsidRPr="00F70181" w14:paraId="19159584" w14:textId="77777777" w:rsidTr="00886332">
        <w:tc>
          <w:tcPr>
            <w:tcW w:w="4405" w:type="dxa"/>
          </w:tcPr>
          <w:p w14:paraId="6F7B4D3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10.1.3.2.1.2 </w:t>
            </w:r>
            <w:r w:rsidRPr="008F5C15">
              <w:rPr>
                <w:rFonts w:ascii="Verdana" w:hAnsi="Verdana"/>
                <w:sz w:val="16"/>
                <w:szCs w:val="16"/>
                <w:lang w:val="es-MX"/>
              </w:rPr>
              <w:t>El Sistema de Gestión de Calidad del fabricante de los ingredientes activos o aditivos.</w:t>
            </w:r>
          </w:p>
        </w:tc>
        <w:tc>
          <w:tcPr>
            <w:tcW w:w="4427" w:type="dxa"/>
            <w:shd w:val="clear" w:color="auto" w:fill="auto"/>
          </w:tcPr>
          <w:p w14:paraId="684E260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10.1.3.2.1.2 </w:t>
            </w:r>
            <w:r w:rsidRPr="008F5C15">
              <w:rPr>
                <w:rFonts w:ascii="Verdana" w:hAnsi="Verdana"/>
                <w:sz w:val="16"/>
                <w:szCs w:val="16"/>
                <w:lang w:val="en-US"/>
              </w:rPr>
              <w:t xml:space="preserve">The Quality Management System of the manufacturer of the active ingredients or additives. </w:t>
            </w:r>
          </w:p>
        </w:tc>
      </w:tr>
      <w:tr w:rsidR="001C6A90" w:rsidRPr="00F70181" w14:paraId="3E7B3E0D" w14:textId="77777777" w:rsidTr="00886332">
        <w:tc>
          <w:tcPr>
            <w:tcW w:w="4405" w:type="dxa"/>
          </w:tcPr>
          <w:p w14:paraId="6C159A8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10.1.3.2.1.3 </w:t>
            </w:r>
            <w:r w:rsidRPr="008F5C15">
              <w:rPr>
                <w:rFonts w:ascii="Verdana" w:hAnsi="Verdana"/>
                <w:sz w:val="16"/>
                <w:szCs w:val="16"/>
                <w:lang w:val="es-MX"/>
              </w:rPr>
              <w:t>Las condiciones de fabricación en las que se produce y controla el ingrediente activo o aditivo.</w:t>
            </w:r>
          </w:p>
        </w:tc>
        <w:tc>
          <w:tcPr>
            <w:tcW w:w="4427" w:type="dxa"/>
            <w:shd w:val="clear" w:color="auto" w:fill="auto"/>
          </w:tcPr>
          <w:p w14:paraId="13D71CD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10.1.3.2.1.3 </w:t>
            </w:r>
            <w:r w:rsidRPr="008F5C15">
              <w:rPr>
                <w:rFonts w:ascii="Verdana" w:hAnsi="Verdana"/>
                <w:sz w:val="16"/>
                <w:szCs w:val="16"/>
                <w:lang w:val="en-US"/>
              </w:rPr>
              <w:t xml:space="preserve">The manufacturing conditions in which the active ingredient or additive is produced and controlled. </w:t>
            </w:r>
          </w:p>
        </w:tc>
      </w:tr>
      <w:tr w:rsidR="001C6A90" w:rsidRPr="00F70181" w14:paraId="7E525661" w14:textId="77777777" w:rsidTr="00886332">
        <w:tc>
          <w:tcPr>
            <w:tcW w:w="4405" w:type="dxa"/>
          </w:tcPr>
          <w:p w14:paraId="1908448E"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10.1.3.2.1.4 </w:t>
            </w:r>
            <w:r w:rsidRPr="008F5C15">
              <w:rPr>
                <w:rFonts w:ascii="Verdana" w:hAnsi="Verdana"/>
                <w:sz w:val="16"/>
                <w:szCs w:val="16"/>
                <w:lang w:val="es-MX"/>
              </w:rPr>
              <w:t>Naturaleza de los ingredientes activos o aditivos y los medicamentos en los que será utilizado.</w:t>
            </w:r>
          </w:p>
        </w:tc>
        <w:tc>
          <w:tcPr>
            <w:tcW w:w="4427" w:type="dxa"/>
            <w:shd w:val="clear" w:color="auto" w:fill="auto"/>
          </w:tcPr>
          <w:p w14:paraId="6D3AA82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10.1.3.2.1.4 </w:t>
            </w:r>
            <w:r w:rsidRPr="008F5C15">
              <w:rPr>
                <w:rFonts w:ascii="Verdana" w:hAnsi="Verdana"/>
                <w:sz w:val="16"/>
                <w:szCs w:val="16"/>
                <w:lang w:val="en-US"/>
              </w:rPr>
              <w:t xml:space="preserve">Nature of the active ingredients or additives and the drug products in which it will be used. </w:t>
            </w:r>
          </w:p>
        </w:tc>
      </w:tr>
      <w:tr w:rsidR="001C6A90" w:rsidRPr="00F70181" w14:paraId="4E6EF877" w14:textId="77777777" w:rsidTr="00886332">
        <w:tc>
          <w:tcPr>
            <w:tcW w:w="4405" w:type="dxa"/>
          </w:tcPr>
          <w:p w14:paraId="37C8C2A5"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10.1.3.2.2 </w:t>
            </w:r>
            <w:r w:rsidRPr="008F5C15">
              <w:rPr>
                <w:rFonts w:ascii="Verdana" w:hAnsi="Verdana"/>
                <w:sz w:val="16"/>
                <w:szCs w:val="16"/>
                <w:lang w:val="es-MX"/>
              </w:rPr>
              <w:t>Se podrán eximir las pruebas de identidad en cada contenedor de ingredientes activos o aditivos si se cumple lo siguiente:</w:t>
            </w:r>
          </w:p>
        </w:tc>
        <w:tc>
          <w:tcPr>
            <w:tcW w:w="4427" w:type="dxa"/>
            <w:shd w:val="clear" w:color="auto" w:fill="auto"/>
          </w:tcPr>
          <w:p w14:paraId="2BE0141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10.1.3.2.2 </w:t>
            </w:r>
            <w:r w:rsidRPr="008F5C15">
              <w:rPr>
                <w:rFonts w:ascii="Verdana" w:hAnsi="Verdana"/>
                <w:sz w:val="16"/>
                <w:szCs w:val="16"/>
                <w:lang w:val="en-US"/>
              </w:rPr>
              <w:t xml:space="preserve">The identity tests on each container of active ingredients or additives can be exempted, if the following is complied with: </w:t>
            </w:r>
          </w:p>
        </w:tc>
      </w:tr>
      <w:tr w:rsidR="001C6A90" w:rsidRPr="00F70181" w14:paraId="2191B1FA" w14:textId="77777777" w:rsidTr="00886332">
        <w:tc>
          <w:tcPr>
            <w:tcW w:w="4405" w:type="dxa"/>
          </w:tcPr>
          <w:p w14:paraId="123EC5B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10.1.3.2.2.1 </w:t>
            </w:r>
            <w:r w:rsidRPr="008F5C15">
              <w:rPr>
                <w:rFonts w:ascii="Verdana" w:hAnsi="Verdana"/>
                <w:sz w:val="16"/>
                <w:szCs w:val="16"/>
                <w:lang w:val="es-MX"/>
              </w:rPr>
              <w:t>Provengan directamente del fabricante y tengan un solo sitio de origen.</w:t>
            </w:r>
          </w:p>
        </w:tc>
        <w:tc>
          <w:tcPr>
            <w:tcW w:w="4427" w:type="dxa"/>
            <w:shd w:val="clear" w:color="auto" w:fill="auto"/>
          </w:tcPr>
          <w:p w14:paraId="0D34118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10.1.3.2.2.1 </w:t>
            </w:r>
            <w:r w:rsidRPr="008F5C15">
              <w:rPr>
                <w:rFonts w:ascii="Verdana" w:hAnsi="Verdana"/>
                <w:sz w:val="16"/>
                <w:szCs w:val="16"/>
                <w:lang w:val="en-US"/>
              </w:rPr>
              <w:t xml:space="preserve">They come directly from the manufacturer and have a single site of origin. </w:t>
            </w:r>
          </w:p>
        </w:tc>
      </w:tr>
      <w:tr w:rsidR="001C6A90" w:rsidRPr="00F70181" w14:paraId="24B6C46E" w14:textId="77777777" w:rsidTr="00886332">
        <w:tc>
          <w:tcPr>
            <w:tcW w:w="4405" w:type="dxa"/>
          </w:tcPr>
          <w:p w14:paraId="6D658B4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10.1.3.2.2.2</w:t>
            </w:r>
            <w:r w:rsidRPr="008F5C15">
              <w:rPr>
                <w:rFonts w:ascii="Verdana" w:hAnsi="Verdana"/>
                <w:sz w:val="16"/>
                <w:szCs w:val="16"/>
                <w:lang w:val="es-MX"/>
              </w:rPr>
              <w:t xml:space="preserve"> El contenedor original se mantiene desde el origen hasta el receptor final sin ser abierto.</w:t>
            </w:r>
          </w:p>
        </w:tc>
        <w:tc>
          <w:tcPr>
            <w:tcW w:w="4427" w:type="dxa"/>
          </w:tcPr>
          <w:p w14:paraId="6B9DEDC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10.1.3.2.2.2 </w:t>
            </w:r>
            <w:r w:rsidRPr="008F5C15">
              <w:rPr>
                <w:rFonts w:ascii="Verdana" w:hAnsi="Verdana"/>
                <w:sz w:val="16"/>
                <w:szCs w:val="16"/>
                <w:lang w:val="en-US"/>
              </w:rPr>
              <w:t xml:space="preserve">The original container is maintained from the origin to the final recipient without being open. </w:t>
            </w:r>
          </w:p>
        </w:tc>
      </w:tr>
      <w:tr w:rsidR="001C6A90" w:rsidRPr="00F70181" w14:paraId="7DC9B879" w14:textId="77777777" w:rsidTr="00886332">
        <w:tc>
          <w:tcPr>
            <w:tcW w:w="4405" w:type="dxa"/>
          </w:tcPr>
          <w:p w14:paraId="129A762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10.1.3.2.2.3</w:t>
            </w:r>
            <w:r w:rsidRPr="008F5C15">
              <w:rPr>
                <w:rFonts w:ascii="Verdana" w:hAnsi="Verdana"/>
                <w:sz w:val="16"/>
                <w:szCs w:val="16"/>
                <w:lang w:val="es-MX"/>
              </w:rPr>
              <w:t xml:space="preserve"> El fabricante del principio activo o aditivo es periódicamente auditado por el fabricante del medicamento.</w:t>
            </w:r>
          </w:p>
        </w:tc>
        <w:tc>
          <w:tcPr>
            <w:tcW w:w="4427" w:type="dxa"/>
          </w:tcPr>
          <w:p w14:paraId="4AB4310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10.1.3.2.2.3 </w:t>
            </w:r>
            <w:r w:rsidRPr="008F5C15">
              <w:rPr>
                <w:rFonts w:ascii="Verdana" w:hAnsi="Verdana"/>
                <w:sz w:val="16"/>
                <w:szCs w:val="16"/>
                <w:lang w:val="en-US"/>
              </w:rPr>
              <w:t xml:space="preserve">The manufacturer of the principal active or additive is periodically audited by the manufacturer of the drug product. </w:t>
            </w:r>
          </w:p>
        </w:tc>
      </w:tr>
      <w:tr w:rsidR="001C6A90" w:rsidRPr="00F70181" w14:paraId="31535A0B" w14:textId="77777777" w:rsidTr="00886332">
        <w:tc>
          <w:tcPr>
            <w:tcW w:w="4405" w:type="dxa"/>
          </w:tcPr>
          <w:p w14:paraId="3EB6FF7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10.1.3.2.2.4</w:t>
            </w:r>
            <w:r w:rsidRPr="008F5C15">
              <w:rPr>
                <w:rFonts w:ascii="Verdana" w:hAnsi="Verdana"/>
                <w:sz w:val="16"/>
                <w:szCs w:val="16"/>
                <w:lang w:val="es-MX"/>
              </w:rPr>
              <w:t xml:space="preserve"> El fabricante del principio activo o aditivo cuenta con un historial confiable, basado en un análisis estadístico y de cumplimiento a buenas prácticas de fabricación.</w:t>
            </w:r>
          </w:p>
        </w:tc>
        <w:tc>
          <w:tcPr>
            <w:tcW w:w="4427" w:type="dxa"/>
          </w:tcPr>
          <w:p w14:paraId="0D73DF8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10.1.3.2.2.4 </w:t>
            </w:r>
            <w:r w:rsidRPr="008F5C15">
              <w:rPr>
                <w:rFonts w:ascii="Verdana" w:hAnsi="Verdana"/>
                <w:sz w:val="16"/>
                <w:szCs w:val="16"/>
                <w:lang w:val="en-US"/>
              </w:rPr>
              <w:t>The manufacturer of the principal active or additive with a reliable history, based on a statistical analysis and compliance to good manufacturing practices.</w:t>
            </w:r>
          </w:p>
        </w:tc>
      </w:tr>
      <w:tr w:rsidR="001C6A90" w:rsidRPr="00F70181" w14:paraId="5EF3E60E" w14:textId="77777777" w:rsidTr="00886332">
        <w:tc>
          <w:tcPr>
            <w:tcW w:w="4405" w:type="dxa"/>
          </w:tcPr>
          <w:p w14:paraId="65B2389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10.1.3.2.3 </w:t>
            </w:r>
            <w:r w:rsidRPr="008F5C15">
              <w:rPr>
                <w:rFonts w:ascii="Verdana" w:hAnsi="Verdana"/>
                <w:sz w:val="16"/>
                <w:szCs w:val="16"/>
                <w:lang w:val="es-MX"/>
              </w:rPr>
              <w:t>No se podrán eximir de realizar la prueba de identidad en todos los contendores de principio activo o aditivo en los siguientes casos:</w:t>
            </w:r>
          </w:p>
        </w:tc>
        <w:tc>
          <w:tcPr>
            <w:tcW w:w="4427" w:type="dxa"/>
          </w:tcPr>
          <w:p w14:paraId="013164C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10.1.3.2.3 </w:t>
            </w:r>
            <w:r w:rsidRPr="008F5C15">
              <w:rPr>
                <w:rFonts w:ascii="Verdana" w:hAnsi="Verdana"/>
                <w:sz w:val="16"/>
                <w:szCs w:val="16"/>
                <w:lang w:val="en-US"/>
              </w:rPr>
              <w:t xml:space="preserve">The performing of the identity test cannot be exempted in all the containers of principal active or additive in the following cases: </w:t>
            </w:r>
          </w:p>
        </w:tc>
      </w:tr>
      <w:tr w:rsidR="001C6A90" w:rsidRPr="00F70181" w14:paraId="0B0C91EB" w14:textId="77777777" w:rsidTr="00886332">
        <w:tc>
          <w:tcPr>
            <w:tcW w:w="4405" w:type="dxa"/>
          </w:tcPr>
          <w:p w14:paraId="4DCD970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10.1.3.2.3.1 </w:t>
            </w:r>
            <w:r w:rsidRPr="008F5C15">
              <w:rPr>
                <w:rFonts w:ascii="Verdana" w:hAnsi="Verdana"/>
                <w:sz w:val="16"/>
                <w:szCs w:val="16"/>
                <w:lang w:val="es-MX"/>
              </w:rPr>
              <w:t>Cuando los principios activos o aditivos sean suministrados por un intermediario (bróker) y el fabricante del principio activo o aditivo no ha sido auditado.</w:t>
            </w:r>
          </w:p>
        </w:tc>
        <w:tc>
          <w:tcPr>
            <w:tcW w:w="4427" w:type="dxa"/>
          </w:tcPr>
          <w:p w14:paraId="6327DB1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10.1.3.2.3.1 </w:t>
            </w:r>
            <w:r w:rsidRPr="008F5C15">
              <w:rPr>
                <w:rFonts w:ascii="Verdana" w:hAnsi="Verdana"/>
                <w:sz w:val="16"/>
                <w:szCs w:val="16"/>
                <w:lang w:val="en-US"/>
              </w:rPr>
              <w:t xml:space="preserve">When the principal actives or additives are supplied by an intermediary (broker) and the manufacturer of the principal active or additive has not been audited. </w:t>
            </w:r>
          </w:p>
        </w:tc>
      </w:tr>
      <w:tr w:rsidR="001C6A90" w:rsidRPr="00F70181" w14:paraId="01582D5A" w14:textId="77777777" w:rsidTr="00886332">
        <w:tc>
          <w:tcPr>
            <w:tcW w:w="4405" w:type="dxa"/>
          </w:tcPr>
          <w:p w14:paraId="7C469D5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10.1.3.2.3.2 </w:t>
            </w:r>
            <w:r w:rsidRPr="008F5C15">
              <w:rPr>
                <w:rFonts w:ascii="Verdana" w:hAnsi="Verdana"/>
                <w:sz w:val="16"/>
                <w:szCs w:val="16"/>
                <w:lang w:val="es-MX"/>
              </w:rPr>
              <w:t>Cuando los principios activos o aditivos sean utilizados para medicamentos parenterales.</w:t>
            </w:r>
          </w:p>
        </w:tc>
        <w:tc>
          <w:tcPr>
            <w:tcW w:w="4427" w:type="dxa"/>
          </w:tcPr>
          <w:p w14:paraId="3C0E081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10.1.3.2.3.2 </w:t>
            </w:r>
            <w:r w:rsidRPr="008F5C15">
              <w:rPr>
                <w:rFonts w:ascii="Verdana" w:hAnsi="Verdana"/>
                <w:sz w:val="16"/>
                <w:szCs w:val="16"/>
                <w:lang w:val="en-US"/>
              </w:rPr>
              <w:t xml:space="preserve">When the principal actives or additives are used for parenteral drug products. </w:t>
            </w:r>
          </w:p>
        </w:tc>
      </w:tr>
      <w:tr w:rsidR="001C6A90" w:rsidRPr="00F70181" w14:paraId="392D54C6" w14:textId="77777777" w:rsidTr="00886332">
        <w:tc>
          <w:tcPr>
            <w:tcW w:w="4405" w:type="dxa"/>
          </w:tcPr>
          <w:p w14:paraId="2ED0798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10.1.3.2.3.2.1</w:t>
            </w:r>
            <w:r w:rsidRPr="008F5C15">
              <w:rPr>
                <w:rFonts w:ascii="Verdana" w:hAnsi="Verdana"/>
                <w:sz w:val="16"/>
                <w:szCs w:val="16"/>
                <w:lang w:val="es-MX"/>
              </w:rPr>
              <w:t xml:space="preserve"> Para aditivos y cuando se justifique a través de una valoración de riesgo se podrá muestrear sólo una parte de los contenedores si se cumple el punto 10.1.3.2.1, de esta Norma.</w:t>
            </w:r>
          </w:p>
        </w:tc>
        <w:tc>
          <w:tcPr>
            <w:tcW w:w="4427" w:type="dxa"/>
          </w:tcPr>
          <w:p w14:paraId="0ED269B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10.1.3.2.3.2.1 </w:t>
            </w:r>
            <w:r w:rsidRPr="008F5C15">
              <w:rPr>
                <w:rFonts w:ascii="Verdana" w:hAnsi="Verdana"/>
                <w:sz w:val="16"/>
                <w:szCs w:val="16"/>
                <w:lang w:val="en-US"/>
              </w:rPr>
              <w:t xml:space="preserve">For additives and when it is justified through an evaluation of risk, only a part of the containers can be sampled, if point 10.1.3.2.1 of this Standard is complied. </w:t>
            </w:r>
          </w:p>
        </w:tc>
      </w:tr>
      <w:tr w:rsidR="001C6A90" w:rsidRPr="00F70181" w14:paraId="5FD62A5A" w14:textId="77777777" w:rsidTr="00886332">
        <w:tc>
          <w:tcPr>
            <w:tcW w:w="4405" w:type="dxa"/>
          </w:tcPr>
          <w:p w14:paraId="1B1A0B3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10.1.3.3 </w:t>
            </w:r>
            <w:r w:rsidRPr="008F5C15">
              <w:rPr>
                <w:rFonts w:ascii="Verdana" w:hAnsi="Verdana"/>
                <w:sz w:val="16"/>
                <w:szCs w:val="16"/>
                <w:lang w:val="es-MX"/>
              </w:rPr>
              <w:t>Se deben tomar muestras representativas de cada lote y partida.</w:t>
            </w:r>
          </w:p>
        </w:tc>
        <w:tc>
          <w:tcPr>
            <w:tcW w:w="4427" w:type="dxa"/>
            <w:shd w:val="clear" w:color="auto" w:fill="auto"/>
          </w:tcPr>
          <w:p w14:paraId="512DA9C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10.1.3.3 </w:t>
            </w:r>
            <w:r w:rsidRPr="008F5C15">
              <w:rPr>
                <w:rFonts w:ascii="Verdana" w:hAnsi="Verdana"/>
                <w:sz w:val="16"/>
                <w:szCs w:val="16"/>
                <w:lang w:val="en-US"/>
              </w:rPr>
              <w:t>Samples representative of each lot and sub lot must be taken.</w:t>
            </w:r>
          </w:p>
        </w:tc>
      </w:tr>
      <w:tr w:rsidR="001C6A90" w:rsidRPr="00F70181" w14:paraId="43A430BE" w14:textId="77777777" w:rsidTr="00886332">
        <w:tc>
          <w:tcPr>
            <w:tcW w:w="4405" w:type="dxa"/>
          </w:tcPr>
          <w:p w14:paraId="3623A55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10.1.3.3.1 </w:t>
            </w:r>
            <w:r w:rsidRPr="008F5C15">
              <w:rPr>
                <w:rFonts w:ascii="Verdana" w:hAnsi="Verdana"/>
                <w:sz w:val="16"/>
                <w:szCs w:val="16"/>
                <w:lang w:val="es-MX"/>
              </w:rPr>
              <w:t>Las muestras tomadas para la prueba de identidad se deben analizar individualmente.</w:t>
            </w:r>
          </w:p>
        </w:tc>
        <w:tc>
          <w:tcPr>
            <w:tcW w:w="4427" w:type="dxa"/>
            <w:shd w:val="clear" w:color="auto" w:fill="auto"/>
          </w:tcPr>
          <w:p w14:paraId="108B1B5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10.1.3.3.1 </w:t>
            </w:r>
            <w:r w:rsidRPr="008F5C15">
              <w:rPr>
                <w:rFonts w:ascii="Verdana" w:hAnsi="Verdana"/>
                <w:sz w:val="16"/>
                <w:szCs w:val="16"/>
                <w:lang w:val="en-US"/>
              </w:rPr>
              <w:t xml:space="preserve">The samples taken for the identity test must be analyzed individually. </w:t>
            </w:r>
          </w:p>
        </w:tc>
      </w:tr>
      <w:tr w:rsidR="001C6A90" w:rsidRPr="00F70181" w14:paraId="72C178D6" w14:textId="77777777" w:rsidTr="00886332">
        <w:tc>
          <w:tcPr>
            <w:tcW w:w="4405" w:type="dxa"/>
          </w:tcPr>
          <w:p w14:paraId="0CEED0F4" w14:textId="77777777" w:rsidR="001C6A90" w:rsidRPr="008F5C15" w:rsidRDefault="001C6A90" w:rsidP="001C6A90">
            <w:pPr>
              <w:pStyle w:val="Texto"/>
              <w:spacing w:line="276" w:lineRule="auto"/>
              <w:ind w:firstLine="0"/>
              <w:rPr>
                <w:rFonts w:ascii="Verdana" w:hAnsi="Verdana"/>
                <w:i/>
                <w:sz w:val="16"/>
                <w:szCs w:val="16"/>
                <w:lang w:val="es-MX"/>
              </w:rPr>
            </w:pPr>
            <w:r w:rsidRPr="008F5C15">
              <w:rPr>
                <w:rFonts w:ascii="Verdana" w:hAnsi="Verdana"/>
                <w:b/>
                <w:sz w:val="16"/>
                <w:szCs w:val="16"/>
                <w:lang w:val="es-MX"/>
              </w:rPr>
              <w:t xml:space="preserve">10.1.3.4 </w:t>
            </w:r>
            <w:r w:rsidRPr="008F5C15">
              <w:rPr>
                <w:rFonts w:ascii="Verdana" w:hAnsi="Verdana"/>
                <w:sz w:val="16"/>
                <w:szCs w:val="16"/>
                <w:lang w:val="es-MX"/>
              </w:rPr>
              <w:t xml:space="preserve">El número de contenedores a muestrear, y la cantidad de material tomado de cada contenedor, debe estar basada en criterios estadísticos de variabilidad del insumo, niveles de confianza, historial de calidad del proveedor, y la </w:t>
            </w:r>
            <w:r w:rsidRPr="008F5C15">
              <w:rPr>
                <w:rFonts w:ascii="Verdana" w:hAnsi="Verdana"/>
                <w:sz w:val="16"/>
                <w:szCs w:val="16"/>
                <w:lang w:val="es-MX"/>
              </w:rPr>
              <w:lastRenderedPageBreak/>
              <w:t>cantidad necesaria para los análisis y la muestra de retención requerida.</w:t>
            </w:r>
          </w:p>
        </w:tc>
        <w:tc>
          <w:tcPr>
            <w:tcW w:w="4427" w:type="dxa"/>
            <w:shd w:val="clear" w:color="auto" w:fill="auto"/>
          </w:tcPr>
          <w:p w14:paraId="40D2D1A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10.1.3.4 </w:t>
            </w:r>
            <w:r w:rsidRPr="008F5C15">
              <w:rPr>
                <w:rFonts w:ascii="Verdana" w:hAnsi="Verdana"/>
                <w:sz w:val="16"/>
                <w:szCs w:val="16"/>
                <w:lang w:val="en-US"/>
              </w:rPr>
              <w:t xml:space="preserve">The number of containers to sample and the amount of material taken from each container must be based on statistical criteria of material variability, confidence levels, quality history of the </w:t>
            </w:r>
            <w:r w:rsidRPr="008F5C15">
              <w:rPr>
                <w:rFonts w:ascii="Verdana" w:hAnsi="Verdana"/>
                <w:sz w:val="16"/>
                <w:szCs w:val="16"/>
                <w:lang w:val="en-US"/>
              </w:rPr>
              <w:lastRenderedPageBreak/>
              <w:t>supplier and the amount necessary for the analysis and the required retention sample.</w:t>
            </w:r>
          </w:p>
        </w:tc>
      </w:tr>
      <w:tr w:rsidR="001C6A90" w:rsidRPr="00F70181" w14:paraId="67CFCA03" w14:textId="77777777" w:rsidTr="00886332">
        <w:tc>
          <w:tcPr>
            <w:tcW w:w="4405" w:type="dxa"/>
          </w:tcPr>
          <w:p w14:paraId="0345980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10.1.3.5</w:t>
            </w:r>
            <w:r w:rsidRPr="008F5C15">
              <w:rPr>
                <w:rFonts w:ascii="Verdana" w:hAnsi="Verdana"/>
                <w:sz w:val="16"/>
                <w:szCs w:val="16"/>
                <w:lang w:val="es-MX"/>
              </w:rPr>
              <w:t xml:space="preserve"> Se debe realizar el muestreo considerando lo siguiente:</w:t>
            </w:r>
          </w:p>
        </w:tc>
        <w:tc>
          <w:tcPr>
            <w:tcW w:w="4427" w:type="dxa"/>
            <w:shd w:val="clear" w:color="auto" w:fill="auto"/>
          </w:tcPr>
          <w:p w14:paraId="1FE6797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10.1.3.5 </w:t>
            </w:r>
            <w:r w:rsidRPr="008F5C15">
              <w:rPr>
                <w:rFonts w:ascii="Verdana" w:hAnsi="Verdana"/>
                <w:sz w:val="16"/>
                <w:szCs w:val="16"/>
                <w:lang w:val="en-US"/>
              </w:rPr>
              <w:t>The sampling must be done considering the following:</w:t>
            </w:r>
          </w:p>
        </w:tc>
      </w:tr>
      <w:tr w:rsidR="001C6A90" w:rsidRPr="00F70181" w14:paraId="291C87D7" w14:textId="77777777" w:rsidTr="00886332">
        <w:tc>
          <w:tcPr>
            <w:tcW w:w="4405" w:type="dxa"/>
          </w:tcPr>
          <w:p w14:paraId="2985D3D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10.1.3.5.1</w:t>
            </w:r>
            <w:r w:rsidRPr="008F5C15">
              <w:rPr>
                <w:rFonts w:ascii="Verdana" w:hAnsi="Verdana"/>
                <w:sz w:val="16"/>
                <w:szCs w:val="16"/>
                <w:lang w:val="es-MX"/>
              </w:rPr>
              <w:t xml:space="preserve"> Los contenedores deben ser limpiados y/o sanitizados, para prevenir la introducción de contaminantes.</w:t>
            </w:r>
          </w:p>
        </w:tc>
        <w:tc>
          <w:tcPr>
            <w:tcW w:w="4427" w:type="dxa"/>
            <w:shd w:val="clear" w:color="auto" w:fill="auto"/>
          </w:tcPr>
          <w:p w14:paraId="0E1DD26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10.1.3.5.1</w:t>
            </w:r>
            <w:r w:rsidRPr="008F5C15">
              <w:rPr>
                <w:rFonts w:ascii="Verdana" w:hAnsi="Verdana"/>
                <w:sz w:val="16"/>
                <w:szCs w:val="16"/>
                <w:lang w:val="en-US"/>
              </w:rPr>
              <w:t xml:space="preserve"> The containers must be cleaned and/or sanitized to prevent the introduction of contaminants.</w:t>
            </w:r>
          </w:p>
        </w:tc>
      </w:tr>
      <w:tr w:rsidR="001C6A90" w:rsidRPr="00F70181" w14:paraId="3B488837" w14:textId="77777777" w:rsidTr="00886332">
        <w:tc>
          <w:tcPr>
            <w:tcW w:w="4405" w:type="dxa"/>
          </w:tcPr>
          <w:p w14:paraId="46940A3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10.1.3.5.2 </w:t>
            </w:r>
            <w:r w:rsidRPr="008F5C15">
              <w:rPr>
                <w:rFonts w:ascii="Verdana" w:hAnsi="Verdana"/>
                <w:sz w:val="16"/>
                <w:szCs w:val="16"/>
                <w:lang w:val="es-MX"/>
              </w:rPr>
              <w:t>Para el muestreo de insumos estériles, se debe utilizar instrumental estéril y técnicas asépticas de muestreo.</w:t>
            </w:r>
          </w:p>
        </w:tc>
        <w:tc>
          <w:tcPr>
            <w:tcW w:w="4427" w:type="dxa"/>
            <w:shd w:val="clear" w:color="auto" w:fill="auto"/>
          </w:tcPr>
          <w:p w14:paraId="3858A1E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10.1.3.5.2 </w:t>
            </w:r>
            <w:r w:rsidRPr="008F5C15">
              <w:rPr>
                <w:rFonts w:ascii="Verdana" w:hAnsi="Verdana"/>
                <w:sz w:val="16"/>
                <w:szCs w:val="16"/>
                <w:lang w:val="en-US"/>
              </w:rPr>
              <w:t xml:space="preserve">For the sampling of sterile materials, sterile instruments must be used and aseptic techniques of sampling. </w:t>
            </w:r>
          </w:p>
        </w:tc>
      </w:tr>
      <w:tr w:rsidR="001C6A90" w:rsidRPr="00F70181" w14:paraId="645B226E" w14:textId="77777777" w:rsidTr="00886332">
        <w:tc>
          <w:tcPr>
            <w:tcW w:w="4405" w:type="dxa"/>
          </w:tcPr>
          <w:p w14:paraId="689E89A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10.1.3.5.3 </w:t>
            </w:r>
            <w:r w:rsidRPr="008F5C15">
              <w:rPr>
                <w:rFonts w:ascii="Verdana" w:hAnsi="Verdana"/>
                <w:sz w:val="16"/>
                <w:szCs w:val="16"/>
                <w:lang w:val="es-MX"/>
              </w:rPr>
              <w:t>Se debe establecer en qué casos las muestras individuales se pueden mezclar para formar una muestra compuesta, teniendo en cuenta la naturaleza del material, el conocimiento del proveedor y la homogeneidad de la muestra compuesta.</w:t>
            </w:r>
          </w:p>
        </w:tc>
        <w:tc>
          <w:tcPr>
            <w:tcW w:w="4427" w:type="dxa"/>
          </w:tcPr>
          <w:p w14:paraId="2512FC0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10.1.3.5.3 </w:t>
            </w:r>
            <w:r w:rsidRPr="008F5C15">
              <w:rPr>
                <w:rFonts w:ascii="Verdana" w:hAnsi="Verdana"/>
                <w:sz w:val="16"/>
                <w:szCs w:val="16"/>
                <w:lang w:val="en-US"/>
              </w:rPr>
              <w:t xml:space="preserve">It must be established in which cases the individual samples can be mixed to form a compound sample, taking into account the nature of the material, the knowledge of the supplier and the homogeneity of the compound sample.  </w:t>
            </w:r>
          </w:p>
        </w:tc>
      </w:tr>
      <w:tr w:rsidR="001C6A90" w:rsidRPr="00F70181" w14:paraId="5D06BF29" w14:textId="77777777" w:rsidTr="00886332">
        <w:tc>
          <w:tcPr>
            <w:tcW w:w="4405" w:type="dxa"/>
          </w:tcPr>
          <w:p w14:paraId="1744D54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10.1.3.5.4</w:t>
            </w:r>
            <w:r w:rsidRPr="008F5C15">
              <w:rPr>
                <w:rFonts w:ascii="Verdana" w:hAnsi="Verdana"/>
                <w:sz w:val="16"/>
                <w:szCs w:val="16"/>
                <w:lang w:val="es-MX"/>
              </w:rPr>
              <w:t xml:space="preserve"> Las muestras tomadas deben ser identificadas.</w:t>
            </w:r>
          </w:p>
        </w:tc>
        <w:tc>
          <w:tcPr>
            <w:tcW w:w="4427" w:type="dxa"/>
          </w:tcPr>
          <w:p w14:paraId="46B65C7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10.1.3.5.4 </w:t>
            </w:r>
            <w:r w:rsidRPr="008F5C15">
              <w:rPr>
                <w:rFonts w:ascii="Verdana" w:hAnsi="Verdana"/>
                <w:sz w:val="16"/>
                <w:szCs w:val="16"/>
                <w:lang w:val="en-US"/>
              </w:rPr>
              <w:t>The samples taken must be identified.</w:t>
            </w:r>
          </w:p>
        </w:tc>
      </w:tr>
      <w:tr w:rsidR="001C6A90" w:rsidRPr="00F70181" w14:paraId="4B1DEF03" w14:textId="77777777" w:rsidTr="00886332">
        <w:tc>
          <w:tcPr>
            <w:tcW w:w="4405" w:type="dxa"/>
          </w:tcPr>
          <w:p w14:paraId="66E077F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10.1.3.5.5</w:t>
            </w:r>
            <w:r w:rsidRPr="008F5C15">
              <w:rPr>
                <w:rFonts w:ascii="Verdana" w:hAnsi="Verdana"/>
                <w:sz w:val="16"/>
                <w:szCs w:val="16"/>
                <w:lang w:val="es-MX"/>
              </w:rPr>
              <w:t xml:space="preserve"> Los contenedores muestreados, deben indicarlo en su identificación.</w:t>
            </w:r>
          </w:p>
        </w:tc>
        <w:tc>
          <w:tcPr>
            <w:tcW w:w="4427" w:type="dxa"/>
          </w:tcPr>
          <w:p w14:paraId="4C67F48F"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10.1.3.5.5 </w:t>
            </w:r>
            <w:r w:rsidRPr="008F5C15">
              <w:rPr>
                <w:rFonts w:ascii="Verdana" w:hAnsi="Verdana"/>
                <w:sz w:val="16"/>
                <w:szCs w:val="16"/>
                <w:lang w:val="en-US"/>
              </w:rPr>
              <w:t xml:space="preserve">The containers sampled must indicate it on its identification. </w:t>
            </w:r>
          </w:p>
        </w:tc>
      </w:tr>
      <w:tr w:rsidR="001C6A90" w:rsidRPr="00262EF8" w14:paraId="0B481F45" w14:textId="77777777" w:rsidTr="00886332">
        <w:tc>
          <w:tcPr>
            <w:tcW w:w="4405" w:type="dxa"/>
          </w:tcPr>
          <w:p w14:paraId="5667107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10.1.4</w:t>
            </w:r>
            <w:r w:rsidRPr="008F5C15">
              <w:rPr>
                <w:rFonts w:ascii="Verdana" w:hAnsi="Verdana"/>
                <w:sz w:val="16"/>
                <w:szCs w:val="16"/>
                <w:lang w:val="es-MX"/>
              </w:rPr>
              <w:t xml:space="preserve"> Surtido.</w:t>
            </w:r>
          </w:p>
        </w:tc>
        <w:tc>
          <w:tcPr>
            <w:tcW w:w="4427" w:type="dxa"/>
            <w:shd w:val="clear" w:color="auto" w:fill="auto"/>
          </w:tcPr>
          <w:p w14:paraId="4AF099C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10.1.4 </w:t>
            </w:r>
            <w:r w:rsidRPr="008F5C15">
              <w:rPr>
                <w:rFonts w:ascii="Verdana" w:hAnsi="Verdana"/>
                <w:sz w:val="16"/>
                <w:szCs w:val="16"/>
                <w:lang w:val="en-US"/>
              </w:rPr>
              <w:t>Supply</w:t>
            </w:r>
          </w:p>
        </w:tc>
      </w:tr>
      <w:tr w:rsidR="001C6A90" w:rsidRPr="00F70181" w14:paraId="75C1759C" w14:textId="77777777" w:rsidTr="00886332">
        <w:tc>
          <w:tcPr>
            <w:tcW w:w="4405" w:type="dxa"/>
          </w:tcPr>
          <w:p w14:paraId="68E4417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10.1.4.1</w:t>
            </w:r>
            <w:r w:rsidRPr="008F5C15">
              <w:rPr>
                <w:rFonts w:ascii="Verdana" w:hAnsi="Verdana"/>
                <w:sz w:val="16"/>
                <w:szCs w:val="16"/>
                <w:lang w:val="es-MX"/>
              </w:rPr>
              <w:t xml:space="preserve"> Se debe asegurar la trazabilidad por lote de las cantidades recibidas contra las cantidades surtidas.</w:t>
            </w:r>
          </w:p>
        </w:tc>
        <w:tc>
          <w:tcPr>
            <w:tcW w:w="4427" w:type="dxa"/>
            <w:shd w:val="clear" w:color="auto" w:fill="auto"/>
          </w:tcPr>
          <w:p w14:paraId="17B0D3F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10.1.4.1 </w:t>
            </w:r>
            <w:r w:rsidRPr="008F5C15">
              <w:rPr>
                <w:rFonts w:ascii="Verdana" w:hAnsi="Verdana"/>
                <w:sz w:val="16"/>
                <w:szCs w:val="16"/>
                <w:lang w:val="en-US"/>
              </w:rPr>
              <w:t>Traceability by lot of the amounts received against the amounts supplied must be assured.</w:t>
            </w:r>
          </w:p>
        </w:tc>
      </w:tr>
      <w:tr w:rsidR="001C6A90" w:rsidRPr="00F70181" w14:paraId="18D69EA0" w14:textId="77777777" w:rsidTr="00886332">
        <w:tc>
          <w:tcPr>
            <w:tcW w:w="4405" w:type="dxa"/>
          </w:tcPr>
          <w:p w14:paraId="19C9E6A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10.1.4.2</w:t>
            </w:r>
            <w:r w:rsidRPr="008F5C15">
              <w:rPr>
                <w:rFonts w:ascii="Verdana" w:hAnsi="Verdana"/>
                <w:sz w:val="16"/>
                <w:szCs w:val="16"/>
                <w:lang w:val="es-MX"/>
              </w:rPr>
              <w:t xml:space="preserve"> Los insumos deben ser pesados o medidos conforme a procedimientos escritos y esta actividad debe ser verificada por una segunda persona.</w:t>
            </w:r>
          </w:p>
        </w:tc>
        <w:tc>
          <w:tcPr>
            <w:tcW w:w="4427" w:type="dxa"/>
            <w:shd w:val="clear" w:color="auto" w:fill="auto"/>
          </w:tcPr>
          <w:p w14:paraId="71A317D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10.1.4.2</w:t>
            </w:r>
            <w:r w:rsidRPr="008F5C15">
              <w:rPr>
                <w:rFonts w:ascii="Verdana" w:hAnsi="Verdana"/>
                <w:sz w:val="16"/>
                <w:szCs w:val="16"/>
                <w:lang w:val="en-US"/>
              </w:rPr>
              <w:t xml:space="preserve"> The materials must be weighed or measured according to written procedures and this activity must be verified by a second person</w:t>
            </w:r>
          </w:p>
        </w:tc>
      </w:tr>
      <w:tr w:rsidR="001C6A90" w:rsidRPr="00F70181" w14:paraId="6220F6B1" w14:textId="77777777" w:rsidTr="00886332">
        <w:tc>
          <w:tcPr>
            <w:tcW w:w="4405" w:type="dxa"/>
          </w:tcPr>
          <w:p w14:paraId="7C901BF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10.1.4.2.1</w:t>
            </w:r>
            <w:r w:rsidRPr="008F5C15">
              <w:rPr>
                <w:rFonts w:ascii="Verdana" w:hAnsi="Verdana"/>
                <w:sz w:val="16"/>
                <w:szCs w:val="16"/>
                <w:lang w:val="es-MX"/>
              </w:rPr>
              <w:t xml:space="preserve"> Se debe verificar que los insumos surtidos han sido previamente aprobados por la Unidad de Calidad y tener la fecha de caducidad o reanálisis vigente.</w:t>
            </w:r>
          </w:p>
        </w:tc>
        <w:tc>
          <w:tcPr>
            <w:tcW w:w="4427" w:type="dxa"/>
            <w:shd w:val="clear" w:color="auto" w:fill="auto"/>
          </w:tcPr>
          <w:p w14:paraId="3F8EBE2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10.1.4.2.1</w:t>
            </w:r>
            <w:r w:rsidRPr="008F5C15">
              <w:rPr>
                <w:rFonts w:ascii="Verdana" w:hAnsi="Verdana"/>
                <w:sz w:val="16"/>
                <w:szCs w:val="16"/>
                <w:lang w:val="en-US"/>
              </w:rPr>
              <w:t xml:space="preserve"> It must be verified that the materials supplied have been previously approved by the Quality Unit and have the expiration or re-analysis date valid.</w:t>
            </w:r>
          </w:p>
        </w:tc>
      </w:tr>
      <w:tr w:rsidR="001C6A90" w:rsidRPr="00F70181" w14:paraId="1D251881" w14:textId="77777777" w:rsidTr="00886332">
        <w:tc>
          <w:tcPr>
            <w:tcW w:w="4405" w:type="dxa"/>
          </w:tcPr>
          <w:p w14:paraId="25A4C41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10.1.4.3</w:t>
            </w:r>
            <w:r w:rsidRPr="008F5C15">
              <w:rPr>
                <w:rFonts w:ascii="Verdana" w:hAnsi="Verdana"/>
                <w:sz w:val="16"/>
                <w:szCs w:val="16"/>
                <w:lang w:val="es-MX"/>
              </w:rPr>
              <w:t xml:space="preserve"> Las cantidades a surtir deben corresponder a la orden de producción o acondicionamiento.</w:t>
            </w:r>
          </w:p>
        </w:tc>
        <w:tc>
          <w:tcPr>
            <w:tcW w:w="4427" w:type="dxa"/>
            <w:shd w:val="clear" w:color="auto" w:fill="auto"/>
          </w:tcPr>
          <w:p w14:paraId="3D02528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10.1.4.3 </w:t>
            </w:r>
            <w:r w:rsidRPr="008F5C15">
              <w:rPr>
                <w:rFonts w:ascii="Verdana" w:hAnsi="Verdana"/>
                <w:sz w:val="16"/>
                <w:szCs w:val="16"/>
                <w:lang w:val="en-US"/>
              </w:rPr>
              <w:t>The amounts to be supplied must correspond to the production or conditioning order.</w:t>
            </w:r>
          </w:p>
        </w:tc>
      </w:tr>
      <w:tr w:rsidR="001C6A90" w:rsidRPr="00F70181" w14:paraId="6A8911F0" w14:textId="77777777" w:rsidTr="00886332">
        <w:tc>
          <w:tcPr>
            <w:tcW w:w="4405" w:type="dxa"/>
          </w:tcPr>
          <w:p w14:paraId="3329D25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10.1.4.4</w:t>
            </w:r>
            <w:r w:rsidRPr="008F5C15">
              <w:rPr>
                <w:rFonts w:ascii="Verdana" w:hAnsi="Verdana"/>
                <w:sz w:val="16"/>
                <w:szCs w:val="16"/>
                <w:lang w:val="es-MX"/>
              </w:rPr>
              <w:t xml:space="preserve"> Si un insumo es removido del contenedor original a otro, el nuevo contenedor debe ser identificado de igual manera.</w:t>
            </w:r>
          </w:p>
        </w:tc>
        <w:tc>
          <w:tcPr>
            <w:tcW w:w="4427" w:type="dxa"/>
            <w:shd w:val="clear" w:color="auto" w:fill="auto"/>
          </w:tcPr>
          <w:p w14:paraId="66767C3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10.1.4.4 </w:t>
            </w:r>
            <w:r w:rsidRPr="008F5C15">
              <w:rPr>
                <w:rFonts w:ascii="Verdana" w:hAnsi="Verdana"/>
                <w:sz w:val="16"/>
                <w:szCs w:val="16"/>
                <w:lang w:val="en-US"/>
              </w:rPr>
              <w:t>If material is removed from the original container to another, the new container must be identified in the same way.</w:t>
            </w:r>
          </w:p>
        </w:tc>
      </w:tr>
      <w:tr w:rsidR="001C6A90" w:rsidRPr="00F70181" w14:paraId="1643A319" w14:textId="77777777" w:rsidTr="00886332">
        <w:tc>
          <w:tcPr>
            <w:tcW w:w="4405" w:type="dxa"/>
          </w:tcPr>
          <w:p w14:paraId="278225F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10.1.4.5</w:t>
            </w:r>
            <w:r w:rsidRPr="008F5C15">
              <w:rPr>
                <w:rFonts w:ascii="Verdana" w:hAnsi="Verdana"/>
                <w:sz w:val="16"/>
                <w:szCs w:val="16"/>
                <w:lang w:val="es-MX"/>
              </w:rPr>
              <w:t xml:space="preserve"> Los materiales impresos deben ser almacenados y transportados por separado en contenedores cerrados para evitar mezclas.</w:t>
            </w:r>
          </w:p>
        </w:tc>
        <w:tc>
          <w:tcPr>
            <w:tcW w:w="4427" w:type="dxa"/>
            <w:shd w:val="clear" w:color="auto" w:fill="auto"/>
          </w:tcPr>
          <w:p w14:paraId="46F73F4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10.1.4.5 </w:t>
            </w:r>
            <w:r w:rsidRPr="008F5C15">
              <w:rPr>
                <w:rFonts w:ascii="Verdana" w:hAnsi="Verdana"/>
                <w:sz w:val="16"/>
                <w:szCs w:val="16"/>
                <w:lang w:val="en-US"/>
              </w:rPr>
              <w:t>The printed materials must be stored and transported separately in closed containers to avoid mixing.</w:t>
            </w:r>
          </w:p>
        </w:tc>
      </w:tr>
      <w:tr w:rsidR="001C6A90" w:rsidRPr="00F70181" w14:paraId="13EC929F" w14:textId="77777777" w:rsidTr="00886332">
        <w:tc>
          <w:tcPr>
            <w:tcW w:w="4405" w:type="dxa"/>
          </w:tcPr>
          <w:p w14:paraId="3BD4A5D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10.1.4.6</w:t>
            </w:r>
            <w:r w:rsidRPr="008F5C15">
              <w:rPr>
                <w:rFonts w:ascii="Verdana" w:hAnsi="Verdana"/>
                <w:sz w:val="16"/>
                <w:szCs w:val="16"/>
                <w:lang w:val="es-MX"/>
              </w:rPr>
              <w:t xml:space="preserve"> Los insumos surtidos para la fabricación deben estar separados por lote de producto en el que serán utilizados.</w:t>
            </w:r>
          </w:p>
        </w:tc>
        <w:tc>
          <w:tcPr>
            <w:tcW w:w="4427" w:type="dxa"/>
            <w:shd w:val="clear" w:color="auto" w:fill="auto"/>
          </w:tcPr>
          <w:p w14:paraId="67E9EB1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10.1.4.6 </w:t>
            </w:r>
            <w:r w:rsidRPr="008F5C15">
              <w:rPr>
                <w:rFonts w:ascii="Verdana" w:hAnsi="Verdana"/>
                <w:sz w:val="16"/>
                <w:szCs w:val="16"/>
                <w:lang w:val="en-US"/>
              </w:rPr>
              <w:t>The materials supplied for manufacturing must be separated by lot of product in which they will be used.</w:t>
            </w:r>
          </w:p>
        </w:tc>
      </w:tr>
      <w:tr w:rsidR="001C6A90" w:rsidRPr="00262EF8" w14:paraId="57FAE125" w14:textId="77777777" w:rsidTr="00886332">
        <w:tc>
          <w:tcPr>
            <w:tcW w:w="4405" w:type="dxa"/>
          </w:tcPr>
          <w:p w14:paraId="75C1994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w:t>
            </w:r>
            <w:r w:rsidRPr="008F5C15">
              <w:rPr>
                <w:rFonts w:ascii="Verdana" w:hAnsi="Verdana"/>
                <w:sz w:val="16"/>
                <w:szCs w:val="16"/>
                <w:lang w:val="es-MX"/>
              </w:rPr>
              <w:t xml:space="preserve"> Control de las Operaciones de Fabricación.</w:t>
            </w:r>
          </w:p>
        </w:tc>
        <w:tc>
          <w:tcPr>
            <w:tcW w:w="4427" w:type="dxa"/>
            <w:shd w:val="clear" w:color="auto" w:fill="auto"/>
          </w:tcPr>
          <w:p w14:paraId="1F2134F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 </w:t>
            </w:r>
            <w:r w:rsidRPr="008F5C15">
              <w:rPr>
                <w:rFonts w:ascii="Verdana" w:hAnsi="Verdana"/>
                <w:sz w:val="16"/>
                <w:szCs w:val="16"/>
                <w:lang w:val="en-US"/>
              </w:rPr>
              <w:t>Control of Manufacturing Operations</w:t>
            </w:r>
          </w:p>
        </w:tc>
      </w:tr>
      <w:tr w:rsidR="001C6A90" w:rsidRPr="00F70181" w14:paraId="02B87DAC" w14:textId="77777777" w:rsidTr="00886332">
        <w:tc>
          <w:tcPr>
            <w:tcW w:w="4405" w:type="dxa"/>
          </w:tcPr>
          <w:p w14:paraId="4E9C1F5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10.2.1</w:t>
            </w:r>
            <w:r w:rsidRPr="008F5C15">
              <w:rPr>
                <w:rFonts w:ascii="Verdana" w:hAnsi="Verdana"/>
                <w:sz w:val="16"/>
                <w:szCs w:val="16"/>
                <w:lang w:val="es-MX"/>
              </w:rPr>
              <w:t xml:space="preserve"> Las operaciones de fabricación se deben realizar por personal calificado y supervisado por personal que tenga la experiencia, conocimientos y formación académica que correspondan con la actividad que supervisa.</w:t>
            </w:r>
          </w:p>
        </w:tc>
        <w:tc>
          <w:tcPr>
            <w:tcW w:w="4427" w:type="dxa"/>
            <w:shd w:val="clear" w:color="auto" w:fill="auto"/>
          </w:tcPr>
          <w:p w14:paraId="566BDAD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10.2.1 </w:t>
            </w:r>
            <w:r w:rsidRPr="008F5C15">
              <w:rPr>
                <w:rFonts w:ascii="Verdana" w:hAnsi="Verdana"/>
                <w:sz w:val="16"/>
                <w:szCs w:val="16"/>
                <w:lang w:val="en-US"/>
              </w:rPr>
              <w:t>The manufacturing operations must be performed by qualified personnel and supervised by personnel that has the experience, knowledge and academic formation that corresponds to the activity being supervised.</w:t>
            </w:r>
          </w:p>
        </w:tc>
      </w:tr>
      <w:tr w:rsidR="001C6A90" w:rsidRPr="00F70181" w14:paraId="5A707763" w14:textId="77777777" w:rsidTr="00886332">
        <w:tc>
          <w:tcPr>
            <w:tcW w:w="4405" w:type="dxa"/>
          </w:tcPr>
          <w:p w14:paraId="7AB9EF1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10.2.2</w:t>
            </w:r>
            <w:r w:rsidRPr="008F5C15">
              <w:rPr>
                <w:rFonts w:ascii="Verdana" w:hAnsi="Verdana"/>
                <w:sz w:val="16"/>
                <w:szCs w:val="16"/>
                <w:lang w:val="es-MX"/>
              </w:rPr>
              <w:t xml:space="preserve"> El acceso a las áreas de fabricación debe ser restringido y controlado.</w:t>
            </w:r>
          </w:p>
        </w:tc>
        <w:tc>
          <w:tcPr>
            <w:tcW w:w="4427" w:type="dxa"/>
            <w:shd w:val="clear" w:color="auto" w:fill="auto"/>
          </w:tcPr>
          <w:p w14:paraId="4A16741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10.2.2 </w:t>
            </w:r>
            <w:r w:rsidRPr="008F5C15">
              <w:rPr>
                <w:rFonts w:ascii="Verdana" w:hAnsi="Verdana"/>
                <w:sz w:val="16"/>
                <w:szCs w:val="16"/>
                <w:lang w:val="en-US"/>
              </w:rPr>
              <w:t>Access to manufacturing areas must be restricted and controlled.</w:t>
            </w:r>
          </w:p>
        </w:tc>
      </w:tr>
      <w:tr w:rsidR="001C6A90" w:rsidRPr="00F70181" w14:paraId="7FDA900A" w14:textId="77777777" w:rsidTr="00886332">
        <w:tc>
          <w:tcPr>
            <w:tcW w:w="4405" w:type="dxa"/>
          </w:tcPr>
          <w:p w14:paraId="27A0F36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10.2.2.1</w:t>
            </w:r>
            <w:r w:rsidRPr="008F5C15">
              <w:rPr>
                <w:rFonts w:ascii="Verdana" w:hAnsi="Verdana"/>
                <w:sz w:val="16"/>
                <w:szCs w:val="16"/>
                <w:lang w:val="es-MX"/>
              </w:rPr>
              <w:t xml:space="preserve"> Cuando se fabriquen productos que contengan estupefacientes y psicotrópicos, se deben establecer controles específicos para el personal y manejo del producto.</w:t>
            </w:r>
          </w:p>
        </w:tc>
        <w:tc>
          <w:tcPr>
            <w:tcW w:w="4427" w:type="dxa"/>
            <w:shd w:val="clear" w:color="auto" w:fill="auto"/>
          </w:tcPr>
          <w:p w14:paraId="64A743A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10.2.2.1 </w:t>
            </w:r>
            <w:r w:rsidRPr="008F5C15">
              <w:rPr>
                <w:rFonts w:ascii="Verdana" w:hAnsi="Verdana"/>
                <w:sz w:val="16"/>
                <w:szCs w:val="16"/>
                <w:lang w:val="en-US"/>
              </w:rPr>
              <w:t>When products that contain narcotics and psychotropics are manufactured, specific controls for the personnel and handling of the product must be established.</w:t>
            </w:r>
          </w:p>
        </w:tc>
      </w:tr>
      <w:tr w:rsidR="001C6A90" w:rsidRPr="00F70181" w14:paraId="25BB8BE7" w14:textId="77777777" w:rsidTr="00886332">
        <w:tc>
          <w:tcPr>
            <w:tcW w:w="4405" w:type="dxa"/>
          </w:tcPr>
          <w:p w14:paraId="7ED4C8F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10.2.3</w:t>
            </w:r>
            <w:r w:rsidRPr="008F5C15">
              <w:rPr>
                <w:rFonts w:ascii="Verdana" w:hAnsi="Verdana"/>
                <w:sz w:val="16"/>
                <w:szCs w:val="16"/>
                <w:lang w:val="es-MX"/>
              </w:rPr>
              <w:t xml:space="preserve"> Antes de iniciar la fabricación se debe verificar la limpieza de áreas y equipos y, que no exista materia prima, producto, residuo de producto o documentos de la operación anterior y que no sean requeridos para la operación.</w:t>
            </w:r>
          </w:p>
        </w:tc>
        <w:tc>
          <w:tcPr>
            <w:tcW w:w="4427" w:type="dxa"/>
            <w:shd w:val="clear" w:color="auto" w:fill="auto"/>
          </w:tcPr>
          <w:p w14:paraId="442DA26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10.2.3 </w:t>
            </w:r>
            <w:r w:rsidRPr="008F5C15">
              <w:rPr>
                <w:rFonts w:ascii="Verdana" w:hAnsi="Verdana"/>
                <w:sz w:val="16"/>
                <w:szCs w:val="16"/>
                <w:lang w:val="en-US"/>
              </w:rPr>
              <w:t>Before starting the manufacturing, the cleaning of the areas and equipment must be verified, and that no raw materials, product, residue of product or documents of the previous operation which are not required for the operation exist.</w:t>
            </w:r>
          </w:p>
        </w:tc>
      </w:tr>
      <w:tr w:rsidR="001C6A90" w:rsidRPr="00F70181" w14:paraId="2FA2A24D" w14:textId="77777777" w:rsidTr="00886332">
        <w:tc>
          <w:tcPr>
            <w:tcW w:w="4405" w:type="dxa"/>
          </w:tcPr>
          <w:p w14:paraId="26F2F1E3"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10.2.4</w:t>
            </w:r>
            <w:r w:rsidRPr="008F5C15">
              <w:rPr>
                <w:rFonts w:ascii="Verdana" w:hAnsi="Verdana"/>
                <w:sz w:val="16"/>
                <w:szCs w:val="16"/>
                <w:lang w:val="es-MX"/>
              </w:rPr>
              <w:t xml:space="preserve"> Las áreas de fabricación del medicamento deben mantener las condiciones que correspondan a la clasificación conforme al Apéndice A Normativo de esta Norma.</w:t>
            </w:r>
          </w:p>
        </w:tc>
        <w:tc>
          <w:tcPr>
            <w:tcW w:w="4427" w:type="dxa"/>
            <w:shd w:val="clear" w:color="auto" w:fill="auto"/>
          </w:tcPr>
          <w:p w14:paraId="51366A8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10.2.4 </w:t>
            </w:r>
            <w:r w:rsidRPr="008F5C15">
              <w:rPr>
                <w:rFonts w:ascii="Verdana" w:hAnsi="Verdana"/>
                <w:sz w:val="16"/>
                <w:szCs w:val="16"/>
                <w:lang w:val="en-US"/>
              </w:rPr>
              <w:t>The manufacturing areas of the drug product must maintain the conditions which correspond to the classification in accordance with Obligatory Appendix A of this Standard.</w:t>
            </w:r>
          </w:p>
        </w:tc>
      </w:tr>
      <w:tr w:rsidR="001C6A90" w:rsidRPr="00F70181" w14:paraId="7165E1AF" w14:textId="77777777" w:rsidTr="00886332">
        <w:tc>
          <w:tcPr>
            <w:tcW w:w="4405" w:type="dxa"/>
          </w:tcPr>
          <w:p w14:paraId="0D394036"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10.2.5</w:t>
            </w:r>
            <w:r w:rsidRPr="008F5C15">
              <w:rPr>
                <w:rFonts w:ascii="Verdana" w:hAnsi="Verdana"/>
                <w:sz w:val="16"/>
                <w:szCs w:val="16"/>
                <w:lang w:val="es-MX"/>
              </w:rPr>
              <w:t xml:space="preserve"> Las operaciones de diferentes productos o lotes no deben realizarse simultáneamente o consecutivamente en el mismo cuarto, excepto cuando no exista un riesgo de contaminación cruzada.</w:t>
            </w:r>
          </w:p>
        </w:tc>
        <w:tc>
          <w:tcPr>
            <w:tcW w:w="4427" w:type="dxa"/>
            <w:shd w:val="clear" w:color="auto" w:fill="auto"/>
          </w:tcPr>
          <w:p w14:paraId="6861221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10.2.5 </w:t>
            </w:r>
            <w:r w:rsidRPr="008F5C15">
              <w:rPr>
                <w:rFonts w:ascii="Verdana" w:hAnsi="Verdana"/>
                <w:sz w:val="16"/>
                <w:szCs w:val="16"/>
                <w:lang w:val="en-US"/>
              </w:rPr>
              <w:t>The operations of different products or lots must not be performed simultaneously or consecutively in the same room, except when is no risk of cross contamination exists.</w:t>
            </w:r>
          </w:p>
        </w:tc>
      </w:tr>
      <w:tr w:rsidR="001C6A90" w:rsidRPr="00F70181" w14:paraId="04E74BA7" w14:textId="77777777" w:rsidTr="00886332">
        <w:tc>
          <w:tcPr>
            <w:tcW w:w="4405" w:type="dxa"/>
          </w:tcPr>
          <w:p w14:paraId="6C8FF726"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10.2.6.</w:t>
            </w:r>
            <w:r w:rsidRPr="008F5C15">
              <w:rPr>
                <w:rFonts w:ascii="Verdana" w:hAnsi="Verdana"/>
                <w:sz w:val="16"/>
                <w:szCs w:val="16"/>
                <w:lang w:val="es-MX"/>
              </w:rPr>
              <w:t xml:space="preserve"> El flujo de insumos debe realizarse en una secuencia lógica de tal manera que se prevenga el riesgo de contaminación cruzada.</w:t>
            </w:r>
          </w:p>
        </w:tc>
        <w:tc>
          <w:tcPr>
            <w:tcW w:w="4427" w:type="dxa"/>
            <w:shd w:val="clear" w:color="auto" w:fill="auto"/>
          </w:tcPr>
          <w:p w14:paraId="6A09615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10.2.6 </w:t>
            </w:r>
            <w:r w:rsidRPr="008F5C15">
              <w:rPr>
                <w:rFonts w:ascii="Verdana" w:hAnsi="Verdana"/>
                <w:sz w:val="16"/>
                <w:szCs w:val="16"/>
                <w:lang w:val="en-US"/>
              </w:rPr>
              <w:t>The flow of materials must be performed in a logical sequence, in such a way that it prevents the risk of cross contamination.</w:t>
            </w:r>
          </w:p>
        </w:tc>
      </w:tr>
      <w:tr w:rsidR="001C6A90" w:rsidRPr="00F70181" w14:paraId="476B2DF8" w14:textId="77777777" w:rsidTr="00886332">
        <w:tc>
          <w:tcPr>
            <w:tcW w:w="4405" w:type="dxa"/>
          </w:tcPr>
          <w:p w14:paraId="384DF65F"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10.2.7</w:t>
            </w:r>
            <w:r w:rsidRPr="008F5C15">
              <w:rPr>
                <w:rFonts w:ascii="Verdana" w:hAnsi="Verdana"/>
                <w:sz w:val="16"/>
                <w:szCs w:val="16"/>
                <w:lang w:val="es-MX"/>
              </w:rPr>
              <w:t xml:space="preserve"> Se deben establecer medidas durante las operaciones de fabricación que minimicen el riesgo de contaminación cruzada.</w:t>
            </w:r>
          </w:p>
        </w:tc>
        <w:tc>
          <w:tcPr>
            <w:tcW w:w="4427" w:type="dxa"/>
            <w:shd w:val="clear" w:color="auto" w:fill="auto"/>
          </w:tcPr>
          <w:p w14:paraId="21F176E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10.2.7</w:t>
            </w:r>
            <w:r w:rsidRPr="008F5C15">
              <w:rPr>
                <w:rFonts w:ascii="Verdana" w:hAnsi="Verdana"/>
                <w:sz w:val="16"/>
                <w:szCs w:val="16"/>
                <w:lang w:val="en-US"/>
              </w:rPr>
              <w:t xml:space="preserve"> Measures that minimize the risk of cross contamination must be established during manufacturing operations.</w:t>
            </w:r>
          </w:p>
        </w:tc>
      </w:tr>
      <w:tr w:rsidR="001C6A90" w:rsidRPr="00F70181" w14:paraId="05E11CE0" w14:textId="77777777" w:rsidTr="00886332">
        <w:tc>
          <w:tcPr>
            <w:tcW w:w="4405" w:type="dxa"/>
          </w:tcPr>
          <w:p w14:paraId="75CF69D1"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10.2.8</w:t>
            </w:r>
            <w:r w:rsidRPr="008F5C15">
              <w:rPr>
                <w:rFonts w:ascii="Verdana" w:hAnsi="Verdana"/>
                <w:sz w:val="16"/>
                <w:szCs w:val="16"/>
                <w:lang w:val="es-MX"/>
              </w:rPr>
              <w:t xml:space="preserve"> En cada etapa del proceso se deben proteger de contaminación microbiana o de otro tipo, a los productos y/o materiales.</w:t>
            </w:r>
          </w:p>
        </w:tc>
        <w:tc>
          <w:tcPr>
            <w:tcW w:w="4427" w:type="dxa"/>
            <w:shd w:val="clear" w:color="auto" w:fill="auto"/>
          </w:tcPr>
          <w:p w14:paraId="311B784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10.2.8 </w:t>
            </w:r>
            <w:r w:rsidRPr="008F5C15">
              <w:rPr>
                <w:rFonts w:ascii="Verdana" w:hAnsi="Verdana"/>
                <w:sz w:val="16"/>
                <w:szCs w:val="16"/>
                <w:lang w:val="en-US"/>
              </w:rPr>
              <w:t>At each stage of the process products and/or materials must be protected from microbial contamination or contamination of another type.</w:t>
            </w:r>
          </w:p>
        </w:tc>
      </w:tr>
      <w:tr w:rsidR="001C6A90" w:rsidRPr="00F70181" w14:paraId="3B541695" w14:textId="77777777" w:rsidTr="00886332">
        <w:tc>
          <w:tcPr>
            <w:tcW w:w="4405" w:type="dxa"/>
          </w:tcPr>
          <w:p w14:paraId="281D66E3"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10.2.9</w:t>
            </w:r>
            <w:r w:rsidRPr="008F5C15">
              <w:rPr>
                <w:rFonts w:ascii="Verdana" w:hAnsi="Verdana"/>
                <w:sz w:val="16"/>
                <w:szCs w:val="16"/>
                <w:lang w:val="es-MX"/>
              </w:rPr>
              <w:t xml:space="preserve"> Se deben establecer controles que aseguren que los productos fabricados no contengan residuos de metales provenientes del proceso.</w:t>
            </w:r>
          </w:p>
        </w:tc>
        <w:tc>
          <w:tcPr>
            <w:tcW w:w="4427" w:type="dxa"/>
            <w:shd w:val="clear" w:color="auto" w:fill="auto"/>
          </w:tcPr>
          <w:p w14:paraId="0B00DE1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10.2.9 </w:t>
            </w:r>
            <w:r w:rsidRPr="008F5C15">
              <w:rPr>
                <w:rFonts w:ascii="Verdana" w:hAnsi="Verdana"/>
                <w:sz w:val="16"/>
                <w:szCs w:val="16"/>
                <w:lang w:val="en-US"/>
              </w:rPr>
              <w:t>Controls which assure that manufactured products do not contain metal residues from metals involved in the process must be established.</w:t>
            </w:r>
          </w:p>
        </w:tc>
      </w:tr>
      <w:tr w:rsidR="001C6A90" w:rsidRPr="00F70181" w14:paraId="1088C446" w14:textId="77777777" w:rsidTr="00886332">
        <w:tc>
          <w:tcPr>
            <w:tcW w:w="4405" w:type="dxa"/>
          </w:tcPr>
          <w:p w14:paraId="23F314E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10.2.10</w:t>
            </w:r>
            <w:r w:rsidRPr="008F5C15">
              <w:rPr>
                <w:rFonts w:ascii="Verdana" w:hAnsi="Verdana"/>
                <w:sz w:val="16"/>
                <w:szCs w:val="16"/>
                <w:lang w:val="es-MX"/>
              </w:rPr>
              <w:t xml:space="preserve"> Los envases primarios se deben utilizar limpios.</w:t>
            </w:r>
          </w:p>
        </w:tc>
        <w:tc>
          <w:tcPr>
            <w:tcW w:w="4427" w:type="dxa"/>
            <w:shd w:val="clear" w:color="auto" w:fill="auto"/>
          </w:tcPr>
          <w:p w14:paraId="3F75429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10.2.10 </w:t>
            </w:r>
            <w:r w:rsidRPr="008F5C15">
              <w:rPr>
                <w:rFonts w:ascii="Verdana" w:hAnsi="Verdana"/>
                <w:sz w:val="16"/>
                <w:szCs w:val="16"/>
                <w:lang w:val="en-US"/>
              </w:rPr>
              <w:t>The primary containers must be clean when used.</w:t>
            </w:r>
          </w:p>
        </w:tc>
      </w:tr>
      <w:tr w:rsidR="001C6A90" w:rsidRPr="00F70181" w14:paraId="794D4A69" w14:textId="77777777" w:rsidTr="00886332">
        <w:tc>
          <w:tcPr>
            <w:tcW w:w="4405" w:type="dxa"/>
          </w:tcPr>
          <w:p w14:paraId="69DE58F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10.2.10.1</w:t>
            </w:r>
            <w:r w:rsidRPr="008F5C15">
              <w:rPr>
                <w:rFonts w:ascii="Verdana" w:hAnsi="Verdana"/>
                <w:sz w:val="16"/>
                <w:szCs w:val="16"/>
                <w:lang w:val="es-MX"/>
              </w:rPr>
              <w:t xml:space="preserve"> Las operaciones de lavado y sopleteado se deben establecer o referenciar en las instrucciones de producción y controlarse.</w:t>
            </w:r>
          </w:p>
        </w:tc>
        <w:tc>
          <w:tcPr>
            <w:tcW w:w="4427" w:type="dxa"/>
            <w:shd w:val="clear" w:color="auto" w:fill="auto"/>
          </w:tcPr>
          <w:p w14:paraId="1208DE8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10.2.10.1 </w:t>
            </w:r>
            <w:r w:rsidRPr="008F5C15">
              <w:rPr>
                <w:rFonts w:ascii="Verdana" w:hAnsi="Verdana"/>
                <w:sz w:val="16"/>
                <w:szCs w:val="16"/>
                <w:lang w:val="en-US"/>
              </w:rPr>
              <w:t>The cleaning and air blasting operations must be established or referenced in the production instructions and be controlled.</w:t>
            </w:r>
          </w:p>
        </w:tc>
      </w:tr>
      <w:tr w:rsidR="001C6A90" w:rsidRPr="00F70181" w14:paraId="38891189" w14:textId="77777777" w:rsidTr="00886332">
        <w:tc>
          <w:tcPr>
            <w:tcW w:w="4405" w:type="dxa"/>
          </w:tcPr>
          <w:p w14:paraId="252CA3E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10.2.11</w:t>
            </w:r>
            <w:r w:rsidRPr="008F5C15">
              <w:rPr>
                <w:rFonts w:ascii="Verdana" w:hAnsi="Verdana"/>
                <w:sz w:val="16"/>
                <w:szCs w:val="16"/>
                <w:lang w:val="es-MX"/>
              </w:rPr>
              <w:t xml:space="preserve"> Cuando se trabaje con materiales y productos secos, se deben tener precauciones para prevenir la generación y diseminación de polvo.</w:t>
            </w:r>
          </w:p>
        </w:tc>
        <w:tc>
          <w:tcPr>
            <w:tcW w:w="4427" w:type="dxa"/>
            <w:shd w:val="clear" w:color="auto" w:fill="auto"/>
          </w:tcPr>
          <w:p w14:paraId="3C98448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10.2.11 </w:t>
            </w:r>
            <w:r w:rsidRPr="008F5C15">
              <w:rPr>
                <w:rFonts w:ascii="Verdana" w:hAnsi="Verdana"/>
                <w:sz w:val="16"/>
                <w:szCs w:val="16"/>
                <w:lang w:val="en-US"/>
              </w:rPr>
              <w:t>When work is done with dry materials and products, precautions must be taken to prevent the generation and dissemination of dust.</w:t>
            </w:r>
          </w:p>
        </w:tc>
      </w:tr>
      <w:tr w:rsidR="001C6A90" w:rsidRPr="00F70181" w14:paraId="39A217FF" w14:textId="77777777" w:rsidTr="00886332">
        <w:tc>
          <w:tcPr>
            <w:tcW w:w="4405" w:type="dxa"/>
          </w:tcPr>
          <w:p w14:paraId="7D72743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10.2.12</w:t>
            </w:r>
            <w:r w:rsidRPr="008F5C15">
              <w:rPr>
                <w:rFonts w:ascii="Verdana" w:hAnsi="Verdana"/>
                <w:sz w:val="16"/>
                <w:szCs w:val="16"/>
                <w:lang w:val="es-MX"/>
              </w:rPr>
              <w:t xml:space="preserve"> Todos los materiales, contenedores, equipos y áreas utilizadas, deben ser identificados con los datos del producto, el número de lote y la etapa de fabricación.</w:t>
            </w:r>
          </w:p>
        </w:tc>
        <w:tc>
          <w:tcPr>
            <w:tcW w:w="4427" w:type="dxa"/>
            <w:shd w:val="clear" w:color="auto" w:fill="auto"/>
          </w:tcPr>
          <w:p w14:paraId="2AE1F5D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10.2.12 </w:t>
            </w:r>
            <w:r w:rsidRPr="008F5C15">
              <w:rPr>
                <w:rFonts w:ascii="Verdana" w:hAnsi="Verdana"/>
                <w:sz w:val="16"/>
                <w:szCs w:val="16"/>
                <w:lang w:val="en-US"/>
              </w:rPr>
              <w:t>All the materials, containers, equipment and areas used must be identified with the product information, lot number and the manufacturing stage.</w:t>
            </w:r>
          </w:p>
        </w:tc>
      </w:tr>
      <w:tr w:rsidR="001C6A90" w:rsidRPr="00F70181" w14:paraId="25292CC4" w14:textId="77777777" w:rsidTr="00886332">
        <w:tc>
          <w:tcPr>
            <w:tcW w:w="4405" w:type="dxa"/>
          </w:tcPr>
          <w:p w14:paraId="1A7F5D0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10.2.13</w:t>
            </w:r>
            <w:r w:rsidRPr="008F5C15">
              <w:rPr>
                <w:rFonts w:ascii="Verdana" w:hAnsi="Verdana"/>
                <w:sz w:val="16"/>
                <w:szCs w:val="16"/>
                <w:lang w:val="es-MX"/>
              </w:rPr>
              <w:t xml:space="preserve"> Cada lote de producto se debe controlar desde el surtido mediante la orden de producción o acondicionamiento.</w:t>
            </w:r>
          </w:p>
        </w:tc>
        <w:tc>
          <w:tcPr>
            <w:tcW w:w="4427" w:type="dxa"/>
            <w:shd w:val="clear" w:color="auto" w:fill="auto"/>
          </w:tcPr>
          <w:p w14:paraId="232031F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10.2.13 </w:t>
            </w:r>
            <w:r w:rsidRPr="008F5C15">
              <w:rPr>
                <w:rFonts w:ascii="Verdana" w:hAnsi="Verdana"/>
                <w:sz w:val="16"/>
                <w:szCs w:val="16"/>
                <w:lang w:val="en-US"/>
              </w:rPr>
              <w:t>Each lot of product must be controlled from the supply of materials through the production or conditioning order.</w:t>
            </w:r>
          </w:p>
        </w:tc>
      </w:tr>
      <w:tr w:rsidR="001C6A90" w:rsidRPr="00F70181" w14:paraId="6A139C01" w14:textId="77777777" w:rsidTr="00886332">
        <w:tc>
          <w:tcPr>
            <w:tcW w:w="4405" w:type="dxa"/>
          </w:tcPr>
          <w:p w14:paraId="37A72DD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10.2.14</w:t>
            </w:r>
            <w:r w:rsidRPr="008F5C15">
              <w:rPr>
                <w:rFonts w:ascii="Verdana" w:hAnsi="Verdana"/>
                <w:sz w:val="16"/>
                <w:szCs w:val="16"/>
                <w:lang w:val="es-MX"/>
              </w:rPr>
              <w:t xml:space="preserve"> Cuando se requiera efectuar ajustes de la cantidad a surtir, en función de la potencia de los fármacos, debe calcularse y aprobarse por personal </w:t>
            </w:r>
            <w:r w:rsidRPr="008F5C15">
              <w:rPr>
                <w:rFonts w:ascii="Verdana" w:hAnsi="Verdana"/>
                <w:sz w:val="16"/>
                <w:szCs w:val="16"/>
                <w:lang w:val="es-MX"/>
              </w:rPr>
              <w:lastRenderedPageBreak/>
              <w:t>autorizado y quedar documentado en la orden de producción.</w:t>
            </w:r>
          </w:p>
        </w:tc>
        <w:tc>
          <w:tcPr>
            <w:tcW w:w="4427" w:type="dxa"/>
            <w:shd w:val="clear" w:color="auto" w:fill="auto"/>
          </w:tcPr>
          <w:p w14:paraId="2396C51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10.2.14 </w:t>
            </w:r>
            <w:r w:rsidRPr="008F5C15">
              <w:rPr>
                <w:rFonts w:ascii="Verdana" w:hAnsi="Verdana"/>
                <w:sz w:val="16"/>
                <w:szCs w:val="16"/>
                <w:lang w:val="en-US"/>
              </w:rPr>
              <w:t xml:space="preserve">When it is necessary to perform adjustments of the amount to supply, depending on the potency of the drug substances, it must be </w:t>
            </w:r>
            <w:r w:rsidRPr="008F5C15">
              <w:rPr>
                <w:rFonts w:ascii="Verdana" w:hAnsi="Verdana"/>
                <w:sz w:val="16"/>
                <w:szCs w:val="16"/>
                <w:lang w:val="en-US"/>
              </w:rPr>
              <w:lastRenderedPageBreak/>
              <w:t>calculated and approved by authorized personnel and be documented in the production order.</w:t>
            </w:r>
          </w:p>
        </w:tc>
      </w:tr>
      <w:tr w:rsidR="001C6A90" w:rsidRPr="00F70181" w14:paraId="603D0D2B" w14:textId="77777777" w:rsidTr="00886332">
        <w:tc>
          <w:tcPr>
            <w:tcW w:w="4405" w:type="dxa"/>
          </w:tcPr>
          <w:p w14:paraId="0D54C95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10.2.15</w:t>
            </w:r>
            <w:r w:rsidRPr="008F5C15">
              <w:rPr>
                <w:rFonts w:ascii="Verdana" w:hAnsi="Verdana"/>
                <w:sz w:val="16"/>
                <w:szCs w:val="16"/>
                <w:lang w:val="es-MX"/>
              </w:rPr>
              <w:t xml:space="preserve"> El uso de documentos dentro de las áreas de producción no debe representar un riesgo a la calidad del producto y al personal.</w:t>
            </w:r>
          </w:p>
        </w:tc>
        <w:tc>
          <w:tcPr>
            <w:tcW w:w="4427" w:type="dxa"/>
            <w:shd w:val="clear" w:color="auto" w:fill="auto"/>
          </w:tcPr>
          <w:p w14:paraId="08BD464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10.2.15 </w:t>
            </w:r>
            <w:r w:rsidRPr="008F5C15">
              <w:rPr>
                <w:rFonts w:ascii="Verdana" w:hAnsi="Verdana"/>
                <w:sz w:val="16"/>
                <w:szCs w:val="16"/>
                <w:lang w:val="en-US"/>
              </w:rPr>
              <w:t>The use of documents within production areas must not represent a risk to the quality of the product or to the personnel.</w:t>
            </w:r>
          </w:p>
        </w:tc>
      </w:tr>
      <w:tr w:rsidR="001C6A90" w:rsidRPr="00F70181" w14:paraId="25F13BC1" w14:textId="77777777" w:rsidTr="00886332">
        <w:tc>
          <w:tcPr>
            <w:tcW w:w="4405" w:type="dxa"/>
          </w:tcPr>
          <w:p w14:paraId="212F177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10.2.16</w:t>
            </w:r>
            <w:r w:rsidRPr="008F5C15">
              <w:rPr>
                <w:rFonts w:ascii="Verdana" w:hAnsi="Verdana"/>
                <w:sz w:val="16"/>
                <w:szCs w:val="16"/>
                <w:lang w:val="es-MX"/>
              </w:rPr>
              <w:t xml:space="preserve"> La adición y el orden de los insumos durante la fabricación debe realizarse y verificarse de acuerdo a las instrucciones de fabricación.</w:t>
            </w:r>
          </w:p>
        </w:tc>
        <w:tc>
          <w:tcPr>
            <w:tcW w:w="4427" w:type="dxa"/>
            <w:shd w:val="clear" w:color="auto" w:fill="auto"/>
          </w:tcPr>
          <w:p w14:paraId="26A513B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10.2.16 </w:t>
            </w:r>
            <w:r w:rsidRPr="008F5C15">
              <w:rPr>
                <w:rFonts w:ascii="Verdana" w:hAnsi="Verdana"/>
                <w:sz w:val="16"/>
                <w:szCs w:val="16"/>
                <w:lang w:val="en-US"/>
              </w:rPr>
              <w:t>The addition and the order of materials during manufacturing must be performed and verified in accordance with the manufacturing instructions.</w:t>
            </w:r>
          </w:p>
        </w:tc>
      </w:tr>
      <w:tr w:rsidR="001C6A90" w:rsidRPr="00F70181" w14:paraId="70D4207B" w14:textId="77777777" w:rsidTr="00886332">
        <w:tc>
          <w:tcPr>
            <w:tcW w:w="4405" w:type="dxa"/>
          </w:tcPr>
          <w:p w14:paraId="328E156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10.2.17</w:t>
            </w:r>
            <w:r w:rsidRPr="008F5C15">
              <w:rPr>
                <w:rFonts w:ascii="Verdana" w:hAnsi="Verdana"/>
                <w:sz w:val="16"/>
                <w:szCs w:val="16"/>
                <w:lang w:val="es-MX"/>
              </w:rPr>
              <w:t xml:space="preserve"> La realización de controles en proceso durante la producción no debe afectar al proceso ni poner en riesgo la calidad del producto y al personal.</w:t>
            </w:r>
          </w:p>
        </w:tc>
        <w:tc>
          <w:tcPr>
            <w:tcW w:w="4427" w:type="dxa"/>
            <w:shd w:val="clear" w:color="auto" w:fill="auto"/>
          </w:tcPr>
          <w:p w14:paraId="0FD81CC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10.2.17 </w:t>
            </w:r>
            <w:r w:rsidRPr="008F5C15">
              <w:rPr>
                <w:rFonts w:ascii="Verdana" w:hAnsi="Verdana"/>
                <w:sz w:val="16"/>
                <w:szCs w:val="16"/>
                <w:lang w:val="en-US"/>
              </w:rPr>
              <w:t>The performance of in-process controls during the production must not affect the process or put under risk the quality the product or the personnel.</w:t>
            </w:r>
          </w:p>
        </w:tc>
      </w:tr>
      <w:tr w:rsidR="001C6A90" w:rsidRPr="00F70181" w14:paraId="7B950327" w14:textId="77777777" w:rsidTr="00886332">
        <w:tc>
          <w:tcPr>
            <w:tcW w:w="4405" w:type="dxa"/>
          </w:tcPr>
          <w:p w14:paraId="14EEFF0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10.2.18</w:t>
            </w:r>
            <w:r w:rsidRPr="008F5C15">
              <w:rPr>
                <w:rFonts w:ascii="Verdana" w:hAnsi="Verdana"/>
                <w:sz w:val="16"/>
                <w:szCs w:val="16"/>
                <w:lang w:val="es-MX"/>
              </w:rPr>
              <w:t xml:space="preserve"> Los resultados de las pruebas y análisis realizados para el control del proceso, deben registrarse o anexarse al expediente de producción o acondicionamiento.</w:t>
            </w:r>
          </w:p>
        </w:tc>
        <w:tc>
          <w:tcPr>
            <w:tcW w:w="4427" w:type="dxa"/>
            <w:shd w:val="clear" w:color="auto" w:fill="auto"/>
          </w:tcPr>
          <w:p w14:paraId="2FB987A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10.2.18 </w:t>
            </w:r>
            <w:r w:rsidRPr="008F5C15">
              <w:rPr>
                <w:rFonts w:ascii="Verdana" w:hAnsi="Verdana"/>
                <w:sz w:val="16"/>
                <w:szCs w:val="16"/>
                <w:lang w:val="en-US"/>
              </w:rPr>
              <w:t>The results of tests and analysis performed for the control of the process, must be recorded or added to the production or conditioning file.</w:t>
            </w:r>
          </w:p>
        </w:tc>
      </w:tr>
      <w:tr w:rsidR="001C6A90" w:rsidRPr="00F70181" w14:paraId="20D9C03C" w14:textId="77777777" w:rsidTr="00886332">
        <w:tc>
          <w:tcPr>
            <w:tcW w:w="4405" w:type="dxa"/>
          </w:tcPr>
          <w:p w14:paraId="1EA6DCF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10.2.19</w:t>
            </w:r>
            <w:r w:rsidRPr="008F5C15">
              <w:rPr>
                <w:rFonts w:ascii="Verdana" w:hAnsi="Verdana"/>
                <w:sz w:val="16"/>
                <w:szCs w:val="16"/>
                <w:lang w:val="es-MX"/>
              </w:rPr>
              <w:t xml:space="preserve"> Cualquier desviación en los rendimientos indicados en la orden de producción o acondicionamiento, deben ser investigados antes de la liberación del lote.</w:t>
            </w:r>
          </w:p>
        </w:tc>
        <w:tc>
          <w:tcPr>
            <w:tcW w:w="4427" w:type="dxa"/>
            <w:shd w:val="clear" w:color="auto" w:fill="auto"/>
          </w:tcPr>
          <w:p w14:paraId="0276C11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10.2.19 </w:t>
            </w:r>
            <w:r w:rsidRPr="008F5C15">
              <w:rPr>
                <w:rFonts w:ascii="Verdana" w:hAnsi="Verdana"/>
                <w:sz w:val="16"/>
                <w:szCs w:val="16"/>
                <w:lang w:val="en-US"/>
              </w:rPr>
              <w:t>Any deviation in the yields indicated in the production or conditioning order must be investigated before the release of the lot.</w:t>
            </w:r>
          </w:p>
        </w:tc>
      </w:tr>
      <w:tr w:rsidR="001C6A90" w:rsidRPr="00F70181" w14:paraId="1F1258A3" w14:textId="77777777" w:rsidTr="00886332">
        <w:tc>
          <w:tcPr>
            <w:tcW w:w="4405" w:type="dxa"/>
          </w:tcPr>
          <w:p w14:paraId="5CB0787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10.2.20</w:t>
            </w:r>
            <w:r w:rsidRPr="008F5C15">
              <w:rPr>
                <w:rFonts w:ascii="Verdana" w:hAnsi="Verdana"/>
                <w:sz w:val="16"/>
                <w:szCs w:val="16"/>
                <w:lang w:val="es-MX"/>
              </w:rPr>
              <w:t xml:space="preserve"> Deben establecerse los tiempos para cada etapa crítica del proceso de producción y cuando el producto no continúe inmediatamente a la siguiente etapa se deben especificar sus condiciones y periodo máximo de almacenamiento o de espera.</w:t>
            </w:r>
          </w:p>
        </w:tc>
        <w:tc>
          <w:tcPr>
            <w:tcW w:w="4427" w:type="dxa"/>
            <w:shd w:val="clear" w:color="auto" w:fill="auto"/>
          </w:tcPr>
          <w:p w14:paraId="790A66B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10.2.20 </w:t>
            </w:r>
            <w:r w:rsidRPr="008F5C15">
              <w:rPr>
                <w:rFonts w:ascii="Verdana" w:hAnsi="Verdana"/>
                <w:sz w:val="16"/>
                <w:szCs w:val="16"/>
                <w:lang w:val="en-US"/>
              </w:rPr>
              <w:t>The time frames for each critical stage of the production process must be established and when the product does not immediately continue to the following stage, its condition and maximum storage period must be specified.</w:t>
            </w:r>
          </w:p>
        </w:tc>
      </w:tr>
      <w:tr w:rsidR="001C6A90" w:rsidRPr="00F70181" w14:paraId="1CB3981D" w14:textId="77777777" w:rsidTr="00886332">
        <w:tc>
          <w:tcPr>
            <w:tcW w:w="4405" w:type="dxa"/>
          </w:tcPr>
          <w:p w14:paraId="1DDF31D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10.2.21</w:t>
            </w:r>
            <w:r w:rsidRPr="008F5C15">
              <w:rPr>
                <w:rFonts w:ascii="Verdana" w:hAnsi="Verdana"/>
                <w:sz w:val="16"/>
                <w:szCs w:val="16"/>
                <w:lang w:val="es-MX"/>
              </w:rPr>
              <w:t xml:space="preserve"> En caso de que se requiera un mantenimiento durante la fabricación deben establecerse los procedimientos que describan las medidas para prevenir la afectación a las características de calidad de los insumos, productos y condiciones de las áreas.</w:t>
            </w:r>
          </w:p>
        </w:tc>
        <w:tc>
          <w:tcPr>
            <w:tcW w:w="4427" w:type="dxa"/>
            <w:shd w:val="clear" w:color="auto" w:fill="auto"/>
          </w:tcPr>
          <w:p w14:paraId="1688E48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10.2.21 </w:t>
            </w:r>
            <w:r w:rsidRPr="008F5C15">
              <w:rPr>
                <w:rFonts w:ascii="Verdana" w:hAnsi="Verdana"/>
                <w:sz w:val="16"/>
                <w:szCs w:val="16"/>
                <w:lang w:val="en-US"/>
              </w:rPr>
              <w:t>In the event that maintenance is required during manufacturing, the procedures which describe the measures to prevent the effects on the quality characteristics of the materials, products and conditions of the areas must be established.</w:t>
            </w:r>
          </w:p>
        </w:tc>
      </w:tr>
      <w:tr w:rsidR="001C6A90" w:rsidRPr="00F70181" w14:paraId="1A8D9D6F" w14:textId="77777777" w:rsidTr="00886332">
        <w:tc>
          <w:tcPr>
            <w:tcW w:w="4405" w:type="dxa"/>
          </w:tcPr>
          <w:p w14:paraId="30DF433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10.2.22</w:t>
            </w:r>
            <w:r w:rsidRPr="008F5C15">
              <w:rPr>
                <w:rFonts w:ascii="Verdana" w:hAnsi="Verdana"/>
                <w:sz w:val="16"/>
                <w:szCs w:val="16"/>
                <w:lang w:val="es-MX"/>
              </w:rPr>
              <w:t xml:space="preserve"> El producto terminado se considera en cuarentena hasta que sean efectuados todos sus análisis y sea liberado por la Unidad de Calidad.</w:t>
            </w:r>
          </w:p>
        </w:tc>
        <w:tc>
          <w:tcPr>
            <w:tcW w:w="4427" w:type="dxa"/>
            <w:shd w:val="clear" w:color="auto" w:fill="auto"/>
          </w:tcPr>
          <w:p w14:paraId="00215A3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10.2.22 </w:t>
            </w:r>
            <w:r w:rsidRPr="008F5C15">
              <w:rPr>
                <w:rFonts w:ascii="Verdana" w:hAnsi="Verdana"/>
                <w:sz w:val="16"/>
                <w:szCs w:val="16"/>
                <w:lang w:val="en-US"/>
              </w:rPr>
              <w:t>The finished product is considered under quarantine until all their analyses have been performed and it is released by the Quality Unit.</w:t>
            </w:r>
          </w:p>
        </w:tc>
      </w:tr>
      <w:tr w:rsidR="001C6A90" w:rsidRPr="00F70181" w14:paraId="74CC6F07" w14:textId="77777777" w:rsidTr="00886332">
        <w:tc>
          <w:tcPr>
            <w:tcW w:w="4405" w:type="dxa"/>
          </w:tcPr>
          <w:p w14:paraId="45DD756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10.3</w:t>
            </w:r>
            <w:r w:rsidRPr="008F5C15">
              <w:rPr>
                <w:rFonts w:ascii="Verdana" w:hAnsi="Verdana"/>
                <w:sz w:val="16"/>
                <w:szCs w:val="16"/>
                <w:lang w:val="es-MX"/>
              </w:rPr>
              <w:t xml:space="preserve"> Sistemas de producción de productos no estériles.</w:t>
            </w:r>
          </w:p>
        </w:tc>
        <w:tc>
          <w:tcPr>
            <w:tcW w:w="4427" w:type="dxa"/>
            <w:shd w:val="clear" w:color="auto" w:fill="auto"/>
          </w:tcPr>
          <w:p w14:paraId="5BEED77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10.3 </w:t>
            </w:r>
            <w:r w:rsidRPr="008F5C15">
              <w:rPr>
                <w:rFonts w:ascii="Verdana" w:hAnsi="Verdana"/>
                <w:sz w:val="16"/>
                <w:szCs w:val="16"/>
                <w:lang w:val="en-US"/>
              </w:rPr>
              <w:t>The production systems of non-sterile products.</w:t>
            </w:r>
          </w:p>
        </w:tc>
      </w:tr>
      <w:tr w:rsidR="001C6A90" w:rsidRPr="00F70181" w14:paraId="59B37776" w14:textId="77777777" w:rsidTr="00886332">
        <w:tc>
          <w:tcPr>
            <w:tcW w:w="4405" w:type="dxa"/>
          </w:tcPr>
          <w:p w14:paraId="61CC635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10.3.1</w:t>
            </w:r>
            <w:r w:rsidRPr="008F5C15">
              <w:rPr>
                <w:rFonts w:ascii="Verdana" w:hAnsi="Verdana"/>
                <w:sz w:val="16"/>
                <w:szCs w:val="16"/>
                <w:lang w:val="es-MX"/>
              </w:rPr>
              <w:t xml:space="preserve"> Deben existir controles que prevengan la contaminación cruzada en los accesorios como mangas, matrices y filtros de los equipos que estén en contacto con el producto. Con base en una evaluación del riesgo y la validación de limpieza, se debe determinar el uso dedicado de éstos.</w:t>
            </w:r>
          </w:p>
        </w:tc>
        <w:tc>
          <w:tcPr>
            <w:tcW w:w="4427" w:type="dxa"/>
            <w:shd w:val="clear" w:color="auto" w:fill="auto"/>
          </w:tcPr>
          <w:p w14:paraId="790BEDE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10.3.1 </w:t>
            </w:r>
            <w:r w:rsidRPr="008F5C15">
              <w:rPr>
                <w:rFonts w:ascii="Verdana" w:hAnsi="Verdana"/>
                <w:sz w:val="16"/>
                <w:szCs w:val="16"/>
                <w:lang w:val="en-US"/>
              </w:rPr>
              <w:t>There must be controls which prevent cross contamination in the accessories such as sleeve accessories, matrices and filters of equipment in contact with the product. Based on a risk assessment and the cleaning validation, the dedicated use of these must be determined.</w:t>
            </w:r>
          </w:p>
        </w:tc>
      </w:tr>
      <w:tr w:rsidR="001C6A90" w:rsidRPr="00F70181" w14:paraId="070D137E" w14:textId="77777777" w:rsidTr="00886332">
        <w:tc>
          <w:tcPr>
            <w:tcW w:w="4405" w:type="dxa"/>
          </w:tcPr>
          <w:p w14:paraId="54FAC61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10.3.2</w:t>
            </w:r>
            <w:r w:rsidRPr="008F5C15">
              <w:rPr>
                <w:rFonts w:ascii="Verdana" w:hAnsi="Verdana"/>
                <w:sz w:val="16"/>
                <w:szCs w:val="16"/>
                <w:lang w:val="es-MX"/>
              </w:rPr>
              <w:t xml:space="preserve"> Para mantener la trazabilidad y la funcionalidad se debe contar con un registro del uso e inspección del estado que guardan los tamices, dosificadores, punzones y matrices.</w:t>
            </w:r>
          </w:p>
        </w:tc>
        <w:tc>
          <w:tcPr>
            <w:tcW w:w="4427" w:type="dxa"/>
            <w:shd w:val="clear" w:color="auto" w:fill="auto"/>
          </w:tcPr>
          <w:p w14:paraId="338EC44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10.3.2 </w:t>
            </w:r>
            <w:r w:rsidRPr="008F5C15">
              <w:rPr>
                <w:rFonts w:ascii="Verdana" w:hAnsi="Verdana"/>
                <w:sz w:val="16"/>
                <w:szCs w:val="16"/>
                <w:lang w:val="en-US"/>
              </w:rPr>
              <w:t>To maintain traceability and functionality there must be a record of usage and inspection of the state of strainers, dosing devices, punches and matrices.</w:t>
            </w:r>
          </w:p>
        </w:tc>
      </w:tr>
      <w:tr w:rsidR="001C6A90" w:rsidRPr="00F70181" w14:paraId="380A6C94" w14:textId="77777777" w:rsidTr="00886332">
        <w:tc>
          <w:tcPr>
            <w:tcW w:w="4405" w:type="dxa"/>
          </w:tcPr>
          <w:p w14:paraId="1BB17CA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10.3.3</w:t>
            </w:r>
            <w:r w:rsidRPr="008F5C15">
              <w:rPr>
                <w:rFonts w:ascii="Verdana" w:hAnsi="Verdana"/>
                <w:sz w:val="16"/>
                <w:szCs w:val="16"/>
                <w:lang w:val="es-MX"/>
              </w:rPr>
              <w:t xml:space="preserve"> Los sistemas de alimentación y dosificación deben diseñarse de tal manera que minimicen la exposición de los insumos al ambiente.</w:t>
            </w:r>
          </w:p>
        </w:tc>
        <w:tc>
          <w:tcPr>
            <w:tcW w:w="4427" w:type="dxa"/>
            <w:shd w:val="clear" w:color="auto" w:fill="auto"/>
          </w:tcPr>
          <w:p w14:paraId="0306D44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10.3.3 </w:t>
            </w:r>
            <w:r w:rsidRPr="008F5C15">
              <w:rPr>
                <w:rFonts w:ascii="Verdana" w:hAnsi="Verdana"/>
                <w:sz w:val="16"/>
                <w:szCs w:val="16"/>
                <w:lang w:val="en-US"/>
              </w:rPr>
              <w:t>The supply and dosification systems must be designed in such a way that they minimize the exposure of materials to the environment.</w:t>
            </w:r>
          </w:p>
        </w:tc>
      </w:tr>
      <w:tr w:rsidR="001C6A90" w:rsidRPr="00F70181" w14:paraId="78DCC315" w14:textId="77777777" w:rsidTr="00886332">
        <w:tc>
          <w:tcPr>
            <w:tcW w:w="4405" w:type="dxa"/>
          </w:tcPr>
          <w:p w14:paraId="02F439D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10.3.4</w:t>
            </w:r>
            <w:r w:rsidRPr="008F5C15">
              <w:rPr>
                <w:rFonts w:ascii="Verdana" w:hAnsi="Verdana"/>
                <w:sz w:val="16"/>
                <w:szCs w:val="16"/>
                <w:lang w:val="es-MX"/>
              </w:rPr>
              <w:t xml:space="preserve"> Las tolvas, tanques o marmitas deben contar con tapa y cuando se requiera, estar enchaquetados y con sistemas de control de agitación.</w:t>
            </w:r>
          </w:p>
        </w:tc>
        <w:tc>
          <w:tcPr>
            <w:tcW w:w="4427" w:type="dxa"/>
            <w:shd w:val="clear" w:color="auto" w:fill="auto"/>
          </w:tcPr>
          <w:p w14:paraId="6E5CCAC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10.3.4 </w:t>
            </w:r>
            <w:r w:rsidRPr="008F5C15">
              <w:rPr>
                <w:rFonts w:ascii="Verdana" w:hAnsi="Verdana"/>
                <w:sz w:val="16"/>
                <w:szCs w:val="16"/>
                <w:lang w:val="en-US"/>
              </w:rPr>
              <w:t>The hoppers, tanks or kettles must have a lid and when required, be jacketed and with agitation control systems.</w:t>
            </w:r>
          </w:p>
        </w:tc>
      </w:tr>
      <w:tr w:rsidR="001C6A90" w:rsidRPr="00F70181" w14:paraId="252CF224" w14:textId="77777777" w:rsidTr="00886332">
        <w:tc>
          <w:tcPr>
            <w:tcW w:w="4405" w:type="dxa"/>
          </w:tcPr>
          <w:p w14:paraId="4834FEC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10.3.5</w:t>
            </w:r>
            <w:r w:rsidRPr="008F5C15">
              <w:rPr>
                <w:rFonts w:ascii="Verdana" w:hAnsi="Verdana"/>
                <w:sz w:val="16"/>
                <w:szCs w:val="16"/>
                <w:lang w:val="es-MX"/>
              </w:rPr>
              <w:t xml:space="preserve"> El enjuague final de los equipos, accesorios y utensilios que estén en contacto con el producto debe realizarse con agua purificada nivel 1 o nivel 2 de acuerdo a los requisitos del proceso.</w:t>
            </w:r>
          </w:p>
        </w:tc>
        <w:tc>
          <w:tcPr>
            <w:tcW w:w="4427" w:type="dxa"/>
            <w:shd w:val="clear" w:color="auto" w:fill="auto"/>
          </w:tcPr>
          <w:p w14:paraId="341F05C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10.3.5 </w:t>
            </w:r>
            <w:r w:rsidRPr="008F5C15">
              <w:rPr>
                <w:rFonts w:ascii="Verdana" w:hAnsi="Verdana"/>
                <w:sz w:val="16"/>
                <w:szCs w:val="16"/>
                <w:lang w:val="en-US"/>
              </w:rPr>
              <w:t>The final rinse of equipment, accessories and utensils that are in contact with the product must be performed with level 1 or level 2 purified water in accordance with the requirements of the process.</w:t>
            </w:r>
          </w:p>
        </w:tc>
      </w:tr>
      <w:tr w:rsidR="001C6A90" w:rsidRPr="00F70181" w14:paraId="6EE01521" w14:textId="77777777" w:rsidTr="00886332">
        <w:tc>
          <w:tcPr>
            <w:tcW w:w="4405" w:type="dxa"/>
          </w:tcPr>
          <w:p w14:paraId="485222E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10.3.6</w:t>
            </w:r>
            <w:r w:rsidRPr="008F5C15">
              <w:rPr>
                <w:rFonts w:ascii="Verdana" w:hAnsi="Verdana"/>
                <w:sz w:val="16"/>
                <w:szCs w:val="16"/>
                <w:lang w:val="es-MX"/>
              </w:rPr>
              <w:t xml:space="preserve"> La calidad del agua usada en producción debe cumplir con lo establecido en la FEUM y sus suplementos.</w:t>
            </w:r>
          </w:p>
        </w:tc>
        <w:tc>
          <w:tcPr>
            <w:tcW w:w="4427" w:type="dxa"/>
            <w:shd w:val="clear" w:color="auto" w:fill="auto"/>
          </w:tcPr>
          <w:p w14:paraId="12129B6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10.3.6</w:t>
            </w:r>
            <w:r w:rsidRPr="008F5C15">
              <w:rPr>
                <w:rFonts w:ascii="Verdana" w:hAnsi="Verdana"/>
                <w:sz w:val="16"/>
                <w:szCs w:val="16"/>
                <w:lang w:val="en-US"/>
              </w:rPr>
              <w:t xml:space="preserve"> The quality of the water used in production must comply with that established in FEUM and its supplements.</w:t>
            </w:r>
          </w:p>
        </w:tc>
      </w:tr>
      <w:tr w:rsidR="001C6A90" w:rsidRPr="00F70181" w14:paraId="023D820D" w14:textId="77777777" w:rsidTr="00886332">
        <w:tc>
          <w:tcPr>
            <w:tcW w:w="4405" w:type="dxa"/>
          </w:tcPr>
          <w:p w14:paraId="25978FF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10.3.7</w:t>
            </w:r>
            <w:r w:rsidRPr="008F5C15">
              <w:rPr>
                <w:rFonts w:ascii="Verdana" w:hAnsi="Verdana"/>
                <w:sz w:val="16"/>
                <w:szCs w:val="16"/>
                <w:lang w:val="es-MX"/>
              </w:rPr>
              <w:t xml:space="preserve"> Para mezclas heterogéneas, como suspensiones, se debe mantener la homogeneidad durante todo el proceso de llenado, incluso después de paros de línea.</w:t>
            </w:r>
          </w:p>
        </w:tc>
        <w:tc>
          <w:tcPr>
            <w:tcW w:w="4427" w:type="dxa"/>
            <w:shd w:val="clear" w:color="auto" w:fill="auto"/>
          </w:tcPr>
          <w:p w14:paraId="427AF60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10.3.7 </w:t>
            </w:r>
            <w:r w:rsidRPr="008F5C15">
              <w:rPr>
                <w:rFonts w:ascii="Verdana" w:hAnsi="Verdana"/>
                <w:sz w:val="16"/>
                <w:szCs w:val="16"/>
                <w:lang w:val="en-US"/>
              </w:rPr>
              <w:t>For heterogeneous mixtures such as suspensions, homogeneity throughout all of the filling process, even after line stops must be maintained.</w:t>
            </w:r>
          </w:p>
        </w:tc>
      </w:tr>
      <w:tr w:rsidR="001C6A90" w:rsidRPr="00F70181" w14:paraId="4DE80F62" w14:textId="77777777" w:rsidTr="00886332">
        <w:tc>
          <w:tcPr>
            <w:tcW w:w="4405" w:type="dxa"/>
          </w:tcPr>
          <w:p w14:paraId="0CB2EAD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w:t>
            </w:r>
            <w:r w:rsidRPr="008F5C15">
              <w:rPr>
                <w:rFonts w:ascii="Verdana" w:hAnsi="Verdana"/>
                <w:sz w:val="16"/>
                <w:szCs w:val="16"/>
                <w:lang w:val="es-MX"/>
              </w:rPr>
              <w:t xml:space="preserve"> Sistemas de producción de productos estériles.</w:t>
            </w:r>
          </w:p>
        </w:tc>
        <w:tc>
          <w:tcPr>
            <w:tcW w:w="4427" w:type="dxa"/>
            <w:shd w:val="clear" w:color="auto" w:fill="auto"/>
          </w:tcPr>
          <w:p w14:paraId="46E803D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10.4</w:t>
            </w:r>
            <w:r w:rsidRPr="008F5C15">
              <w:rPr>
                <w:rFonts w:ascii="Verdana" w:hAnsi="Verdana"/>
                <w:sz w:val="16"/>
                <w:szCs w:val="16"/>
                <w:lang w:val="en-US"/>
              </w:rPr>
              <w:t xml:space="preserve"> The production systems of sterile products.</w:t>
            </w:r>
          </w:p>
        </w:tc>
      </w:tr>
      <w:tr w:rsidR="001C6A90" w:rsidRPr="00F70181" w14:paraId="74BE5172" w14:textId="77777777" w:rsidTr="00886332">
        <w:tc>
          <w:tcPr>
            <w:tcW w:w="4405" w:type="dxa"/>
          </w:tcPr>
          <w:p w14:paraId="5AA30DA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w:t>
            </w:r>
            <w:r w:rsidRPr="008F5C15">
              <w:rPr>
                <w:rFonts w:ascii="Verdana" w:hAnsi="Verdana"/>
                <w:sz w:val="16"/>
                <w:szCs w:val="16"/>
                <w:lang w:val="es-MX"/>
              </w:rPr>
              <w:t xml:space="preserve"> La producción de formas farmacéuticas estériles debe realizarse en áreas controladas conforme al Apéndice A Normativo de esta Norma.</w:t>
            </w:r>
          </w:p>
        </w:tc>
        <w:tc>
          <w:tcPr>
            <w:tcW w:w="4427" w:type="dxa"/>
            <w:shd w:val="clear" w:color="auto" w:fill="auto"/>
          </w:tcPr>
          <w:p w14:paraId="3C506EF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 </w:t>
            </w:r>
            <w:r w:rsidRPr="008F5C15">
              <w:rPr>
                <w:rFonts w:ascii="Verdana" w:hAnsi="Verdana"/>
                <w:sz w:val="16"/>
                <w:szCs w:val="16"/>
                <w:lang w:val="en-US"/>
              </w:rPr>
              <w:t>The production on sterile pharmaceutical forms must be performed in controlled areas, in accordance with Obligatory Appendix A.</w:t>
            </w:r>
          </w:p>
        </w:tc>
      </w:tr>
      <w:tr w:rsidR="001C6A90" w:rsidRPr="00F70181" w14:paraId="495681D7" w14:textId="77777777" w:rsidTr="00886332">
        <w:tc>
          <w:tcPr>
            <w:tcW w:w="4405" w:type="dxa"/>
          </w:tcPr>
          <w:p w14:paraId="4447807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10.4.2</w:t>
            </w:r>
            <w:r w:rsidRPr="008F5C15">
              <w:rPr>
                <w:rFonts w:ascii="Verdana" w:hAnsi="Verdana"/>
                <w:sz w:val="16"/>
                <w:szCs w:val="16"/>
                <w:lang w:val="es-MX"/>
              </w:rPr>
              <w:t xml:space="preserve"> Se debe establecer el monitoreo microbiológico de rutina y los puntos de muestreo deben estar soportados en estudios de validación.</w:t>
            </w:r>
          </w:p>
        </w:tc>
        <w:tc>
          <w:tcPr>
            <w:tcW w:w="4427" w:type="dxa"/>
            <w:shd w:val="clear" w:color="auto" w:fill="auto"/>
          </w:tcPr>
          <w:p w14:paraId="06175CF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10.4.2</w:t>
            </w:r>
            <w:r w:rsidRPr="008F5C15">
              <w:rPr>
                <w:rFonts w:ascii="Verdana" w:hAnsi="Verdana"/>
                <w:sz w:val="16"/>
                <w:szCs w:val="16"/>
                <w:lang w:val="en-US"/>
              </w:rPr>
              <w:t xml:space="preserve"> The microbiological monitoring must be established routinely and the sampling points must be supported in validation studies. </w:t>
            </w:r>
          </w:p>
        </w:tc>
      </w:tr>
      <w:tr w:rsidR="001C6A90" w:rsidRPr="00F70181" w14:paraId="568C03BA" w14:textId="77777777" w:rsidTr="00886332">
        <w:tc>
          <w:tcPr>
            <w:tcW w:w="4405" w:type="dxa"/>
          </w:tcPr>
          <w:p w14:paraId="16BFF69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w:t>
            </w:r>
            <w:r w:rsidRPr="008F5C15">
              <w:rPr>
                <w:rFonts w:ascii="Verdana" w:hAnsi="Verdana"/>
                <w:sz w:val="16"/>
                <w:szCs w:val="16"/>
                <w:lang w:val="es-MX"/>
              </w:rPr>
              <w:t xml:space="preserve"> Las operaciones de carga y descarga para la esterilización y despirogenización de insumos y materiales debe realizarse en un ambiente que asegure su condición de esterilidad y evite confusiones.</w:t>
            </w:r>
          </w:p>
        </w:tc>
        <w:tc>
          <w:tcPr>
            <w:tcW w:w="4427" w:type="dxa"/>
            <w:shd w:val="clear" w:color="auto" w:fill="auto"/>
          </w:tcPr>
          <w:p w14:paraId="5D63BE6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10.4.3</w:t>
            </w:r>
            <w:r w:rsidRPr="008F5C15">
              <w:rPr>
                <w:rFonts w:ascii="Verdana" w:hAnsi="Verdana"/>
                <w:sz w:val="16"/>
                <w:szCs w:val="16"/>
                <w:lang w:val="en-US"/>
              </w:rPr>
              <w:t xml:space="preserve"> Loading and unloading operations for sterilization and depyrogenization of supplies and materials must be done in an environment that assures their sterile condition and avoids confusion.</w:t>
            </w:r>
          </w:p>
        </w:tc>
      </w:tr>
      <w:tr w:rsidR="001C6A90" w:rsidRPr="00F70181" w14:paraId="13C08B81" w14:textId="77777777" w:rsidTr="00886332">
        <w:tc>
          <w:tcPr>
            <w:tcW w:w="4405" w:type="dxa"/>
          </w:tcPr>
          <w:p w14:paraId="5477EB0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10.4.4 </w:t>
            </w:r>
            <w:r w:rsidRPr="008F5C15">
              <w:rPr>
                <w:rFonts w:ascii="Verdana" w:hAnsi="Verdana"/>
                <w:sz w:val="16"/>
                <w:szCs w:val="16"/>
                <w:lang w:val="es-MX"/>
              </w:rPr>
              <w:t>Cualquier gas que se utilice para purgar una solución o desplazar el aire del producto, se debe pasar a través de un filtro de esterilización.</w:t>
            </w:r>
          </w:p>
        </w:tc>
        <w:tc>
          <w:tcPr>
            <w:tcW w:w="4427" w:type="dxa"/>
            <w:shd w:val="clear" w:color="auto" w:fill="auto"/>
          </w:tcPr>
          <w:p w14:paraId="177F8FE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10.4.4 </w:t>
            </w:r>
            <w:r w:rsidRPr="008F5C15">
              <w:rPr>
                <w:rFonts w:ascii="Verdana" w:hAnsi="Verdana"/>
                <w:sz w:val="16"/>
                <w:szCs w:val="16"/>
                <w:lang w:val="en-US"/>
              </w:rPr>
              <w:t xml:space="preserve">Any gas that is used for purging a solution or displacing the air of the product, it must be passed through a sterilization filter. </w:t>
            </w:r>
          </w:p>
        </w:tc>
      </w:tr>
      <w:tr w:rsidR="001C6A90" w:rsidRPr="00F70181" w14:paraId="4381CA00" w14:textId="77777777" w:rsidTr="00886332">
        <w:tc>
          <w:tcPr>
            <w:tcW w:w="4405" w:type="dxa"/>
          </w:tcPr>
          <w:p w14:paraId="5CB48DA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10.4.5 </w:t>
            </w:r>
            <w:r w:rsidRPr="008F5C15">
              <w:rPr>
                <w:rFonts w:ascii="Verdana" w:hAnsi="Verdana"/>
                <w:sz w:val="16"/>
                <w:szCs w:val="16"/>
                <w:lang w:val="es-MX"/>
              </w:rPr>
              <w:t>La operación de rutina debe realizarse con el número mínimo de personas.</w:t>
            </w:r>
          </w:p>
        </w:tc>
        <w:tc>
          <w:tcPr>
            <w:tcW w:w="4427" w:type="dxa"/>
            <w:shd w:val="clear" w:color="auto" w:fill="auto"/>
          </w:tcPr>
          <w:p w14:paraId="15AA5B6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10.4.5.1</w:t>
            </w:r>
            <w:r w:rsidRPr="008F5C15">
              <w:rPr>
                <w:rFonts w:ascii="Verdana" w:hAnsi="Verdana"/>
                <w:sz w:val="16"/>
                <w:szCs w:val="16"/>
                <w:lang w:val="en-US"/>
              </w:rPr>
              <w:t xml:space="preserve"> Routine operations must be performed with the least amount of persons.</w:t>
            </w:r>
          </w:p>
        </w:tc>
      </w:tr>
      <w:tr w:rsidR="001C6A90" w:rsidRPr="00F70181" w14:paraId="199118B1" w14:textId="77777777" w:rsidTr="00886332">
        <w:tc>
          <w:tcPr>
            <w:tcW w:w="4405" w:type="dxa"/>
          </w:tcPr>
          <w:p w14:paraId="652F295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10.4.6</w:t>
            </w:r>
            <w:r w:rsidRPr="008F5C15">
              <w:rPr>
                <w:rFonts w:ascii="Verdana" w:hAnsi="Verdana"/>
                <w:sz w:val="16"/>
                <w:szCs w:val="16"/>
                <w:lang w:val="es-MX"/>
              </w:rPr>
              <w:t xml:space="preserve"> La supervisión de las operaciones asépticas debe realizarse desde el exterior del área donde se realizan.</w:t>
            </w:r>
          </w:p>
        </w:tc>
        <w:tc>
          <w:tcPr>
            <w:tcW w:w="4427" w:type="dxa"/>
            <w:shd w:val="clear" w:color="auto" w:fill="auto"/>
          </w:tcPr>
          <w:p w14:paraId="5D5178B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10.4.6 </w:t>
            </w:r>
            <w:r w:rsidRPr="008F5C15">
              <w:rPr>
                <w:rFonts w:ascii="Verdana" w:hAnsi="Verdana"/>
                <w:sz w:val="16"/>
                <w:szCs w:val="16"/>
                <w:lang w:val="en-US"/>
              </w:rPr>
              <w:t>The supervision of aseptic operations must be performed from outside the area where they are performed.</w:t>
            </w:r>
          </w:p>
        </w:tc>
      </w:tr>
      <w:tr w:rsidR="001C6A90" w:rsidRPr="00F70181" w14:paraId="227FB129" w14:textId="77777777" w:rsidTr="00886332">
        <w:tc>
          <w:tcPr>
            <w:tcW w:w="4405" w:type="dxa"/>
          </w:tcPr>
          <w:p w14:paraId="6E6CFCB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10.4.7</w:t>
            </w:r>
            <w:r w:rsidRPr="008F5C15">
              <w:rPr>
                <w:rFonts w:ascii="Verdana" w:hAnsi="Verdana"/>
                <w:sz w:val="16"/>
                <w:szCs w:val="16"/>
                <w:lang w:val="es-MX"/>
              </w:rPr>
              <w:t xml:space="preserve"> El personal que participa en la producción y control de productos estériles debe recibir capacitación específica en conceptos básicos de microbiología, técnicas asépticas y de vestido, reglas de higiene y otros temas aplicables a productos estériles y ser calificado para tal fin.</w:t>
            </w:r>
          </w:p>
        </w:tc>
        <w:tc>
          <w:tcPr>
            <w:tcW w:w="4427" w:type="dxa"/>
            <w:shd w:val="clear" w:color="auto" w:fill="auto"/>
          </w:tcPr>
          <w:p w14:paraId="6627DE1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10.4.7 </w:t>
            </w:r>
            <w:r w:rsidRPr="008F5C15">
              <w:rPr>
                <w:rFonts w:ascii="Verdana" w:hAnsi="Verdana"/>
                <w:sz w:val="16"/>
                <w:szCs w:val="16"/>
                <w:lang w:val="en-US"/>
              </w:rPr>
              <w:t>The personnel participating in the production and control of sterile products must receive specific training in basic concepts of microbiology, aseptic techniques and clothing, rules of hygiene and other themes applicable to sterile products and be qualified for such purpose.</w:t>
            </w:r>
          </w:p>
        </w:tc>
      </w:tr>
      <w:tr w:rsidR="001C6A90" w:rsidRPr="00F70181" w14:paraId="405A1693" w14:textId="77777777" w:rsidTr="00886332">
        <w:tc>
          <w:tcPr>
            <w:tcW w:w="4405" w:type="dxa"/>
          </w:tcPr>
          <w:p w14:paraId="17BC2A1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10.4.8</w:t>
            </w:r>
            <w:r w:rsidRPr="008F5C15">
              <w:rPr>
                <w:rFonts w:ascii="Verdana" w:hAnsi="Verdana"/>
                <w:sz w:val="16"/>
                <w:szCs w:val="16"/>
                <w:lang w:val="es-MX"/>
              </w:rPr>
              <w:t xml:space="preserve"> La indumentaria utilizada en áreas asépticas debe ser de materiales que minimicen la contaminación por partículas y tenga características de confort.</w:t>
            </w:r>
          </w:p>
        </w:tc>
        <w:tc>
          <w:tcPr>
            <w:tcW w:w="4427" w:type="dxa"/>
            <w:shd w:val="clear" w:color="auto" w:fill="auto"/>
          </w:tcPr>
          <w:p w14:paraId="28A7970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10.4.8 </w:t>
            </w:r>
            <w:r w:rsidRPr="008F5C15">
              <w:rPr>
                <w:rFonts w:ascii="Verdana" w:hAnsi="Verdana"/>
                <w:sz w:val="16"/>
                <w:szCs w:val="16"/>
                <w:lang w:val="en-US"/>
              </w:rPr>
              <w:t>The clothing used in aseptic areas must be of materials that minimize the particle contamination and have comfort characteristics.</w:t>
            </w:r>
          </w:p>
        </w:tc>
      </w:tr>
      <w:tr w:rsidR="001C6A90" w:rsidRPr="00F70181" w14:paraId="58B8C90F" w14:textId="77777777" w:rsidTr="00886332">
        <w:tc>
          <w:tcPr>
            <w:tcW w:w="4405" w:type="dxa"/>
          </w:tcPr>
          <w:p w14:paraId="5B20EB3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10.4.9</w:t>
            </w:r>
            <w:r w:rsidRPr="008F5C15">
              <w:rPr>
                <w:rFonts w:ascii="Verdana" w:hAnsi="Verdana"/>
                <w:sz w:val="16"/>
                <w:szCs w:val="16"/>
                <w:lang w:val="es-MX"/>
              </w:rPr>
              <w:t xml:space="preserve"> Se deben establecer procedimientos específicos de lavado, preparación y esterilización de ésta.</w:t>
            </w:r>
          </w:p>
        </w:tc>
        <w:tc>
          <w:tcPr>
            <w:tcW w:w="4427" w:type="dxa"/>
            <w:shd w:val="clear" w:color="auto" w:fill="auto"/>
          </w:tcPr>
          <w:p w14:paraId="18ED0A81"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10.4.9 </w:t>
            </w:r>
            <w:r w:rsidRPr="008F5C15">
              <w:rPr>
                <w:rFonts w:ascii="Verdana" w:hAnsi="Verdana"/>
                <w:sz w:val="16"/>
                <w:szCs w:val="16"/>
                <w:lang w:val="en-US"/>
              </w:rPr>
              <w:t xml:space="preserve">Specific procedures for washing, preparation and sterilization must be established. </w:t>
            </w:r>
          </w:p>
        </w:tc>
      </w:tr>
      <w:tr w:rsidR="001C6A90" w:rsidRPr="00F70181" w14:paraId="18C9FA70" w14:textId="77777777" w:rsidTr="00886332">
        <w:tc>
          <w:tcPr>
            <w:tcW w:w="4405" w:type="dxa"/>
          </w:tcPr>
          <w:p w14:paraId="4406284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10.4.10</w:t>
            </w:r>
            <w:r w:rsidRPr="008F5C15">
              <w:rPr>
                <w:rFonts w:ascii="Verdana" w:hAnsi="Verdana"/>
                <w:sz w:val="16"/>
                <w:szCs w:val="16"/>
                <w:lang w:val="es-MX"/>
              </w:rPr>
              <w:t xml:space="preserve"> Se deben establecer y registrar los tiempos límites:</w:t>
            </w:r>
          </w:p>
        </w:tc>
        <w:tc>
          <w:tcPr>
            <w:tcW w:w="4427" w:type="dxa"/>
            <w:shd w:val="clear" w:color="auto" w:fill="auto"/>
          </w:tcPr>
          <w:p w14:paraId="3B431D5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10.4.10</w:t>
            </w:r>
            <w:r w:rsidRPr="008F5C15">
              <w:rPr>
                <w:rFonts w:ascii="Verdana" w:hAnsi="Verdana"/>
                <w:sz w:val="16"/>
                <w:szCs w:val="16"/>
                <w:lang w:val="en-US"/>
              </w:rPr>
              <w:t xml:space="preserve"> The time limits must be established and recorded: </w:t>
            </w:r>
          </w:p>
        </w:tc>
      </w:tr>
      <w:tr w:rsidR="001C6A90" w:rsidRPr="00F70181" w14:paraId="52B11A11" w14:textId="77777777" w:rsidTr="00886332">
        <w:tc>
          <w:tcPr>
            <w:tcW w:w="4405" w:type="dxa"/>
          </w:tcPr>
          <w:p w14:paraId="17994E0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10.4.10.1</w:t>
            </w:r>
            <w:r w:rsidRPr="008F5C15">
              <w:rPr>
                <w:rFonts w:ascii="Verdana" w:hAnsi="Verdana"/>
                <w:sz w:val="16"/>
                <w:szCs w:val="16"/>
                <w:lang w:val="es-MX"/>
              </w:rPr>
              <w:t xml:space="preserve"> Entre la esterilización y la utilización de los materiales.</w:t>
            </w:r>
          </w:p>
        </w:tc>
        <w:tc>
          <w:tcPr>
            <w:tcW w:w="4427" w:type="dxa"/>
            <w:shd w:val="clear" w:color="auto" w:fill="auto"/>
          </w:tcPr>
          <w:p w14:paraId="6F52B33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10.4.10.1 </w:t>
            </w:r>
            <w:r w:rsidRPr="008F5C15">
              <w:rPr>
                <w:rFonts w:ascii="Verdana" w:hAnsi="Verdana"/>
                <w:sz w:val="16"/>
                <w:szCs w:val="16"/>
                <w:lang w:val="en-US"/>
              </w:rPr>
              <w:t>Between sterilization and the use of the materials.</w:t>
            </w:r>
          </w:p>
        </w:tc>
      </w:tr>
      <w:tr w:rsidR="001C6A90" w:rsidRPr="00F70181" w14:paraId="73B60E1D" w14:textId="77777777" w:rsidTr="00886332">
        <w:tc>
          <w:tcPr>
            <w:tcW w:w="4405" w:type="dxa"/>
          </w:tcPr>
          <w:p w14:paraId="6F41F21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10.4.10.2</w:t>
            </w:r>
            <w:r w:rsidRPr="008F5C15">
              <w:rPr>
                <w:rFonts w:ascii="Verdana" w:hAnsi="Verdana"/>
                <w:sz w:val="16"/>
                <w:szCs w:val="16"/>
                <w:lang w:val="es-MX"/>
              </w:rPr>
              <w:t xml:space="preserve"> De almacenamiento del agua para producción de productos estériles.</w:t>
            </w:r>
          </w:p>
        </w:tc>
        <w:tc>
          <w:tcPr>
            <w:tcW w:w="4427" w:type="dxa"/>
            <w:shd w:val="clear" w:color="auto" w:fill="auto"/>
          </w:tcPr>
          <w:p w14:paraId="4FF1361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10.4.10.2 </w:t>
            </w:r>
            <w:r w:rsidRPr="008F5C15">
              <w:rPr>
                <w:rFonts w:ascii="Verdana" w:hAnsi="Verdana"/>
                <w:sz w:val="16"/>
                <w:szCs w:val="16"/>
                <w:lang w:val="en-US"/>
              </w:rPr>
              <w:t>For the water storage for the production of sterile products.</w:t>
            </w:r>
          </w:p>
        </w:tc>
      </w:tr>
      <w:tr w:rsidR="001C6A90" w:rsidRPr="00F70181" w14:paraId="004D344D" w14:textId="77777777" w:rsidTr="00886332">
        <w:tc>
          <w:tcPr>
            <w:tcW w:w="4405" w:type="dxa"/>
          </w:tcPr>
          <w:p w14:paraId="2A4859F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10.4.10.3</w:t>
            </w:r>
            <w:r w:rsidRPr="008F5C15">
              <w:rPr>
                <w:rFonts w:ascii="Verdana" w:hAnsi="Verdana"/>
                <w:sz w:val="16"/>
                <w:szCs w:val="16"/>
                <w:lang w:val="es-MX"/>
              </w:rPr>
              <w:t xml:space="preserve"> Entre la preparación y el llenado del producto.</w:t>
            </w:r>
          </w:p>
        </w:tc>
        <w:tc>
          <w:tcPr>
            <w:tcW w:w="4427" w:type="dxa"/>
            <w:shd w:val="clear" w:color="auto" w:fill="auto"/>
          </w:tcPr>
          <w:p w14:paraId="34B0DE4E"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10.4.10.3 </w:t>
            </w:r>
            <w:r w:rsidRPr="008F5C15">
              <w:rPr>
                <w:rFonts w:ascii="Verdana" w:hAnsi="Verdana"/>
                <w:sz w:val="16"/>
                <w:szCs w:val="16"/>
                <w:lang w:val="en-US"/>
              </w:rPr>
              <w:t>Between preparation and filling of the product.</w:t>
            </w:r>
          </w:p>
        </w:tc>
      </w:tr>
      <w:tr w:rsidR="001C6A90" w:rsidRPr="00F70181" w14:paraId="2BCE9E05" w14:textId="77777777" w:rsidTr="00886332">
        <w:tc>
          <w:tcPr>
            <w:tcW w:w="4405" w:type="dxa"/>
          </w:tcPr>
          <w:p w14:paraId="2CDC18E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10.4.10.4</w:t>
            </w:r>
            <w:r w:rsidRPr="008F5C15">
              <w:rPr>
                <w:rFonts w:ascii="Verdana" w:hAnsi="Verdana"/>
                <w:sz w:val="16"/>
                <w:szCs w:val="16"/>
                <w:lang w:val="es-MX"/>
              </w:rPr>
              <w:t xml:space="preserve"> Entre el llenado y la esterilización del producto (para productos de esterilización terminal).</w:t>
            </w:r>
          </w:p>
        </w:tc>
        <w:tc>
          <w:tcPr>
            <w:tcW w:w="4427" w:type="dxa"/>
            <w:shd w:val="clear" w:color="auto" w:fill="auto"/>
          </w:tcPr>
          <w:p w14:paraId="12B4593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10.4.10.4</w:t>
            </w:r>
            <w:r w:rsidRPr="008F5C15">
              <w:rPr>
                <w:rFonts w:ascii="Verdana" w:hAnsi="Verdana"/>
                <w:sz w:val="16"/>
                <w:szCs w:val="16"/>
                <w:lang w:val="en-US"/>
              </w:rPr>
              <w:t xml:space="preserve"> Between the filling and the sterilization of the product (for products of terminal sterilization).</w:t>
            </w:r>
          </w:p>
        </w:tc>
      </w:tr>
      <w:tr w:rsidR="001C6A90" w:rsidRPr="00F70181" w14:paraId="3893BC11" w14:textId="77777777" w:rsidTr="00886332">
        <w:tc>
          <w:tcPr>
            <w:tcW w:w="4405" w:type="dxa"/>
          </w:tcPr>
          <w:p w14:paraId="3090EAE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10.4.10.5</w:t>
            </w:r>
            <w:r w:rsidRPr="008F5C15">
              <w:rPr>
                <w:rFonts w:ascii="Verdana" w:hAnsi="Verdana"/>
                <w:sz w:val="16"/>
                <w:szCs w:val="16"/>
                <w:lang w:val="es-MX"/>
              </w:rPr>
              <w:t xml:space="preserve"> Entre el inicio y término del proceso de llenado.</w:t>
            </w:r>
          </w:p>
        </w:tc>
        <w:tc>
          <w:tcPr>
            <w:tcW w:w="4427" w:type="dxa"/>
            <w:shd w:val="clear" w:color="auto" w:fill="auto"/>
          </w:tcPr>
          <w:p w14:paraId="4290658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10.4.10.5 </w:t>
            </w:r>
            <w:r w:rsidRPr="008F5C15">
              <w:rPr>
                <w:rFonts w:ascii="Verdana" w:hAnsi="Verdana"/>
                <w:sz w:val="16"/>
                <w:szCs w:val="16"/>
                <w:lang w:val="en-US"/>
              </w:rPr>
              <w:t>Between the start and end of the filling process.</w:t>
            </w:r>
          </w:p>
        </w:tc>
      </w:tr>
      <w:tr w:rsidR="001C6A90" w:rsidRPr="00F70181" w14:paraId="64E19E73" w14:textId="77777777" w:rsidTr="00886332">
        <w:tc>
          <w:tcPr>
            <w:tcW w:w="4405" w:type="dxa"/>
          </w:tcPr>
          <w:p w14:paraId="16A2B1B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10.4.10.6</w:t>
            </w:r>
            <w:r w:rsidRPr="008F5C15">
              <w:rPr>
                <w:rFonts w:ascii="Verdana" w:hAnsi="Verdana"/>
                <w:sz w:val="16"/>
                <w:szCs w:val="16"/>
                <w:lang w:val="es-MX"/>
              </w:rPr>
              <w:t xml:space="preserve"> De permanencia del personal que realiza el llenado aséptico.</w:t>
            </w:r>
          </w:p>
        </w:tc>
        <w:tc>
          <w:tcPr>
            <w:tcW w:w="4427" w:type="dxa"/>
            <w:shd w:val="clear" w:color="auto" w:fill="auto"/>
          </w:tcPr>
          <w:p w14:paraId="7A8895A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10.4.10.6 </w:t>
            </w:r>
            <w:r w:rsidRPr="008F5C15">
              <w:rPr>
                <w:rFonts w:ascii="Verdana" w:hAnsi="Verdana"/>
                <w:sz w:val="16"/>
                <w:szCs w:val="16"/>
                <w:lang w:val="en-US"/>
              </w:rPr>
              <w:t>Of the presence of the personnel performing the aseptic filling.</w:t>
            </w:r>
          </w:p>
        </w:tc>
      </w:tr>
      <w:tr w:rsidR="001C6A90" w:rsidRPr="00F70181" w14:paraId="1C1B10FA" w14:textId="77777777" w:rsidTr="00886332">
        <w:tc>
          <w:tcPr>
            <w:tcW w:w="4405" w:type="dxa"/>
          </w:tcPr>
          <w:p w14:paraId="3E8894F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10.4.11 </w:t>
            </w:r>
            <w:r w:rsidRPr="008F5C15">
              <w:rPr>
                <w:rFonts w:ascii="Verdana" w:hAnsi="Verdana"/>
                <w:sz w:val="16"/>
                <w:szCs w:val="16"/>
                <w:lang w:val="es-MX"/>
              </w:rPr>
              <w:t>La biocarga debe controlarse antes de la esterilización. Debe haber límites sobre la biocarga antes de la esterilización, la cual debe estar relacionada con la eficiencia del método a utilizar. La determinación de la biocarga se debe realizar en cada lote, tanto para productos llenados asépticamente como para los que llevan esterilización terminal. Cuando se han establecido los parámetros de sobre muerte (Overkill), para productos esterilizados terminalmente, la biocarga puede ser monitoreada a intervalos, dichos intervalos tendrán que estar basados en un análisis de riesgo.</w:t>
            </w:r>
          </w:p>
        </w:tc>
        <w:tc>
          <w:tcPr>
            <w:tcW w:w="4427" w:type="dxa"/>
            <w:shd w:val="clear" w:color="auto" w:fill="auto"/>
          </w:tcPr>
          <w:p w14:paraId="18C6C25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10.4.11 </w:t>
            </w:r>
            <w:r w:rsidRPr="008F5C15">
              <w:rPr>
                <w:rFonts w:ascii="Verdana" w:hAnsi="Verdana"/>
                <w:sz w:val="16"/>
                <w:szCs w:val="16"/>
                <w:lang w:val="en-US"/>
              </w:rPr>
              <w:t xml:space="preserve">The Bioburden must be controlled before sterilization. There must be limits on the bioburden before sterilization, which must be related to the efficiency of the method to be used. The determination of the bioburden must be made on each lot, for the products filled aseptically as well as for those that carry out the end sterilization. When the overkill parameters have been established for products with the end sterilization, the bioburden can be monitored at intervals, said intervals will have to be based on an analysis of risk.  </w:t>
            </w:r>
          </w:p>
        </w:tc>
      </w:tr>
      <w:tr w:rsidR="001C6A90" w:rsidRPr="00F70181" w14:paraId="36E6C4A8" w14:textId="77777777" w:rsidTr="00886332">
        <w:tc>
          <w:tcPr>
            <w:tcW w:w="4405" w:type="dxa"/>
          </w:tcPr>
          <w:p w14:paraId="5566FA3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10.4.11.1 </w:t>
            </w:r>
            <w:r w:rsidRPr="008F5C15">
              <w:rPr>
                <w:rFonts w:ascii="Verdana" w:hAnsi="Verdana"/>
                <w:sz w:val="16"/>
                <w:szCs w:val="16"/>
                <w:lang w:val="es-MX"/>
              </w:rPr>
              <w:t>Para los sistemas de liberación paramétrica, la determinación de biocarga se debe realizar en cada lote y considerarse como una prueba de control en proceso.</w:t>
            </w:r>
          </w:p>
        </w:tc>
        <w:tc>
          <w:tcPr>
            <w:tcW w:w="4427" w:type="dxa"/>
            <w:shd w:val="clear" w:color="auto" w:fill="auto"/>
          </w:tcPr>
          <w:p w14:paraId="6A9A276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10.4.11.1 </w:t>
            </w:r>
            <w:r w:rsidRPr="008F5C15">
              <w:rPr>
                <w:rFonts w:ascii="Verdana" w:hAnsi="Verdana"/>
                <w:sz w:val="16"/>
                <w:szCs w:val="16"/>
                <w:lang w:val="en-US"/>
              </w:rPr>
              <w:t xml:space="preserve">For the systems of parametric release, the determination of bioburden must be made on each lot and be considered as a control test in process. </w:t>
            </w:r>
          </w:p>
        </w:tc>
      </w:tr>
      <w:tr w:rsidR="001C6A90" w:rsidRPr="00F70181" w14:paraId="30C33A75" w14:textId="77777777" w:rsidTr="00886332">
        <w:tc>
          <w:tcPr>
            <w:tcW w:w="4405" w:type="dxa"/>
          </w:tcPr>
          <w:p w14:paraId="4E132EE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Cuando sea considerado apropiado el nivel de endotoxinas debe ser monitoreado.</w:t>
            </w:r>
          </w:p>
        </w:tc>
        <w:tc>
          <w:tcPr>
            <w:tcW w:w="4427" w:type="dxa"/>
            <w:shd w:val="clear" w:color="auto" w:fill="auto"/>
          </w:tcPr>
          <w:p w14:paraId="50FA636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When considered appropriate, the level of endotoxins must be monitored. </w:t>
            </w:r>
          </w:p>
        </w:tc>
      </w:tr>
      <w:tr w:rsidR="001C6A90" w:rsidRPr="00F70181" w14:paraId="270D686D" w14:textId="77777777" w:rsidTr="00886332">
        <w:tc>
          <w:tcPr>
            <w:tcW w:w="4405" w:type="dxa"/>
          </w:tcPr>
          <w:p w14:paraId="4CA6798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10.4.11.2</w:t>
            </w:r>
            <w:r w:rsidRPr="008F5C15">
              <w:rPr>
                <w:rFonts w:ascii="Verdana" w:hAnsi="Verdana"/>
                <w:sz w:val="16"/>
                <w:szCs w:val="16"/>
                <w:lang w:val="es-MX"/>
              </w:rPr>
              <w:t xml:space="preserve"> Todas las soluciones, en particular fluidos de perfusión de gran volumen, se debe pasar a través de un filtro de retención de microorganismo, si es posible situado inmediatamente antes del llenado.</w:t>
            </w:r>
          </w:p>
        </w:tc>
        <w:tc>
          <w:tcPr>
            <w:tcW w:w="4427" w:type="dxa"/>
            <w:shd w:val="clear" w:color="auto" w:fill="auto"/>
          </w:tcPr>
          <w:p w14:paraId="29907CB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10.4.11.2 </w:t>
            </w:r>
            <w:r w:rsidRPr="008F5C15">
              <w:rPr>
                <w:rFonts w:ascii="Verdana" w:hAnsi="Verdana"/>
                <w:sz w:val="16"/>
                <w:szCs w:val="16"/>
                <w:lang w:val="en-US"/>
              </w:rPr>
              <w:t xml:space="preserve">All the solutions, in particular, large volume perfusion fluids, must be passed through a microorganism retention filter, if possible, situated immediately before the filling.  </w:t>
            </w:r>
          </w:p>
        </w:tc>
      </w:tr>
      <w:tr w:rsidR="001C6A90" w:rsidRPr="00F70181" w14:paraId="00465306" w14:textId="77777777" w:rsidTr="00886332">
        <w:tc>
          <w:tcPr>
            <w:tcW w:w="4405" w:type="dxa"/>
          </w:tcPr>
          <w:p w14:paraId="486BDF4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10.4.12</w:t>
            </w:r>
            <w:r w:rsidRPr="008F5C15">
              <w:rPr>
                <w:rFonts w:ascii="Verdana" w:hAnsi="Verdana"/>
                <w:sz w:val="16"/>
                <w:szCs w:val="16"/>
                <w:lang w:val="es-MX"/>
              </w:rPr>
              <w:t xml:space="preserve"> El enjuague final de los equipos, accesorios y utensilios que estén en contacto con el producto debe realizarse con agua para la fabricación de inyectables.</w:t>
            </w:r>
          </w:p>
        </w:tc>
        <w:tc>
          <w:tcPr>
            <w:tcW w:w="4427" w:type="dxa"/>
            <w:shd w:val="clear" w:color="auto" w:fill="auto"/>
          </w:tcPr>
          <w:p w14:paraId="6D62BF0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10.4.12 </w:t>
            </w:r>
            <w:r w:rsidRPr="008F5C15">
              <w:rPr>
                <w:rFonts w:ascii="Verdana" w:hAnsi="Verdana"/>
                <w:sz w:val="16"/>
                <w:szCs w:val="16"/>
                <w:lang w:val="en-US"/>
              </w:rPr>
              <w:t>The final rinse of the equipment, accessories and utensils that are in contact with the product must be performed with water for the manufacture of injection drug products.</w:t>
            </w:r>
          </w:p>
        </w:tc>
      </w:tr>
      <w:tr w:rsidR="001C6A90" w:rsidRPr="00F70181" w14:paraId="2ECC9819" w14:textId="77777777" w:rsidTr="00886332">
        <w:tc>
          <w:tcPr>
            <w:tcW w:w="4405" w:type="dxa"/>
          </w:tcPr>
          <w:p w14:paraId="24EBAF9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10.4.13</w:t>
            </w:r>
            <w:r w:rsidRPr="008F5C15">
              <w:rPr>
                <w:rFonts w:ascii="Verdana" w:hAnsi="Verdana"/>
                <w:sz w:val="16"/>
                <w:szCs w:val="16"/>
                <w:lang w:val="es-MX"/>
              </w:rPr>
              <w:t xml:space="preserve"> Se debe establecer un programa para verificar el mantenimiento del estado validado que incluya al menos la frecuencia, número de unidades y presentaciones.</w:t>
            </w:r>
          </w:p>
        </w:tc>
        <w:tc>
          <w:tcPr>
            <w:tcW w:w="4427" w:type="dxa"/>
            <w:shd w:val="clear" w:color="auto" w:fill="auto"/>
          </w:tcPr>
          <w:p w14:paraId="00BB5C3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10.4.13 </w:t>
            </w:r>
            <w:r w:rsidRPr="008F5C15">
              <w:rPr>
                <w:rFonts w:ascii="Verdana" w:hAnsi="Verdana"/>
                <w:sz w:val="16"/>
                <w:szCs w:val="16"/>
                <w:lang w:val="en-US"/>
              </w:rPr>
              <w:t xml:space="preserve">A program for verifying the maintenance of the validated state must be established that includes at least the frequency, number of units and presentations. </w:t>
            </w:r>
          </w:p>
        </w:tc>
      </w:tr>
      <w:tr w:rsidR="001C6A90" w:rsidRPr="00F70181" w14:paraId="472A7D0F" w14:textId="77777777" w:rsidTr="00886332">
        <w:tc>
          <w:tcPr>
            <w:tcW w:w="4405" w:type="dxa"/>
          </w:tcPr>
          <w:p w14:paraId="79F3B7D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10.4.14</w:t>
            </w:r>
            <w:r w:rsidRPr="008F5C15">
              <w:rPr>
                <w:rFonts w:ascii="Verdana" w:hAnsi="Verdana"/>
                <w:sz w:val="16"/>
                <w:szCs w:val="16"/>
                <w:lang w:val="es-MX"/>
              </w:rPr>
              <w:t xml:space="preserve"> Cuando se incluya una nueva presentación o existan cambios significativos en el proceso o equipos, debe llevarse a cabo una nueva validación.</w:t>
            </w:r>
          </w:p>
        </w:tc>
        <w:tc>
          <w:tcPr>
            <w:tcW w:w="4427" w:type="dxa"/>
          </w:tcPr>
          <w:p w14:paraId="15DFD63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10.4.14 </w:t>
            </w:r>
            <w:r w:rsidRPr="008F5C15">
              <w:rPr>
                <w:rFonts w:ascii="Verdana" w:hAnsi="Verdana"/>
                <w:sz w:val="16"/>
                <w:szCs w:val="16"/>
                <w:lang w:val="en-US"/>
              </w:rPr>
              <w:t xml:space="preserve">When a new presentation is included or significant changes exist in the process or equipment, a new validation must be carried out. </w:t>
            </w:r>
          </w:p>
        </w:tc>
      </w:tr>
      <w:tr w:rsidR="001C6A90" w:rsidRPr="00F70181" w14:paraId="3E7BBD47" w14:textId="77777777" w:rsidTr="00886332">
        <w:tc>
          <w:tcPr>
            <w:tcW w:w="4405" w:type="dxa"/>
          </w:tcPr>
          <w:p w14:paraId="440C8A4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10.4.15</w:t>
            </w:r>
            <w:r w:rsidRPr="008F5C15">
              <w:rPr>
                <w:rFonts w:ascii="Verdana" w:hAnsi="Verdana"/>
                <w:sz w:val="16"/>
                <w:szCs w:val="16"/>
                <w:lang w:val="es-MX"/>
              </w:rPr>
              <w:t xml:space="preserve"> Las soluciones inyectables deben inspeccionarse al 100% para la detección de partículas y otros defectos.</w:t>
            </w:r>
          </w:p>
        </w:tc>
        <w:tc>
          <w:tcPr>
            <w:tcW w:w="4427" w:type="dxa"/>
          </w:tcPr>
          <w:p w14:paraId="3022B4B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10.4.15 </w:t>
            </w:r>
            <w:r w:rsidRPr="008F5C15">
              <w:rPr>
                <w:rFonts w:ascii="Verdana" w:hAnsi="Verdana"/>
                <w:sz w:val="16"/>
                <w:szCs w:val="16"/>
                <w:lang w:val="en-US"/>
              </w:rPr>
              <w:t>The solutions of injectable drug products must be inspected at 100% for the detection of the particles and other defects.</w:t>
            </w:r>
          </w:p>
        </w:tc>
      </w:tr>
      <w:tr w:rsidR="001C6A90" w:rsidRPr="00F70181" w14:paraId="27A8E281" w14:textId="77777777" w:rsidTr="00886332">
        <w:tc>
          <w:tcPr>
            <w:tcW w:w="4405" w:type="dxa"/>
          </w:tcPr>
          <w:p w14:paraId="2C191CB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10.4.15.1</w:t>
            </w:r>
            <w:r w:rsidRPr="008F5C15">
              <w:rPr>
                <w:rFonts w:ascii="Verdana" w:hAnsi="Verdana"/>
                <w:sz w:val="16"/>
                <w:szCs w:val="16"/>
                <w:lang w:val="es-MX"/>
              </w:rPr>
              <w:t xml:space="preserve"> Cuando la inspección para la detección de partículas se realice de forma visual, el personal que la realiza debe someterse a controles periódicos de agudeza visual y se debe indicar el tiempo máximo en que puede realizar esta operación en forma continua y debe estar calificado.</w:t>
            </w:r>
          </w:p>
        </w:tc>
        <w:tc>
          <w:tcPr>
            <w:tcW w:w="4427" w:type="dxa"/>
          </w:tcPr>
          <w:p w14:paraId="5A70779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10.4.15.1 </w:t>
            </w:r>
            <w:r w:rsidRPr="008F5C15">
              <w:rPr>
                <w:rFonts w:ascii="Verdana" w:hAnsi="Verdana"/>
                <w:sz w:val="16"/>
                <w:szCs w:val="16"/>
                <w:lang w:val="en-US"/>
              </w:rPr>
              <w:t>When the inspection for the detection of particles is performed visually, the personnel who perform them must submit themselves to periodic checks of visual acuity and must indicate the maximum time in which they can perform this operation in continuously and must be qualified.</w:t>
            </w:r>
          </w:p>
        </w:tc>
      </w:tr>
      <w:tr w:rsidR="001C6A90" w:rsidRPr="00F70181" w14:paraId="38653155" w14:textId="77777777" w:rsidTr="00886332">
        <w:tc>
          <w:tcPr>
            <w:tcW w:w="4405" w:type="dxa"/>
          </w:tcPr>
          <w:p w14:paraId="1506320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10.4.15.2</w:t>
            </w:r>
            <w:r w:rsidRPr="008F5C15">
              <w:rPr>
                <w:rFonts w:ascii="Verdana" w:hAnsi="Verdana"/>
                <w:sz w:val="16"/>
                <w:szCs w:val="16"/>
                <w:lang w:val="es-MX"/>
              </w:rPr>
              <w:t xml:space="preserve"> Cuando por la naturaleza del envase y del producto, la inspección no sea efectiva, se deben establecer los controles que aseguren la calidad del producto.</w:t>
            </w:r>
          </w:p>
        </w:tc>
        <w:tc>
          <w:tcPr>
            <w:tcW w:w="4427" w:type="dxa"/>
          </w:tcPr>
          <w:p w14:paraId="29B8FA4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10.4.15.2 </w:t>
            </w:r>
            <w:r w:rsidRPr="008F5C15">
              <w:rPr>
                <w:rFonts w:ascii="Verdana" w:hAnsi="Verdana"/>
                <w:sz w:val="16"/>
                <w:szCs w:val="16"/>
                <w:lang w:val="en-US"/>
              </w:rPr>
              <w:t>When due to the nature of the packaging and of the product, the inspection is not effective, the controls which assure the quality of the product must be established.</w:t>
            </w:r>
          </w:p>
        </w:tc>
      </w:tr>
      <w:tr w:rsidR="001C6A90" w:rsidRPr="00F70181" w14:paraId="5EE042FE" w14:textId="77777777" w:rsidTr="00886332">
        <w:tc>
          <w:tcPr>
            <w:tcW w:w="4405" w:type="dxa"/>
          </w:tcPr>
          <w:p w14:paraId="1D2259A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10.4.16</w:t>
            </w:r>
            <w:r w:rsidRPr="008F5C15">
              <w:rPr>
                <w:rFonts w:ascii="Verdana" w:hAnsi="Verdana"/>
                <w:sz w:val="16"/>
                <w:szCs w:val="16"/>
                <w:lang w:val="es-MX"/>
              </w:rPr>
              <w:t xml:space="preserve"> Se deben realizar pruebas de integridad al producto en su sistema contenedor-cierre.</w:t>
            </w:r>
          </w:p>
        </w:tc>
        <w:tc>
          <w:tcPr>
            <w:tcW w:w="4427" w:type="dxa"/>
          </w:tcPr>
          <w:p w14:paraId="49D72CD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10.4.16 </w:t>
            </w:r>
            <w:r w:rsidRPr="008F5C15">
              <w:rPr>
                <w:rFonts w:ascii="Verdana" w:hAnsi="Verdana"/>
                <w:sz w:val="16"/>
                <w:szCs w:val="16"/>
                <w:lang w:val="en-US"/>
              </w:rPr>
              <w:t>The integrity tests must be performed on the product on its container-closure system.</w:t>
            </w:r>
          </w:p>
        </w:tc>
      </w:tr>
      <w:tr w:rsidR="001C6A90" w:rsidRPr="00F70181" w14:paraId="30F660E3" w14:textId="77777777" w:rsidTr="00886332">
        <w:tc>
          <w:tcPr>
            <w:tcW w:w="4405" w:type="dxa"/>
          </w:tcPr>
          <w:p w14:paraId="5C76F30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10.4.16.1 </w:t>
            </w:r>
            <w:r w:rsidRPr="008F5C15">
              <w:rPr>
                <w:rFonts w:ascii="Verdana" w:hAnsi="Verdana"/>
                <w:sz w:val="16"/>
                <w:szCs w:val="16"/>
                <w:lang w:val="es-MX"/>
              </w:rPr>
              <w:t>Los contenedores cerrados por fusión, por ejemplo ampolletas de vidrio o plástico, deben inspeccionarse en su integridad al cien por ciento. Para otro tipo de contenedores se deben verificar muestras mediante procedimientos farmacopeicos.</w:t>
            </w:r>
          </w:p>
        </w:tc>
        <w:tc>
          <w:tcPr>
            <w:tcW w:w="4427" w:type="dxa"/>
          </w:tcPr>
          <w:p w14:paraId="5A56047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10.4.16.1 </w:t>
            </w:r>
            <w:r w:rsidRPr="008F5C15">
              <w:rPr>
                <w:rFonts w:ascii="Verdana" w:hAnsi="Verdana"/>
                <w:sz w:val="16"/>
                <w:szCs w:val="16"/>
                <w:lang w:val="en-US"/>
              </w:rPr>
              <w:t xml:space="preserve">The containers closed by fusion, for example, ampules of glass or plastic, must be inspected in their integrity at one hundred percent. For another type of containers, samples must be verified through pharmacopeia procedures. </w:t>
            </w:r>
          </w:p>
        </w:tc>
      </w:tr>
      <w:tr w:rsidR="001C6A90" w:rsidRPr="00F70181" w14:paraId="77267261" w14:textId="77777777" w:rsidTr="00886332">
        <w:tc>
          <w:tcPr>
            <w:tcW w:w="4405" w:type="dxa"/>
          </w:tcPr>
          <w:p w14:paraId="76EFB084"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10.4.17</w:t>
            </w:r>
            <w:r w:rsidRPr="008F5C15">
              <w:rPr>
                <w:rFonts w:ascii="Verdana" w:hAnsi="Verdana"/>
                <w:sz w:val="16"/>
                <w:szCs w:val="16"/>
                <w:lang w:val="es-MX"/>
              </w:rPr>
              <w:t xml:space="preserve"> Las operaciones de fabricación se dividen en dos categorías: aquellos en los que el producto se esteriliza terminalmente; y aquellos que se realizan de forma aséptica en alguna o todas sus etapas.</w:t>
            </w:r>
          </w:p>
        </w:tc>
        <w:tc>
          <w:tcPr>
            <w:tcW w:w="4427" w:type="dxa"/>
          </w:tcPr>
          <w:p w14:paraId="64539FC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10.4.17 </w:t>
            </w:r>
            <w:r w:rsidRPr="008F5C15">
              <w:rPr>
                <w:rFonts w:ascii="Verdana" w:hAnsi="Verdana"/>
                <w:sz w:val="16"/>
                <w:szCs w:val="16"/>
                <w:lang w:val="en-US"/>
              </w:rPr>
              <w:t xml:space="preserve">The manufacturing operations are divided into two categories: those in which the product is terminal sterilized; and those that are made aseptically in one or all their stages. </w:t>
            </w:r>
          </w:p>
        </w:tc>
      </w:tr>
      <w:tr w:rsidR="001C6A90" w:rsidRPr="00F70181" w14:paraId="2D32B494" w14:textId="77777777" w:rsidTr="00886332">
        <w:tc>
          <w:tcPr>
            <w:tcW w:w="4405" w:type="dxa"/>
          </w:tcPr>
          <w:p w14:paraId="18FEFD8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10.4.18</w:t>
            </w:r>
            <w:r w:rsidRPr="008F5C15">
              <w:rPr>
                <w:rFonts w:ascii="Verdana" w:hAnsi="Verdana"/>
                <w:sz w:val="16"/>
                <w:szCs w:val="16"/>
                <w:lang w:val="es-MX"/>
              </w:rPr>
              <w:t xml:space="preserve"> Cuando los productos lleven esterilización terminal deben existir barreras físicas e indicadores para diferenciar entre el producto no estéril y el estéril, con la finalidad de evitar confusiones.</w:t>
            </w:r>
          </w:p>
        </w:tc>
        <w:tc>
          <w:tcPr>
            <w:tcW w:w="4427" w:type="dxa"/>
          </w:tcPr>
          <w:p w14:paraId="0952166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10.4.18 </w:t>
            </w:r>
            <w:r w:rsidRPr="008F5C15">
              <w:rPr>
                <w:rFonts w:ascii="Verdana" w:hAnsi="Verdana"/>
                <w:sz w:val="16"/>
                <w:szCs w:val="16"/>
                <w:lang w:val="en-US"/>
              </w:rPr>
              <w:t>When products have terminal sterilization there must be physical barriers and indicators to differentiate between the sterile and the non-sterile product in order to avoid confusions.</w:t>
            </w:r>
          </w:p>
        </w:tc>
      </w:tr>
      <w:tr w:rsidR="001C6A90" w:rsidRPr="00F70181" w14:paraId="1F2747BA" w14:textId="77777777" w:rsidTr="00886332">
        <w:tc>
          <w:tcPr>
            <w:tcW w:w="4405" w:type="dxa"/>
          </w:tcPr>
          <w:p w14:paraId="0D4663F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10.4.19.1</w:t>
            </w:r>
            <w:r w:rsidRPr="008F5C15">
              <w:rPr>
                <w:rFonts w:ascii="Verdana" w:hAnsi="Verdana"/>
                <w:sz w:val="16"/>
                <w:szCs w:val="16"/>
                <w:lang w:val="es-MX"/>
              </w:rPr>
              <w:t xml:space="preserve"> Se debe realizar una conciliación del producto antes y después de la esterilización.</w:t>
            </w:r>
          </w:p>
        </w:tc>
        <w:tc>
          <w:tcPr>
            <w:tcW w:w="4427" w:type="dxa"/>
            <w:shd w:val="clear" w:color="auto" w:fill="auto"/>
          </w:tcPr>
          <w:p w14:paraId="6075B82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10.4.19.1 </w:t>
            </w:r>
            <w:r w:rsidRPr="008F5C15">
              <w:rPr>
                <w:rFonts w:ascii="Verdana" w:hAnsi="Verdana"/>
                <w:sz w:val="16"/>
                <w:szCs w:val="16"/>
                <w:lang w:val="en-US"/>
              </w:rPr>
              <w:t>A conciliation of the product before and after sterilization must be performed.</w:t>
            </w:r>
          </w:p>
        </w:tc>
      </w:tr>
      <w:tr w:rsidR="001C6A90" w:rsidRPr="00F70181" w14:paraId="042EBF0C" w14:textId="77777777" w:rsidTr="00886332">
        <w:tc>
          <w:tcPr>
            <w:tcW w:w="4405" w:type="dxa"/>
          </w:tcPr>
          <w:p w14:paraId="40F778F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10.4.19.2</w:t>
            </w:r>
            <w:r w:rsidRPr="008F5C15">
              <w:rPr>
                <w:rFonts w:ascii="Verdana" w:hAnsi="Verdana"/>
                <w:sz w:val="16"/>
                <w:szCs w:val="16"/>
                <w:lang w:val="es-MX"/>
              </w:rPr>
              <w:t xml:space="preserve"> Se deben establecer controles para el manejo de las muestras para control de calidad.</w:t>
            </w:r>
          </w:p>
        </w:tc>
        <w:tc>
          <w:tcPr>
            <w:tcW w:w="4427" w:type="dxa"/>
            <w:shd w:val="clear" w:color="auto" w:fill="auto"/>
          </w:tcPr>
          <w:p w14:paraId="70E7B59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10.4.19.2 </w:t>
            </w:r>
            <w:r w:rsidRPr="008F5C15">
              <w:rPr>
                <w:rFonts w:ascii="Verdana" w:hAnsi="Verdana"/>
                <w:sz w:val="16"/>
                <w:szCs w:val="16"/>
                <w:lang w:val="en-US"/>
              </w:rPr>
              <w:t>The controls for the handling of the samples for quality control must be established.</w:t>
            </w:r>
          </w:p>
        </w:tc>
      </w:tr>
      <w:tr w:rsidR="001C6A90" w:rsidRPr="00F70181" w14:paraId="2AFEA987" w14:textId="77777777" w:rsidTr="00886332">
        <w:tc>
          <w:tcPr>
            <w:tcW w:w="4405" w:type="dxa"/>
          </w:tcPr>
          <w:p w14:paraId="1063EAA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10.4.20</w:t>
            </w:r>
            <w:r w:rsidRPr="008F5C15">
              <w:rPr>
                <w:rFonts w:ascii="Verdana" w:hAnsi="Verdana"/>
                <w:sz w:val="16"/>
                <w:szCs w:val="16"/>
                <w:lang w:val="es-MX"/>
              </w:rPr>
              <w:t xml:space="preserve"> La preparación de productos que lleven esterilización terminal debe realizarse en áreas clasificadas Clase C como mínimo.</w:t>
            </w:r>
          </w:p>
        </w:tc>
        <w:tc>
          <w:tcPr>
            <w:tcW w:w="4427" w:type="dxa"/>
            <w:shd w:val="clear" w:color="auto" w:fill="auto"/>
          </w:tcPr>
          <w:p w14:paraId="642CEFF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10.4.17</w:t>
            </w:r>
            <w:r w:rsidRPr="008F5C15">
              <w:rPr>
                <w:rFonts w:ascii="Verdana" w:hAnsi="Verdana"/>
                <w:sz w:val="16"/>
                <w:szCs w:val="16"/>
                <w:lang w:val="en-US"/>
              </w:rPr>
              <w:t xml:space="preserve"> The preparation of products that maintain terminal sterilization must be performed in areas classified as at least as Class C.</w:t>
            </w:r>
          </w:p>
        </w:tc>
      </w:tr>
      <w:tr w:rsidR="001C6A90" w:rsidRPr="00F70181" w14:paraId="51694B64" w14:textId="77777777" w:rsidTr="00886332">
        <w:tc>
          <w:tcPr>
            <w:tcW w:w="4405" w:type="dxa"/>
          </w:tcPr>
          <w:p w14:paraId="06BA6ED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10.4.21 </w:t>
            </w:r>
            <w:r w:rsidRPr="008F5C15">
              <w:rPr>
                <w:rFonts w:ascii="Verdana" w:hAnsi="Verdana"/>
                <w:sz w:val="16"/>
                <w:szCs w:val="16"/>
                <w:lang w:val="es-MX"/>
              </w:rPr>
              <w:t>El objetivo de procesamiento aséptico es mantener la esterilidad de un producto que se ensambla a partir de componentes, cada uno de los cuales ha sido esterilizado.</w:t>
            </w:r>
          </w:p>
        </w:tc>
        <w:tc>
          <w:tcPr>
            <w:tcW w:w="4427" w:type="dxa"/>
          </w:tcPr>
          <w:p w14:paraId="393C17C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10.4.21 </w:t>
            </w:r>
            <w:r w:rsidRPr="008F5C15">
              <w:rPr>
                <w:rFonts w:ascii="Verdana" w:hAnsi="Verdana"/>
                <w:sz w:val="16"/>
                <w:szCs w:val="16"/>
                <w:lang w:val="en-US"/>
              </w:rPr>
              <w:t xml:space="preserve">The objective of aseptically processing is to maintain the sterility of a product that is assembled from components, each one of which has been sterilized. </w:t>
            </w:r>
          </w:p>
        </w:tc>
      </w:tr>
      <w:tr w:rsidR="001C6A90" w:rsidRPr="00F70181" w14:paraId="306457FC" w14:textId="77777777" w:rsidTr="000C33A9">
        <w:trPr>
          <w:trHeight w:val="1098"/>
        </w:trPr>
        <w:tc>
          <w:tcPr>
            <w:tcW w:w="4405" w:type="dxa"/>
          </w:tcPr>
          <w:p w14:paraId="4F7E1F3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10.4.22</w:t>
            </w:r>
            <w:r w:rsidRPr="008F5C15">
              <w:rPr>
                <w:rFonts w:ascii="Verdana" w:hAnsi="Verdana"/>
                <w:sz w:val="16"/>
                <w:szCs w:val="16"/>
                <w:lang w:val="es-MX"/>
              </w:rPr>
              <w:t xml:space="preserve"> La fabricación de productos mediante el proceso aséptico sólo es permitida cuando el proceso de esterilización terminal no sea compatible con el producto.</w:t>
            </w:r>
          </w:p>
        </w:tc>
        <w:tc>
          <w:tcPr>
            <w:tcW w:w="4427" w:type="dxa"/>
          </w:tcPr>
          <w:p w14:paraId="348012F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10.4.22 </w:t>
            </w:r>
            <w:r w:rsidRPr="008F5C15">
              <w:rPr>
                <w:rFonts w:ascii="Verdana" w:hAnsi="Verdana"/>
                <w:sz w:val="16"/>
                <w:szCs w:val="16"/>
                <w:lang w:val="en-US"/>
              </w:rPr>
              <w:t xml:space="preserve">The manufacture of products through the aseptic process only is permitted when the terminal sterilization process is not compatible with the product. </w:t>
            </w:r>
          </w:p>
        </w:tc>
      </w:tr>
      <w:tr w:rsidR="001C6A90" w:rsidRPr="00F70181" w14:paraId="40622747" w14:textId="77777777" w:rsidTr="00886332">
        <w:tc>
          <w:tcPr>
            <w:tcW w:w="4405" w:type="dxa"/>
          </w:tcPr>
          <w:p w14:paraId="1490389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10.4.23</w:t>
            </w:r>
            <w:r w:rsidRPr="008F5C15">
              <w:rPr>
                <w:rFonts w:ascii="Verdana" w:hAnsi="Verdana"/>
                <w:sz w:val="16"/>
                <w:szCs w:val="16"/>
                <w:lang w:val="es-MX"/>
              </w:rPr>
              <w:t xml:space="preserve"> El número máximo de personas permitido en las áreas de procesos asépticos debe establecerse con base en la validación del proceso.</w:t>
            </w:r>
          </w:p>
        </w:tc>
        <w:tc>
          <w:tcPr>
            <w:tcW w:w="4427" w:type="dxa"/>
          </w:tcPr>
          <w:p w14:paraId="7BD89F3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10.4.23 </w:t>
            </w:r>
            <w:r w:rsidRPr="008F5C15">
              <w:rPr>
                <w:rFonts w:ascii="Verdana" w:hAnsi="Verdana"/>
                <w:sz w:val="16"/>
                <w:szCs w:val="16"/>
                <w:lang w:val="en-US"/>
              </w:rPr>
              <w:t xml:space="preserve">The maximum number of persons permitted in the aseptic processing areas must be established based on the validation of the process. </w:t>
            </w:r>
          </w:p>
        </w:tc>
      </w:tr>
      <w:tr w:rsidR="001C6A90" w:rsidRPr="00F70181" w14:paraId="1FC5A561" w14:textId="77777777" w:rsidTr="00886332">
        <w:tc>
          <w:tcPr>
            <w:tcW w:w="4405" w:type="dxa"/>
          </w:tcPr>
          <w:p w14:paraId="10899E2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10.4.24</w:t>
            </w:r>
            <w:r w:rsidRPr="008F5C15">
              <w:rPr>
                <w:rFonts w:ascii="Verdana" w:hAnsi="Verdana"/>
                <w:sz w:val="16"/>
                <w:szCs w:val="16"/>
                <w:lang w:val="es-MX"/>
              </w:rPr>
              <w:t xml:space="preserve"> El manejo y llenado de preparaciones asépticas debe realizarse en un área Clase A, rodeada de un ambiente Clase B.</w:t>
            </w:r>
          </w:p>
        </w:tc>
        <w:tc>
          <w:tcPr>
            <w:tcW w:w="4427" w:type="dxa"/>
          </w:tcPr>
          <w:p w14:paraId="0A84B2A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10.4.24 </w:t>
            </w:r>
            <w:r w:rsidRPr="008F5C15">
              <w:rPr>
                <w:rFonts w:ascii="Verdana" w:hAnsi="Verdana"/>
                <w:sz w:val="16"/>
                <w:szCs w:val="16"/>
                <w:lang w:val="en-US"/>
              </w:rPr>
              <w:t>The handling and filling of aseptic preparations must be performed in a Class A area, surrounded by a Class B environment.</w:t>
            </w:r>
          </w:p>
        </w:tc>
      </w:tr>
      <w:tr w:rsidR="001C6A90" w:rsidRPr="00F70181" w14:paraId="6CD37427" w14:textId="77777777" w:rsidTr="00886332">
        <w:tc>
          <w:tcPr>
            <w:tcW w:w="4405" w:type="dxa"/>
          </w:tcPr>
          <w:p w14:paraId="7C663A6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10.4.25</w:t>
            </w:r>
            <w:r w:rsidRPr="008F5C15">
              <w:rPr>
                <w:rFonts w:ascii="Verdana" w:hAnsi="Verdana"/>
                <w:sz w:val="16"/>
                <w:szCs w:val="16"/>
                <w:lang w:val="es-MX"/>
              </w:rPr>
              <w:t xml:space="preserve"> Cuando el sistema contenedor-cierre no esté herméticamente cerrado el producto debe manejarse en Clase A.</w:t>
            </w:r>
          </w:p>
        </w:tc>
        <w:tc>
          <w:tcPr>
            <w:tcW w:w="4427" w:type="dxa"/>
          </w:tcPr>
          <w:p w14:paraId="78DA614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10.4.25 </w:t>
            </w:r>
            <w:r w:rsidRPr="008F5C15">
              <w:rPr>
                <w:rFonts w:ascii="Verdana" w:hAnsi="Verdana"/>
                <w:sz w:val="16"/>
                <w:szCs w:val="16"/>
                <w:lang w:val="en-US"/>
              </w:rPr>
              <w:t>When the container-closure system is not hermetically sealed the product must be handled in Class A.</w:t>
            </w:r>
          </w:p>
        </w:tc>
      </w:tr>
      <w:tr w:rsidR="001C6A90" w:rsidRPr="00F70181" w14:paraId="58007093" w14:textId="77777777" w:rsidTr="00886332">
        <w:tc>
          <w:tcPr>
            <w:tcW w:w="4405" w:type="dxa"/>
          </w:tcPr>
          <w:p w14:paraId="071BEA6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10.4.26</w:t>
            </w:r>
            <w:r w:rsidRPr="008F5C15">
              <w:rPr>
                <w:rFonts w:ascii="Verdana" w:hAnsi="Verdana"/>
                <w:sz w:val="16"/>
                <w:szCs w:val="16"/>
                <w:lang w:val="es-MX"/>
              </w:rPr>
              <w:t xml:space="preserve"> Cuando se utilicen sistemas móviles de flujo laminar éstos deben ser calificados y las operaciones realizadas ser parte de la validación del proceso.</w:t>
            </w:r>
          </w:p>
        </w:tc>
        <w:tc>
          <w:tcPr>
            <w:tcW w:w="4427" w:type="dxa"/>
          </w:tcPr>
          <w:p w14:paraId="54FBB94C"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10.4.26 </w:t>
            </w:r>
            <w:r w:rsidRPr="008F5C15">
              <w:rPr>
                <w:rFonts w:ascii="Verdana" w:hAnsi="Verdana"/>
                <w:sz w:val="16"/>
                <w:szCs w:val="16"/>
                <w:lang w:val="en-US"/>
              </w:rPr>
              <w:t>When mobile laminar flow systems are used they must be qualified and the operations performed must be part of the validation process.</w:t>
            </w:r>
          </w:p>
        </w:tc>
      </w:tr>
      <w:tr w:rsidR="001C6A90" w:rsidRPr="00F70181" w14:paraId="4DEE7AC7" w14:textId="77777777" w:rsidTr="00886332">
        <w:tc>
          <w:tcPr>
            <w:tcW w:w="4405" w:type="dxa"/>
          </w:tcPr>
          <w:p w14:paraId="23EB9AA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10.4.27 </w:t>
            </w:r>
            <w:r w:rsidRPr="008F5C15">
              <w:rPr>
                <w:rFonts w:ascii="Verdana" w:hAnsi="Verdana"/>
                <w:sz w:val="16"/>
                <w:szCs w:val="16"/>
                <w:lang w:val="es-MX"/>
              </w:rPr>
              <w:t>El monitoreo de partículas debe realizarse durante todo el proceso aséptico, incluyendo el ensamble del equipo, analizar las tendencias y verificar el cumplimiento de los límites de alerta y acción establecidos.</w:t>
            </w:r>
          </w:p>
        </w:tc>
        <w:tc>
          <w:tcPr>
            <w:tcW w:w="4427" w:type="dxa"/>
          </w:tcPr>
          <w:p w14:paraId="2099F8E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10.4.27 </w:t>
            </w:r>
            <w:r w:rsidRPr="008F5C15">
              <w:rPr>
                <w:rFonts w:ascii="Verdana" w:hAnsi="Verdana"/>
                <w:sz w:val="16"/>
                <w:szCs w:val="16"/>
                <w:lang w:val="en-US"/>
              </w:rPr>
              <w:t>Monitoring of particles should be performed during the entire aseptic process, including the assembly of equipment, to analyze the tendencies and verify the compliance to the established warning and action limits.</w:t>
            </w:r>
          </w:p>
        </w:tc>
      </w:tr>
      <w:tr w:rsidR="001C6A90" w:rsidRPr="00F70181" w14:paraId="3593E19E" w14:textId="77777777" w:rsidTr="00886332">
        <w:tc>
          <w:tcPr>
            <w:tcW w:w="4405" w:type="dxa"/>
          </w:tcPr>
          <w:p w14:paraId="50E8FB5C"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10.4.28 </w:t>
            </w:r>
            <w:r w:rsidRPr="008F5C15">
              <w:rPr>
                <w:rFonts w:ascii="Verdana" w:hAnsi="Verdana"/>
                <w:sz w:val="16"/>
                <w:szCs w:val="16"/>
                <w:lang w:val="es-MX"/>
              </w:rPr>
              <w:t>Los sanitizantes y detergentes utilizados en las áreas asépticas, deben ser monitoreados para detectar contaminación microbiana; las preparaciones deben conservarse en contenedores que hayan sido previamente limpiados y sólo deben ser almacenados por periodos definidos a menos que hayan sido esterilizados. Los sanitizantes y detergentes utilizados en áreas Clase A y B deben esterilizarse antes de su uso.</w:t>
            </w:r>
          </w:p>
        </w:tc>
        <w:tc>
          <w:tcPr>
            <w:tcW w:w="4427" w:type="dxa"/>
          </w:tcPr>
          <w:p w14:paraId="14FFD4D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10.4.28 </w:t>
            </w:r>
            <w:r w:rsidRPr="008F5C15">
              <w:rPr>
                <w:rFonts w:ascii="Verdana" w:hAnsi="Verdana"/>
                <w:sz w:val="16"/>
                <w:szCs w:val="16"/>
                <w:lang w:val="en-US"/>
              </w:rPr>
              <w:t xml:space="preserve">The sanitizers and detergents used in the aseptic areas must be monitored to detect microbial contamination; the preparations must be conserved in containers that have been previously cleaned and only should be stored for defined periods unless they have been sterilized. The sanitizers and detergents used in Class A and B areas must be sterilized before their use. </w:t>
            </w:r>
          </w:p>
        </w:tc>
      </w:tr>
      <w:tr w:rsidR="001C6A90" w:rsidRPr="00F70181" w14:paraId="460486F1" w14:textId="77777777" w:rsidTr="00886332">
        <w:tc>
          <w:tcPr>
            <w:tcW w:w="4405" w:type="dxa"/>
          </w:tcPr>
          <w:p w14:paraId="05432AC4"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10.4.29</w:t>
            </w:r>
            <w:r w:rsidRPr="008F5C15">
              <w:rPr>
                <w:rFonts w:ascii="Verdana" w:hAnsi="Verdana"/>
                <w:sz w:val="16"/>
                <w:szCs w:val="16"/>
                <w:lang w:val="es-MX"/>
              </w:rPr>
              <w:t xml:space="preserve"> El programa de sanitización de las áreas Clase A y B debe incluir un agente esporicida. Se debe demostrar la eficacia de los procedimientos de limpieza y sanitización.</w:t>
            </w:r>
          </w:p>
        </w:tc>
        <w:tc>
          <w:tcPr>
            <w:tcW w:w="4427" w:type="dxa"/>
          </w:tcPr>
          <w:p w14:paraId="7CCC55C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10.4.29 </w:t>
            </w:r>
            <w:r w:rsidRPr="008F5C15">
              <w:rPr>
                <w:rFonts w:ascii="Verdana" w:hAnsi="Verdana"/>
                <w:sz w:val="16"/>
                <w:szCs w:val="16"/>
                <w:lang w:val="en-US"/>
              </w:rPr>
              <w:t>The sanitization program of the Class A and B areas must include a sporicidal agent. The efficiency of the cleaning and sanitization procedures must be demonstrated.</w:t>
            </w:r>
          </w:p>
        </w:tc>
      </w:tr>
      <w:tr w:rsidR="001C6A90" w:rsidRPr="00F70181" w14:paraId="47AA7B2E" w14:textId="77777777" w:rsidTr="00886332">
        <w:tc>
          <w:tcPr>
            <w:tcW w:w="4405" w:type="dxa"/>
          </w:tcPr>
          <w:p w14:paraId="36B9B3E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10.4.30</w:t>
            </w:r>
            <w:r w:rsidRPr="008F5C15">
              <w:rPr>
                <w:rFonts w:ascii="Verdana" w:hAnsi="Verdana"/>
                <w:sz w:val="16"/>
                <w:szCs w:val="16"/>
                <w:lang w:val="es-MX"/>
              </w:rPr>
              <w:t xml:space="preserve"> Cada operación unitaria involucrada en el proceso aséptico deberá ser validada individualmente.</w:t>
            </w:r>
          </w:p>
        </w:tc>
        <w:tc>
          <w:tcPr>
            <w:tcW w:w="4427" w:type="dxa"/>
          </w:tcPr>
          <w:p w14:paraId="0D3865E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10.4.30 </w:t>
            </w:r>
            <w:r w:rsidRPr="008F5C15">
              <w:rPr>
                <w:rFonts w:ascii="Verdana" w:hAnsi="Verdana"/>
                <w:sz w:val="16"/>
                <w:szCs w:val="16"/>
                <w:lang w:val="en-US"/>
              </w:rPr>
              <w:t xml:space="preserve">Each unitary operation involved in the aseptic process must be validated individually. </w:t>
            </w:r>
          </w:p>
        </w:tc>
      </w:tr>
      <w:tr w:rsidR="001C6A90" w:rsidRPr="00F70181" w14:paraId="08263683" w14:textId="77777777" w:rsidTr="00886332">
        <w:tc>
          <w:tcPr>
            <w:tcW w:w="4405" w:type="dxa"/>
          </w:tcPr>
          <w:p w14:paraId="72445DE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10.4.31</w:t>
            </w:r>
            <w:r w:rsidRPr="008F5C15">
              <w:rPr>
                <w:rFonts w:ascii="Verdana" w:hAnsi="Verdana"/>
                <w:sz w:val="16"/>
                <w:szCs w:val="16"/>
                <w:lang w:val="es-MX"/>
              </w:rPr>
              <w:t xml:space="preserve"> El tiempo de uso del filtro debe ser considerado en la validación y establecerse.</w:t>
            </w:r>
          </w:p>
        </w:tc>
        <w:tc>
          <w:tcPr>
            <w:tcW w:w="4427" w:type="dxa"/>
          </w:tcPr>
          <w:p w14:paraId="43D2C6E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10.4.31 </w:t>
            </w:r>
            <w:r w:rsidRPr="008F5C15">
              <w:rPr>
                <w:rFonts w:ascii="Verdana" w:hAnsi="Verdana"/>
                <w:sz w:val="16"/>
                <w:szCs w:val="16"/>
                <w:lang w:val="en-US"/>
              </w:rPr>
              <w:t xml:space="preserve">The time of use of the filter must be considered in the validation and be established. </w:t>
            </w:r>
          </w:p>
        </w:tc>
      </w:tr>
      <w:tr w:rsidR="001C6A90" w:rsidRPr="00F70181" w14:paraId="11CE9D4D" w14:textId="77777777" w:rsidTr="00886332">
        <w:tc>
          <w:tcPr>
            <w:tcW w:w="4405" w:type="dxa"/>
          </w:tcPr>
          <w:p w14:paraId="3D05ECD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10.4.32</w:t>
            </w:r>
            <w:r w:rsidRPr="008F5C15">
              <w:rPr>
                <w:rFonts w:ascii="Verdana" w:hAnsi="Verdana"/>
                <w:sz w:val="16"/>
                <w:szCs w:val="16"/>
                <w:lang w:val="es-MX"/>
              </w:rPr>
              <w:t xml:space="preserve"> Debe realizarse la prueba de integridad a los filtros utilizados en el proceso de filtración antes y después de su uso.</w:t>
            </w:r>
          </w:p>
        </w:tc>
        <w:tc>
          <w:tcPr>
            <w:tcW w:w="4427" w:type="dxa"/>
          </w:tcPr>
          <w:p w14:paraId="275C0F9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10.4.32 </w:t>
            </w:r>
            <w:r w:rsidRPr="008F5C15">
              <w:rPr>
                <w:rFonts w:ascii="Verdana" w:hAnsi="Verdana"/>
                <w:sz w:val="16"/>
                <w:szCs w:val="16"/>
                <w:lang w:val="en-US"/>
              </w:rPr>
              <w:t xml:space="preserve">The integrity test on the filters used in in the filtration process must be made before and after its use. </w:t>
            </w:r>
          </w:p>
        </w:tc>
      </w:tr>
      <w:tr w:rsidR="001C6A90" w:rsidRPr="00F70181" w14:paraId="47C4C682" w14:textId="77777777" w:rsidTr="00886332">
        <w:tc>
          <w:tcPr>
            <w:tcW w:w="4405" w:type="dxa"/>
          </w:tcPr>
          <w:p w14:paraId="3E75421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10.4.33</w:t>
            </w:r>
            <w:r w:rsidRPr="008F5C15">
              <w:rPr>
                <w:rFonts w:ascii="Verdana" w:hAnsi="Verdana"/>
                <w:sz w:val="16"/>
                <w:szCs w:val="16"/>
                <w:lang w:val="es-MX"/>
              </w:rPr>
              <w:t xml:space="preserve"> La validación de procesos asépticos debe incluir la prueba de llenado simulado utilizando un medio de cultivo. La selección del medio nutriente debe hacerse con base en el tipo de dosificación del producto, selectividad, claridad, concentración e idoneidad para la esterilización del medio.</w:t>
            </w:r>
          </w:p>
        </w:tc>
        <w:tc>
          <w:tcPr>
            <w:tcW w:w="4427" w:type="dxa"/>
          </w:tcPr>
          <w:p w14:paraId="3375C2F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10.4.33 </w:t>
            </w:r>
            <w:r w:rsidRPr="008F5C15">
              <w:rPr>
                <w:rFonts w:ascii="Verdana" w:hAnsi="Verdana"/>
                <w:sz w:val="16"/>
                <w:szCs w:val="16"/>
                <w:lang w:val="en-US"/>
              </w:rPr>
              <w:t xml:space="preserve">The validation of aseptic processes must include the simulated filling test using a culture media. The selection of the nutrient media must be made based on the type of dosification of the product, selectivity, clarity, concentration and capacity of the media.  </w:t>
            </w:r>
          </w:p>
        </w:tc>
      </w:tr>
      <w:tr w:rsidR="001C6A90" w:rsidRPr="00F70181" w14:paraId="7DA978E4" w14:textId="77777777" w:rsidTr="00886332">
        <w:tc>
          <w:tcPr>
            <w:tcW w:w="4405" w:type="dxa"/>
          </w:tcPr>
          <w:p w14:paraId="6300481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10.4.33.1</w:t>
            </w:r>
            <w:r w:rsidRPr="008F5C15">
              <w:rPr>
                <w:rFonts w:ascii="Verdana" w:hAnsi="Verdana"/>
                <w:sz w:val="16"/>
                <w:szCs w:val="16"/>
                <w:lang w:val="es-MX"/>
              </w:rPr>
              <w:t xml:space="preserve"> Las pruebas de llenado simulado se deben realizar como parte de la validación mediante la ejecución de tres corridas consecutivas y que cumplan los criterios de aceptación indicados en la FEUM.</w:t>
            </w:r>
          </w:p>
        </w:tc>
        <w:tc>
          <w:tcPr>
            <w:tcW w:w="4427" w:type="dxa"/>
          </w:tcPr>
          <w:p w14:paraId="1CDA4C2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10.4.33.1 </w:t>
            </w:r>
            <w:r w:rsidRPr="008F5C15">
              <w:rPr>
                <w:rFonts w:ascii="Verdana" w:hAnsi="Verdana"/>
                <w:sz w:val="16"/>
                <w:szCs w:val="16"/>
                <w:lang w:val="en-US"/>
              </w:rPr>
              <w:t xml:space="preserve">The simulated filling tests must be made as a part of the validation through the execution of three consecutive runs and that comply with the acceptance criteria indicated in the *FEUM (Pharmacopeia of the United Mexican States). </w:t>
            </w:r>
          </w:p>
        </w:tc>
      </w:tr>
      <w:tr w:rsidR="001C6A90" w:rsidRPr="00F70181" w14:paraId="0F2EEA59" w14:textId="77777777" w:rsidTr="00886332">
        <w:tc>
          <w:tcPr>
            <w:tcW w:w="4405" w:type="dxa"/>
          </w:tcPr>
          <w:p w14:paraId="698FD08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10.4.33.2</w:t>
            </w:r>
            <w:r w:rsidRPr="008F5C15">
              <w:rPr>
                <w:rFonts w:ascii="Verdana" w:hAnsi="Verdana"/>
                <w:sz w:val="16"/>
                <w:szCs w:val="16"/>
                <w:lang w:val="es-MX"/>
              </w:rPr>
              <w:t xml:space="preserve"> Estas pruebas deben repetirse a intervalos definidos, con una frecuencia de al menos cada seis meses y después de cualquier modificación significativa del sistema de aire acondicionado (HVAC), instalaciones, equipo o proceso.</w:t>
            </w:r>
          </w:p>
        </w:tc>
        <w:tc>
          <w:tcPr>
            <w:tcW w:w="4427" w:type="dxa"/>
          </w:tcPr>
          <w:p w14:paraId="4D3F446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10.4.33.2 </w:t>
            </w:r>
            <w:r w:rsidRPr="008F5C15">
              <w:rPr>
                <w:rFonts w:ascii="Verdana" w:hAnsi="Verdana"/>
                <w:sz w:val="16"/>
                <w:szCs w:val="16"/>
                <w:lang w:val="en-US"/>
              </w:rPr>
              <w:t xml:space="preserve">These tests must be repeated at defined intervals, with a frequency of at least six months and after any significant modification of the (HVAC) air conditioning system, installations, equipment or process.  </w:t>
            </w:r>
          </w:p>
        </w:tc>
      </w:tr>
      <w:tr w:rsidR="001C6A90" w:rsidRPr="00F70181" w14:paraId="30A545F1" w14:textId="77777777" w:rsidTr="00886332">
        <w:tc>
          <w:tcPr>
            <w:tcW w:w="4405" w:type="dxa"/>
          </w:tcPr>
          <w:p w14:paraId="15E1192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10.4.33.3</w:t>
            </w:r>
            <w:r w:rsidRPr="008F5C15">
              <w:rPr>
                <w:rFonts w:ascii="Verdana" w:hAnsi="Verdana"/>
                <w:sz w:val="16"/>
                <w:szCs w:val="16"/>
                <w:lang w:val="es-MX"/>
              </w:rPr>
              <w:t xml:space="preserve"> Las pruebas de llenado simulado deben incluir todas las actividades e intervenciones que se realicen durante la producción normal, así como simular periódicamente las situaciones del peor caso.</w:t>
            </w:r>
          </w:p>
        </w:tc>
        <w:tc>
          <w:tcPr>
            <w:tcW w:w="4427" w:type="dxa"/>
          </w:tcPr>
          <w:p w14:paraId="778E7ED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10.4.33.3 </w:t>
            </w:r>
            <w:r w:rsidRPr="008F5C15">
              <w:rPr>
                <w:rFonts w:ascii="Verdana" w:hAnsi="Verdana"/>
                <w:sz w:val="16"/>
                <w:szCs w:val="16"/>
                <w:lang w:val="en-US"/>
              </w:rPr>
              <w:t xml:space="preserve">The simulated filling tests must include all the activities and interventions that are made during normal production, as well to periodically simulate the worst case scenarios. </w:t>
            </w:r>
          </w:p>
        </w:tc>
      </w:tr>
      <w:tr w:rsidR="001C6A90" w:rsidRPr="00F70181" w14:paraId="3E72D6E1" w14:textId="77777777" w:rsidTr="00886332">
        <w:tc>
          <w:tcPr>
            <w:tcW w:w="4405" w:type="dxa"/>
          </w:tcPr>
          <w:p w14:paraId="4F78F2C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10.4.33.4</w:t>
            </w:r>
            <w:r w:rsidRPr="008F5C15">
              <w:rPr>
                <w:rFonts w:ascii="Verdana" w:hAnsi="Verdana"/>
                <w:sz w:val="16"/>
                <w:szCs w:val="16"/>
                <w:lang w:val="es-MX"/>
              </w:rPr>
              <w:t xml:space="preserve"> Las pruebas de llenado simulado de procesos deben ser representativas de cada turno y </w:t>
            </w:r>
            <w:r w:rsidRPr="008F5C15">
              <w:rPr>
                <w:rFonts w:ascii="Verdana" w:hAnsi="Verdana"/>
                <w:sz w:val="16"/>
                <w:szCs w:val="16"/>
                <w:lang w:val="es-MX"/>
              </w:rPr>
              <w:lastRenderedPageBreak/>
              <w:t>cambio de turno, para cubrir las funciones relacionadas con el tiempo y operaciones del proceso.</w:t>
            </w:r>
          </w:p>
        </w:tc>
        <w:tc>
          <w:tcPr>
            <w:tcW w:w="4427" w:type="dxa"/>
          </w:tcPr>
          <w:p w14:paraId="6E07DB3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10.4.33.4 </w:t>
            </w:r>
            <w:r w:rsidRPr="008F5C15">
              <w:rPr>
                <w:rFonts w:ascii="Verdana" w:hAnsi="Verdana"/>
                <w:sz w:val="16"/>
                <w:szCs w:val="16"/>
                <w:lang w:val="en-US"/>
              </w:rPr>
              <w:t xml:space="preserve">The simulated filling tests of processes must be representative of each shift and shift </w:t>
            </w:r>
            <w:r w:rsidRPr="008F5C15">
              <w:rPr>
                <w:rFonts w:ascii="Verdana" w:hAnsi="Verdana"/>
                <w:sz w:val="16"/>
                <w:szCs w:val="16"/>
                <w:lang w:val="en-US"/>
              </w:rPr>
              <w:lastRenderedPageBreak/>
              <w:t xml:space="preserve">change, for covering the functions related to the time and operations of the process. </w:t>
            </w:r>
          </w:p>
        </w:tc>
      </w:tr>
      <w:tr w:rsidR="001C6A90" w:rsidRPr="00F70181" w14:paraId="65C54E6B" w14:textId="77777777" w:rsidTr="00886332">
        <w:tc>
          <w:tcPr>
            <w:tcW w:w="4405" w:type="dxa"/>
          </w:tcPr>
          <w:p w14:paraId="56AA4B3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10.4.34 </w:t>
            </w:r>
            <w:r w:rsidRPr="008F5C15">
              <w:rPr>
                <w:rFonts w:ascii="Verdana" w:hAnsi="Verdana"/>
                <w:sz w:val="16"/>
                <w:szCs w:val="16"/>
                <w:lang w:val="es-MX"/>
              </w:rPr>
              <w:t>El número de piezas llenadas en el estudio de llenado simulado debe ser suficiente para considerarla válida de acuerdo a los criterios de la FEUM.</w:t>
            </w:r>
          </w:p>
        </w:tc>
        <w:tc>
          <w:tcPr>
            <w:tcW w:w="4427" w:type="dxa"/>
          </w:tcPr>
          <w:p w14:paraId="5E14F9F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10.4.34 </w:t>
            </w:r>
            <w:r w:rsidRPr="008F5C15">
              <w:rPr>
                <w:rFonts w:ascii="Verdana" w:hAnsi="Verdana"/>
                <w:sz w:val="16"/>
                <w:szCs w:val="16"/>
                <w:lang w:val="en-US"/>
              </w:rPr>
              <w:t xml:space="preserve">The number of pieces filled in the simulated filling study must be sufficient for consider it valid according to the criteria of the FEUM. </w:t>
            </w:r>
          </w:p>
        </w:tc>
      </w:tr>
      <w:tr w:rsidR="001C6A90" w:rsidRPr="00F70181" w14:paraId="6EE52872" w14:textId="77777777" w:rsidTr="00886332">
        <w:tc>
          <w:tcPr>
            <w:tcW w:w="4405" w:type="dxa"/>
          </w:tcPr>
          <w:p w14:paraId="5D5E3DB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10.4.34.1</w:t>
            </w:r>
            <w:r w:rsidRPr="008F5C15">
              <w:rPr>
                <w:rFonts w:ascii="Verdana" w:hAnsi="Verdana"/>
                <w:sz w:val="16"/>
                <w:szCs w:val="16"/>
                <w:lang w:val="es-MX"/>
              </w:rPr>
              <w:t xml:space="preserve"> Para lotes menores a 5000 unidades el número de piezas llenadas debe ser, al menos, igual al tamaño del lote del producto.</w:t>
            </w:r>
          </w:p>
        </w:tc>
        <w:tc>
          <w:tcPr>
            <w:tcW w:w="4427" w:type="dxa"/>
          </w:tcPr>
          <w:p w14:paraId="0373072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10.4.34.1 </w:t>
            </w:r>
            <w:r w:rsidRPr="008F5C15">
              <w:rPr>
                <w:rFonts w:ascii="Verdana" w:hAnsi="Verdana"/>
                <w:sz w:val="16"/>
                <w:szCs w:val="16"/>
                <w:lang w:val="en-US"/>
              </w:rPr>
              <w:t xml:space="preserve">For lots less than 5000 units the number of pieces filled must be, at least, equal to the size of the lot of the product. </w:t>
            </w:r>
          </w:p>
        </w:tc>
      </w:tr>
      <w:tr w:rsidR="001C6A90" w:rsidRPr="00F70181" w14:paraId="33B6801A" w14:textId="77777777" w:rsidTr="00886332">
        <w:tc>
          <w:tcPr>
            <w:tcW w:w="4405" w:type="dxa"/>
          </w:tcPr>
          <w:p w14:paraId="684D84B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10.4.35 </w:t>
            </w:r>
            <w:r w:rsidRPr="008F5C15">
              <w:rPr>
                <w:rFonts w:ascii="Verdana" w:hAnsi="Verdana"/>
                <w:sz w:val="16"/>
                <w:szCs w:val="16"/>
                <w:lang w:val="es-MX"/>
              </w:rPr>
              <w:t>Para cualquier tamaño de corrida, los incidentes intermitentes de contaminación microbiana pueden ser indicativos de contaminación de bajo nivel, el cual debe investigarse.</w:t>
            </w:r>
          </w:p>
        </w:tc>
        <w:tc>
          <w:tcPr>
            <w:tcW w:w="4427" w:type="dxa"/>
          </w:tcPr>
          <w:p w14:paraId="00EA331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10.4.35 </w:t>
            </w:r>
            <w:r w:rsidRPr="008F5C15">
              <w:rPr>
                <w:rFonts w:ascii="Verdana" w:hAnsi="Verdana"/>
                <w:sz w:val="16"/>
                <w:szCs w:val="16"/>
                <w:lang w:val="en-US"/>
              </w:rPr>
              <w:t xml:space="preserve">For any size of run, the intermittent incidents of microbial contamination can be indicative of low level contamination, which must be investigated. </w:t>
            </w:r>
          </w:p>
        </w:tc>
      </w:tr>
      <w:tr w:rsidR="001C6A90" w:rsidRPr="00F70181" w14:paraId="501636E5" w14:textId="77777777" w:rsidTr="00886332">
        <w:tc>
          <w:tcPr>
            <w:tcW w:w="4405" w:type="dxa"/>
          </w:tcPr>
          <w:p w14:paraId="7B5D264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10.4.35.1 </w:t>
            </w:r>
            <w:r w:rsidRPr="008F5C15">
              <w:rPr>
                <w:rFonts w:ascii="Verdana" w:hAnsi="Verdana"/>
                <w:sz w:val="16"/>
                <w:szCs w:val="16"/>
                <w:lang w:val="es-MX"/>
              </w:rPr>
              <w:t>La investigación de fallas debe incluir el impacto potencial sobre la garantía de la esterilidad de los lotes fabricados desde el último estudio de llenado simulado exitoso.</w:t>
            </w:r>
          </w:p>
        </w:tc>
        <w:tc>
          <w:tcPr>
            <w:tcW w:w="4427" w:type="dxa"/>
          </w:tcPr>
          <w:p w14:paraId="3F919BE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10.4.35.1 </w:t>
            </w:r>
            <w:r w:rsidRPr="008F5C15">
              <w:rPr>
                <w:rFonts w:ascii="Verdana" w:hAnsi="Verdana"/>
                <w:sz w:val="16"/>
                <w:szCs w:val="16"/>
                <w:lang w:val="en-US"/>
              </w:rPr>
              <w:t xml:space="preserve">The investigation of failures must include the potential impact on the guarantee of the sterility of the lots manufactured from the last successful simulated filling study. </w:t>
            </w:r>
          </w:p>
        </w:tc>
      </w:tr>
      <w:tr w:rsidR="001C6A90" w:rsidRPr="00F70181" w14:paraId="5F732827" w14:textId="77777777" w:rsidTr="00886332">
        <w:tc>
          <w:tcPr>
            <w:tcW w:w="4405" w:type="dxa"/>
          </w:tcPr>
          <w:p w14:paraId="7F44CA7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10.4.36 </w:t>
            </w:r>
            <w:r w:rsidRPr="008F5C15">
              <w:rPr>
                <w:rFonts w:ascii="Verdana" w:hAnsi="Verdana"/>
                <w:sz w:val="16"/>
                <w:szCs w:val="16"/>
                <w:lang w:val="es-MX"/>
              </w:rPr>
              <w:t>Los métodos de esterilización que se utilicen se deben apegar a lo establecido en la FEUM.</w:t>
            </w:r>
          </w:p>
        </w:tc>
        <w:tc>
          <w:tcPr>
            <w:tcW w:w="4427" w:type="dxa"/>
          </w:tcPr>
          <w:p w14:paraId="0D17A72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10.4.36 </w:t>
            </w:r>
            <w:r w:rsidRPr="008F5C15">
              <w:rPr>
                <w:rFonts w:ascii="Verdana" w:hAnsi="Verdana"/>
                <w:sz w:val="16"/>
                <w:szCs w:val="16"/>
                <w:lang w:val="en-US"/>
              </w:rPr>
              <w:t xml:space="preserve">The sterilization methods that are used must follow that established in the FEUM (Pharmacopeia of the United Mexican States). </w:t>
            </w:r>
          </w:p>
        </w:tc>
      </w:tr>
      <w:tr w:rsidR="001C6A90" w:rsidRPr="00272577" w14:paraId="41FF38D6" w14:textId="77777777" w:rsidTr="00886332">
        <w:tc>
          <w:tcPr>
            <w:tcW w:w="4405" w:type="dxa"/>
          </w:tcPr>
          <w:p w14:paraId="5FD83C7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10.4.37 </w:t>
            </w:r>
            <w:r w:rsidRPr="008F5C15">
              <w:rPr>
                <w:rFonts w:ascii="Verdana" w:hAnsi="Verdana"/>
                <w:sz w:val="16"/>
                <w:szCs w:val="16"/>
                <w:lang w:val="es-MX"/>
              </w:rPr>
              <w:t>Tecnología soplado/llenado/sellado (Blow/fill/seal)</w:t>
            </w:r>
          </w:p>
        </w:tc>
        <w:tc>
          <w:tcPr>
            <w:tcW w:w="4427" w:type="dxa"/>
          </w:tcPr>
          <w:p w14:paraId="05950C2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10.4.37 </w:t>
            </w:r>
            <w:r w:rsidRPr="008F5C15">
              <w:rPr>
                <w:rFonts w:ascii="Verdana" w:hAnsi="Verdana"/>
                <w:sz w:val="16"/>
                <w:szCs w:val="16"/>
                <w:lang w:val="en-US"/>
              </w:rPr>
              <w:t xml:space="preserve">Blow/Fill/ Seal Technology. </w:t>
            </w:r>
          </w:p>
        </w:tc>
      </w:tr>
      <w:tr w:rsidR="001C6A90" w:rsidRPr="00F70181" w14:paraId="27ADC0C5" w14:textId="77777777" w:rsidTr="00886332">
        <w:tc>
          <w:tcPr>
            <w:tcW w:w="4405" w:type="dxa"/>
          </w:tcPr>
          <w:p w14:paraId="7734445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10.4.37.1 </w:t>
            </w:r>
            <w:r w:rsidRPr="008F5C15">
              <w:rPr>
                <w:rFonts w:ascii="Verdana" w:hAnsi="Verdana"/>
                <w:sz w:val="16"/>
                <w:szCs w:val="16"/>
                <w:lang w:val="es-MX"/>
              </w:rPr>
              <w:t>Para esta tecnología, se debe tener atención en por lo menos lo siguiente:</w:t>
            </w:r>
          </w:p>
        </w:tc>
        <w:tc>
          <w:tcPr>
            <w:tcW w:w="4427" w:type="dxa"/>
          </w:tcPr>
          <w:p w14:paraId="2B2E3B8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10.4.37.1 </w:t>
            </w:r>
            <w:r w:rsidRPr="008F5C15">
              <w:rPr>
                <w:rFonts w:ascii="Verdana" w:hAnsi="Verdana"/>
                <w:sz w:val="16"/>
                <w:szCs w:val="16"/>
                <w:lang w:val="en-US"/>
              </w:rPr>
              <w:t>For this technology, at least the following must be taken into consideration:</w:t>
            </w:r>
          </w:p>
        </w:tc>
      </w:tr>
      <w:tr w:rsidR="001C6A90" w:rsidRPr="00F70181" w14:paraId="32A48F03" w14:textId="77777777" w:rsidTr="00886332">
        <w:tc>
          <w:tcPr>
            <w:tcW w:w="4405" w:type="dxa"/>
          </w:tcPr>
          <w:p w14:paraId="4FC9178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10.4.37.1.1 </w:t>
            </w:r>
            <w:r w:rsidRPr="008F5C15">
              <w:rPr>
                <w:rFonts w:ascii="Verdana" w:hAnsi="Verdana"/>
                <w:sz w:val="16"/>
                <w:szCs w:val="16"/>
                <w:lang w:val="es-MX"/>
              </w:rPr>
              <w:t>Diseño de equipos y calificación;</w:t>
            </w:r>
          </w:p>
        </w:tc>
        <w:tc>
          <w:tcPr>
            <w:tcW w:w="4427" w:type="dxa"/>
          </w:tcPr>
          <w:p w14:paraId="7098D80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10.4.37.1.1 </w:t>
            </w:r>
            <w:r w:rsidRPr="008F5C15">
              <w:rPr>
                <w:rFonts w:ascii="Verdana" w:hAnsi="Verdana"/>
                <w:sz w:val="16"/>
                <w:szCs w:val="16"/>
                <w:lang w:val="en-US"/>
              </w:rPr>
              <w:t>Design of equipment and qualification;</w:t>
            </w:r>
          </w:p>
        </w:tc>
      </w:tr>
      <w:tr w:rsidR="001C6A90" w:rsidRPr="00F70181" w14:paraId="7C5CF742" w14:textId="77777777" w:rsidTr="00886332">
        <w:tc>
          <w:tcPr>
            <w:tcW w:w="4405" w:type="dxa"/>
          </w:tcPr>
          <w:p w14:paraId="6E0F335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10.4.37.1.2 </w:t>
            </w:r>
            <w:r w:rsidRPr="008F5C15">
              <w:rPr>
                <w:rFonts w:ascii="Verdana" w:hAnsi="Verdana"/>
                <w:sz w:val="16"/>
                <w:szCs w:val="16"/>
                <w:lang w:val="es-MX"/>
              </w:rPr>
              <w:t>Validación de limpieza y esterilización;</w:t>
            </w:r>
          </w:p>
        </w:tc>
        <w:tc>
          <w:tcPr>
            <w:tcW w:w="4427" w:type="dxa"/>
          </w:tcPr>
          <w:p w14:paraId="583174D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10.4.37.1.2 </w:t>
            </w:r>
            <w:r w:rsidRPr="008F5C15">
              <w:rPr>
                <w:rFonts w:ascii="Verdana" w:hAnsi="Verdana"/>
                <w:sz w:val="16"/>
                <w:szCs w:val="16"/>
                <w:lang w:val="en-US"/>
              </w:rPr>
              <w:t>Validation of cleaning and sterilization;</w:t>
            </w:r>
          </w:p>
        </w:tc>
      </w:tr>
      <w:tr w:rsidR="001C6A90" w:rsidRPr="00F70181" w14:paraId="59B36434" w14:textId="77777777" w:rsidTr="00886332">
        <w:tc>
          <w:tcPr>
            <w:tcW w:w="4405" w:type="dxa"/>
          </w:tcPr>
          <w:p w14:paraId="158688E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10.4.37.1.3</w:t>
            </w:r>
            <w:r w:rsidRPr="008F5C15">
              <w:rPr>
                <w:rFonts w:ascii="Verdana" w:hAnsi="Verdana"/>
                <w:sz w:val="16"/>
                <w:szCs w:val="16"/>
                <w:lang w:val="es-MX"/>
              </w:rPr>
              <w:t xml:space="preserve"> Entorno en el que se encuentra el equipo;</w:t>
            </w:r>
          </w:p>
        </w:tc>
        <w:tc>
          <w:tcPr>
            <w:tcW w:w="4427" w:type="dxa"/>
          </w:tcPr>
          <w:p w14:paraId="653FBFF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10.4.37.1.3</w:t>
            </w:r>
            <w:r w:rsidRPr="008F5C15">
              <w:rPr>
                <w:rFonts w:ascii="Verdana" w:hAnsi="Verdana"/>
                <w:sz w:val="16"/>
                <w:szCs w:val="16"/>
                <w:lang w:val="en-US"/>
              </w:rPr>
              <w:t xml:space="preserve"> Environment in which the equipment is found;</w:t>
            </w:r>
          </w:p>
        </w:tc>
      </w:tr>
      <w:tr w:rsidR="001C6A90" w:rsidRPr="00F70181" w14:paraId="15C52A1E" w14:textId="77777777" w:rsidTr="00886332">
        <w:tc>
          <w:tcPr>
            <w:tcW w:w="4405" w:type="dxa"/>
          </w:tcPr>
          <w:p w14:paraId="52180F0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10.4.37.1.4</w:t>
            </w:r>
            <w:r w:rsidRPr="008F5C15">
              <w:rPr>
                <w:rFonts w:ascii="Verdana" w:hAnsi="Verdana"/>
                <w:sz w:val="16"/>
                <w:szCs w:val="16"/>
                <w:lang w:val="es-MX"/>
              </w:rPr>
              <w:t xml:space="preserve"> Capacitación de los operadores; y</w:t>
            </w:r>
          </w:p>
        </w:tc>
        <w:tc>
          <w:tcPr>
            <w:tcW w:w="4427" w:type="dxa"/>
          </w:tcPr>
          <w:p w14:paraId="0006891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10.4.37.1.4</w:t>
            </w:r>
            <w:r w:rsidRPr="008F5C15">
              <w:rPr>
                <w:rFonts w:ascii="Verdana" w:hAnsi="Verdana"/>
                <w:sz w:val="16"/>
                <w:szCs w:val="16"/>
                <w:lang w:val="en-US"/>
              </w:rPr>
              <w:t xml:space="preserve"> Qualification of the operators; and</w:t>
            </w:r>
          </w:p>
        </w:tc>
      </w:tr>
      <w:tr w:rsidR="001C6A90" w:rsidRPr="00F70181" w14:paraId="4B6650A8" w14:textId="77777777" w:rsidTr="00886332">
        <w:tc>
          <w:tcPr>
            <w:tcW w:w="4405" w:type="dxa"/>
          </w:tcPr>
          <w:p w14:paraId="47ED8BA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10.4.37.1.5</w:t>
            </w:r>
            <w:r w:rsidRPr="008F5C15">
              <w:rPr>
                <w:rFonts w:ascii="Verdana" w:hAnsi="Verdana"/>
                <w:sz w:val="16"/>
                <w:szCs w:val="16"/>
                <w:lang w:val="es-MX"/>
              </w:rPr>
              <w:t xml:space="preserve"> Las intervenciones en la zona crítica del equipo incluyendo cualquier montaje aséptico antes del comienzo de llenado.</w:t>
            </w:r>
          </w:p>
        </w:tc>
        <w:tc>
          <w:tcPr>
            <w:tcW w:w="4427" w:type="dxa"/>
          </w:tcPr>
          <w:p w14:paraId="7F145DF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10.4.37.1.5</w:t>
            </w:r>
            <w:r w:rsidRPr="008F5C15">
              <w:rPr>
                <w:rFonts w:ascii="Verdana" w:hAnsi="Verdana"/>
                <w:sz w:val="16"/>
                <w:szCs w:val="16"/>
                <w:lang w:val="en-US"/>
              </w:rPr>
              <w:t xml:space="preserve"> The interventions in the critical zone of the equipment including aseptic assembly before commencing the filling. </w:t>
            </w:r>
          </w:p>
        </w:tc>
      </w:tr>
      <w:tr w:rsidR="001C6A90" w:rsidRPr="00262EF8" w14:paraId="089722A0" w14:textId="77777777" w:rsidTr="00886332">
        <w:tc>
          <w:tcPr>
            <w:tcW w:w="4405" w:type="dxa"/>
          </w:tcPr>
          <w:p w14:paraId="2F311B3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w:t>
            </w:r>
            <w:r w:rsidRPr="008F5C15">
              <w:rPr>
                <w:rFonts w:ascii="Verdana" w:hAnsi="Verdana"/>
                <w:sz w:val="16"/>
                <w:szCs w:val="16"/>
                <w:lang w:val="es-MX"/>
              </w:rPr>
              <w:t xml:space="preserve"> Biológicos y Biotecnológicos.</w:t>
            </w:r>
          </w:p>
        </w:tc>
        <w:tc>
          <w:tcPr>
            <w:tcW w:w="4427" w:type="dxa"/>
          </w:tcPr>
          <w:p w14:paraId="09EDF33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10.5</w:t>
            </w:r>
            <w:r w:rsidRPr="008F5C15">
              <w:rPr>
                <w:rFonts w:ascii="Verdana" w:hAnsi="Verdana"/>
                <w:sz w:val="16"/>
                <w:szCs w:val="16"/>
                <w:lang w:val="en-US"/>
              </w:rPr>
              <w:t xml:space="preserve"> Biological and biotechnological. </w:t>
            </w:r>
          </w:p>
        </w:tc>
      </w:tr>
      <w:tr w:rsidR="001C6A90" w:rsidRPr="00262EF8" w14:paraId="2C570E07" w14:textId="77777777" w:rsidTr="00886332">
        <w:tc>
          <w:tcPr>
            <w:tcW w:w="4405" w:type="dxa"/>
          </w:tcPr>
          <w:p w14:paraId="291811B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10.5.1</w:t>
            </w:r>
            <w:r w:rsidRPr="008F5C15">
              <w:rPr>
                <w:rFonts w:ascii="Verdana" w:hAnsi="Verdana"/>
                <w:sz w:val="16"/>
                <w:szCs w:val="16"/>
                <w:lang w:val="es-MX"/>
              </w:rPr>
              <w:t xml:space="preserve"> Generalidades.</w:t>
            </w:r>
          </w:p>
        </w:tc>
        <w:tc>
          <w:tcPr>
            <w:tcW w:w="4427" w:type="dxa"/>
          </w:tcPr>
          <w:p w14:paraId="1B6C7F2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10.5.1</w:t>
            </w:r>
            <w:r w:rsidRPr="008F5C15">
              <w:rPr>
                <w:rFonts w:ascii="Verdana" w:hAnsi="Verdana"/>
                <w:sz w:val="16"/>
                <w:szCs w:val="16"/>
                <w:lang w:val="en-US"/>
              </w:rPr>
              <w:t xml:space="preserve"> General Provisions.</w:t>
            </w:r>
          </w:p>
        </w:tc>
      </w:tr>
      <w:tr w:rsidR="001C6A90" w:rsidRPr="00F70181" w14:paraId="00C95EF3" w14:textId="77777777" w:rsidTr="00886332">
        <w:tc>
          <w:tcPr>
            <w:tcW w:w="4405" w:type="dxa"/>
          </w:tcPr>
          <w:p w14:paraId="22C1FCFC"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10.5.1.1</w:t>
            </w:r>
            <w:r w:rsidRPr="008F5C15">
              <w:rPr>
                <w:rFonts w:ascii="Verdana" w:hAnsi="Verdana"/>
                <w:sz w:val="16"/>
                <w:szCs w:val="16"/>
                <w:lang w:val="es-MX"/>
              </w:rPr>
              <w:t xml:space="preserve"> La fabricación de productos biológicos y biotecnológicos implica condiciones y precauciones adicionales de acuerdo a la naturaleza y riesgo del material biológico involucrado, aunado a la variabilidad biológica implícita.</w:t>
            </w:r>
          </w:p>
        </w:tc>
        <w:tc>
          <w:tcPr>
            <w:tcW w:w="4427" w:type="dxa"/>
          </w:tcPr>
          <w:p w14:paraId="07130C3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10.5.1.1 </w:t>
            </w:r>
            <w:r w:rsidRPr="008F5C15">
              <w:rPr>
                <w:rFonts w:ascii="Verdana" w:hAnsi="Verdana"/>
                <w:sz w:val="16"/>
                <w:szCs w:val="16"/>
                <w:lang w:val="en-US"/>
              </w:rPr>
              <w:t xml:space="preserve">The manufacture of biological and biotechnological products implies conditions and additional precautions according to the nature and risk of the biological material involved, combined with the implicit biological variability. </w:t>
            </w:r>
          </w:p>
        </w:tc>
      </w:tr>
      <w:tr w:rsidR="001C6A90" w:rsidRPr="00F70181" w14:paraId="3018B673" w14:textId="77777777" w:rsidTr="00886332">
        <w:tc>
          <w:tcPr>
            <w:tcW w:w="4405" w:type="dxa"/>
          </w:tcPr>
          <w:p w14:paraId="484C3B2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10.5.1.2</w:t>
            </w:r>
            <w:r w:rsidRPr="008F5C15">
              <w:rPr>
                <w:rFonts w:ascii="Verdana" w:hAnsi="Verdana"/>
                <w:sz w:val="16"/>
                <w:szCs w:val="16"/>
                <w:lang w:val="es-MX"/>
              </w:rPr>
              <w:t xml:space="preserve"> Se consideran productos biológicos a las vacunas, toxoides, toxinas, hormonas macromoleculares, enzimas, sueros y antitoxinas de origen animal, y hemoderivados; y productos biotecnológicos a toda substancia que haya sido producida por biotecnología molecular, tales como proteínas recombinantes, anticuerpos monoclonales, entre otros.</w:t>
            </w:r>
          </w:p>
        </w:tc>
        <w:tc>
          <w:tcPr>
            <w:tcW w:w="4427" w:type="dxa"/>
          </w:tcPr>
          <w:p w14:paraId="2F8583A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10.5.1.2 </w:t>
            </w:r>
            <w:r w:rsidRPr="008F5C15">
              <w:rPr>
                <w:rFonts w:ascii="Verdana" w:hAnsi="Verdana"/>
                <w:sz w:val="16"/>
                <w:szCs w:val="16"/>
                <w:lang w:val="en-US"/>
              </w:rPr>
              <w:t xml:space="preserve">Vaccines, toxoids, toxins, macromolecular hormones, enzymes, serums and antitoxins of animal origin, and hemoderivatives are considered biological products; and biotechnological products are all substances that have been produced by molecular biotechnology, such as recombinant proteins, monoclonal antibodies, among others. </w:t>
            </w:r>
          </w:p>
        </w:tc>
      </w:tr>
      <w:tr w:rsidR="001C6A90" w:rsidRPr="00F70181" w14:paraId="4E924B76" w14:textId="77777777" w:rsidTr="00886332">
        <w:tc>
          <w:tcPr>
            <w:tcW w:w="4405" w:type="dxa"/>
          </w:tcPr>
          <w:p w14:paraId="3F1C1B4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10.5.1.3 </w:t>
            </w:r>
            <w:r w:rsidRPr="008F5C15">
              <w:rPr>
                <w:rFonts w:ascii="Verdana" w:hAnsi="Verdana"/>
                <w:sz w:val="16"/>
                <w:szCs w:val="16"/>
                <w:lang w:val="es-MX"/>
              </w:rPr>
              <w:t xml:space="preserve">Los productos biológicos pueden ser obtenidos por extracción a partir de tejidos </w:t>
            </w:r>
            <w:r w:rsidRPr="008F5C15">
              <w:rPr>
                <w:rFonts w:ascii="Verdana" w:hAnsi="Verdana"/>
                <w:sz w:val="16"/>
                <w:szCs w:val="16"/>
                <w:lang w:val="es-MX"/>
              </w:rPr>
              <w:lastRenderedPageBreak/>
              <w:t>biológicos, propagación de agentes vivos en embriones o animales, cultivos microbianos o celulares, sin que medie un proceso de recombinación genética.</w:t>
            </w:r>
          </w:p>
        </w:tc>
        <w:tc>
          <w:tcPr>
            <w:tcW w:w="4427" w:type="dxa"/>
          </w:tcPr>
          <w:p w14:paraId="344ED01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10.5.1.3 </w:t>
            </w:r>
            <w:r w:rsidRPr="008F5C15">
              <w:rPr>
                <w:rFonts w:ascii="Verdana" w:hAnsi="Verdana"/>
                <w:sz w:val="16"/>
                <w:szCs w:val="16"/>
                <w:lang w:val="en-US"/>
              </w:rPr>
              <w:t xml:space="preserve">The biological products can be obtained by extraction from the biological tissues, propagation of </w:t>
            </w:r>
            <w:r w:rsidRPr="008F5C15">
              <w:rPr>
                <w:rFonts w:ascii="Verdana" w:hAnsi="Verdana"/>
                <w:sz w:val="16"/>
                <w:szCs w:val="16"/>
                <w:lang w:val="en-US"/>
              </w:rPr>
              <w:lastRenderedPageBreak/>
              <w:t xml:space="preserve">live agents in embryos or animals, microbial or cellular cultures, without a process of genetic recombination. </w:t>
            </w:r>
          </w:p>
        </w:tc>
      </w:tr>
      <w:tr w:rsidR="001C6A90" w:rsidRPr="00F70181" w14:paraId="49F0D5AF" w14:textId="77777777" w:rsidTr="00886332">
        <w:tc>
          <w:tcPr>
            <w:tcW w:w="4405" w:type="dxa"/>
          </w:tcPr>
          <w:p w14:paraId="5D65DBC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lastRenderedPageBreak/>
              <w:t>Las vacunas que hayan sido producidas por biotecnología molecular, que involucra la recombinación genética de una célula o microorganismo, deberán tratarse como productos biotecnológicos en el alcance de esta Norma.</w:t>
            </w:r>
          </w:p>
        </w:tc>
        <w:tc>
          <w:tcPr>
            <w:tcW w:w="4427" w:type="dxa"/>
          </w:tcPr>
          <w:p w14:paraId="27AD99C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 vaccines that have been produced by molecular technology that involves the genetic recombination of a cell or microorganism must be treated as biotechnological products within the scope of this Standard. </w:t>
            </w:r>
          </w:p>
        </w:tc>
      </w:tr>
      <w:tr w:rsidR="001C6A90" w:rsidRPr="00F70181" w14:paraId="1052CE80" w14:textId="77777777" w:rsidTr="00886332">
        <w:tc>
          <w:tcPr>
            <w:tcW w:w="4405" w:type="dxa"/>
          </w:tcPr>
          <w:p w14:paraId="3742807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10.5.1.4 </w:t>
            </w:r>
            <w:r w:rsidRPr="008F5C15">
              <w:rPr>
                <w:rFonts w:ascii="Verdana" w:hAnsi="Verdana"/>
                <w:sz w:val="16"/>
                <w:szCs w:val="16"/>
                <w:lang w:val="es-MX"/>
              </w:rPr>
              <w:t>La aplicación de los puntos 10.5.1 hasta 10.5.5.3.11 de esta Norma, son requisitos que aplican de manera general a la fabricación de los productos biológicos y biotecnológicos. Los requisitos específicos para hemoderivados están descritos en el punto 10.5.6 y sus subpuntos y los requisitos específicos para biotecnológicos se encuentran descritos en el punto 10.5.7 y sus subpuntos.</w:t>
            </w:r>
          </w:p>
        </w:tc>
        <w:tc>
          <w:tcPr>
            <w:tcW w:w="4427" w:type="dxa"/>
          </w:tcPr>
          <w:p w14:paraId="0D47A35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10.5.1.4 </w:t>
            </w:r>
            <w:r w:rsidRPr="008F5C15">
              <w:rPr>
                <w:rFonts w:ascii="Verdana" w:hAnsi="Verdana"/>
                <w:sz w:val="16"/>
                <w:szCs w:val="16"/>
                <w:lang w:val="en-US"/>
              </w:rPr>
              <w:t xml:space="preserve">The application of points 10.5.1 to 10.5.5.3.11 of this Standard are requirements that apply generally to the manufacture of the biological and biotechnological products. The specific requirements for hemoderivatives are described in the point 10.5.6 and their sub-points and the specific requirements for biotechnological products are found described in point 10.5.7 and its sub-points. </w:t>
            </w:r>
          </w:p>
        </w:tc>
      </w:tr>
      <w:tr w:rsidR="001C6A90" w:rsidRPr="00F70181" w14:paraId="65BBA713" w14:textId="77777777" w:rsidTr="00886332">
        <w:tc>
          <w:tcPr>
            <w:tcW w:w="4405" w:type="dxa"/>
          </w:tcPr>
          <w:p w14:paraId="53C8C25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10.5.1.5</w:t>
            </w:r>
            <w:r w:rsidRPr="008F5C15">
              <w:rPr>
                <w:rFonts w:ascii="Verdana" w:hAnsi="Verdana"/>
                <w:sz w:val="16"/>
                <w:szCs w:val="16"/>
                <w:lang w:val="es-MX"/>
              </w:rPr>
              <w:t xml:space="preserve"> Además de lo indicado en el punto 10.5 y sus subpuntos de esta Norma, debe cumplirse con lo establecido en la FEUM vigente.</w:t>
            </w:r>
          </w:p>
        </w:tc>
        <w:tc>
          <w:tcPr>
            <w:tcW w:w="4427" w:type="dxa"/>
          </w:tcPr>
          <w:p w14:paraId="57D371A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10.5.1.5 </w:t>
            </w:r>
            <w:r w:rsidRPr="008F5C15">
              <w:rPr>
                <w:rFonts w:ascii="Verdana" w:hAnsi="Verdana"/>
                <w:sz w:val="16"/>
                <w:szCs w:val="16"/>
                <w:lang w:val="en-US"/>
              </w:rPr>
              <w:t xml:space="preserve">In addition to that indicated in point 10.5 and their subpoints of this Standard, that established in the current FEUM must be complied. </w:t>
            </w:r>
          </w:p>
        </w:tc>
      </w:tr>
      <w:tr w:rsidR="001C6A90" w:rsidRPr="000824A7" w14:paraId="6255F09D" w14:textId="77777777" w:rsidTr="00886332">
        <w:tc>
          <w:tcPr>
            <w:tcW w:w="4405" w:type="dxa"/>
          </w:tcPr>
          <w:p w14:paraId="6B055F7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10.5.2</w:t>
            </w:r>
            <w:r w:rsidRPr="008F5C15">
              <w:rPr>
                <w:rFonts w:ascii="Verdana" w:hAnsi="Verdana"/>
                <w:sz w:val="16"/>
                <w:szCs w:val="16"/>
                <w:lang w:val="es-MX"/>
              </w:rPr>
              <w:t xml:space="preserve"> Personal.</w:t>
            </w:r>
          </w:p>
        </w:tc>
        <w:tc>
          <w:tcPr>
            <w:tcW w:w="4427" w:type="dxa"/>
          </w:tcPr>
          <w:p w14:paraId="482C30B8"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10.5.2 </w:t>
            </w:r>
            <w:r w:rsidRPr="008F5C15">
              <w:rPr>
                <w:rFonts w:ascii="Verdana" w:hAnsi="Verdana"/>
                <w:sz w:val="16"/>
                <w:szCs w:val="16"/>
                <w:lang w:val="en-US"/>
              </w:rPr>
              <w:t>Personnel.</w:t>
            </w:r>
          </w:p>
        </w:tc>
      </w:tr>
      <w:tr w:rsidR="001C6A90" w:rsidRPr="00F70181" w14:paraId="5BCB98F4" w14:textId="77777777" w:rsidTr="00886332">
        <w:tc>
          <w:tcPr>
            <w:tcW w:w="4405" w:type="dxa"/>
          </w:tcPr>
          <w:p w14:paraId="15FC94D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10.5.2.1</w:t>
            </w:r>
            <w:r w:rsidRPr="008F5C15">
              <w:rPr>
                <w:rFonts w:ascii="Verdana" w:hAnsi="Verdana"/>
                <w:sz w:val="16"/>
                <w:szCs w:val="16"/>
                <w:lang w:val="es-MX"/>
              </w:rPr>
              <w:t xml:space="preserve"> Todo el personal relacionado con la fabricación de estos productos deberá recibir entrenamiento específico en los procesos en los que intervienen y en técnicas de higiene y microbiología, incluyendo aquel personal que no participa directamente en la producción del medicamento como son: personal de limpieza, mantenimiento y control de calidad.</w:t>
            </w:r>
          </w:p>
        </w:tc>
        <w:tc>
          <w:tcPr>
            <w:tcW w:w="4427" w:type="dxa"/>
          </w:tcPr>
          <w:p w14:paraId="15E70C3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10.5.2.1</w:t>
            </w:r>
            <w:r w:rsidRPr="008F5C15">
              <w:rPr>
                <w:rFonts w:ascii="Verdana" w:hAnsi="Verdana"/>
                <w:sz w:val="16"/>
                <w:szCs w:val="16"/>
                <w:lang w:val="en-US"/>
              </w:rPr>
              <w:t xml:space="preserve"> All the personnel related with the manufacture of these products must receive specific training in the processes on which they intervene and in hygiene techniques and microbiology, including that personnel that does not directly participate in the production of the drug product such as: cleaning, maintenance and quality control personnel.</w:t>
            </w:r>
          </w:p>
        </w:tc>
      </w:tr>
      <w:tr w:rsidR="001C6A90" w:rsidRPr="00F70181" w14:paraId="07FE6E6D" w14:textId="77777777" w:rsidTr="00886332">
        <w:tc>
          <w:tcPr>
            <w:tcW w:w="4405" w:type="dxa"/>
          </w:tcPr>
          <w:p w14:paraId="2CB7AAB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10.5.2.2</w:t>
            </w:r>
            <w:r w:rsidRPr="008F5C15">
              <w:rPr>
                <w:rFonts w:ascii="Verdana" w:hAnsi="Verdana"/>
                <w:sz w:val="16"/>
                <w:szCs w:val="16"/>
                <w:lang w:val="es-MX"/>
              </w:rPr>
              <w:t xml:space="preserve"> El personal estará bajo la autoridad de una persona que se encuentre calificada en técnicas utilizadas en la fabricación de estos productos y que posee el conocimiento científico en su fabricación y manejo. El personal deberá incluir especialistas en inmunología, bacteriología, virología, biología molecular, genética u otras áreas de conocimiento que sean requeridas de acuerdo a la naturaleza del producto y de los procesos.</w:t>
            </w:r>
          </w:p>
        </w:tc>
        <w:tc>
          <w:tcPr>
            <w:tcW w:w="4427" w:type="dxa"/>
          </w:tcPr>
          <w:p w14:paraId="1D1D4C2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10.5.2.2 </w:t>
            </w:r>
            <w:r w:rsidRPr="008F5C15">
              <w:rPr>
                <w:rFonts w:ascii="Verdana" w:hAnsi="Verdana"/>
                <w:sz w:val="16"/>
                <w:szCs w:val="16"/>
                <w:lang w:val="en-US"/>
              </w:rPr>
              <w:t>The personnel will be under the authority of a person that is qualified in techniques used in the manufacture of these products and that has scientific knowledge of its manufacture and handling. Personnel must include specialists in immunology, bacteriology, virology, molecular biology, genetics or other areas of knowledge that are required according to the nature of the product and of the processes.</w:t>
            </w:r>
          </w:p>
        </w:tc>
      </w:tr>
      <w:tr w:rsidR="001C6A90" w:rsidRPr="00F70181" w14:paraId="653A7495" w14:textId="77777777" w:rsidTr="00886332">
        <w:tc>
          <w:tcPr>
            <w:tcW w:w="4405" w:type="dxa"/>
          </w:tcPr>
          <w:p w14:paraId="46DEF64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10.5.2.3</w:t>
            </w:r>
            <w:r w:rsidRPr="008F5C15">
              <w:rPr>
                <w:rFonts w:ascii="Verdana" w:hAnsi="Verdana"/>
                <w:sz w:val="16"/>
                <w:szCs w:val="16"/>
                <w:lang w:val="es-MX"/>
              </w:rPr>
              <w:t xml:space="preserve"> El personal involucrado en la fabricación de vacunas deberá estar inmunizado y ser monitoreado de acuerdo a la naturaleza del agente biológico utilizado.</w:t>
            </w:r>
          </w:p>
        </w:tc>
        <w:tc>
          <w:tcPr>
            <w:tcW w:w="4427" w:type="dxa"/>
          </w:tcPr>
          <w:p w14:paraId="729BFCB4"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10.5.2.3 </w:t>
            </w:r>
            <w:r w:rsidRPr="008F5C15">
              <w:rPr>
                <w:rFonts w:ascii="Verdana" w:hAnsi="Verdana"/>
                <w:sz w:val="16"/>
                <w:szCs w:val="16"/>
                <w:lang w:val="en-US"/>
              </w:rPr>
              <w:t>The personnel involved in the manufacture of vaccines must be immunized and be monitored according with the nature of the used biological agent.</w:t>
            </w:r>
          </w:p>
        </w:tc>
      </w:tr>
      <w:tr w:rsidR="001C6A90" w:rsidRPr="00F70181" w14:paraId="584D798A" w14:textId="77777777" w:rsidTr="00886332">
        <w:tc>
          <w:tcPr>
            <w:tcW w:w="4405" w:type="dxa"/>
          </w:tcPr>
          <w:p w14:paraId="0E97674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10.5.2.3.1</w:t>
            </w:r>
            <w:r w:rsidRPr="008F5C15">
              <w:rPr>
                <w:rFonts w:ascii="Verdana" w:hAnsi="Verdana"/>
                <w:sz w:val="16"/>
                <w:szCs w:val="16"/>
                <w:lang w:val="es-MX"/>
              </w:rPr>
              <w:t xml:space="preserve"> El personal involucrado en la producción y manejo de animales deberá estar inmunizado y ser monitoreado de acuerdo al riesgo y naturaleza del producto.</w:t>
            </w:r>
          </w:p>
        </w:tc>
        <w:tc>
          <w:tcPr>
            <w:tcW w:w="4427" w:type="dxa"/>
          </w:tcPr>
          <w:p w14:paraId="6160C40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10.5.2.3.1 </w:t>
            </w:r>
            <w:r w:rsidRPr="008F5C15">
              <w:rPr>
                <w:rFonts w:ascii="Verdana" w:hAnsi="Verdana"/>
                <w:sz w:val="16"/>
                <w:szCs w:val="16"/>
                <w:lang w:val="en-US"/>
              </w:rPr>
              <w:t xml:space="preserve">The personnel involved in the production and handling of animals must be immunized and be monitored according to the risk and nature of the product. </w:t>
            </w:r>
          </w:p>
        </w:tc>
      </w:tr>
      <w:tr w:rsidR="001C6A90" w:rsidRPr="00F70181" w14:paraId="7FA73106" w14:textId="77777777" w:rsidTr="00886332">
        <w:tc>
          <w:tcPr>
            <w:tcW w:w="4405" w:type="dxa"/>
          </w:tcPr>
          <w:p w14:paraId="2F3C8F0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10.5.2.3.2</w:t>
            </w:r>
            <w:r w:rsidRPr="008F5C15">
              <w:rPr>
                <w:rFonts w:ascii="Verdana" w:hAnsi="Verdana"/>
                <w:sz w:val="16"/>
                <w:szCs w:val="16"/>
                <w:lang w:val="es-MX"/>
              </w:rPr>
              <w:t xml:space="preserve"> Deberán implementarse medidas equivalentes para empleados temporales, contratistas, auditores o alguna otra persona previamente autorizada a ingresar a las áreas.</w:t>
            </w:r>
          </w:p>
        </w:tc>
        <w:tc>
          <w:tcPr>
            <w:tcW w:w="4427" w:type="dxa"/>
          </w:tcPr>
          <w:p w14:paraId="4147EEF6"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10.5.2.3.2</w:t>
            </w:r>
            <w:r w:rsidRPr="008F5C15">
              <w:rPr>
                <w:rFonts w:ascii="Verdana" w:hAnsi="Verdana"/>
                <w:sz w:val="16"/>
                <w:szCs w:val="16"/>
                <w:lang w:val="en-US"/>
              </w:rPr>
              <w:t xml:space="preserve"> Equivalent measures for temporary employees, contractors, auditors or any other person previously authorized to enter areas must be implemented.</w:t>
            </w:r>
          </w:p>
        </w:tc>
      </w:tr>
      <w:tr w:rsidR="001C6A90" w:rsidRPr="00F70181" w14:paraId="56A85FD9" w14:textId="77777777" w:rsidTr="00886332">
        <w:tc>
          <w:tcPr>
            <w:tcW w:w="4405" w:type="dxa"/>
          </w:tcPr>
          <w:p w14:paraId="4C10B55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10.5.2.3.3</w:t>
            </w:r>
            <w:r w:rsidRPr="008F5C15">
              <w:rPr>
                <w:rFonts w:ascii="Verdana" w:hAnsi="Verdana"/>
                <w:sz w:val="16"/>
                <w:szCs w:val="16"/>
                <w:lang w:val="es-MX"/>
              </w:rPr>
              <w:t xml:space="preserve"> El personal involucrado en la fabricación de vacuna BCG deberá estar sujeto a control médico </w:t>
            </w:r>
            <w:r w:rsidRPr="008F5C15">
              <w:rPr>
                <w:rFonts w:ascii="Verdana" w:hAnsi="Verdana"/>
                <w:sz w:val="16"/>
                <w:szCs w:val="16"/>
                <w:lang w:val="es-MX"/>
              </w:rPr>
              <w:lastRenderedPageBreak/>
              <w:t>periódico incluyendo pruebas de tuberculosis activa y placas de rayos X del pecho.</w:t>
            </w:r>
          </w:p>
        </w:tc>
        <w:tc>
          <w:tcPr>
            <w:tcW w:w="4427" w:type="dxa"/>
          </w:tcPr>
          <w:p w14:paraId="380944FD"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lastRenderedPageBreak/>
              <w:t xml:space="preserve">10.5.2.3.3 </w:t>
            </w:r>
            <w:r w:rsidRPr="008F5C15">
              <w:rPr>
                <w:rFonts w:ascii="Verdana" w:hAnsi="Verdana"/>
                <w:sz w:val="16"/>
                <w:szCs w:val="16"/>
                <w:lang w:val="en-US"/>
              </w:rPr>
              <w:t xml:space="preserve">The personnel involved in the manufacture of BCG vaccine must be submitted to </w:t>
            </w:r>
            <w:r w:rsidRPr="008F5C15">
              <w:rPr>
                <w:rFonts w:ascii="Verdana" w:hAnsi="Verdana"/>
                <w:sz w:val="16"/>
                <w:szCs w:val="16"/>
                <w:lang w:val="en-US"/>
              </w:rPr>
              <w:lastRenderedPageBreak/>
              <w:t xml:space="preserve">regular medical control, including tests of active tuberculosis and chest x rays. </w:t>
            </w:r>
          </w:p>
        </w:tc>
      </w:tr>
      <w:tr w:rsidR="001C6A90" w:rsidRPr="00F70181" w14:paraId="3C2DA1AB" w14:textId="77777777" w:rsidTr="00886332">
        <w:tc>
          <w:tcPr>
            <w:tcW w:w="4405" w:type="dxa"/>
          </w:tcPr>
          <w:p w14:paraId="1471DBA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10.5.2.4</w:t>
            </w:r>
            <w:r w:rsidRPr="008F5C15">
              <w:rPr>
                <w:rFonts w:ascii="Verdana" w:hAnsi="Verdana"/>
                <w:sz w:val="16"/>
                <w:szCs w:val="16"/>
                <w:lang w:val="es-MX"/>
              </w:rPr>
              <w:t xml:space="preserve"> Durante la jornada de trabajo el personal no deberá pasar de las áreas donde se manejan microorganismos o animales a otras áreas, a menos que existan medidas de descontaminación efectivas, incluyendo el cambio completo de indumentaria.</w:t>
            </w:r>
          </w:p>
        </w:tc>
        <w:tc>
          <w:tcPr>
            <w:tcW w:w="4427" w:type="dxa"/>
          </w:tcPr>
          <w:p w14:paraId="6F055F8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10.5.2.4 </w:t>
            </w:r>
            <w:r w:rsidRPr="008F5C15">
              <w:rPr>
                <w:rFonts w:ascii="Verdana" w:hAnsi="Verdana"/>
                <w:sz w:val="16"/>
                <w:szCs w:val="16"/>
                <w:lang w:val="en-US"/>
              </w:rPr>
              <w:t>During the work day, the personnel must not pass through areas where microorganisms or animals are handled unless there are effective decontamination measures, including a complete change of clothing.</w:t>
            </w:r>
          </w:p>
        </w:tc>
      </w:tr>
      <w:tr w:rsidR="001C6A90" w:rsidRPr="00F70181" w14:paraId="49BDB29D" w14:textId="77777777" w:rsidTr="00886332">
        <w:tc>
          <w:tcPr>
            <w:tcW w:w="4405" w:type="dxa"/>
          </w:tcPr>
          <w:p w14:paraId="3D9FF3D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10.5.2.4.1 </w:t>
            </w:r>
            <w:r w:rsidRPr="008F5C15">
              <w:rPr>
                <w:rFonts w:ascii="Verdana" w:hAnsi="Verdana"/>
                <w:sz w:val="16"/>
                <w:szCs w:val="16"/>
                <w:lang w:val="es-MX"/>
              </w:rPr>
              <w:t>Todas las restricciones de paso del personal a las áreas y las medidas de control para evitar contaminación del producto, deberán estar basadas en una valoración de riesgo.</w:t>
            </w:r>
          </w:p>
        </w:tc>
        <w:tc>
          <w:tcPr>
            <w:tcW w:w="4427" w:type="dxa"/>
          </w:tcPr>
          <w:p w14:paraId="3C59527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10.5.2.4.1 </w:t>
            </w:r>
            <w:r w:rsidRPr="008F5C15">
              <w:rPr>
                <w:rFonts w:ascii="Verdana" w:hAnsi="Verdana"/>
                <w:sz w:val="16"/>
                <w:szCs w:val="16"/>
                <w:lang w:val="en-US"/>
              </w:rPr>
              <w:t xml:space="preserve">All the restrictions for passage of the personnel to the areas and the control measures to avoid the contamination of the product must be based on a risk evaluation. </w:t>
            </w:r>
          </w:p>
        </w:tc>
      </w:tr>
      <w:tr w:rsidR="001C6A90" w:rsidRPr="00F70181" w14:paraId="543D44AD" w14:textId="77777777" w:rsidTr="00886332">
        <w:tc>
          <w:tcPr>
            <w:tcW w:w="4405" w:type="dxa"/>
          </w:tcPr>
          <w:p w14:paraId="0D7A15E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10.5.2.5</w:t>
            </w:r>
            <w:r w:rsidRPr="008F5C15">
              <w:rPr>
                <w:rFonts w:ascii="Verdana" w:hAnsi="Verdana"/>
                <w:sz w:val="16"/>
                <w:szCs w:val="16"/>
                <w:lang w:val="es-MX"/>
              </w:rPr>
              <w:t xml:space="preserve"> Debe existir un programa de capacitación del personal en prácticas de bioseguridad y contención biológica; el programa debe incluir al personal directo, al indirecto, al fijo o al contratado de forma temporal.</w:t>
            </w:r>
          </w:p>
        </w:tc>
        <w:tc>
          <w:tcPr>
            <w:tcW w:w="4427" w:type="dxa"/>
          </w:tcPr>
          <w:p w14:paraId="1FA6920A"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10.5.2.5 </w:t>
            </w:r>
            <w:r w:rsidRPr="008F5C15">
              <w:rPr>
                <w:rFonts w:ascii="Verdana" w:hAnsi="Verdana"/>
                <w:sz w:val="16"/>
                <w:szCs w:val="16"/>
                <w:lang w:val="en-US"/>
              </w:rPr>
              <w:t>There must be a training program for personnel in biosafety and bio-containment practices; the program must include direct and indirect personnel, permanent or temporarily hired.</w:t>
            </w:r>
          </w:p>
        </w:tc>
      </w:tr>
      <w:tr w:rsidR="001C6A90" w:rsidRPr="00262EF8" w14:paraId="4E4CF1A0" w14:textId="77777777" w:rsidTr="00886332">
        <w:tc>
          <w:tcPr>
            <w:tcW w:w="4405" w:type="dxa"/>
          </w:tcPr>
          <w:p w14:paraId="4D807FC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10.5.3</w:t>
            </w:r>
            <w:r w:rsidRPr="008F5C15">
              <w:rPr>
                <w:rFonts w:ascii="Verdana" w:hAnsi="Verdana"/>
                <w:sz w:val="16"/>
                <w:szCs w:val="16"/>
                <w:lang w:val="es-MX"/>
              </w:rPr>
              <w:t xml:space="preserve"> Instalaciones y equipos.</w:t>
            </w:r>
          </w:p>
        </w:tc>
        <w:tc>
          <w:tcPr>
            <w:tcW w:w="4427" w:type="dxa"/>
          </w:tcPr>
          <w:p w14:paraId="55B2FAD0"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10.5.3 </w:t>
            </w:r>
            <w:r w:rsidRPr="008F5C15">
              <w:rPr>
                <w:rFonts w:ascii="Verdana" w:hAnsi="Verdana"/>
                <w:sz w:val="16"/>
                <w:szCs w:val="16"/>
                <w:lang w:val="en-US"/>
              </w:rPr>
              <w:t>Installations and equipment.</w:t>
            </w:r>
          </w:p>
        </w:tc>
      </w:tr>
      <w:tr w:rsidR="001C6A90" w:rsidRPr="00F70181" w14:paraId="46308FA8" w14:textId="77777777" w:rsidTr="00886332">
        <w:tc>
          <w:tcPr>
            <w:tcW w:w="4405" w:type="dxa"/>
          </w:tcPr>
          <w:p w14:paraId="78DE6ED3"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10.5.3.1 </w:t>
            </w:r>
            <w:r w:rsidRPr="008F5C15">
              <w:rPr>
                <w:rFonts w:ascii="Verdana" w:hAnsi="Verdana"/>
                <w:sz w:val="16"/>
                <w:szCs w:val="16"/>
                <w:lang w:val="es-MX"/>
              </w:rPr>
              <w:t>Las áreas dedicadas a la producción de vacunas o productos biotecnológicos que contengan agentes vivos o atenuados deberán ser diseñadas con el nivel de biocontención adecuado.</w:t>
            </w:r>
          </w:p>
        </w:tc>
        <w:tc>
          <w:tcPr>
            <w:tcW w:w="4427" w:type="dxa"/>
          </w:tcPr>
          <w:p w14:paraId="084E7D7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10.5.3.1 </w:t>
            </w:r>
            <w:r w:rsidRPr="008F5C15">
              <w:rPr>
                <w:rFonts w:ascii="Verdana" w:hAnsi="Verdana"/>
                <w:sz w:val="16"/>
                <w:szCs w:val="16"/>
                <w:lang w:val="en-US"/>
              </w:rPr>
              <w:t xml:space="preserve">The areas dedicated to the production of vaccines or biotechnological products that contain live or attenuated agents must be designed with the adequate level of biocontainment. </w:t>
            </w:r>
          </w:p>
        </w:tc>
      </w:tr>
      <w:tr w:rsidR="001C6A90" w:rsidRPr="00F70181" w14:paraId="0685C792" w14:textId="77777777" w:rsidTr="00886332">
        <w:tc>
          <w:tcPr>
            <w:tcW w:w="4405" w:type="dxa"/>
          </w:tcPr>
          <w:p w14:paraId="5003EDCE"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 xml:space="preserve">10.5.3.2 </w:t>
            </w:r>
            <w:r w:rsidRPr="008F5C15">
              <w:rPr>
                <w:rFonts w:ascii="Verdana" w:hAnsi="Verdana"/>
                <w:sz w:val="16"/>
                <w:szCs w:val="16"/>
                <w:lang w:val="es-MX"/>
              </w:rPr>
              <w:t>La producción con microorganismos vivos o atenuados debe realizarse en áreas dedicadas.</w:t>
            </w:r>
          </w:p>
        </w:tc>
        <w:tc>
          <w:tcPr>
            <w:tcW w:w="4427" w:type="dxa"/>
          </w:tcPr>
          <w:p w14:paraId="41C6E68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10.5.3.1 </w:t>
            </w:r>
            <w:r w:rsidRPr="008F5C15">
              <w:rPr>
                <w:rFonts w:ascii="Verdana" w:hAnsi="Verdana"/>
                <w:sz w:val="16"/>
                <w:szCs w:val="16"/>
                <w:lang w:val="en-US"/>
              </w:rPr>
              <w:t xml:space="preserve">The production with live or attenuated microorganisms must be made in dedicated areas. </w:t>
            </w:r>
          </w:p>
        </w:tc>
      </w:tr>
      <w:tr w:rsidR="001C6A90" w:rsidRPr="00F70181" w14:paraId="48CBF884" w14:textId="77777777" w:rsidTr="00886332">
        <w:tc>
          <w:tcPr>
            <w:tcW w:w="4405" w:type="dxa"/>
          </w:tcPr>
          <w:p w14:paraId="5545E44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10.5.3.3 </w:t>
            </w:r>
            <w:r w:rsidRPr="008F5C15">
              <w:rPr>
                <w:rFonts w:ascii="Verdana" w:hAnsi="Verdana"/>
                <w:sz w:val="16"/>
                <w:szCs w:val="16"/>
                <w:lang w:val="es-MX"/>
              </w:rPr>
              <w:t xml:space="preserve">Se deben utilizar áreas de producción dedicadas para manejar microorganismos capaces de sobrevivir en el medio ambiente y para microorganismos patógenos (Nivel de Bioseguridad 3 y 4) hasta completar y verificar el proceso de inactivación. Para </w:t>
            </w:r>
            <w:r w:rsidRPr="008F5C15">
              <w:rPr>
                <w:rFonts w:ascii="Verdana" w:hAnsi="Verdana"/>
                <w:i/>
                <w:sz w:val="16"/>
                <w:szCs w:val="16"/>
                <w:lang w:val="es-MX"/>
              </w:rPr>
              <w:t>Bacillus anthracis, Clostridium tetani</w:t>
            </w:r>
            <w:r w:rsidRPr="008F5C15">
              <w:rPr>
                <w:rFonts w:ascii="Verdana" w:hAnsi="Verdana"/>
                <w:sz w:val="16"/>
                <w:szCs w:val="16"/>
                <w:lang w:val="es-MX"/>
              </w:rPr>
              <w:t xml:space="preserve"> y </w:t>
            </w:r>
            <w:r w:rsidRPr="008F5C15">
              <w:rPr>
                <w:rFonts w:ascii="Verdana" w:hAnsi="Verdana"/>
                <w:i/>
                <w:sz w:val="16"/>
                <w:szCs w:val="16"/>
                <w:lang w:val="es-MX"/>
              </w:rPr>
              <w:t>Clostridium botulinum</w:t>
            </w:r>
            <w:r w:rsidRPr="008F5C15">
              <w:rPr>
                <w:rFonts w:ascii="Verdana" w:hAnsi="Verdana"/>
                <w:sz w:val="16"/>
                <w:szCs w:val="16"/>
                <w:lang w:val="es-MX"/>
              </w:rPr>
              <w:t>, se deben usar plantas de producción estrictamente dedicada para cada tipo de producto.</w:t>
            </w:r>
          </w:p>
        </w:tc>
        <w:tc>
          <w:tcPr>
            <w:tcW w:w="4427" w:type="dxa"/>
          </w:tcPr>
          <w:p w14:paraId="7554945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10.5.3.3 </w:t>
            </w:r>
            <w:r w:rsidRPr="008F5C15">
              <w:rPr>
                <w:rFonts w:ascii="Verdana" w:hAnsi="Verdana"/>
                <w:sz w:val="16"/>
                <w:szCs w:val="16"/>
                <w:lang w:val="en-US"/>
              </w:rPr>
              <w:t xml:space="preserve">Areas of production must be used for handling microorganisms capable of surviving in the environment and for pathogenic microorganisms (Level of Biosafety 3 and 4) until completing and verifying the process of inactivation. For </w:t>
            </w:r>
            <w:r w:rsidRPr="008F5C15">
              <w:rPr>
                <w:rFonts w:ascii="Verdana" w:hAnsi="Verdana"/>
                <w:i/>
                <w:sz w:val="16"/>
                <w:szCs w:val="16"/>
                <w:lang w:val="en-US"/>
              </w:rPr>
              <w:t>Bacillus anthracis, Clostridium tetani</w:t>
            </w:r>
            <w:r w:rsidRPr="008F5C15">
              <w:rPr>
                <w:rFonts w:ascii="Verdana" w:hAnsi="Verdana"/>
                <w:sz w:val="16"/>
                <w:szCs w:val="16"/>
                <w:lang w:val="en-US"/>
              </w:rPr>
              <w:t xml:space="preserve"> and </w:t>
            </w:r>
            <w:r w:rsidRPr="008F5C15">
              <w:rPr>
                <w:rFonts w:ascii="Verdana" w:hAnsi="Verdana"/>
                <w:i/>
                <w:sz w:val="16"/>
                <w:szCs w:val="16"/>
                <w:lang w:val="en-US"/>
              </w:rPr>
              <w:t>Clostridium botulinum</w:t>
            </w:r>
            <w:r w:rsidRPr="008F5C15">
              <w:rPr>
                <w:rFonts w:ascii="Verdana" w:hAnsi="Verdana"/>
                <w:sz w:val="16"/>
                <w:szCs w:val="16"/>
                <w:lang w:val="en-US"/>
              </w:rPr>
              <w:t xml:space="preserve">, production plants must be used strictly dedicated for each type of product. </w:t>
            </w:r>
          </w:p>
        </w:tc>
      </w:tr>
      <w:tr w:rsidR="001C6A90" w:rsidRPr="00F70181" w14:paraId="16BFF61D" w14:textId="77777777" w:rsidTr="00886332">
        <w:tc>
          <w:tcPr>
            <w:tcW w:w="4405" w:type="dxa"/>
          </w:tcPr>
          <w:p w14:paraId="5409C63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10.5.3.4</w:t>
            </w:r>
            <w:r w:rsidRPr="008F5C15">
              <w:rPr>
                <w:rFonts w:ascii="Verdana" w:hAnsi="Verdana"/>
                <w:sz w:val="16"/>
                <w:szCs w:val="16"/>
                <w:lang w:val="es-MX"/>
              </w:rPr>
              <w:t xml:space="preserve"> Las áreas de producción de la vacuna BCG deberán ser dedicadas e independientes.</w:t>
            </w:r>
          </w:p>
        </w:tc>
        <w:tc>
          <w:tcPr>
            <w:tcW w:w="4427" w:type="dxa"/>
          </w:tcPr>
          <w:p w14:paraId="16069CF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10.5.3.4 </w:t>
            </w:r>
            <w:r w:rsidRPr="008F5C15">
              <w:rPr>
                <w:rFonts w:ascii="Verdana" w:hAnsi="Verdana"/>
                <w:sz w:val="16"/>
                <w:szCs w:val="16"/>
                <w:lang w:val="en-US"/>
              </w:rPr>
              <w:t xml:space="preserve">The areas of production of the BCG vaccine must be dedicated and independent.  </w:t>
            </w:r>
          </w:p>
        </w:tc>
      </w:tr>
      <w:tr w:rsidR="001C6A90" w:rsidRPr="00F70181" w14:paraId="14176C69" w14:textId="77777777" w:rsidTr="00886332">
        <w:tc>
          <w:tcPr>
            <w:tcW w:w="4405" w:type="dxa"/>
          </w:tcPr>
          <w:p w14:paraId="5D51763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10.5.3.5 </w:t>
            </w:r>
            <w:r w:rsidRPr="008F5C15">
              <w:rPr>
                <w:rFonts w:ascii="Verdana" w:hAnsi="Verdana"/>
                <w:sz w:val="16"/>
                <w:szCs w:val="16"/>
                <w:lang w:val="es-MX"/>
              </w:rPr>
              <w:t>Los sistemas de aire de las áreas donde se manejen vacunas con microorganismos vivos o atenuados deberán estar diseñadas para permitir la descontaminación y este proceso debe validarse.</w:t>
            </w:r>
          </w:p>
        </w:tc>
        <w:tc>
          <w:tcPr>
            <w:tcW w:w="4427" w:type="dxa"/>
          </w:tcPr>
          <w:p w14:paraId="193151A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10.5.3.5 </w:t>
            </w:r>
            <w:r w:rsidRPr="008F5C15">
              <w:rPr>
                <w:rFonts w:ascii="Verdana" w:hAnsi="Verdana"/>
                <w:sz w:val="16"/>
                <w:szCs w:val="16"/>
                <w:lang w:val="en-US"/>
              </w:rPr>
              <w:t xml:space="preserve">The air systems of the areas where vaccines with live or attenuated microorganisms are handled must be designed to permit the decontamination and this process must be validated. </w:t>
            </w:r>
          </w:p>
        </w:tc>
      </w:tr>
      <w:tr w:rsidR="001C6A90" w:rsidRPr="00F70181" w14:paraId="75BBE787" w14:textId="77777777" w:rsidTr="00886332">
        <w:tc>
          <w:tcPr>
            <w:tcW w:w="4405" w:type="dxa"/>
          </w:tcPr>
          <w:p w14:paraId="61A6B6B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10.5.3.6</w:t>
            </w:r>
            <w:r w:rsidRPr="008F5C15">
              <w:rPr>
                <w:rFonts w:ascii="Verdana" w:hAnsi="Verdana"/>
                <w:sz w:val="16"/>
                <w:szCs w:val="16"/>
                <w:lang w:val="es-MX"/>
              </w:rPr>
              <w:t xml:space="preserve"> Algunas etapas del proceso de fabricación, especialmente cuando se usan microorganismos vivos, podrán efectuarse mediante la utilización de instalaciones, equipos y utensilios dedicados, la producción por campaña o sistemas cerrados para evitar riesgos de contaminación cruzada.</w:t>
            </w:r>
          </w:p>
        </w:tc>
        <w:tc>
          <w:tcPr>
            <w:tcW w:w="4427" w:type="dxa"/>
          </w:tcPr>
          <w:p w14:paraId="53BC314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10.5.3.6 </w:t>
            </w:r>
            <w:r w:rsidRPr="008F5C15">
              <w:rPr>
                <w:rFonts w:ascii="Verdana" w:hAnsi="Verdana"/>
                <w:sz w:val="16"/>
                <w:szCs w:val="16"/>
                <w:lang w:val="en-US"/>
              </w:rPr>
              <w:t xml:space="preserve">Some stages of the manufacturing process, especially when live microorganisms are used can be made through the use of dedicated installations, equipment and utensils, the production by campaign or closed systems to avoid the risk of cross contamination. </w:t>
            </w:r>
          </w:p>
        </w:tc>
      </w:tr>
      <w:tr w:rsidR="001C6A90" w:rsidRPr="00F70181" w14:paraId="0AE2495C" w14:textId="77777777" w:rsidTr="00886332">
        <w:tc>
          <w:tcPr>
            <w:tcW w:w="4405" w:type="dxa"/>
          </w:tcPr>
          <w:p w14:paraId="44AE2BB7"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t>10.5.3.7</w:t>
            </w:r>
            <w:r w:rsidRPr="008F5C15">
              <w:rPr>
                <w:rFonts w:ascii="Verdana" w:hAnsi="Verdana"/>
                <w:sz w:val="16"/>
                <w:szCs w:val="16"/>
                <w:lang w:val="es-MX"/>
              </w:rPr>
              <w:t xml:space="preserve"> Después de haberse realizado el proceso de inactivación de vacunas de origen DNA recombinante, toxoides y extractos bacterianos, podrán ser formulados y llenados en las mismas áreas y equipos de otros productos estériles, considerando métodos de limpieza y descontaminación validados, así como la valoración del riesgo correspondiente.</w:t>
            </w:r>
          </w:p>
        </w:tc>
        <w:tc>
          <w:tcPr>
            <w:tcW w:w="4427" w:type="dxa"/>
          </w:tcPr>
          <w:p w14:paraId="68CFE71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10.5.3.7 </w:t>
            </w:r>
            <w:r w:rsidRPr="008F5C15">
              <w:rPr>
                <w:rFonts w:ascii="Verdana" w:hAnsi="Verdana"/>
                <w:sz w:val="16"/>
                <w:szCs w:val="16"/>
                <w:lang w:val="en-US"/>
              </w:rPr>
              <w:t xml:space="preserve">After having made the process of inactivation of vaccines of recombinant DNA origin, toxoids and bacterial extracts can be formulated and filled in the same areas and equipment of other sterile products, considering cleaning methods and validated decontamination as well as the corresponding evaluation of the risk. </w:t>
            </w:r>
          </w:p>
        </w:tc>
      </w:tr>
      <w:tr w:rsidR="001C6A90" w:rsidRPr="00F70181" w14:paraId="79A6B57F" w14:textId="77777777" w:rsidTr="00886332">
        <w:tc>
          <w:tcPr>
            <w:tcW w:w="4405" w:type="dxa"/>
          </w:tcPr>
          <w:p w14:paraId="262511A2" w14:textId="77777777" w:rsidR="001C6A90" w:rsidRPr="008F5C15" w:rsidRDefault="001C6A90" w:rsidP="001C6A90">
            <w:pPr>
              <w:pStyle w:val="Texto"/>
              <w:spacing w:line="276" w:lineRule="auto"/>
              <w:ind w:firstLine="0"/>
              <w:rPr>
                <w:rFonts w:ascii="Verdana" w:hAnsi="Verdana"/>
                <w:b/>
                <w:sz w:val="16"/>
                <w:szCs w:val="16"/>
                <w:lang w:val="es-MX"/>
              </w:rPr>
            </w:pPr>
            <w:r w:rsidRPr="008F5C15">
              <w:rPr>
                <w:rFonts w:ascii="Verdana" w:hAnsi="Verdana"/>
                <w:b/>
                <w:sz w:val="16"/>
                <w:szCs w:val="16"/>
                <w:lang w:val="es-MX"/>
              </w:rPr>
              <w:lastRenderedPageBreak/>
              <w:t xml:space="preserve">10.5.3.8 </w:t>
            </w:r>
            <w:r w:rsidRPr="008F5C15">
              <w:rPr>
                <w:rFonts w:ascii="Verdana" w:hAnsi="Verdana"/>
                <w:sz w:val="16"/>
                <w:szCs w:val="16"/>
                <w:lang w:val="es-MX"/>
              </w:rPr>
              <w:t>Cuando se realice fabricación por campaña, el diseño y disposición de las áreas, servicios y equipos deberán permitir la descontaminación eficaz.</w:t>
            </w:r>
          </w:p>
        </w:tc>
        <w:tc>
          <w:tcPr>
            <w:tcW w:w="4427" w:type="dxa"/>
          </w:tcPr>
          <w:p w14:paraId="77224B1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10.5.3.8 </w:t>
            </w:r>
            <w:r w:rsidRPr="008F5C15">
              <w:rPr>
                <w:rFonts w:ascii="Verdana" w:hAnsi="Verdana"/>
                <w:sz w:val="16"/>
                <w:szCs w:val="16"/>
                <w:lang w:val="en-US"/>
              </w:rPr>
              <w:t xml:space="preserve">When manufacturing by campaign is made, the design and disposition of the areas, services and equipment must permit the efficient decontamination. </w:t>
            </w:r>
          </w:p>
        </w:tc>
      </w:tr>
      <w:tr w:rsidR="001C6A90" w:rsidRPr="00F70181" w14:paraId="5D83CB0C" w14:textId="77777777" w:rsidTr="00886332">
        <w:tc>
          <w:tcPr>
            <w:tcW w:w="4405" w:type="dxa"/>
          </w:tcPr>
          <w:p w14:paraId="0B8DBFC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10.5.3.9</w:t>
            </w:r>
            <w:r w:rsidRPr="008F5C15">
              <w:rPr>
                <w:rFonts w:ascii="Verdana" w:hAnsi="Verdana"/>
                <w:sz w:val="16"/>
                <w:szCs w:val="16"/>
                <w:lang w:val="es-MX"/>
              </w:rPr>
              <w:t xml:space="preserve"> Las áreas utilizadas para el procesamiento de materiales biológicos, de tejidos y de cultivos celulares deben estar separadas de otras actividades consideradas de menor riesgo.</w:t>
            </w:r>
          </w:p>
        </w:tc>
        <w:tc>
          <w:tcPr>
            <w:tcW w:w="4427" w:type="dxa"/>
          </w:tcPr>
          <w:p w14:paraId="5801F0E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10.5.3.9 </w:t>
            </w:r>
            <w:r w:rsidRPr="008F5C15">
              <w:rPr>
                <w:rFonts w:ascii="Verdana" w:hAnsi="Verdana"/>
                <w:sz w:val="16"/>
                <w:szCs w:val="16"/>
                <w:lang w:val="en-US"/>
              </w:rPr>
              <w:t xml:space="preserve">The areas used for the processing of biological materials, of cellular tissues and cultures must be separated from other activities considered as a minor risk. </w:t>
            </w:r>
          </w:p>
        </w:tc>
      </w:tr>
      <w:tr w:rsidR="001C6A90" w:rsidRPr="00F70181" w14:paraId="731CA1E4" w14:textId="77777777" w:rsidTr="00886332">
        <w:tc>
          <w:tcPr>
            <w:tcW w:w="4405" w:type="dxa"/>
          </w:tcPr>
          <w:p w14:paraId="2411723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10.5.3.10</w:t>
            </w:r>
            <w:r w:rsidRPr="008F5C15">
              <w:rPr>
                <w:rFonts w:ascii="Verdana" w:hAnsi="Verdana"/>
                <w:sz w:val="16"/>
                <w:szCs w:val="16"/>
                <w:lang w:val="es-MX"/>
              </w:rPr>
              <w:t xml:space="preserve"> Deben existir procedimientos en los que se establezcan las acciones previstas en caso de exposición accidental o derrame del material biológico.</w:t>
            </w:r>
          </w:p>
        </w:tc>
        <w:tc>
          <w:tcPr>
            <w:tcW w:w="4427" w:type="dxa"/>
          </w:tcPr>
          <w:p w14:paraId="4C5850B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10.5.3.10 </w:t>
            </w:r>
            <w:r w:rsidRPr="008F5C15">
              <w:rPr>
                <w:rFonts w:ascii="Verdana" w:hAnsi="Verdana"/>
                <w:sz w:val="16"/>
                <w:szCs w:val="16"/>
                <w:lang w:val="en-US"/>
              </w:rPr>
              <w:t xml:space="preserve">Procedures must exist in which are established the actions anticipated in case of accidental exposure or spill of biological material.  </w:t>
            </w:r>
          </w:p>
        </w:tc>
      </w:tr>
      <w:tr w:rsidR="001C6A90" w:rsidRPr="00F70181" w14:paraId="78F952AE" w14:textId="77777777" w:rsidTr="00886332">
        <w:tc>
          <w:tcPr>
            <w:tcW w:w="4405" w:type="dxa"/>
          </w:tcPr>
          <w:p w14:paraId="2C7B90E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10.5.3.11 </w:t>
            </w:r>
            <w:r w:rsidRPr="008F5C15">
              <w:rPr>
                <w:rFonts w:ascii="Verdana" w:hAnsi="Verdana"/>
                <w:sz w:val="16"/>
                <w:szCs w:val="16"/>
                <w:lang w:val="es-MX"/>
              </w:rPr>
              <w:t>El sistema HVAC, incluyendo las unidades manejadoras de aire, debe ser diseñado, construido y mantenido para minimizar los riesgos de contaminación cruzada entre las diferentes áreas de fabricación.</w:t>
            </w:r>
          </w:p>
        </w:tc>
        <w:tc>
          <w:tcPr>
            <w:tcW w:w="4427" w:type="dxa"/>
          </w:tcPr>
          <w:p w14:paraId="1B71D4B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10.5.3.11 </w:t>
            </w:r>
            <w:r w:rsidRPr="008F5C15">
              <w:rPr>
                <w:rFonts w:ascii="Verdana" w:hAnsi="Verdana"/>
                <w:sz w:val="16"/>
                <w:szCs w:val="16"/>
                <w:lang w:val="en-US"/>
              </w:rPr>
              <w:t xml:space="preserve">The HVAC system, including the air handling units, must be designed, constructed and maintained for minimizing the risks of cross contamination between the different manufacturing areas. </w:t>
            </w:r>
          </w:p>
        </w:tc>
      </w:tr>
      <w:tr w:rsidR="001C6A90" w:rsidRPr="00F70181" w14:paraId="428230EE" w14:textId="77777777" w:rsidTr="00886332">
        <w:tc>
          <w:tcPr>
            <w:tcW w:w="4405" w:type="dxa"/>
          </w:tcPr>
          <w:p w14:paraId="0FE5C8E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10.5.3.11.1 </w:t>
            </w:r>
            <w:r w:rsidRPr="008F5C15">
              <w:rPr>
                <w:rFonts w:ascii="Verdana" w:hAnsi="Verdana"/>
                <w:sz w:val="16"/>
                <w:szCs w:val="16"/>
                <w:lang w:val="es-MX"/>
              </w:rPr>
              <w:t>Cuando se manejen microorganismos con nivel de bioseguridad 1 y 2, podrá recircularse el aire considerando el uso de gabinetes de bioseguridad y con base en una valoración de riesgos. Para el caso de microorganismos de un nivel de bioseguridad mayor a 2, no se podrá recircular el aire y deberá ser previamente tratado, a través de filtros HEPA, antes de su expulsión al exterior, el desempeño de estos filtros deberá ser verificado periódicamente.</w:t>
            </w:r>
          </w:p>
        </w:tc>
        <w:tc>
          <w:tcPr>
            <w:tcW w:w="4427" w:type="dxa"/>
          </w:tcPr>
          <w:p w14:paraId="7D5860B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10.5.3.11.1 </w:t>
            </w:r>
            <w:r w:rsidRPr="008F5C15">
              <w:rPr>
                <w:rFonts w:ascii="Verdana" w:hAnsi="Verdana"/>
                <w:sz w:val="16"/>
                <w:szCs w:val="16"/>
                <w:lang w:val="en-US"/>
              </w:rPr>
              <w:t xml:space="preserve">When microorganisms with biosafety level 1 and 2 are handled, the air can be recirculated considering the use of biosafety cabinets and based on an evaluation of risks. For the case of microorganisms of a biosafety level greater than 2, the air cannot be recirculated and must be previously treated, through HEPA filters, before its exposure to the exterior, the performance of these filters must be periodically verified. </w:t>
            </w:r>
          </w:p>
        </w:tc>
      </w:tr>
      <w:tr w:rsidR="001C6A90" w:rsidRPr="00F70181" w14:paraId="54FD0324" w14:textId="77777777" w:rsidTr="00886332">
        <w:tc>
          <w:tcPr>
            <w:tcW w:w="4405" w:type="dxa"/>
          </w:tcPr>
          <w:p w14:paraId="179BF10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10.5.3.12</w:t>
            </w:r>
            <w:r w:rsidRPr="008F5C15">
              <w:rPr>
                <w:rFonts w:ascii="Verdana" w:hAnsi="Verdana"/>
                <w:sz w:val="16"/>
                <w:szCs w:val="16"/>
                <w:lang w:val="es-MX"/>
              </w:rPr>
              <w:t xml:space="preserve"> Las áreas, equipos, materiales y utensilios utilizados deberán someterse a un proceso de inactivación validado. Deberán tomar medidas precautorias para evitar contaminación del sistema de drenaje con efluentes que contengan agentes infecciosos.</w:t>
            </w:r>
          </w:p>
        </w:tc>
        <w:tc>
          <w:tcPr>
            <w:tcW w:w="4427" w:type="dxa"/>
          </w:tcPr>
          <w:p w14:paraId="5479855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10.5.3.12 </w:t>
            </w:r>
            <w:r w:rsidRPr="008F5C15">
              <w:rPr>
                <w:rFonts w:ascii="Verdana" w:hAnsi="Verdana"/>
                <w:sz w:val="16"/>
                <w:szCs w:val="16"/>
                <w:lang w:val="en-US"/>
              </w:rPr>
              <w:t xml:space="preserve">The areas, equipment, materials and utensils used must be submitted to a process of validated inactivation. Precautionary measures must be taken to avoid contamination of the drainage system with effluents that contain infectious agents. </w:t>
            </w:r>
          </w:p>
        </w:tc>
      </w:tr>
      <w:tr w:rsidR="001C6A90" w:rsidRPr="00F70181" w14:paraId="67E82C67" w14:textId="77777777" w:rsidTr="00886332">
        <w:tc>
          <w:tcPr>
            <w:tcW w:w="4405" w:type="dxa"/>
          </w:tcPr>
          <w:p w14:paraId="096E603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10.5.3.13 </w:t>
            </w:r>
            <w:r w:rsidRPr="008F5C15">
              <w:rPr>
                <w:rFonts w:ascii="Verdana" w:hAnsi="Verdana"/>
                <w:sz w:val="16"/>
                <w:szCs w:val="16"/>
                <w:lang w:val="es-MX"/>
              </w:rPr>
              <w:t>El equipo utilizado durante el manejo de los organismos vivos debe ser diseñado de forma que mantenga los cultivos en estado puro y libre de contaminación.</w:t>
            </w:r>
          </w:p>
        </w:tc>
        <w:tc>
          <w:tcPr>
            <w:tcW w:w="4427" w:type="dxa"/>
          </w:tcPr>
          <w:p w14:paraId="6A6CB85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10.5.3.13 </w:t>
            </w:r>
            <w:r w:rsidRPr="008F5C15">
              <w:rPr>
                <w:rFonts w:ascii="Verdana" w:hAnsi="Verdana"/>
                <w:sz w:val="16"/>
                <w:szCs w:val="16"/>
                <w:lang w:val="en-US"/>
              </w:rPr>
              <w:t xml:space="preserve">The equipment used during the handling of the live organisms must be designed in a way that maintains the cultures in a pure state and free of contamination. </w:t>
            </w:r>
          </w:p>
        </w:tc>
      </w:tr>
      <w:tr w:rsidR="001C6A90" w:rsidRPr="00F70181" w14:paraId="6F0DE1BE" w14:textId="77777777" w:rsidTr="00886332">
        <w:tc>
          <w:tcPr>
            <w:tcW w:w="4405" w:type="dxa"/>
          </w:tcPr>
          <w:p w14:paraId="50FC6CF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10.5.3.14</w:t>
            </w:r>
            <w:r w:rsidRPr="008F5C15">
              <w:rPr>
                <w:rFonts w:ascii="Verdana" w:hAnsi="Verdana"/>
                <w:sz w:val="16"/>
                <w:szCs w:val="16"/>
                <w:lang w:val="es-MX"/>
              </w:rPr>
              <w:t xml:space="preserve"> Los sistemas de canalización, las válvulas y los filtros de venteo, se deben diseñar de tal forma que faciliten su limpieza, descontaminación y, en su caso, esterilización. De preferencia deben contar con sistemas de limpieza y esterilización en sitio.</w:t>
            </w:r>
          </w:p>
        </w:tc>
        <w:tc>
          <w:tcPr>
            <w:tcW w:w="4427" w:type="dxa"/>
          </w:tcPr>
          <w:p w14:paraId="7EED421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10.5.3.14 </w:t>
            </w:r>
            <w:r w:rsidRPr="008F5C15">
              <w:rPr>
                <w:rFonts w:ascii="Verdana" w:hAnsi="Verdana"/>
                <w:sz w:val="16"/>
                <w:szCs w:val="16"/>
                <w:lang w:val="en-US"/>
              </w:rPr>
              <w:t xml:space="preserve">The pipe systems, the valves and the venting filters must be designed in such a way that facilitates their cleaning, decontamination and, when applicable, sterilization. Preferably they must have systems for cleaning and sterilization on site. </w:t>
            </w:r>
          </w:p>
        </w:tc>
      </w:tr>
      <w:tr w:rsidR="001C6A90" w:rsidRPr="00F70181" w14:paraId="40A05949" w14:textId="77777777" w:rsidTr="00886332">
        <w:tc>
          <w:tcPr>
            <w:tcW w:w="4405" w:type="dxa"/>
          </w:tcPr>
          <w:p w14:paraId="029A316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10.5.3.15 </w:t>
            </w:r>
            <w:r w:rsidRPr="008F5C15">
              <w:rPr>
                <w:rFonts w:ascii="Verdana" w:hAnsi="Verdana"/>
                <w:sz w:val="16"/>
                <w:szCs w:val="16"/>
                <w:lang w:val="es-MX"/>
              </w:rPr>
              <w:t>Cuando los procesos de producción no se realicen en sistemas cerrados y se requiera la adición de suplementos, medios, buffers, gases, entre otros, se deberán establecer las medidas para evitar la contaminación del producto y del medio ambiente, las cuales deben estar basadas en una valoración del riesgo.</w:t>
            </w:r>
          </w:p>
        </w:tc>
        <w:tc>
          <w:tcPr>
            <w:tcW w:w="4427" w:type="dxa"/>
          </w:tcPr>
          <w:p w14:paraId="7067291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10.5.3.15 </w:t>
            </w:r>
            <w:r w:rsidRPr="008F5C15">
              <w:rPr>
                <w:rFonts w:ascii="Verdana" w:hAnsi="Verdana"/>
                <w:sz w:val="16"/>
                <w:szCs w:val="16"/>
                <w:lang w:val="en-US"/>
              </w:rPr>
              <w:t xml:space="preserve">When the production processes are not made in closed systems and the addition of supplements, media, buffers, gases, among others is required, the measures to avoid the contamination of the product and the environment must be established, which must be based on an evaluation of risk. </w:t>
            </w:r>
          </w:p>
        </w:tc>
      </w:tr>
      <w:tr w:rsidR="001C6A90" w:rsidRPr="00267D65" w14:paraId="35264462" w14:textId="77777777" w:rsidTr="00886332">
        <w:tc>
          <w:tcPr>
            <w:tcW w:w="4405" w:type="dxa"/>
          </w:tcPr>
          <w:p w14:paraId="628E0EB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10.5.4 </w:t>
            </w:r>
            <w:r w:rsidRPr="008F5C15">
              <w:rPr>
                <w:rFonts w:ascii="Verdana" w:hAnsi="Verdana"/>
                <w:sz w:val="16"/>
                <w:szCs w:val="16"/>
                <w:lang w:val="es-MX"/>
              </w:rPr>
              <w:t>Bioterio.</w:t>
            </w:r>
          </w:p>
        </w:tc>
        <w:tc>
          <w:tcPr>
            <w:tcW w:w="4427" w:type="dxa"/>
            <w:shd w:val="clear" w:color="auto" w:fill="auto"/>
          </w:tcPr>
          <w:p w14:paraId="7ED7BAC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10.5.4 </w:t>
            </w:r>
            <w:r w:rsidRPr="008F5C15">
              <w:rPr>
                <w:rFonts w:ascii="Verdana" w:hAnsi="Verdana"/>
                <w:sz w:val="16"/>
                <w:szCs w:val="16"/>
                <w:lang w:val="en-US"/>
              </w:rPr>
              <w:t>Bio-lab</w:t>
            </w:r>
          </w:p>
        </w:tc>
      </w:tr>
      <w:tr w:rsidR="001C6A90" w:rsidRPr="00F70181" w14:paraId="4C16F1D6" w14:textId="77777777" w:rsidTr="00886332">
        <w:tc>
          <w:tcPr>
            <w:tcW w:w="4405" w:type="dxa"/>
          </w:tcPr>
          <w:p w14:paraId="181A2B7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10.5.4.1</w:t>
            </w:r>
            <w:r w:rsidRPr="008F5C15">
              <w:rPr>
                <w:rFonts w:ascii="Verdana" w:hAnsi="Verdana"/>
                <w:sz w:val="16"/>
                <w:szCs w:val="16"/>
                <w:lang w:val="es-MX"/>
              </w:rPr>
              <w:t xml:space="preserve"> El bioterio debe encontrarse separado físicamente y ser independiente de las demás áreas. Deben existir medidas de descontaminación </w:t>
            </w:r>
            <w:r w:rsidRPr="008F5C15">
              <w:rPr>
                <w:rFonts w:ascii="Verdana" w:hAnsi="Verdana"/>
                <w:sz w:val="16"/>
                <w:szCs w:val="16"/>
                <w:lang w:val="es-MX"/>
              </w:rPr>
              <w:lastRenderedPageBreak/>
              <w:t>efectivas, incluyendo el cambio completo de indumentaria.</w:t>
            </w:r>
          </w:p>
        </w:tc>
        <w:tc>
          <w:tcPr>
            <w:tcW w:w="4427" w:type="dxa"/>
            <w:shd w:val="clear" w:color="auto" w:fill="auto"/>
          </w:tcPr>
          <w:p w14:paraId="3F0208C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10.5.4.1</w:t>
            </w:r>
            <w:r w:rsidRPr="008F5C15">
              <w:rPr>
                <w:rFonts w:ascii="Verdana" w:hAnsi="Verdana"/>
                <w:sz w:val="16"/>
                <w:szCs w:val="16"/>
                <w:lang w:val="en-US"/>
              </w:rPr>
              <w:t xml:space="preserve"> The bio-lab must be physically separate and be independent from the rest of the areas. There </w:t>
            </w:r>
            <w:r w:rsidRPr="008F5C15">
              <w:rPr>
                <w:rFonts w:ascii="Verdana" w:hAnsi="Verdana"/>
                <w:sz w:val="16"/>
                <w:szCs w:val="16"/>
                <w:lang w:val="en-US"/>
              </w:rPr>
              <w:lastRenderedPageBreak/>
              <w:t>must be effective decontamination measures, including the complete change of clothing.</w:t>
            </w:r>
          </w:p>
        </w:tc>
      </w:tr>
      <w:tr w:rsidR="001C6A90" w:rsidRPr="00F70181" w14:paraId="06B51913" w14:textId="77777777" w:rsidTr="00886332">
        <w:tc>
          <w:tcPr>
            <w:tcW w:w="4405" w:type="dxa"/>
          </w:tcPr>
          <w:p w14:paraId="2748862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10.5.4.2</w:t>
            </w:r>
            <w:r w:rsidRPr="008F5C15">
              <w:rPr>
                <w:rFonts w:ascii="Verdana" w:hAnsi="Verdana"/>
                <w:sz w:val="16"/>
                <w:szCs w:val="16"/>
                <w:lang w:val="es-MX"/>
              </w:rPr>
              <w:t xml:space="preserve"> El bioterio debe contar con área específica para el vestido y cambio de ropa.</w:t>
            </w:r>
          </w:p>
        </w:tc>
        <w:tc>
          <w:tcPr>
            <w:tcW w:w="4427" w:type="dxa"/>
            <w:shd w:val="clear" w:color="auto" w:fill="auto"/>
          </w:tcPr>
          <w:p w14:paraId="244F0665"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10.5.4.2 </w:t>
            </w:r>
            <w:r w:rsidRPr="008F5C15">
              <w:rPr>
                <w:rFonts w:ascii="Verdana" w:hAnsi="Verdana"/>
                <w:sz w:val="16"/>
                <w:szCs w:val="16"/>
                <w:lang w:val="en-US"/>
              </w:rPr>
              <w:t>The bio-lab must have a specific area for clothes changing and dressing.</w:t>
            </w:r>
          </w:p>
        </w:tc>
      </w:tr>
      <w:tr w:rsidR="001C6A90" w:rsidRPr="00F70181" w14:paraId="6E945102" w14:textId="77777777" w:rsidTr="00886332">
        <w:tc>
          <w:tcPr>
            <w:tcW w:w="4405" w:type="dxa"/>
          </w:tcPr>
          <w:p w14:paraId="6C8FB33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10.5.4.3</w:t>
            </w:r>
            <w:r w:rsidRPr="008F5C15">
              <w:rPr>
                <w:rFonts w:ascii="Verdana" w:hAnsi="Verdana"/>
                <w:sz w:val="16"/>
                <w:szCs w:val="16"/>
                <w:lang w:val="es-MX"/>
              </w:rPr>
              <w:t xml:space="preserve"> Las especificaciones técnicas para la producción, cuidado y uso de los animales utilizados para la producción y control de productos biológicos deberán cumplir con las disposiciones jurídicas aplicables.</w:t>
            </w:r>
          </w:p>
        </w:tc>
        <w:tc>
          <w:tcPr>
            <w:tcW w:w="4427" w:type="dxa"/>
            <w:shd w:val="clear" w:color="auto" w:fill="auto"/>
          </w:tcPr>
          <w:p w14:paraId="5FDAF92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10.5.4.3 </w:t>
            </w:r>
            <w:r w:rsidRPr="008F5C15">
              <w:rPr>
                <w:rFonts w:ascii="Verdana" w:hAnsi="Verdana"/>
                <w:sz w:val="16"/>
                <w:szCs w:val="16"/>
                <w:lang w:val="en-US"/>
              </w:rPr>
              <w:t>The technical specifications for the production, care and use of the animals used for the production and control of biological products must comply with the applicable legal provisions.</w:t>
            </w:r>
          </w:p>
        </w:tc>
      </w:tr>
      <w:tr w:rsidR="001C6A90" w:rsidRPr="00F70181" w14:paraId="78DD8B47" w14:textId="77777777" w:rsidTr="00886332">
        <w:tc>
          <w:tcPr>
            <w:tcW w:w="4405" w:type="dxa"/>
          </w:tcPr>
          <w:p w14:paraId="4AF4BAC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10.5.4.3.1 </w:t>
            </w:r>
            <w:r w:rsidRPr="008F5C15">
              <w:rPr>
                <w:rFonts w:ascii="Verdana" w:hAnsi="Verdana"/>
                <w:sz w:val="16"/>
                <w:szCs w:val="16"/>
                <w:lang w:val="es-MX"/>
              </w:rPr>
              <w:t>En la fabricación de productos biológicos en los que se requiera el uso de animales transgénicos, se debe garantizar la trazabilidad desde el origen de los animales hasta el lote de producción en el que fueron utilizados.</w:t>
            </w:r>
          </w:p>
        </w:tc>
        <w:tc>
          <w:tcPr>
            <w:tcW w:w="4427" w:type="dxa"/>
          </w:tcPr>
          <w:p w14:paraId="29AD4FD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10.5.4.3.1 </w:t>
            </w:r>
            <w:r w:rsidRPr="008F5C15">
              <w:rPr>
                <w:rFonts w:ascii="Verdana" w:hAnsi="Verdana"/>
                <w:sz w:val="16"/>
                <w:szCs w:val="16"/>
                <w:lang w:val="en-US"/>
              </w:rPr>
              <w:t xml:space="preserve">In the manufacture of biological products in which the use of transgenic animals is required, the traceability must be guaranteed from the origin of the animals to the production lot in which they were used. </w:t>
            </w:r>
          </w:p>
        </w:tc>
      </w:tr>
      <w:tr w:rsidR="001C6A90" w:rsidRPr="009C10CD" w14:paraId="71E44CEB" w14:textId="77777777" w:rsidTr="00886332">
        <w:tc>
          <w:tcPr>
            <w:tcW w:w="4405" w:type="dxa"/>
          </w:tcPr>
          <w:p w14:paraId="6635134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10.5.4.3.2 </w:t>
            </w:r>
            <w:r w:rsidRPr="008F5C15">
              <w:rPr>
                <w:rFonts w:ascii="Verdana" w:hAnsi="Verdana"/>
                <w:sz w:val="16"/>
                <w:szCs w:val="16"/>
                <w:lang w:val="es-MX"/>
              </w:rPr>
              <w:t>Para las diferentes especies animales, se deben definir criterios para su aceptación, éstos pueden incluir edad, peso y estado de salud de los animales. Estos criterios deben ser monitoreados y registrados.</w:t>
            </w:r>
          </w:p>
        </w:tc>
        <w:tc>
          <w:tcPr>
            <w:tcW w:w="4427" w:type="dxa"/>
          </w:tcPr>
          <w:p w14:paraId="1D30BD8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10.5.4.3.2 </w:t>
            </w:r>
            <w:r w:rsidRPr="008F5C15">
              <w:rPr>
                <w:rFonts w:ascii="Verdana" w:hAnsi="Verdana"/>
                <w:sz w:val="16"/>
                <w:szCs w:val="16"/>
                <w:lang w:val="en-US"/>
              </w:rPr>
              <w:t xml:space="preserve">For the different animal species, criteria must be defined for their acceptance, they can include age, weight and the state of health of the animals. These criteria must be monitored and recorded. </w:t>
            </w:r>
          </w:p>
        </w:tc>
      </w:tr>
      <w:tr w:rsidR="001C6A90" w:rsidRPr="009C10CD" w14:paraId="2D5373F8" w14:textId="77777777" w:rsidTr="00886332">
        <w:tc>
          <w:tcPr>
            <w:tcW w:w="4405" w:type="dxa"/>
          </w:tcPr>
          <w:p w14:paraId="5E67C1E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w:t>
            </w:r>
            <w:r w:rsidRPr="008F5C15">
              <w:rPr>
                <w:rFonts w:ascii="Verdana" w:hAnsi="Verdana"/>
                <w:sz w:val="16"/>
                <w:szCs w:val="16"/>
                <w:lang w:val="es-MX"/>
              </w:rPr>
              <w:t xml:space="preserve"> Producción.</w:t>
            </w:r>
          </w:p>
        </w:tc>
        <w:tc>
          <w:tcPr>
            <w:tcW w:w="4427" w:type="dxa"/>
            <w:shd w:val="clear" w:color="auto" w:fill="auto"/>
          </w:tcPr>
          <w:p w14:paraId="4D861EA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 </w:t>
            </w:r>
            <w:r w:rsidRPr="008F5C15">
              <w:rPr>
                <w:rFonts w:ascii="Verdana" w:hAnsi="Verdana"/>
                <w:sz w:val="16"/>
                <w:szCs w:val="16"/>
                <w:lang w:val="en-US"/>
              </w:rPr>
              <w:t>Production.</w:t>
            </w:r>
          </w:p>
        </w:tc>
      </w:tr>
      <w:tr w:rsidR="001C6A90" w:rsidRPr="009C10CD" w14:paraId="6C1FF18B" w14:textId="77777777" w:rsidTr="00886332">
        <w:tc>
          <w:tcPr>
            <w:tcW w:w="4405" w:type="dxa"/>
          </w:tcPr>
          <w:p w14:paraId="7594AF8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10.5.5.1</w:t>
            </w:r>
            <w:r w:rsidRPr="008F5C15">
              <w:rPr>
                <w:rFonts w:ascii="Verdana" w:hAnsi="Verdana"/>
                <w:sz w:val="16"/>
                <w:szCs w:val="16"/>
                <w:lang w:val="es-MX"/>
              </w:rPr>
              <w:t xml:space="preserve"> Control de insumos.</w:t>
            </w:r>
          </w:p>
        </w:tc>
        <w:tc>
          <w:tcPr>
            <w:tcW w:w="4427" w:type="dxa"/>
            <w:shd w:val="clear" w:color="auto" w:fill="auto"/>
          </w:tcPr>
          <w:p w14:paraId="641DF3D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10.5.5.1 </w:t>
            </w:r>
            <w:r w:rsidRPr="008F5C15">
              <w:rPr>
                <w:rFonts w:ascii="Verdana" w:hAnsi="Verdana"/>
                <w:sz w:val="16"/>
                <w:szCs w:val="16"/>
                <w:lang w:val="en-US"/>
              </w:rPr>
              <w:t>Control of materials.</w:t>
            </w:r>
          </w:p>
        </w:tc>
      </w:tr>
      <w:tr w:rsidR="001C6A90" w:rsidRPr="00F70181" w14:paraId="18677041" w14:textId="77777777" w:rsidTr="00886332">
        <w:tc>
          <w:tcPr>
            <w:tcW w:w="4405" w:type="dxa"/>
          </w:tcPr>
          <w:p w14:paraId="2082400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10.5.5.1.1</w:t>
            </w:r>
            <w:r w:rsidRPr="008F5C15">
              <w:rPr>
                <w:rFonts w:ascii="Verdana" w:hAnsi="Verdana"/>
                <w:sz w:val="16"/>
                <w:szCs w:val="16"/>
                <w:lang w:val="es-MX"/>
              </w:rPr>
              <w:t xml:space="preserve"> Se debe realizar la prueba de promoción de crecimiento a los medios de cultivo utilizados en la fabricación.</w:t>
            </w:r>
          </w:p>
        </w:tc>
        <w:tc>
          <w:tcPr>
            <w:tcW w:w="4427" w:type="dxa"/>
            <w:shd w:val="clear" w:color="auto" w:fill="auto"/>
          </w:tcPr>
          <w:p w14:paraId="3FE03BE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10.5.5.1.1. </w:t>
            </w:r>
            <w:r w:rsidRPr="008F5C15">
              <w:rPr>
                <w:rFonts w:ascii="Verdana" w:hAnsi="Verdana"/>
                <w:sz w:val="16"/>
                <w:szCs w:val="16"/>
                <w:lang w:val="en-US"/>
              </w:rPr>
              <w:t>The growth promotion test must be performed on the culture media used in manufacturing.</w:t>
            </w:r>
          </w:p>
        </w:tc>
      </w:tr>
      <w:tr w:rsidR="001C6A90" w:rsidRPr="00F70181" w14:paraId="22603178" w14:textId="77777777" w:rsidTr="00886332">
        <w:tc>
          <w:tcPr>
            <w:tcW w:w="4405" w:type="dxa"/>
          </w:tcPr>
          <w:p w14:paraId="534A24D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10.5.5.1.2</w:t>
            </w:r>
            <w:r w:rsidRPr="008F5C15">
              <w:rPr>
                <w:rFonts w:ascii="Verdana" w:hAnsi="Verdana"/>
                <w:sz w:val="16"/>
                <w:szCs w:val="16"/>
                <w:lang w:val="es-MX"/>
              </w:rPr>
              <w:t xml:space="preserve"> Para el caso de los insumos de origen animal, se deberá contar además con los controles microbiológicos y de agentes adventicios para garantizar la seguridad en su uso.</w:t>
            </w:r>
          </w:p>
        </w:tc>
        <w:tc>
          <w:tcPr>
            <w:tcW w:w="4427" w:type="dxa"/>
            <w:shd w:val="clear" w:color="auto" w:fill="auto"/>
          </w:tcPr>
          <w:p w14:paraId="5E73FA8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10.5.5.1.2 </w:t>
            </w:r>
            <w:r w:rsidRPr="008F5C15">
              <w:rPr>
                <w:rFonts w:ascii="Verdana" w:hAnsi="Verdana"/>
                <w:sz w:val="16"/>
                <w:szCs w:val="16"/>
                <w:lang w:val="en-US"/>
              </w:rPr>
              <w:t>For the case of materials of animal origin, there must also be microbiological controls and adventitious agents to guarantee the safety of their use.</w:t>
            </w:r>
          </w:p>
        </w:tc>
      </w:tr>
      <w:tr w:rsidR="001C6A90" w:rsidRPr="00F70181" w14:paraId="61E48C9E" w14:textId="77777777" w:rsidTr="00886332">
        <w:tc>
          <w:tcPr>
            <w:tcW w:w="4405" w:type="dxa"/>
          </w:tcPr>
          <w:p w14:paraId="5F56833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10.5.5.1.3</w:t>
            </w:r>
            <w:r w:rsidRPr="008F5C15">
              <w:rPr>
                <w:rFonts w:ascii="Verdana" w:hAnsi="Verdana"/>
                <w:sz w:val="16"/>
                <w:szCs w:val="16"/>
                <w:lang w:val="es-MX"/>
              </w:rPr>
              <w:t xml:space="preserve"> Los organismos vivos deben ser manejados y conservados de manera que se mantenga su viabilidad, pureza y estabilidad genética.</w:t>
            </w:r>
          </w:p>
        </w:tc>
        <w:tc>
          <w:tcPr>
            <w:tcW w:w="4427" w:type="dxa"/>
            <w:shd w:val="clear" w:color="auto" w:fill="auto"/>
          </w:tcPr>
          <w:p w14:paraId="14F3A3E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10.5.5.1.3 </w:t>
            </w:r>
            <w:r w:rsidRPr="008F5C15">
              <w:rPr>
                <w:rFonts w:ascii="Verdana" w:hAnsi="Verdana"/>
                <w:sz w:val="16"/>
                <w:szCs w:val="16"/>
                <w:lang w:val="en-US"/>
              </w:rPr>
              <w:t xml:space="preserve">The live organisms must be handled and conserved in such a way that their viability, purity and genetic stability is maintained. </w:t>
            </w:r>
          </w:p>
        </w:tc>
      </w:tr>
      <w:tr w:rsidR="001C6A90" w:rsidRPr="00F70181" w14:paraId="67B8DDC7" w14:textId="77777777" w:rsidTr="00886332">
        <w:tc>
          <w:tcPr>
            <w:tcW w:w="4405" w:type="dxa"/>
          </w:tcPr>
          <w:p w14:paraId="17F37B3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10.5.5.1.4</w:t>
            </w:r>
            <w:r w:rsidRPr="008F5C15">
              <w:rPr>
                <w:rFonts w:ascii="Verdana" w:hAnsi="Verdana"/>
                <w:sz w:val="16"/>
                <w:szCs w:val="16"/>
                <w:lang w:val="es-MX"/>
              </w:rPr>
              <w:t xml:space="preserve"> Los insumos de origen animal o los que se utilicen para su fabricación derivados de origen animal, deben presentar el certificado en el que indique que están libres de riesgo de TSE, BSE, fiebre aftosa, leucosis bovina y otros que representen un riesgo a la salud.</w:t>
            </w:r>
          </w:p>
        </w:tc>
        <w:tc>
          <w:tcPr>
            <w:tcW w:w="4427" w:type="dxa"/>
            <w:shd w:val="clear" w:color="auto" w:fill="auto"/>
          </w:tcPr>
          <w:p w14:paraId="72CAC37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10.5.5.1.4 </w:t>
            </w:r>
            <w:r w:rsidRPr="008F5C15">
              <w:rPr>
                <w:rFonts w:ascii="Verdana" w:hAnsi="Verdana"/>
                <w:sz w:val="16"/>
                <w:szCs w:val="16"/>
                <w:lang w:val="en-US"/>
              </w:rPr>
              <w:t>The materials of animal origin or those used for manufacture which are of animal origin, must present the certificate in which it is established that they are fee from risk of TSE, BSE, foot and mouth disease, bovine leucosis and others which might represent a health risk.</w:t>
            </w:r>
          </w:p>
        </w:tc>
      </w:tr>
      <w:tr w:rsidR="001C6A90" w:rsidRPr="00F70181" w14:paraId="251FAC6E" w14:textId="77777777" w:rsidTr="00886332">
        <w:tc>
          <w:tcPr>
            <w:tcW w:w="4405" w:type="dxa"/>
          </w:tcPr>
          <w:p w14:paraId="3A2114C1"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10.5.5.1.5</w:t>
            </w:r>
            <w:r w:rsidRPr="008F5C15">
              <w:rPr>
                <w:rFonts w:ascii="Verdana" w:hAnsi="Verdana"/>
                <w:sz w:val="16"/>
                <w:szCs w:val="16"/>
                <w:lang w:val="es-MX"/>
              </w:rPr>
              <w:t xml:space="preserve"> Cuando el tiempo requerido para ejecutar un análisis sea muy largo, se puede autorizar el uso de una materia prima de origen biológico, antes de obtener los resultados de las pruebas correspondientes para su liberación. En tales casos, la liberación del producto terminado debe estar condicionada a la obtención de resultados satisfactorios de todas las pruebas pendientes de todas sus materias primas.</w:t>
            </w:r>
          </w:p>
        </w:tc>
        <w:tc>
          <w:tcPr>
            <w:tcW w:w="4427" w:type="dxa"/>
            <w:shd w:val="clear" w:color="auto" w:fill="auto"/>
          </w:tcPr>
          <w:p w14:paraId="2225F47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10.5.5.1.5 </w:t>
            </w:r>
            <w:r w:rsidRPr="008F5C15">
              <w:rPr>
                <w:rFonts w:ascii="Verdana" w:hAnsi="Verdana"/>
                <w:sz w:val="16"/>
                <w:szCs w:val="16"/>
                <w:lang w:val="en-US"/>
              </w:rPr>
              <w:t>When the time required to execute an analysis is very long, the use of raw material of biological origin can be authorized, before obtaining the results of the corresponding tests for their release. In such cases, the release of the finished product must be conditioned on obtaining satisfactory results of all the pending tests of all their raw materials.</w:t>
            </w:r>
          </w:p>
        </w:tc>
      </w:tr>
      <w:tr w:rsidR="001C6A90" w:rsidRPr="00F70181" w14:paraId="799227FF" w14:textId="77777777" w:rsidTr="00886332">
        <w:tc>
          <w:tcPr>
            <w:tcW w:w="4405" w:type="dxa"/>
          </w:tcPr>
          <w:p w14:paraId="4B26CAD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w:t>
            </w:r>
            <w:r w:rsidRPr="008F5C15">
              <w:rPr>
                <w:rFonts w:ascii="Verdana" w:hAnsi="Verdana"/>
                <w:sz w:val="16"/>
                <w:szCs w:val="16"/>
                <w:lang w:val="es-MX"/>
              </w:rPr>
              <w:t xml:space="preserve"> Banco celular y lote semilla.</w:t>
            </w:r>
          </w:p>
        </w:tc>
        <w:tc>
          <w:tcPr>
            <w:tcW w:w="4427" w:type="dxa"/>
            <w:shd w:val="clear" w:color="auto" w:fill="auto"/>
          </w:tcPr>
          <w:p w14:paraId="2A40232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10.5.5.2 </w:t>
            </w:r>
            <w:r w:rsidRPr="008F5C15">
              <w:rPr>
                <w:rFonts w:ascii="Verdana" w:hAnsi="Verdana"/>
                <w:sz w:val="16"/>
                <w:szCs w:val="16"/>
                <w:lang w:val="en-US"/>
              </w:rPr>
              <w:t>Seed lot and cell bank.</w:t>
            </w:r>
          </w:p>
        </w:tc>
      </w:tr>
      <w:tr w:rsidR="001C6A90" w:rsidRPr="00F70181" w14:paraId="4B914D70" w14:textId="77777777" w:rsidTr="00886332">
        <w:tc>
          <w:tcPr>
            <w:tcW w:w="4405" w:type="dxa"/>
          </w:tcPr>
          <w:p w14:paraId="771559B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10.5.5.2.1</w:t>
            </w:r>
            <w:r w:rsidRPr="008F5C15">
              <w:rPr>
                <w:rFonts w:ascii="Verdana" w:hAnsi="Verdana"/>
                <w:sz w:val="16"/>
                <w:szCs w:val="16"/>
                <w:lang w:val="es-MX"/>
              </w:rPr>
              <w:t xml:space="preserve"> Las especificaciones de los insumos empleados para la preparación de los bancos celulares maestro y de trabajo, deben incluir su </w:t>
            </w:r>
            <w:r w:rsidRPr="008F5C15">
              <w:rPr>
                <w:rFonts w:ascii="Verdana" w:hAnsi="Verdana"/>
                <w:sz w:val="16"/>
                <w:szCs w:val="16"/>
                <w:lang w:val="es-MX"/>
              </w:rPr>
              <w:lastRenderedPageBreak/>
              <w:t>fuente, origen y los controles necesarios para asegurar que son adecuados para su uso.</w:t>
            </w:r>
          </w:p>
        </w:tc>
        <w:tc>
          <w:tcPr>
            <w:tcW w:w="4427" w:type="dxa"/>
            <w:shd w:val="clear" w:color="auto" w:fill="auto"/>
          </w:tcPr>
          <w:p w14:paraId="0920D4D3"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lastRenderedPageBreak/>
              <w:t xml:space="preserve">10.5.5.21 </w:t>
            </w:r>
            <w:r w:rsidRPr="008F5C15">
              <w:rPr>
                <w:rFonts w:ascii="Verdana" w:hAnsi="Verdana"/>
                <w:sz w:val="16"/>
                <w:szCs w:val="16"/>
                <w:lang w:val="en-US"/>
              </w:rPr>
              <w:t xml:space="preserve">The specifications of the materials employed for the preparation of master cell banks and of work cells, must include their source, origin </w:t>
            </w:r>
            <w:r w:rsidRPr="008F5C15">
              <w:rPr>
                <w:rFonts w:ascii="Verdana" w:hAnsi="Verdana"/>
                <w:sz w:val="16"/>
                <w:szCs w:val="16"/>
                <w:lang w:val="en-US"/>
              </w:rPr>
              <w:lastRenderedPageBreak/>
              <w:t>and the controls necessary to assure that they are adequate for use.</w:t>
            </w:r>
          </w:p>
        </w:tc>
      </w:tr>
      <w:tr w:rsidR="001C6A90" w:rsidRPr="00F70181" w14:paraId="65EC5AB9" w14:textId="77777777" w:rsidTr="00886332">
        <w:tc>
          <w:tcPr>
            <w:tcW w:w="4405" w:type="dxa"/>
          </w:tcPr>
          <w:p w14:paraId="205490A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10.5.5.2.2</w:t>
            </w:r>
            <w:r w:rsidRPr="008F5C15">
              <w:rPr>
                <w:rFonts w:ascii="Verdana" w:hAnsi="Verdana"/>
                <w:sz w:val="16"/>
                <w:szCs w:val="16"/>
                <w:lang w:val="es-MX"/>
              </w:rPr>
              <w:t xml:space="preserve"> La producción de medicamentos de origen biológico obtenidos por cultivo microbiano, cultivo celular o propagación en embriones o animales debe realizarse con base en bancos celulares maestros y de trabajo, y cuando así aplique según el diseño del proceso, en base a lotes semilla maestros y de trabajo.</w:t>
            </w:r>
          </w:p>
        </w:tc>
        <w:tc>
          <w:tcPr>
            <w:tcW w:w="4427" w:type="dxa"/>
            <w:shd w:val="clear" w:color="auto" w:fill="auto"/>
          </w:tcPr>
          <w:p w14:paraId="673E8E7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10.5.5.2.2 </w:t>
            </w:r>
            <w:r w:rsidRPr="008F5C15">
              <w:rPr>
                <w:rFonts w:ascii="Verdana" w:hAnsi="Verdana"/>
                <w:sz w:val="16"/>
                <w:szCs w:val="16"/>
                <w:lang w:val="en-US"/>
              </w:rPr>
              <w:t xml:space="preserve">Production of drug products of biological origin obtained by microbial culture, cell culture or propagation in embryos or animals must be made based on master and work cell banks, and when applicable, according to the design of the process, based on master seed and work lots. </w:t>
            </w:r>
          </w:p>
        </w:tc>
      </w:tr>
      <w:tr w:rsidR="001C6A90" w:rsidRPr="00F70181" w14:paraId="68BD2F8D" w14:textId="77777777" w:rsidTr="00886332">
        <w:tc>
          <w:tcPr>
            <w:tcW w:w="4405" w:type="dxa"/>
          </w:tcPr>
          <w:p w14:paraId="37614FD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10.5.5.2.3</w:t>
            </w:r>
            <w:r w:rsidRPr="008F5C15">
              <w:rPr>
                <w:rFonts w:ascii="Verdana" w:hAnsi="Verdana"/>
                <w:sz w:val="16"/>
                <w:szCs w:val="16"/>
                <w:lang w:val="es-MX"/>
              </w:rPr>
              <w:t xml:space="preserve"> El número de pases o de duplicaciones de la población entre el banco celular maestro y el cultivo celular del lote productivo al momento de su cosecha, debe corresponder a la condición autorizada.</w:t>
            </w:r>
          </w:p>
        </w:tc>
        <w:tc>
          <w:tcPr>
            <w:tcW w:w="4427" w:type="dxa"/>
            <w:shd w:val="clear" w:color="auto" w:fill="auto"/>
          </w:tcPr>
          <w:p w14:paraId="2B409C6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10.5.5.2.3 </w:t>
            </w:r>
            <w:r w:rsidRPr="008F5C15">
              <w:rPr>
                <w:rFonts w:ascii="Verdana" w:hAnsi="Verdana"/>
                <w:sz w:val="16"/>
                <w:szCs w:val="16"/>
                <w:lang w:val="en-US"/>
              </w:rPr>
              <w:t xml:space="preserve">The number of passes or duplications of the population between the master cell bank and the cell culture of the productive lot at the moment of their harvest must correspond to the authorized condition. </w:t>
            </w:r>
          </w:p>
        </w:tc>
      </w:tr>
      <w:tr w:rsidR="001C6A90" w:rsidRPr="00F70181" w14:paraId="44CB53A4" w14:textId="77777777" w:rsidTr="00886332">
        <w:tc>
          <w:tcPr>
            <w:tcW w:w="4405" w:type="dxa"/>
          </w:tcPr>
          <w:p w14:paraId="3CD6120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10.5.5.2.4</w:t>
            </w:r>
            <w:r w:rsidRPr="008F5C15">
              <w:rPr>
                <w:rFonts w:ascii="Verdana" w:hAnsi="Verdana"/>
                <w:sz w:val="16"/>
                <w:szCs w:val="16"/>
                <w:lang w:val="es-MX"/>
              </w:rPr>
              <w:t xml:space="preserve"> Debe documentarse el origen de los bancos celulares, la construcción del sistema vector-hospedero para la proteína de interés, contarse con la caracterización del genotipo y fenotipo y el número de pases celulares que garantizan la estabilidad bajos las condiciones evaluadas. El origen y pase celular del lote semilla maestro y de trabajo debe ser documentado.</w:t>
            </w:r>
          </w:p>
        </w:tc>
        <w:tc>
          <w:tcPr>
            <w:tcW w:w="4427" w:type="dxa"/>
            <w:shd w:val="clear" w:color="auto" w:fill="auto"/>
          </w:tcPr>
          <w:p w14:paraId="7B7EA6A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10.5.5.2.4 </w:t>
            </w:r>
            <w:r w:rsidRPr="008F5C15">
              <w:rPr>
                <w:rFonts w:ascii="Verdana" w:hAnsi="Verdana"/>
                <w:sz w:val="16"/>
                <w:szCs w:val="16"/>
                <w:lang w:val="en-US"/>
              </w:rPr>
              <w:t xml:space="preserve">The origin or history of the cell banks, the construction of the host-vector system for the protein of interest must be documented; it must have the characterization of the genotype and phenotype and the number of cellular passes that guarantee the stability under the conditions evaluated.   The origin and cellular pass of the master seed lot and the work lot must be documented. </w:t>
            </w:r>
          </w:p>
        </w:tc>
      </w:tr>
      <w:tr w:rsidR="001C6A90" w:rsidRPr="00F70181" w14:paraId="5A7367A3" w14:textId="77777777" w:rsidTr="00886332">
        <w:tc>
          <w:tcPr>
            <w:tcW w:w="4405" w:type="dxa"/>
          </w:tcPr>
          <w:p w14:paraId="47549CC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10.5.5.2.5</w:t>
            </w:r>
            <w:r w:rsidRPr="008F5C15">
              <w:rPr>
                <w:rFonts w:ascii="Verdana" w:hAnsi="Verdana"/>
                <w:sz w:val="16"/>
                <w:szCs w:val="16"/>
                <w:lang w:val="es-MX"/>
              </w:rPr>
              <w:t xml:space="preserve"> Debe documentarse la información sobre la estabilidad genética de los bancos celulares maestro y de trabajo. En caso de que se utilicen lotes semilla maestro y de trabajo, su estabilidad también deberá ser documentada. Algunos de los parámetros a considerar son la retención del segmento genético de interés y la pureza, mediante controles que demuestren que están libres de agentes microbianos adventicios y de otros contaminantes celulares ajenos al cultivo objeto.</w:t>
            </w:r>
          </w:p>
        </w:tc>
        <w:tc>
          <w:tcPr>
            <w:tcW w:w="4427" w:type="dxa"/>
            <w:shd w:val="clear" w:color="auto" w:fill="auto"/>
          </w:tcPr>
          <w:p w14:paraId="1410901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10.5.5.2.5 </w:t>
            </w:r>
            <w:r w:rsidRPr="008F5C15">
              <w:rPr>
                <w:rFonts w:ascii="Verdana" w:hAnsi="Verdana"/>
                <w:sz w:val="16"/>
                <w:szCs w:val="16"/>
                <w:lang w:val="en-US"/>
              </w:rPr>
              <w:t xml:space="preserve">The information on the genetic stability of the cellular banks and/or seed lots must be documented. When master and seed lots are used, their stability also must be documented. Some of the parameters to consider are the retention of the genetic segment of interest and purity, through the controls that demonstrate that they are free of adventitious microbial agents and of other cellular contaminants unrelated to the target culture. </w:t>
            </w:r>
          </w:p>
        </w:tc>
      </w:tr>
      <w:tr w:rsidR="001C6A90" w:rsidRPr="00F70181" w14:paraId="3C1F3596" w14:textId="77777777" w:rsidTr="00886332">
        <w:tc>
          <w:tcPr>
            <w:tcW w:w="4405" w:type="dxa"/>
          </w:tcPr>
          <w:p w14:paraId="185BD06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10.5.5.2.6</w:t>
            </w:r>
            <w:r w:rsidRPr="008F5C15">
              <w:rPr>
                <w:rFonts w:ascii="Verdana" w:hAnsi="Verdana"/>
                <w:sz w:val="16"/>
                <w:szCs w:val="16"/>
                <w:lang w:val="es-MX"/>
              </w:rPr>
              <w:t xml:space="preserve"> Se deben conservar los registros de uso de los viales de los bancos celulares maestro y de trabajo y de las condiciones para su almacenamiento. En caso de que se utilicen lotes semillas maestro y de trabajo, se debe documentar las condiciones para su almacenamiento.</w:t>
            </w:r>
          </w:p>
        </w:tc>
        <w:tc>
          <w:tcPr>
            <w:tcW w:w="4427" w:type="dxa"/>
            <w:shd w:val="clear" w:color="auto" w:fill="auto"/>
          </w:tcPr>
          <w:p w14:paraId="1556C062"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10.5.5.2.6 </w:t>
            </w:r>
            <w:r w:rsidRPr="008F5C15">
              <w:rPr>
                <w:rFonts w:ascii="Verdana" w:hAnsi="Verdana"/>
                <w:sz w:val="16"/>
                <w:szCs w:val="16"/>
                <w:lang w:val="en-US"/>
              </w:rPr>
              <w:t>The records of the use of the vials of master cell banks and/or work lots</w:t>
            </w:r>
            <w:r w:rsidRPr="008F5C15">
              <w:rPr>
                <w:rFonts w:ascii="Verdana" w:hAnsi="Verdana"/>
                <w:b/>
                <w:sz w:val="16"/>
                <w:szCs w:val="16"/>
                <w:lang w:val="en-US"/>
              </w:rPr>
              <w:t xml:space="preserve"> </w:t>
            </w:r>
            <w:r w:rsidRPr="008F5C15">
              <w:rPr>
                <w:rFonts w:ascii="Verdana" w:hAnsi="Verdana"/>
                <w:sz w:val="16"/>
                <w:szCs w:val="16"/>
                <w:lang w:val="en-US"/>
              </w:rPr>
              <w:t xml:space="preserve">and of the conditions for their storage. When master seed lots and work lots are used, the conditions for their storage must be documented. </w:t>
            </w:r>
          </w:p>
        </w:tc>
      </w:tr>
      <w:tr w:rsidR="001C6A90" w:rsidRPr="00F70181" w14:paraId="5E4DED13" w14:textId="77777777" w:rsidTr="00886332">
        <w:tc>
          <w:tcPr>
            <w:tcW w:w="4405" w:type="dxa"/>
          </w:tcPr>
          <w:p w14:paraId="145787F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10.5.5.2.7</w:t>
            </w:r>
            <w:r w:rsidRPr="008F5C15">
              <w:rPr>
                <w:rFonts w:ascii="Verdana" w:hAnsi="Verdana"/>
                <w:sz w:val="16"/>
                <w:szCs w:val="16"/>
                <w:lang w:val="es-MX"/>
              </w:rPr>
              <w:t xml:space="preserve"> Los bancos celulares y/o lotes semilla deben ser mantenidos de forma separada de otros materiales, bajo condiciones de almacenamiento diseñadas con el objetivo de mantener su viabilidad y evitar su contaminación.</w:t>
            </w:r>
          </w:p>
        </w:tc>
        <w:tc>
          <w:tcPr>
            <w:tcW w:w="4427" w:type="dxa"/>
            <w:shd w:val="clear" w:color="auto" w:fill="auto"/>
          </w:tcPr>
          <w:p w14:paraId="7D09069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10.5.5.2.7 </w:t>
            </w:r>
            <w:r w:rsidRPr="008F5C15">
              <w:rPr>
                <w:rFonts w:ascii="Verdana" w:hAnsi="Verdana"/>
                <w:sz w:val="16"/>
                <w:szCs w:val="16"/>
                <w:lang w:val="en-US"/>
              </w:rPr>
              <w:t>Cell banks and/or seed lots must be kept separate from other materials, under storage conditions designed with the objective of maintaining its viability and avoiding contamination.</w:t>
            </w:r>
          </w:p>
        </w:tc>
      </w:tr>
      <w:tr w:rsidR="001C6A90" w:rsidRPr="00F70181" w14:paraId="300D8564" w14:textId="77777777" w:rsidTr="00886332">
        <w:tc>
          <w:tcPr>
            <w:tcW w:w="4405" w:type="dxa"/>
          </w:tcPr>
          <w:p w14:paraId="6E8CCA3E"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10.5.5.2.8 </w:t>
            </w:r>
            <w:r w:rsidRPr="008F5C15">
              <w:rPr>
                <w:rFonts w:ascii="Verdana" w:hAnsi="Verdana"/>
                <w:sz w:val="16"/>
                <w:szCs w:val="16"/>
                <w:lang w:val="es-MX"/>
              </w:rPr>
              <w:t>Los contenedores de almacenamiento de los bancos celulares y/o lotes semilla deben estar cerrados herméticamente, etiquetados y mantenidos a la temperatura establecida. La temperatura de almacenamiento debe ser registrada de forma continua. Se debe registrar cualquier desviación de los límites establecidos y toda medida correctiva que se tome. Así como contar con un plan de contingencia en caso de falla de los sistemas de criopreservación.</w:t>
            </w:r>
          </w:p>
        </w:tc>
        <w:tc>
          <w:tcPr>
            <w:tcW w:w="4427" w:type="dxa"/>
          </w:tcPr>
          <w:p w14:paraId="2A378C49"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10.5.5.2.8 </w:t>
            </w:r>
            <w:r w:rsidRPr="008F5C15">
              <w:rPr>
                <w:rFonts w:ascii="Verdana" w:hAnsi="Verdana"/>
                <w:sz w:val="16"/>
                <w:szCs w:val="16"/>
                <w:lang w:val="en-US"/>
              </w:rPr>
              <w:t>The storage containers of the cellular banks and/or seed lots must be hermetically closed, labeled and maintained at the established temperature. The storage temperature must be continuously recorded. Any deviation from the established limits must be recorded and all corrective measure that is taken must be recorded. As well as having a contingency plan in case of the failure of the cryo-preservation systems.</w:t>
            </w:r>
          </w:p>
        </w:tc>
      </w:tr>
      <w:tr w:rsidR="001C6A90" w:rsidRPr="00F70181" w14:paraId="3313822E" w14:textId="77777777" w:rsidTr="00886332">
        <w:tc>
          <w:tcPr>
            <w:tcW w:w="4405" w:type="dxa"/>
          </w:tcPr>
          <w:p w14:paraId="11C3220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10.5.5.2.9</w:t>
            </w:r>
            <w:r w:rsidRPr="008F5C15">
              <w:rPr>
                <w:rFonts w:ascii="Verdana" w:hAnsi="Verdana"/>
                <w:sz w:val="16"/>
                <w:szCs w:val="16"/>
                <w:lang w:val="es-MX"/>
              </w:rPr>
              <w:t xml:space="preserve"> El acceso a los bancos celulares y/o lotes semilla debe estar limitado al personal autorizado.</w:t>
            </w:r>
          </w:p>
        </w:tc>
        <w:tc>
          <w:tcPr>
            <w:tcW w:w="4427" w:type="dxa"/>
          </w:tcPr>
          <w:p w14:paraId="05FC1738" w14:textId="77777777" w:rsidR="001C6A90" w:rsidRPr="008F5C15" w:rsidRDefault="001C6A90" w:rsidP="001C6A90">
            <w:pPr>
              <w:spacing w:after="101" w:line="276" w:lineRule="auto"/>
              <w:jc w:val="both"/>
              <w:rPr>
                <w:rFonts w:ascii="Verdana" w:hAnsi="Verdana" w:cs="Arial"/>
                <w:sz w:val="16"/>
                <w:szCs w:val="16"/>
                <w:lang w:val="en-US"/>
              </w:rPr>
            </w:pPr>
            <w:r w:rsidRPr="008F5C15">
              <w:rPr>
                <w:rFonts w:ascii="Verdana" w:hAnsi="Verdana" w:cs="Arial"/>
                <w:b/>
                <w:sz w:val="16"/>
                <w:szCs w:val="16"/>
                <w:lang w:val="en-US"/>
              </w:rPr>
              <w:t xml:space="preserve">10.5.5.2.9 </w:t>
            </w:r>
            <w:r w:rsidRPr="008F5C15">
              <w:rPr>
                <w:rFonts w:ascii="Verdana" w:hAnsi="Verdana" w:cs="Arial"/>
                <w:sz w:val="16"/>
                <w:szCs w:val="16"/>
                <w:lang w:val="en-US"/>
              </w:rPr>
              <w:t>The access to cell banks and/or seed lots must be limited to authorized personnel.</w:t>
            </w:r>
          </w:p>
        </w:tc>
      </w:tr>
      <w:tr w:rsidR="001C6A90" w:rsidRPr="00F70181" w14:paraId="2674C345" w14:textId="77777777" w:rsidTr="00886332">
        <w:tc>
          <w:tcPr>
            <w:tcW w:w="4405" w:type="dxa"/>
          </w:tcPr>
          <w:p w14:paraId="0E75F97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10.5.5.2.10</w:t>
            </w:r>
            <w:r w:rsidRPr="008F5C15">
              <w:rPr>
                <w:rFonts w:ascii="Verdana" w:hAnsi="Verdana"/>
                <w:sz w:val="16"/>
                <w:szCs w:val="16"/>
                <w:lang w:val="es-MX"/>
              </w:rPr>
              <w:t xml:space="preserve"> Se debe contar con un procedimiento que asegure el control de uso, manejo y mantenimiento de los bancos celulares y/o lotes semilla.</w:t>
            </w:r>
          </w:p>
        </w:tc>
        <w:tc>
          <w:tcPr>
            <w:tcW w:w="4427" w:type="dxa"/>
          </w:tcPr>
          <w:p w14:paraId="5EEF895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10.5.5.2.10 </w:t>
            </w:r>
            <w:r w:rsidRPr="008F5C15">
              <w:rPr>
                <w:rFonts w:ascii="Verdana" w:hAnsi="Verdana"/>
                <w:sz w:val="16"/>
                <w:szCs w:val="16"/>
                <w:lang w:val="en-US"/>
              </w:rPr>
              <w:t>There must be a procedure that assures the control of the use, handling and maintenance of cellular banks and/or seed lots.</w:t>
            </w:r>
          </w:p>
        </w:tc>
      </w:tr>
      <w:tr w:rsidR="001C6A90" w:rsidRPr="00F70181" w14:paraId="04BBBE6C" w14:textId="77777777" w:rsidTr="00886332">
        <w:tc>
          <w:tcPr>
            <w:tcW w:w="4405" w:type="dxa"/>
          </w:tcPr>
          <w:p w14:paraId="687400C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10.5.5.2.11</w:t>
            </w:r>
            <w:r w:rsidRPr="008F5C15">
              <w:rPr>
                <w:rFonts w:ascii="Verdana" w:hAnsi="Verdana"/>
                <w:sz w:val="16"/>
                <w:szCs w:val="16"/>
                <w:lang w:val="es-MX"/>
              </w:rPr>
              <w:t xml:space="preserve"> La caracterización de los bancos celulares debe incluir:</w:t>
            </w:r>
          </w:p>
        </w:tc>
        <w:tc>
          <w:tcPr>
            <w:tcW w:w="4427" w:type="dxa"/>
          </w:tcPr>
          <w:p w14:paraId="454F0D3D"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10.5.5.2.11 </w:t>
            </w:r>
            <w:r w:rsidRPr="008F5C15">
              <w:rPr>
                <w:rFonts w:ascii="Verdana" w:hAnsi="Verdana"/>
                <w:sz w:val="16"/>
                <w:szCs w:val="16"/>
                <w:lang w:val="en-US"/>
              </w:rPr>
              <w:t>The characterization of cell banks must include:</w:t>
            </w:r>
          </w:p>
        </w:tc>
      </w:tr>
      <w:tr w:rsidR="001C6A90" w:rsidRPr="00F70181" w14:paraId="3052D2AD" w14:textId="77777777" w:rsidTr="00886332">
        <w:tc>
          <w:tcPr>
            <w:tcW w:w="4405" w:type="dxa"/>
          </w:tcPr>
          <w:p w14:paraId="3184DFD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10.5.5.2.11.1</w:t>
            </w:r>
            <w:r w:rsidRPr="008F5C15">
              <w:rPr>
                <w:rFonts w:ascii="Verdana" w:hAnsi="Verdana"/>
                <w:sz w:val="16"/>
                <w:szCs w:val="16"/>
                <w:lang w:val="es-MX"/>
              </w:rPr>
              <w:t xml:space="preserve"> Identificación en cuanto a especie, retención de plásmido y expresión de la proteína de interés, cuando aplique.</w:t>
            </w:r>
          </w:p>
        </w:tc>
        <w:tc>
          <w:tcPr>
            <w:tcW w:w="4427" w:type="dxa"/>
            <w:shd w:val="clear" w:color="auto" w:fill="auto"/>
          </w:tcPr>
          <w:p w14:paraId="518D2F0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10.5.5.2.11.1 </w:t>
            </w:r>
            <w:r w:rsidRPr="008F5C15">
              <w:rPr>
                <w:rFonts w:ascii="Verdana" w:hAnsi="Verdana"/>
                <w:sz w:val="16"/>
                <w:szCs w:val="16"/>
                <w:lang w:val="en-US"/>
              </w:rPr>
              <w:t>Identification in regards to species, plasmid retention and protein expression of interest, when applicable.</w:t>
            </w:r>
          </w:p>
        </w:tc>
      </w:tr>
      <w:tr w:rsidR="001C6A90" w:rsidRPr="00F70181" w14:paraId="52DE369C" w14:textId="77777777" w:rsidTr="00886332">
        <w:tc>
          <w:tcPr>
            <w:tcW w:w="4405" w:type="dxa"/>
          </w:tcPr>
          <w:p w14:paraId="7468FF3A"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10.5.5.2.11.2</w:t>
            </w:r>
            <w:r w:rsidRPr="008F5C15">
              <w:rPr>
                <w:rFonts w:ascii="Verdana" w:hAnsi="Verdana"/>
                <w:sz w:val="16"/>
                <w:szCs w:val="16"/>
                <w:lang w:val="es-MX"/>
              </w:rPr>
              <w:t xml:space="preserve"> Características de crecimiento y morfología (técnicas microscópicas).</w:t>
            </w:r>
          </w:p>
        </w:tc>
        <w:tc>
          <w:tcPr>
            <w:tcW w:w="4427" w:type="dxa"/>
            <w:shd w:val="clear" w:color="auto" w:fill="auto"/>
          </w:tcPr>
          <w:p w14:paraId="7B143FB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10.5.5.2.11.2 </w:t>
            </w:r>
            <w:r w:rsidRPr="008F5C15">
              <w:rPr>
                <w:rFonts w:ascii="Verdana" w:hAnsi="Verdana"/>
                <w:sz w:val="16"/>
                <w:szCs w:val="16"/>
                <w:lang w:val="en-US"/>
              </w:rPr>
              <w:t>Growth and morphology characteristics (microscopic techniques).</w:t>
            </w:r>
          </w:p>
        </w:tc>
      </w:tr>
      <w:tr w:rsidR="001C6A90" w:rsidRPr="00262EF8" w14:paraId="5F017CD5" w14:textId="77777777" w:rsidTr="00886332">
        <w:tc>
          <w:tcPr>
            <w:tcW w:w="4405" w:type="dxa"/>
          </w:tcPr>
          <w:p w14:paraId="31E1EFB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10.5.5.2.11.3</w:t>
            </w:r>
            <w:r w:rsidRPr="008F5C15">
              <w:rPr>
                <w:rFonts w:ascii="Verdana" w:hAnsi="Verdana"/>
                <w:sz w:val="16"/>
                <w:szCs w:val="16"/>
                <w:lang w:val="es-MX"/>
              </w:rPr>
              <w:t xml:space="preserve"> Cariotipo para líneas de células.</w:t>
            </w:r>
          </w:p>
        </w:tc>
        <w:tc>
          <w:tcPr>
            <w:tcW w:w="4427" w:type="dxa"/>
            <w:shd w:val="clear" w:color="auto" w:fill="auto"/>
          </w:tcPr>
          <w:p w14:paraId="43B7032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10.5.5.2.11.3 </w:t>
            </w:r>
            <w:r w:rsidRPr="008F5C15">
              <w:rPr>
                <w:rFonts w:ascii="Verdana" w:hAnsi="Verdana"/>
                <w:sz w:val="16"/>
                <w:szCs w:val="16"/>
                <w:lang w:val="en-US"/>
              </w:rPr>
              <w:t>Karyotype for cell lines.</w:t>
            </w:r>
          </w:p>
        </w:tc>
      </w:tr>
      <w:tr w:rsidR="001C6A90" w:rsidRPr="00262EF8" w14:paraId="7E509F46" w14:textId="77777777" w:rsidTr="00886332">
        <w:tc>
          <w:tcPr>
            <w:tcW w:w="4405" w:type="dxa"/>
          </w:tcPr>
          <w:p w14:paraId="571EED0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10.5.5.2.11.4</w:t>
            </w:r>
            <w:r w:rsidRPr="008F5C15">
              <w:rPr>
                <w:rFonts w:ascii="Verdana" w:hAnsi="Verdana"/>
                <w:sz w:val="16"/>
                <w:szCs w:val="16"/>
                <w:lang w:val="es-MX"/>
              </w:rPr>
              <w:t xml:space="preserve"> Número de pases.</w:t>
            </w:r>
          </w:p>
        </w:tc>
        <w:tc>
          <w:tcPr>
            <w:tcW w:w="4427" w:type="dxa"/>
            <w:shd w:val="clear" w:color="auto" w:fill="auto"/>
          </w:tcPr>
          <w:p w14:paraId="5877930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10.5.5.2.11.4 </w:t>
            </w:r>
            <w:r w:rsidRPr="008F5C15">
              <w:rPr>
                <w:rFonts w:ascii="Verdana" w:hAnsi="Verdana"/>
                <w:sz w:val="16"/>
                <w:szCs w:val="16"/>
                <w:lang w:val="en-US"/>
              </w:rPr>
              <w:t>Number of passes.</w:t>
            </w:r>
          </w:p>
        </w:tc>
      </w:tr>
      <w:tr w:rsidR="001C6A90" w:rsidRPr="00F70181" w14:paraId="7ECE9C14" w14:textId="77777777" w:rsidTr="00886332">
        <w:tc>
          <w:tcPr>
            <w:tcW w:w="4405" w:type="dxa"/>
          </w:tcPr>
          <w:p w14:paraId="75FB4CE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10.5.5.2.12</w:t>
            </w:r>
            <w:r w:rsidRPr="008F5C15">
              <w:rPr>
                <w:rFonts w:ascii="Verdana" w:hAnsi="Verdana"/>
                <w:sz w:val="16"/>
                <w:szCs w:val="16"/>
                <w:lang w:val="es-MX"/>
              </w:rPr>
              <w:t xml:space="preserve"> El manejo de los lotes de siembra y de los bancos celulares, se debe realizar en ambientes que garanticen su estabilidad y pureza.</w:t>
            </w:r>
          </w:p>
        </w:tc>
        <w:tc>
          <w:tcPr>
            <w:tcW w:w="4427" w:type="dxa"/>
            <w:shd w:val="clear" w:color="auto" w:fill="auto"/>
          </w:tcPr>
          <w:p w14:paraId="44C2C36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10.5.5.2.12 </w:t>
            </w:r>
            <w:r w:rsidRPr="008F5C15">
              <w:rPr>
                <w:rFonts w:ascii="Verdana" w:hAnsi="Verdana"/>
                <w:sz w:val="16"/>
                <w:szCs w:val="16"/>
                <w:lang w:val="en-US"/>
              </w:rPr>
              <w:t>The handling of the seed lots and the cell banks, must be performed in controlled environments that guarantee their stability and purity.</w:t>
            </w:r>
          </w:p>
        </w:tc>
      </w:tr>
      <w:tr w:rsidR="001C6A90" w:rsidRPr="00F70181" w14:paraId="15FF86F4" w14:textId="77777777" w:rsidTr="00886332">
        <w:tc>
          <w:tcPr>
            <w:tcW w:w="4405" w:type="dxa"/>
          </w:tcPr>
          <w:p w14:paraId="5746B9C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10.5.5.2.13</w:t>
            </w:r>
            <w:r w:rsidRPr="008F5C15">
              <w:rPr>
                <w:rFonts w:ascii="Verdana" w:hAnsi="Verdana"/>
                <w:sz w:val="16"/>
                <w:szCs w:val="16"/>
                <w:lang w:val="es-MX"/>
              </w:rPr>
              <w:t xml:space="preserve"> Se deben controlar periódicamente los bancos celulares para determinar que sean adecuados para su uso.</w:t>
            </w:r>
          </w:p>
        </w:tc>
        <w:tc>
          <w:tcPr>
            <w:tcW w:w="4427" w:type="dxa"/>
            <w:shd w:val="clear" w:color="auto" w:fill="auto"/>
          </w:tcPr>
          <w:p w14:paraId="4F51F3B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10.5.5.2.13 </w:t>
            </w:r>
            <w:r w:rsidRPr="008F5C15">
              <w:rPr>
                <w:rFonts w:ascii="Verdana" w:hAnsi="Verdana"/>
                <w:sz w:val="16"/>
                <w:szCs w:val="16"/>
                <w:lang w:val="en-US"/>
              </w:rPr>
              <w:t>The cell banks must be periodically controlled in order to determine that they are adequate for use.</w:t>
            </w:r>
          </w:p>
        </w:tc>
      </w:tr>
      <w:tr w:rsidR="001C6A90" w:rsidRPr="00262EF8" w14:paraId="24D26CF8" w14:textId="77777777" w:rsidTr="00886332">
        <w:tc>
          <w:tcPr>
            <w:tcW w:w="4405" w:type="dxa"/>
          </w:tcPr>
          <w:p w14:paraId="06E8FF7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10.5.5.3</w:t>
            </w:r>
            <w:r w:rsidRPr="008F5C15">
              <w:rPr>
                <w:rFonts w:ascii="Verdana" w:hAnsi="Verdana"/>
                <w:sz w:val="16"/>
                <w:szCs w:val="16"/>
                <w:lang w:val="es-MX"/>
              </w:rPr>
              <w:t xml:space="preserve"> Control de la producción.</w:t>
            </w:r>
          </w:p>
        </w:tc>
        <w:tc>
          <w:tcPr>
            <w:tcW w:w="4427" w:type="dxa"/>
            <w:shd w:val="clear" w:color="auto" w:fill="auto"/>
          </w:tcPr>
          <w:p w14:paraId="339CE38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 </w:t>
            </w:r>
            <w:r w:rsidRPr="008F5C15">
              <w:rPr>
                <w:rFonts w:ascii="Verdana" w:hAnsi="Verdana"/>
                <w:sz w:val="16"/>
                <w:szCs w:val="16"/>
                <w:lang w:val="en-US"/>
              </w:rPr>
              <w:t>Control of production.</w:t>
            </w:r>
          </w:p>
        </w:tc>
      </w:tr>
      <w:tr w:rsidR="001C6A90" w:rsidRPr="00F70181" w14:paraId="5A50A820" w14:textId="77777777" w:rsidTr="00886332">
        <w:tc>
          <w:tcPr>
            <w:tcW w:w="4405" w:type="dxa"/>
          </w:tcPr>
          <w:p w14:paraId="37AB2A4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10.5.5.3.1</w:t>
            </w:r>
            <w:r w:rsidRPr="008F5C15">
              <w:rPr>
                <w:rFonts w:ascii="Verdana" w:hAnsi="Verdana"/>
                <w:sz w:val="16"/>
                <w:szCs w:val="16"/>
                <w:lang w:val="es-MX"/>
              </w:rPr>
              <w:t xml:space="preserve"> Los productos y materiales biológicos antes de su desecho deberán ser inactivados y en su caso neutralizados, antes de su disposición final, conforme a las disposiciones jurídicas aplicables.</w:t>
            </w:r>
          </w:p>
        </w:tc>
        <w:tc>
          <w:tcPr>
            <w:tcW w:w="4427" w:type="dxa"/>
            <w:shd w:val="clear" w:color="auto" w:fill="auto"/>
          </w:tcPr>
          <w:p w14:paraId="3C81CAD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10.5.5.3.1 </w:t>
            </w:r>
            <w:r w:rsidRPr="008F5C15">
              <w:rPr>
                <w:rFonts w:ascii="Verdana" w:hAnsi="Verdana"/>
                <w:sz w:val="16"/>
                <w:szCs w:val="16"/>
                <w:lang w:val="en-US"/>
              </w:rPr>
              <w:t>The products and biological materials must be inactivated before their disposal and be placed in closed and safe containers until their final disposal, in accordance with the applicable legal provisions.</w:t>
            </w:r>
          </w:p>
        </w:tc>
      </w:tr>
      <w:tr w:rsidR="001C6A90" w:rsidRPr="00F70181" w14:paraId="11DA214F" w14:textId="77777777" w:rsidTr="00886332">
        <w:tc>
          <w:tcPr>
            <w:tcW w:w="4405" w:type="dxa"/>
          </w:tcPr>
          <w:p w14:paraId="634EA8A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10.5.5.3.2</w:t>
            </w:r>
            <w:r w:rsidRPr="008F5C15">
              <w:rPr>
                <w:rFonts w:ascii="Verdana" w:hAnsi="Verdana"/>
                <w:sz w:val="16"/>
                <w:szCs w:val="16"/>
                <w:lang w:val="es-MX"/>
              </w:rPr>
              <w:t xml:space="preserve"> La adición de insumos o medios de cultivo en los procesos de fermentación o propagación se debe realizar bajo condiciones controladas que aseguren la no contaminación del producto.</w:t>
            </w:r>
          </w:p>
        </w:tc>
        <w:tc>
          <w:tcPr>
            <w:tcW w:w="4427" w:type="dxa"/>
            <w:shd w:val="clear" w:color="auto" w:fill="auto"/>
          </w:tcPr>
          <w:p w14:paraId="5BA9882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10.5.5.3.2 </w:t>
            </w:r>
            <w:r w:rsidRPr="008F5C15">
              <w:rPr>
                <w:rFonts w:ascii="Verdana" w:hAnsi="Verdana"/>
                <w:sz w:val="16"/>
                <w:szCs w:val="16"/>
                <w:lang w:val="en-US"/>
              </w:rPr>
              <w:t>The addition of materials or culture media in the fermentation or propagation processes must be done under controlled conditions to assure the product is not contaminated.</w:t>
            </w:r>
          </w:p>
        </w:tc>
      </w:tr>
      <w:tr w:rsidR="001C6A90" w:rsidRPr="00F70181" w14:paraId="18E7363D" w14:textId="77777777" w:rsidTr="00886332">
        <w:tc>
          <w:tcPr>
            <w:tcW w:w="4405" w:type="dxa"/>
          </w:tcPr>
          <w:p w14:paraId="783C89F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10.5.5.3.3</w:t>
            </w:r>
            <w:r w:rsidRPr="008F5C15">
              <w:rPr>
                <w:rFonts w:ascii="Verdana" w:hAnsi="Verdana"/>
                <w:sz w:val="16"/>
                <w:szCs w:val="16"/>
                <w:lang w:val="es-MX"/>
              </w:rPr>
              <w:t xml:space="preserve"> Los condensados o gases con microorganismos vivos que se pueden formar en los procesos de fabricación se deben contener y tratar para prevenir su trasferencia al medio ambiente.</w:t>
            </w:r>
          </w:p>
        </w:tc>
        <w:tc>
          <w:tcPr>
            <w:tcW w:w="4427" w:type="dxa"/>
            <w:shd w:val="clear" w:color="auto" w:fill="auto"/>
          </w:tcPr>
          <w:p w14:paraId="4584F63C"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10.5.5.3.3 </w:t>
            </w:r>
            <w:r w:rsidRPr="008F5C15">
              <w:rPr>
                <w:rFonts w:ascii="Verdana" w:hAnsi="Verdana"/>
                <w:sz w:val="16"/>
                <w:szCs w:val="16"/>
                <w:lang w:val="en-US"/>
              </w:rPr>
              <w:t>The condensations or gases with live microorganisms that can form in the manufacturing process must be contained and be treated to prevent their transfer to the environment.</w:t>
            </w:r>
          </w:p>
        </w:tc>
      </w:tr>
      <w:tr w:rsidR="001C6A90" w:rsidRPr="00F70181" w14:paraId="6854217B" w14:textId="77777777" w:rsidTr="00886332">
        <w:tc>
          <w:tcPr>
            <w:tcW w:w="4405" w:type="dxa"/>
          </w:tcPr>
          <w:p w14:paraId="79187ED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10.5.5.3.4</w:t>
            </w:r>
            <w:r w:rsidRPr="008F5C15">
              <w:rPr>
                <w:rFonts w:ascii="Verdana" w:hAnsi="Verdana"/>
                <w:sz w:val="16"/>
                <w:szCs w:val="16"/>
                <w:lang w:val="es-MX"/>
              </w:rPr>
              <w:t xml:space="preserve"> La adición de sustratos, soluciones reguladoras, antiespumantes, soluciones para el ajuste de acidez o alcalinidad debe realizarse a través de un puerto que garantice la transferencia estéril de esos componentes o a través de filtros de esterilización de estos componentes.</w:t>
            </w:r>
          </w:p>
        </w:tc>
        <w:tc>
          <w:tcPr>
            <w:tcW w:w="4427" w:type="dxa"/>
            <w:shd w:val="clear" w:color="auto" w:fill="auto"/>
          </w:tcPr>
          <w:p w14:paraId="3BC74FFB"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10.5.5.3.4 </w:t>
            </w:r>
            <w:r w:rsidRPr="008F5C15">
              <w:rPr>
                <w:rFonts w:ascii="Verdana" w:hAnsi="Verdana"/>
                <w:sz w:val="16"/>
                <w:szCs w:val="16"/>
                <w:lang w:val="en-US"/>
              </w:rPr>
              <w:t>The addition of substrates, regulating solutions, defoamers, solutions for the adjustment of acidity or alkalinity must be done through a port that guarantees the sterile transference of these components or through the sterilization filters of these components.</w:t>
            </w:r>
          </w:p>
        </w:tc>
      </w:tr>
      <w:tr w:rsidR="001C6A90" w:rsidRPr="00F70181" w14:paraId="139D06AE" w14:textId="77777777" w:rsidTr="00886332">
        <w:tc>
          <w:tcPr>
            <w:tcW w:w="4405" w:type="dxa"/>
          </w:tcPr>
          <w:p w14:paraId="7E954897"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10.5.5.3.5</w:t>
            </w:r>
            <w:r w:rsidRPr="008F5C15">
              <w:rPr>
                <w:rFonts w:ascii="Verdana" w:hAnsi="Verdana"/>
                <w:sz w:val="16"/>
                <w:szCs w:val="16"/>
                <w:lang w:val="es-MX"/>
              </w:rPr>
              <w:t xml:space="preserve"> Debe existir un sistema que incluya instalaciones, equipos y servicios, que permitan separar y distinguir claramente entre los productos sometidos a un proceso de remoción o inactivación viral de los que no han recibido este tratamiento.</w:t>
            </w:r>
          </w:p>
        </w:tc>
        <w:tc>
          <w:tcPr>
            <w:tcW w:w="4427" w:type="dxa"/>
            <w:shd w:val="clear" w:color="auto" w:fill="auto"/>
          </w:tcPr>
          <w:p w14:paraId="400ED20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10.5.5.3.5 </w:t>
            </w:r>
            <w:r w:rsidRPr="008F5C15">
              <w:rPr>
                <w:rFonts w:ascii="Verdana" w:hAnsi="Verdana"/>
                <w:sz w:val="16"/>
                <w:szCs w:val="16"/>
                <w:lang w:val="en-US"/>
              </w:rPr>
              <w:t>There must be a system that includes installations, equipment and services, which allows to separate and clearly distinguish between products subjected to viral removal or inactivation processes from those which have not received this treatment.</w:t>
            </w:r>
          </w:p>
        </w:tc>
      </w:tr>
      <w:tr w:rsidR="001C6A90" w:rsidRPr="00F70181" w14:paraId="0F5CC16E" w14:textId="77777777" w:rsidTr="00886332">
        <w:tc>
          <w:tcPr>
            <w:tcW w:w="4405" w:type="dxa"/>
          </w:tcPr>
          <w:p w14:paraId="0A15FF6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10.5.5.3.6</w:t>
            </w:r>
            <w:r w:rsidRPr="008F5C15">
              <w:rPr>
                <w:rFonts w:ascii="Verdana" w:hAnsi="Verdana"/>
                <w:sz w:val="16"/>
                <w:szCs w:val="16"/>
                <w:lang w:val="es-MX"/>
              </w:rPr>
              <w:t xml:space="preserve"> Los procesos de inactivación y remoción viral deberán estar validados.</w:t>
            </w:r>
          </w:p>
        </w:tc>
        <w:tc>
          <w:tcPr>
            <w:tcW w:w="4427" w:type="dxa"/>
            <w:shd w:val="clear" w:color="auto" w:fill="auto"/>
          </w:tcPr>
          <w:p w14:paraId="08F3E31F"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10.5.5.3.6 </w:t>
            </w:r>
            <w:r w:rsidRPr="008F5C15">
              <w:rPr>
                <w:rFonts w:ascii="Verdana" w:hAnsi="Verdana"/>
                <w:sz w:val="16"/>
                <w:szCs w:val="16"/>
                <w:lang w:val="en-US"/>
              </w:rPr>
              <w:t xml:space="preserve">The processes of inactivation and viral removal must be validated. </w:t>
            </w:r>
          </w:p>
        </w:tc>
      </w:tr>
      <w:tr w:rsidR="001C6A90" w:rsidRPr="00F70181" w14:paraId="44201BB7" w14:textId="77777777" w:rsidTr="00886332">
        <w:tc>
          <w:tcPr>
            <w:tcW w:w="4405" w:type="dxa"/>
          </w:tcPr>
          <w:p w14:paraId="7475500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10.5.5.3.6.1</w:t>
            </w:r>
            <w:r w:rsidRPr="008F5C15">
              <w:rPr>
                <w:rFonts w:ascii="Verdana" w:hAnsi="Verdana"/>
                <w:sz w:val="16"/>
                <w:szCs w:val="16"/>
                <w:lang w:val="es-MX"/>
              </w:rPr>
              <w:t xml:space="preserve"> La validación de estos procesos debe realizarse fuera de las áreas de fabricación, cuando aplique.</w:t>
            </w:r>
          </w:p>
        </w:tc>
        <w:tc>
          <w:tcPr>
            <w:tcW w:w="4427" w:type="dxa"/>
            <w:shd w:val="clear" w:color="auto" w:fill="auto"/>
          </w:tcPr>
          <w:p w14:paraId="538C302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10.5.5.3.6.1 </w:t>
            </w:r>
            <w:r w:rsidRPr="008F5C15">
              <w:rPr>
                <w:rFonts w:ascii="Verdana" w:hAnsi="Verdana"/>
                <w:sz w:val="16"/>
                <w:szCs w:val="16"/>
                <w:lang w:val="en-US"/>
              </w:rPr>
              <w:t>The validation of these processes must be performed outside of the manufacturing areas, when applicable.</w:t>
            </w:r>
          </w:p>
        </w:tc>
      </w:tr>
      <w:tr w:rsidR="001C6A90" w:rsidRPr="00F70181" w14:paraId="4FFB249B" w14:textId="77777777" w:rsidTr="00886332">
        <w:tc>
          <w:tcPr>
            <w:tcW w:w="4405" w:type="dxa"/>
          </w:tcPr>
          <w:p w14:paraId="1ED40344"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10.5.5.3.6.2</w:t>
            </w:r>
            <w:r w:rsidRPr="008F5C15">
              <w:rPr>
                <w:rFonts w:ascii="Verdana" w:hAnsi="Verdana"/>
                <w:sz w:val="16"/>
                <w:szCs w:val="16"/>
                <w:lang w:val="es-MX"/>
              </w:rPr>
              <w:t xml:space="preserve"> Deben contar con medidas de descontaminación validadas con una cepa para cada organismo o grupo de organismos relacionados. Cuando se trate de diferentes cepas de la misma bacteria o virus similares, el proceso de descontaminación puede ser validado con una cepa representativa, a menos que haya una variabilidad significativa en su resistencia al agente descontaminante involucrado.</w:t>
            </w:r>
          </w:p>
        </w:tc>
        <w:tc>
          <w:tcPr>
            <w:tcW w:w="4427" w:type="dxa"/>
            <w:shd w:val="clear" w:color="auto" w:fill="auto"/>
          </w:tcPr>
          <w:p w14:paraId="468DFBA1"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10.5.5.3.6.2 </w:t>
            </w:r>
            <w:r w:rsidRPr="008F5C15">
              <w:rPr>
                <w:rFonts w:ascii="Verdana" w:hAnsi="Verdana"/>
                <w:sz w:val="16"/>
                <w:szCs w:val="16"/>
                <w:lang w:val="en-US"/>
              </w:rPr>
              <w:t xml:space="preserve">They must have validated decontamination measures with a strain for each organism or group of related organisms. With respect to different strains of the same bacteria or similar viruses, the process of decontamination can be validated with a representative strain, unless there is a significant variability in their resistance to the decontaminating agent involved. </w:t>
            </w:r>
          </w:p>
        </w:tc>
      </w:tr>
      <w:tr w:rsidR="001C6A90" w:rsidRPr="00F70181" w14:paraId="4ED2ED9E" w14:textId="77777777" w:rsidTr="00886332">
        <w:tc>
          <w:tcPr>
            <w:tcW w:w="4405" w:type="dxa"/>
          </w:tcPr>
          <w:p w14:paraId="70B83555"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10.5.5.3.6.3</w:t>
            </w:r>
            <w:r w:rsidRPr="008F5C15">
              <w:rPr>
                <w:rFonts w:ascii="Verdana" w:hAnsi="Verdana"/>
                <w:sz w:val="16"/>
                <w:szCs w:val="16"/>
                <w:lang w:val="es-MX"/>
              </w:rPr>
              <w:t xml:space="preserve"> Cualquier desviación en estos procesos debe ser investigada y se debe evaluar el impacto en la seguridad del producto terminado antes de su liberación.</w:t>
            </w:r>
          </w:p>
        </w:tc>
        <w:tc>
          <w:tcPr>
            <w:tcW w:w="4427" w:type="dxa"/>
            <w:shd w:val="clear" w:color="auto" w:fill="auto"/>
          </w:tcPr>
          <w:p w14:paraId="65E2F4B7"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10.5.5.3.6.3</w:t>
            </w:r>
            <w:r w:rsidRPr="008F5C15">
              <w:rPr>
                <w:rFonts w:ascii="Verdana" w:hAnsi="Verdana"/>
                <w:sz w:val="16"/>
                <w:szCs w:val="16"/>
                <w:lang w:val="en-US"/>
              </w:rPr>
              <w:t xml:space="preserve"> Any deviation to these processes must be investigated and the impact of safety of the finished product must be evaluated before its release.</w:t>
            </w:r>
          </w:p>
        </w:tc>
      </w:tr>
      <w:tr w:rsidR="001C6A90" w:rsidRPr="00F70181" w14:paraId="320FA820" w14:textId="77777777" w:rsidTr="00886332">
        <w:tc>
          <w:tcPr>
            <w:tcW w:w="4405" w:type="dxa"/>
          </w:tcPr>
          <w:p w14:paraId="0CF297C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10.5.5.3.6.4 </w:t>
            </w:r>
            <w:r w:rsidRPr="008F5C15">
              <w:rPr>
                <w:rFonts w:ascii="Verdana" w:hAnsi="Verdana"/>
                <w:sz w:val="16"/>
                <w:szCs w:val="16"/>
                <w:lang w:val="es-MX"/>
              </w:rPr>
              <w:t>Se debe evitar una potencial contaminación viral desde los pasos pre-inactivación, eliminación viral y post-inactivación.</w:t>
            </w:r>
          </w:p>
        </w:tc>
        <w:tc>
          <w:tcPr>
            <w:tcW w:w="4427" w:type="dxa"/>
            <w:shd w:val="clear" w:color="auto" w:fill="auto"/>
          </w:tcPr>
          <w:p w14:paraId="51B54472"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10.5.5.3.6.4 </w:t>
            </w:r>
            <w:r w:rsidRPr="008F5C15">
              <w:rPr>
                <w:rFonts w:ascii="Verdana" w:hAnsi="Verdana"/>
                <w:sz w:val="16"/>
                <w:szCs w:val="16"/>
                <w:lang w:val="en-US"/>
              </w:rPr>
              <w:t>A potential viral contamination must be avoided from the pre-inactivation passes, viral elimination and post inactivation.</w:t>
            </w:r>
          </w:p>
        </w:tc>
      </w:tr>
      <w:tr w:rsidR="001C6A90" w:rsidRPr="00F70181" w14:paraId="78F9910C" w14:textId="77777777" w:rsidTr="00886332">
        <w:tc>
          <w:tcPr>
            <w:tcW w:w="4405" w:type="dxa"/>
          </w:tcPr>
          <w:p w14:paraId="1DB19DE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sz w:val="16"/>
                <w:szCs w:val="16"/>
                <w:lang w:val="es-MX"/>
              </w:rPr>
              <w:t xml:space="preserve">La aplicación de controles ambientales apropiados y el seguimiento, y cuando sea posible, la limpieza </w:t>
            </w:r>
            <w:r w:rsidRPr="008F5C15">
              <w:rPr>
                <w:rFonts w:ascii="Verdana" w:hAnsi="Verdana"/>
                <w:i/>
                <w:sz w:val="16"/>
                <w:szCs w:val="16"/>
                <w:lang w:val="es-MX"/>
              </w:rPr>
              <w:t>in-situ</w:t>
            </w:r>
            <w:r w:rsidRPr="008F5C15">
              <w:rPr>
                <w:rFonts w:ascii="Verdana" w:hAnsi="Verdana"/>
                <w:sz w:val="16"/>
                <w:szCs w:val="16"/>
                <w:lang w:val="es-MX"/>
              </w:rPr>
              <w:t xml:space="preserve"> y la esterilización de los sistemas, junto con el uso de sistemas cerrados pueden reducir significativamente el riesgo de contaminación accidental y la contaminación cruzada.</w:t>
            </w:r>
          </w:p>
        </w:tc>
        <w:tc>
          <w:tcPr>
            <w:tcW w:w="4427" w:type="dxa"/>
            <w:shd w:val="clear" w:color="auto" w:fill="auto"/>
          </w:tcPr>
          <w:p w14:paraId="42029ACD"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sz w:val="16"/>
                <w:szCs w:val="16"/>
                <w:lang w:val="en-US"/>
              </w:rPr>
              <w:t xml:space="preserve">The application of appropriate environmental controls and the follow up and the sterilization of the systems, together with the use of closed systems can reduce significantly the risk of accidental contamination and the cross contamination. </w:t>
            </w:r>
          </w:p>
        </w:tc>
      </w:tr>
      <w:tr w:rsidR="001C6A90" w:rsidRPr="00F70181" w14:paraId="210893A3" w14:textId="77777777" w:rsidTr="00886332">
        <w:tc>
          <w:tcPr>
            <w:tcW w:w="4405" w:type="dxa"/>
          </w:tcPr>
          <w:p w14:paraId="193E6CC0"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10.5.5.3.7</w:t>
            </w:r>
            <w:r w:rsidRPr="008F5C15">
              <w:rPr>
                <w:rFonts w:ascii="Verdana" w:hAnsi="Verdana"/>
                <w:sz w:val="16"/>
                <w:szCs w:val="16"/>
                <w:lang w:val="es-MX"/>
              </w:rPr>
              <w:t xml:space="preserve"> Se debe establecer el método utilizado para la separación de la biomasa de la fase líquida, que incluya los parámetros de control para la obtención de cosechas, así como los rendimientos obtenidos.</w:t>
            </w:r>
          </w:p>
        </w:tc>
        <w:tc>
          <w:tcPr>
            <w:tcW w:w="4427" w:type="dxa"/>
          </w:tcPr>
          <w:p w14:paraId="0ADED11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10.5.5.3.7 </w:t>
            </w:r>
            <w:r w:rsidRPr="008F5C15">
              <w:rPr>
                <w:rFonts w:ascii="Verdana" w:hAnsi="Verdana"/>
                <w:sz w:val="16"/>
                <w:szCs w:val="16"/>
                <w:lang w:val="en-US"/>
              </w:rPr>
              <w:t xml:space="preserve">The method used for the separation the biomass from the liquid phase must be established, which includes control parameters for obtaining crops, as well as the yields obtained. </w:t>
            </w:r>
          </w:p>
        </w:tc>
      </w:tr>
      <w:tr w:rsidR="001C6A90" w:rsidRPr="00F70181" w14:paraId="71098E50" w14:textId="77777777" w:rsidTr="00886332">
        <w:tc>
          <w:tcPr>
            <w:tcW w:w="4405" w:type="dxa"/>
          </w:tcPr>
          <w:p w14:paraId="611488BD"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10.5.5.3.8</w:t>
            </w:r>
            <w:r w:rsidRPr="008F5C15">
              <w:rPr>
                <w:rFonts w:ascii="Verdana" w:hAnsi="Verdana"/>
                <w:sz w:val="16"/>
                <w:szCs w:val="16"/>
                <w:lang w:val="es-MX"/>
              </w:rPr>
              <w:t xml:space="preserve"> Se debe validar el proceso de purificación, mediante el cual se demuestre que los contaminantes residuales se reducen sistemáticamente a un nivel establecido que no represente un riesgo de toxicidad o afecte la seguridad del producto.</w:t>
            </w:r>
          </w:p>
        </w:tc>
        <w:tc>
          <w:tcPr>
            <w:tcW w:w="4427" w:type="dxa"/>
          </w:tcPr>
          <w:p w14:paraId="6BCEA129" w14:textId="77777777" w:rsidR="001C6A90" w:rsidRPr="008F5C15" w:rsidRDefault="001C6A90" w:rsidP="001C6A90">
            <w:pPr>
              <w:pStyle w:val="Texto"/>
              <w:spacing w:line="276" w:lineRule="auto"/>
              <w:ind w:firstLine="0"/>
              <w:rPr>
                <w:lang w:val="en-US"/>
              </w:rPr>
            </w:pPr>
            <w:r w:rsidRPr="008F5C15">
              <w:rPr>
                <w:rFonts w:ascii="Verdana" w:hAnsi="Verdana"/>
                <w:b/>
                <w:sz w:val="16"/>
                <w:szCs w:val="16"/>
                <w:lang w:val="en-US"/>
              </w:rPr>
              <w:t xml:space="preserve">10.5.5.3.8 </w:t>
            </w:r>
            <w:r w:rsidRPr="008F5C15">
              <w:rPr>
                <w:rFonts w:ascii="Verdana" w:hAnsi="Verdana"/>
                <w:sz w:val="16"/>
                <w:szCs w:val="16"/>
                <w:lang w:val="en-US"/>
              </w:rPr>
              <w:t>The purification process must be validated through which it is demonstrated that residual contaminants are systematically reduced to an established level that does not pose a risk of toxicity or affects the safety of the product.</w:t>
            </w:r>
          </w:p>
        </w:tc>
      </w:tr>
      <w:tr w:rsidR="001C6A90" w:rsidRPr="00F70181" w14:paraId="60328251" w14:textId="77777777" w:rsidTr="00886332">
        <w:tc>
          <w:tcPr>
            <w:tcW w:w="4405" w:type="dxa"/>
          </w:tcPr>
          <w:p w14:paraId="16A58CF9"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10.5.5.3.9</w:t>
            </w:r>
            <w:r w:rsidRPr="008F5C15">
              <w:rPr>
                <w:rFonts w:ascii="Verdana" w:hAnsi="Verdana"/>
                <w:sz w:val="16"/>
                <w:szCs w:val="16"/>
                <w:lang w:val="es-MX"/>
              </w:rPr>
              <w:t xml:space="preserve"> La reutilización de la misma columna en diferentes etapas de procesamiento de un producto no es recomendable y la reutilización de la misma columna para diferentes productos no es aceptable. Los criterios de aceptación, las condiciones de funcionamiento, métodos de regeneración, duración de la vida y la sanitización o los métodos para la esterilización de columnas deben estar definidos y validados.</w:t>
            </w:r>
          </w:p>
        </w:tc>
        <w:tc>
          <w:tcPr>
            <w:tcW w:w="4427" w:type="dxa"/>
          </w:tcPr>
          <w:p w14:paraId="681DF450"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10.5.5.3.9 </w:t>
            </w:r>
            <w:r w:rsidRPr="008F5C15">
              <w:rPr>
                <w:rFonts w:ascii="Verdana" w:hAnsi="Verdana"/>
                <w:sz w:val="16"/>
                <w:szCs w:val="16"/>
                <w:lang w:val="en-US"/>
              </w:rPr>
              <w:t xml:space="preserve">The reuse of the same column in different stages of processing of a product is not recommendable and the reutilization of the same column for different products is not acceptable. The acceptance criteria, the operating conditions, regeneration methods, duration of the life and the sanitization or the methods for the sterilization of columns must be defined and validated. </w:t>
            </w:r>
          </w:p>
        </w:tc>
      </w:tr>
      <w:tr w:rsidR="001C6A90" w:rsidRPr="00F70181" w14:paraId="0E161E30" w14:textId="77777777" w:rsidTr="00886332">
        <w:tc>
          <w:tcPr>
            <w:tcW w:w="4405" w:type="dxa"/>
          </w:tcPr>
          <w:p w14:paraId="0CBE54CA"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10.5.5.3.10</w:t>
            </w:r>
            <w:r w:rsidRPr="008F5C15">
              <w:rPr>
                <w:rFonts w:ascii="Verdana" w:hAnsi="Verdana"/>
                <w:sz w:val="16"/>
                <w:szCs w:val="16"/>
                <w:lang w:val="es-MX"/>
              </w:rPr>
              <w:t xml:space="preserve"> Se debe llevar un registro del uso de las columnas de cromatografía y determinarse su vida útil con base en los criterios establecidos.</w:t>
            </w:r>
          </w:p>
        </w:tc>
        <w:tc>
          <w:tcPr>
            <w:tcW w:w="4427" w:type="dxa"/>
          </w:tcPr>
          <w:p w14:paraId="7CC78A6B"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10.5.5.3.10 </w:t>
            </w:r>
            <w:r w:rsidRPr="008F5C15">
              <w:rPr>
                <w:rFonts w:ascii="Verdana" w:hAnsi="Verdana"/>
                <w:sz w:val="16"/>
                <w:szCs w:val="16"/>
                <w:lang w:val="en-US"/>
              </w:rPr>
              <w:t>A record of the chromatography columns must be kept and its useful life must be determined based on the established criteria.</w:t>
            </w:r>
          </w:p>
        </w:tc>
      </w:tr>
      <w:tr w:rsidR="001C6A90" w:rsidRPr="00F70181" w14:paraId="09EC71FE" w14:textId="77777777" w:rsidTr="00886332">
        <w:tc>
          <w:tcPr>
            <w:tcW w:w="4405" w:type="dxa"/>
          </w:tcPr>
          <w:p w14:paraId="0190DFE6"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10.5.5.3.11</w:t>
            </w:r>
            <w:r w:rsidRPr="008F5C15">
              <w:rPr>
                <w:rFonts w:ascii="Verdana" w:hAnsi="Verdana"/>
                <w:sz w:val="16"/>
                <w:szCs w:val="16"/>
                <w:lang w:val="es-MX"/>
              </w:rPr>
              <w:t xml:space="preserve"> Las aguas residuales que puedan contener microorganismos patógenos deben ser descontaminadas previamente a su tratamiento y disposición final.</w:t>
            </w:r>
          </w:p>
        </w:tc>
        <w:tc>
          <w:tcPr>
            <w:tcW w:w="4427" w:type="dxa"/>
          </w:tcPr>
          <w:p w14:paraId="2DEA2078"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10.5.5.3.11 </w:t>
            </w:r>
            <w:r w:rsidRPr="008F5C15">
              <w:rPr>
                <w:rFonts w:ascii="Verdana" w:hAnsi="Verdana"/>
                <w:sz w:val="16"/>
                <w:szCs w:val="16"/>
                <w:lang w:val="en-US"/>
              </w:rPr>
              <w:t>the wastewaters that can contain pathogen microorganisms must be decontaminated prior to their treatment and final disposal.</w:t>
            </w:r>
          </w:p>
        </w:tc>
      </w:tr>
      <w:tr w:rsidR="001C6A90" w:rsidRPr="00262EF8" w14:paraId="498953B2" w14:textId="77777777" w:rsidTr="00886332">
        <w:tc>
          <w:tcPr>
            <w:tcW w:w="4405" w:type="dxa"/>
          </w:tcPr>
          <w:p w14:paraId="4EDDC672"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 Hemoderivados</w:t>
            </w:r>
          </w:p>
        </w:tc>
        <w:tc>
          <w:tcPr>
            <w:tcW w:w="4427" w:type="dxa"/>
          </w:tcPr>
          <w:p w14:paraId="2D12E935" w14:textId="77777777" w:rsidR="001C6A90" w:rsidRPr="008F5C15" w:rsidRDefault="001C6A90" w:rsidP="001C6A90">
            <w:pPr>
              <w:pStyle w:val="Texto"/>
              <w:spacing w:after="80" w:line="276" w:lineRule="auto"/>
              <w:ind w:firstLine="0"/>
              <w:rPr>
                <w:rFonts w:ascii="Verdana" w:hAnsi="Verdana"/>
                <w:b/>
                <w:sz w:val="16"/>
                <w:szCs w:val="16"/>
                <w:lang w:val="en-US"/>
              </w:rPr>
            </w:pPr>
            <w:r w:rsidRPr="008F5C15">
              <w:rPr>
                <w:rFonts w:ascii="Verdana" w:hAnsi="Verdana"/>
                <w:b/>
                <w:sz w:val="16"/>
                <w:szCs w:val="16"/>
                <w:lang w:val="en-US"/>
              </w:rPr>
              <w:t>10.5.6. Hemoderivatives.</w:t>
            </w:r>
          </w:p>
        </w:tc>
      </w:tr>
      <w:tr w:rsidR="001C6A90" w:rsidRPr="00262EF8" w14:paraId="473C6F38" w14:textId="77777777" w:rsidTr="00886332">
        <w:tc>
          <w:tcPr>
            <w:tcW w:w="4405" w:type="dxa"/>
          </w:tcPr>
          <w:p w14:paraId="345CAB68"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10.5.6.1 </w:t>
            </w:r>
            <w:r w:rsidRPr="008F5C15">
              <w:rPr>
                <w:rFonts w:ascii="Verdana" w:hAnsi="Verdana"/>
                <w:sz w:val="16"/>
                <w:szCs w:val="16"/>
                <w:lang w:val="es-MX"/>
              </w:rPr>
              <w:t>Generalidades</w:t>
            </w:r>
          </w:p>
        </w:tc>
        <w:tc>
          <w:tcPr>
            <w:tcW w:w="4427" w:type="dxa"/>
          </w:tcPr>
          <w:p w14:paraId="62288328"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 </w:t>
            </w:r>
            <w:r w:rsidRPr="008F5C15">
              <w:rPr>
                <w:rFonts w:ascii="Verdana" w:hAnsi="Verdana"/>
                <w:sz w:val="16"/>
                <w:szCs w:val="16"/>
                <w:lang w:val="en-US"/>
              </w:rPr>
              <w:t>General provisions.</w:t>
            </w:r>
          </w:p>
        </w:tc>
      </w:tr>
      <w:tr w:rsidR="001C6A90" w:rsidRPr="0026186D" w14:paraId="2A120020" w14:textId="77777777" w:rsidTr="00886332">
        <w:tc>
          <w:tcPr>
            <w:tcW w:w="4405" w:type="dxa"/>
          </w:tcPr>
          <w:p w14:paraId="7483A170"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10.5.6.2 </w:t>
            </w:r>
            <w:r w:rsidRPr="008F5C15">
              <w:rPr>
                <w:rFonts w:ascii="Verdana" w:hAnsi="Verdana"/>
                <w:sz w:val="16"/>
                <w:szCs w:val="16"/>
                <w:lang w:val="es-MX"/>
              </w:rPr>
              <w:t>Se consideran hemoderivados a los productos obtenidos de algunos componentes sanguíneos, especialmente el plasma mediante procesos fisicoquímicos o biológicos, para aplicación terapéutica, diagnóstica, preventiva o en la investigación. Entre los cuales se incluyen:</w:t>
            </w:r>
          </w:p>
        </w:tc>
        <w:tc>
          <w:tcPr>
            <w:tcW w:w="4427" w:type="dxa"/>
          </w:tcPr>
          <w:p w14:paraId="78D54DAE"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 </w:t>
            </w:r>
            <w:r w:rsidRPr="008F5C15">
              <w:rPr>
                <w:rFonts w:ascii="Verdana" w:hAnsi="Verdana"/>
                <w:sz w:val="16"/>
                <w:szCs w:val="16"/>
                <w:lang w:val="en-US"/>
              </w:rPr>
              <w:t xml:space="preserve">Hemoderivatives are considered as the products obtained from some blood components, especially the plasma through physical chemical or biological processes, for therapeutic, diagnostic, preventive application or in the research. Among which are included: </w:t>
            </w:r>
          </w:p>
        </w:tc>
      </w:tr>
      <w:tr w:rsidR="001C6A90" w:rsidRPr="0026186D" w14:paraId="46FB524F" w14:textId="77777777" w:rsidTr="00886332">
        <w:tc>
          <w:tcPr>
            <w:tcW w:w="4405" w:type="dxa"/>
          </w:tcPr>
          <w:p w14:paraId="0F9BA578"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10.5.6.2.1 </w:t>
            </w:r>
            <w:r w:rsidRPr="008F5C15">
              <w:rPr>
                <w:rFonts w:ascii="Verdana" w:hAnsi="Verdana"/>
                <w:sz w:val="16"/>
                <w:szCs w:val="16"/>
                <w:lang w:val="es-MX"/>
              </w:rPr>
              <w:t>Los Factores de la coagulación.</w:t>
            </w:r>
          </w:p>
        </w:tc>
        <w:tc>
          <w:tcPr>
            <w:tcW w:w="4427" w:type="dxa"/>
          </w:tcPr>
          <w:p w14:paraId="612797E7"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10.5.6.2.1 </w:t>
            </w:r>
            <w:r w:rsidRPr="008F5C15">
              <w:rPr>
                <w:rFonts w:ascii="Verdana" w:hAnsi="Verdana"/>
                <w:sz w:val="16"/>
                <w:szCs w:val="16"/>
                <w:lang w:val="en-US"/>
              </w:rPr>
              <w:t xml:space="preserve">The coagulation factors. </w:t>
            </w:r>
          </w:p>
        </w:tc>
      </w:tr>
      <w:tr w:rsidR="001C6A90" w:rsidRPr="00262EF8" w14:paraId="4BD9882C" w14:textId="77777777" w:rsidTr="00886332">
        <w:tc>
          <w:tcPr>
            <w:tcW w:w="4405" w:type="dxa"/>
          </w:tcPr>
          <w:p w14:paraId="32916EED"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10.5.6.2.2 </w:t>
            </w:r>
            <w:r w:rsidRPr="008F5C15">
              <w:rPr>
                <w:rFonts w:ascii="Verdana" w:hAnsi="Verdana"/>
                <w:sz w:val="16"/>
                <w:szCs w:val="16"/>
                <w:lang w:val="es-MX"/>
              </w:rPr>
              <w:t>Las Inmunoglobulinas.</w:t>
            </w:r>
          </w:p>
        </w:tc>
        <w:tc>
          <w:tcPr>
            <w:tcW w:w="4427" w:type="dxa"/>
          </w:tcPr>
          <w:p w14:paraId="105945DA"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10.5.6.2.2 </w:t>
            </w:r>
            <w:r w:rsidRPr="008F5C15">
              <w:rPr>
                <w:rFonts w:ascii="Verdana" w:hAnsi="Verdana"/>
                <w:sz w:val="16"/>
                <w:szCs w:val="16"/>
                <w:lang w:val="en-US"/>
              </w:rPr>
              <w:t xml:space="preserve">The immunoglobulins. </w:t>
            </w:r>
          </w:p>
        </w:tc>
      </w:tr>
      <w:tr w:rsidR="001C6A90" w:rsidRPr="00F70181" w14:paraId="01E93C45" w14:textId="77777777" w:rsidTr="00886332">
        <w:tc>
          <w:tcPr>
            <w:tcW w:w="4405" w:type="dxa"/>
          </w:tcPr>
          <w:p w14:paraId="7349E0DD"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10.5.6.2.3</w:t>
            </w:r>
            <w:r w:rsidRPr="008F5C15">
              <w:rPr>
                <w:rFonts w:ascii="Verdana" w:hAnsi="Verdana"/>
                <w:sz w:val="16"/>
                <w:szCs w:val="16"/>
                <w:lang w:val="es-MX"/>
              </w:rPr>
              <w:t xml:space="preserve"> La Albúmina y soluciones de proteínas plasmáticas.</w:t>
            </w:r>
          </w:p>
        </w:tc>
        <w:tc>
          <w:tcPr>
            <w:tcW w:w="4427" w:type="dxa"/>
          </w:tcPr>
          <w:p w14:paraId="7444792A"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10.5.6.2.3 </w:t>
            </w:r>
            <w:r w:rsidRPr="008F5C15">
              <w:rPr>
                <w:rFonts w:ascii="Verdana" w:hAnsi="Verdana"/>
                <w:sz w:val="16"/>
                <w:szCs w:val="16"/>
                <w:lang w:val="en-US"/>
              </w:rPr>
              <w:t xml:space="preserve">The albumin and plasma protein solutions. </w:t>
            </w:r>
          </w:p>
        </w:tc>
      </w:tr>
      <w:tr w:rsidR="001C6A90" w:rsidRPr="00F70181" w14:paraId="78EEA384" w14:textId="77777777" w:rsidTr="00886332">
        <w:tc>
          <w:tcPr>
            <w:tcW w:w="4405" w:type="dxa"/>
          </w:tcPr>
          <w:p w14:paraId="6BB9C7DB"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10.5.6.2.4 </w:t>
            </w:r>
            <w:r w:rsidRPr="008F5C15">
              <w:rPr>
                <w:rFonts w:ascii="Verdana" w:hAnsi="Verdana"/>
                <w:sz w:val="16"/>
                <w:szCs w:val="16"/>
                <w:lang w:val="es-MX"/>
              </w:rPr>
              <w:t>Otras fracciones del plasma aisladas o combinaciones de ellas.</w:t>
            </w:r>
          </w:p>
        </w:tc>
        <w:tc>
          <w:tcPr>
            <w:tcW w:w="4427" w:type="dxa"/>
          </w:tcPr>
          <w:p w14:paraId="5134FD84"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10.5.6.2.4 </w:t>
            </w:r>
            <w:r w:rsidRPr="008F5C15">
              <w:rPr>
                <w:rFonts w:ascii="Verdana" w:hAnsi="Verdana"/>
                <w:sz w:val="16"/>
                <w:szCs w:val="16"/>
                <w:lang w:val="en-US"/>
              </w:rPr>
              <w:t xml:space="preserve">Other isolated parts of the plasma or combination of them. </w:t>
            </w:r>
          </w:p>
        </w:tc>
      </w:tr>
      <w:tr w:rsidR="001C6A90" w:rsidRPr="00F70181" w14:paraId="38F4EC8E" w14:textId="77777777" w:rsidTr="00886332">
        <w:tc>
          <w:tcPr>
            <w:tcW w:w="4405" w:type="dxa"/>
          </w:tcPr>
          <w:p w14:paraId="7603F4BD"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10.5.6.2.5 </w:t>
            </w:r>
            <w:r w:rsidRPr="008F5C15">
              <w:rPr>
                <w:rFonts w:ascii="Verdana" w:hAnsi="Verdana"/>
                <w:sz w:val="16"/>
                <w:szCs w:val="16"/>
                <w:lang w:val="es-MX"/>
              </w:rPr>
              <w:t>Extracto dializable de leucocitos humanos (Factor de transferencia).</w:t>
            </w:r>
          </w:p>
        </w:tc>
        <w:tc>
          <w:tcPr>
            <w:tcW w:w="4427" w:type="dxa"/>
          </w:tcPr>
          <w:p w14:paraId="10D0E52F"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10.5.6.2.5 </w:t>
            </w:r>
            <w:r w:rsidRPr="008F5C15">
              <w:rPr>
                <w:rFonts w:ascii="Verdana" w:hAnsi="Verdana"/>
                <w:sz w:val="16"/>
                <w:szCs w:val="16"/>
                <w:lang w:val="en-US"/>
              </w:rPr>
              <w:t>Dialyzable Extract of human Leukocytes (Transference Factor).</w:t>
            </w:r>
          </w:p>
        </w:tc>
      </w:tr>
      <w:tr w:rsidR="001C6A90" w:rsidRPr="00F70181" w14:paraId="5766893E" w14:textId="77777777" w:rsidTr="00886332">
        <w:tc>
          <w:tcPr>
            <w:tcW w:w="4405" w:type="dxa"/>
          </w:tcPr>
          <w:p w14:paraId="2723CB12" w14:textId="77777777" w:rsidR="001C6A90" w:rsidRPr="008F5C15" w:rsidRDefault="001C6A90" w:rsidP="001C6A90">
            <w:pPr>
              <w:pStyle w:val="Texto"/>
              <w:spacing w:after="80" w:line="276" w:lineRule="auto"/>
              <w:ind w:firstLine="0"/>
              <w:rPr>
                <w:rFonts w:ascii="Verdana" w:hAnsi="Verdana"/>
                <w:b/>
                <w:sz w:val="16"/>
                <w:szCs w:val="16"/>
                <w:lang w:val="es-MX"/>
              </w:rPr>
            </w:pPr>
            <w:r w:rsidRPr="008F5C15">
              <w:rPr>
                <w:rFonts w:ascii="Verdana" w:hAnsi="Verdana"/>
                <w:b/>
                <w:sz w:val="16"/>
                <w:szCs w:val="16"/>
                <w:lang w:val="es-MX"/>
              </w:rPr>
              <w:t xml:space="preserve">10.5.6.3 </w:t>
            </w:r>
            <w:r w:rsidRPr="008F5C15">
              <w:rPr>
                <w:rFonts w:ascii="Verdana" w:hAnsi="Verdana"/>
                <w:sz w:val="16"/>
                <w:szCs w:val="16"/>
                <w:lang w:val="es-MX"/>
              </w:rPr>
              <w:t>Los requisitos para la selección de donantes de sangre se encuentran establecidos en lo general en la NOM-253-SSA1-2012, así como en los requisitos del plasma humano para fraccionamiento en la FEUM.</w:t>
            </w:r>
          </w:p>
        </w:tc>
        <w:tc>
          <w:tcPr>
            <w:tcW w:w="4427" w:type="dxa"/>
          </w:tcPr>
          <w:p w14:paraId="23322FF5" w14:textId="77777777" w:rsidR="001C6A90" w:rsidRPr="008F5C15" w:rsidRDefault="001C6A90" w:rsidP="001C6A90">
            <w:pPr>
              <w:pStyle w:val="Texto"/>
              <w:spacing w:after="80" w:line="276" w:lineRule="auto"/>
              <w:ind w:firstLine="0"/>
              <w:rPr>
                <w:rFonts w:ascii="Verdana" w:hAnsi="Verdana"/>
                <w:b/>
                <w:sz w:val="16"/>
                <w:szCs w:val="16"/>
                <w:lang w:val="en-US"/>
              </w:rPr>
            </w:pPr>
            <w:r w:rsidRPr="008F5C15">
              <w:rPr>
                <w:rFonts w:ascii="Verdana" w:hAnsi="Verdana"/>
                <w:b/>
                <w:sz w:val="16"/>
                <w:szCs w:val="16"/>
                <w:lang w:val="en-US"/>
              </w:rPr>
              <w:t xml:space="preserve">10.5.6.3 </w:t>
            </w:r>
            <w:r w:rsidRPr="008F5C15">
              <w:rPr>
                <w:rFonts w:ascii="Verdana" w:hAnsi="Verdana"/>
                <w:sz w:val="16"/>
                <w:szCs w:val="16"/>
                <w:lang w:val="en-US"/>
              </w:rPr>
              <w:t>The requirements for the selection of blood donors are found established generally in NOM-253-SSA1-2012, as well as in the requirements of the human plasma for fractioning in the FEUM.</w:t>
            </w:r>
          </w:p>
        </w:tc>
      </w:tr>
      <w:tr w:rsidR="001C6A90" w:rsidRPr="00F70181" w14:paraId="5363F6D6" w14:textId="77777777" w:rsidTr="00886332">
        <w:tc>
          <w:tcPr>
            <w:tcW w:w="4405" w:type="dxa"/>
          </w:tcPr>
          <w:p w14:paraId="13ABF50E"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10.5.6.4 </w:t>
            </w:r>
            <w:r w:rsidRPr="008F5C15">
              <w:rPr>
                <w:rFonts w:ascii="Verdana" w:hAnsi="Verdana"/>
                <w:sz w:val="16"/>
                <w:szCs w:val="16"/>
                <w:lang w:val="es-MX"/>
              </w:rPr>
              <w:t>Para el uso de plasma o productos intermediarios importados, se deberá cumplir con los criterios establecidos en la presente Norma.</w:t>
            </w:r>
          </w:p>
        </w:tc>
        <w:tc>
          <w:tcPr>
            <w:tcW w:w="4427" w:type="dxa"/>
          </w:tcPr>
          <w:p w14:paraId="46E4D248"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10.5.6.4 </w:t>
            </w:r>
            <w:r w:rsidRPr="008F5C15">
              <w:rPr>
                <w:rFonts w:ascii="Verdana" w:hAnsi="Verdana"/>
                <w:sz w:val="16"/>
                <w:szCs w:val="16"/>
                <w:lang w:val="en-US"/>
              </w:rPr>
              <w:t xml:space="preserve">For the use of imported plasma or intermediate products, the criteria established in this Standard must be complied. </w:t>
            </w:r>
          </w:p>
        </w:tc>
      </w:tr>
      <w:tr w:rsidR="001C6A90" w:rsidRPr="00262EF8" w14:paraId="2B6A1182" w14:textId="77777777" w:rsidTr="00886332">
        <w:tc>
          <w:tcPr>
            <w:tcW w:w="4405" w:type="dxa"/>
          </w:tcPr>
          <w:p w14:paraId="3D01520C" w14:textId="77777777" w:rsidR="001C6A90" w:rsidRPr="008F5C15" w:rsidRDefault="001C6A90" w:rsidP="001C6A90">
            <w:pPr>
              <w:pStyle w:val="Texto"/>
              <w:spacing w:after="80" w:line="276" w:lineRule="auto"/>
              <w:ind w:firstLine="0"/>
              <w:rPr>
                <w:rFonts w:ascii="Verdana" w:hAnsi="Verdana"/>
                <w:b/>
                <w:sz w:val="16"/>
                <w:szCs w:val="16"/>
                <w:lang w:val="es-MX"/>
              </w:rPr>
            </w:pPr>
            <w:r w:rsidRPr="008F5C15">
              <w:rPr>
                <w:rFonts w:ascii="Verdana" w:hAnsi="Verdana"/>
                <w:b/>
                <w:sz w:val="16"/>
                <w:szCs w:val="16"/>
                <w:lang w:val="es-MX"/>
              </w:rPr>
              <w:t xml:space="preserve">10.5.6.5 </w:t>
            </w:r>
            <w:r w:rsidRPr="008F5C15">
              <w:rPr>
                <w:rFonts w:ascii="Verdana" w:hAnsi="Verdana"/>
                <w:sz w:val="16"/>
                <w:szCs w:val="16"/>
                <w:lang w:val="es-MX"/>
              </w:rPr>
              <w:t>Material de partida</w:t>
            </w:r>
          </w:p>
        </w:tc>
        <w:tc>
          <w:tcPr>
            <w:tcW w:w="4427" w:type="dxa"/>
          </w:tcPr>
          <w:p w14:paraId="76B57C2F" w14:textId="77777777" w:rsidR="001C6A90" w:rsidRPr="008F5C15" w:rsidRDefault="001C6A90" w:rsidP="001C6A90">
            <w:pPr>
              <w:pStyle w:val="Texto"/>
              <w:spacing w:after="80" w:line="276" w:lineRule="auto"/>
              <w:ind w:firstLine="0"/>
              <w:rPr>
                <w:rFonts w:ascii="Verdana" w:hAnsi="Verdana"/>
                <w:b/>
                <w:sz w:val="16"/>
                <w:szCs w:val="16"/>
                <w:lang w:val="en-US"/>
              </w:rPr>
            </w:pPr>
            <w:r w:rsidRPr="008F5C15">
              <w:rPr>
                <w:rFonts w:ascii="Verdana" w:hAnsi="Verdana"/>
                <w:b/>
                <w:sz w:val="16"/>
                <w:szCs w:val="16"/>
                <w:lang w:val="en-US"/>
              </w:rPr>
              <w:t xml:space="preserve">10.5.6.5 </w:t>
            </w:r>
            <w:r w:rsidRPr="008F5C15">
              <w:rPr>
                <w:rFonts w:ascii="Verdana" w:hAnsi="Verdana"/>
                <w:sz w:val="16"/>
                <w:szCs w:val="16"/>
                <w:lang w:val="en-US"/>
              </w:rPr>
              <w:t>Source material</w:t>
            </w:r>
          </w:p>
        </w:tc>
      </w:tr>
      <w:tr w:rsidR="001C6A90" w:rsidRPr="00F70181" w14:paraId="738CDC27" w14:textId="77777777" w:rsidTr="00886332">
        <w:tc>
          <w:tcPr>
            <w:tcW w:w="4405" w:type="dxa"/>
          </w:tcPr>
          <w:p w14:paraId="1F2E7A93" w14:textId="77777777" w:rsidR="001C6A90" w:rsidRPr="008F5C15" w:rsidRDefault="001C6A90" w:rsidP="001C6A90">
            <w:pPr>
              <w:pStyle w:val="Texto"/>
              <w:spacing w:after="80" w:line="276" w:lineRule="auto"/>
              <w:ind w:firstLine="0"/>
              <w:rPr>
                <w:rFonts w:ascii="Verdana" w:hAnsi="Verdana"/>
                <w:b/>
                <w:sz w:val="16"/>
                <w:szCs w:val="16"/>
                <w:lang w:val="es-MX"/>
              </w:rPr>
            </w:pPr>
            <w:r w:rsidRPr="008F5C15">
              <w:rPr>
                <w:rFonts w:ascii="Verdana" w:hAnsi="Verdana"/>
                <w:b/>
                <w:sz w:val="16"/>
                <w:szCs w:val="16"/>
                <w:lang w:val="es-MX"/>
              </w:rPr>
              <w:t xml:space="preserve">10.5.6.6 </w:t>
            </w:r>
            <w:r w:rsidRPr="008F5C15">
              <w:rPr>
                <w:rFonts w:ascii="Verdana" w:hAnsi="Verdana"/>
                <w:sz w:val="16"/>
                <w:szCs w:val="16"/>
                <w:lang w:val="es-MX"/>
              </w:rPr>
              <w:t>El plasma utilizado para la fabricación de hemoderivados deberá proceder de sangre fraccionada de donación individual de sangre completa o de plasmaféresis no terapéutica de donantes, saludables y hayan cumplido con requisitos de Selección de Donantes y con los tiempos de cuarentena establecidos según el tipo de donación descritos en la NOM-253-SSA1-2012 y la FEUM.</w:t>
            </w:r>
          </w:p>
        </w:tc>
        <w:tc>
          <w:tcPr>
            <w:tcW w:w="4427" w:type="dxa"/>
          </w:tcPr>
          <w:p w14:paraId="552124C7" w14:textId="77777777" w:rsidR="001C6A90" w:rsidRPr="008F5C15" w:rsidRDefault="001C6A90" w:rsidP="001C6A90">
            <w:pPr>
              <w:pStyle w:val="Texto"/>
              <w:spacing w:line="276" w:lineRule="auto"/>
              <w:ind w:firstLine="0"/>
              <w:rPr>
                <w:rFonts w:ascii="Verdana" w:hAnsi="Verdana"/>
                <w:b/>
                <w:sz w:val="16"/>
                <w:szCs w:val="16"/>
                <w:lang w:val="en-US"/>
              </w:rPr>
            </w:pPr>
            <w:r w:rsidRPr="008F5C15">
              <w:rPr>
                <w:rFonts w:ascii="Verdana" w:hAnsi="Verdana"/>
                <w:b/>
                <w:sz w:val="16"/>
                <w:szCs w:val="16"/>
                <w:lang w:val="en-US"/>
              </w:rPr>
              <w:t xml:space="preserve">10.5.6.6 </w:t>
            </w:r>
            <w:r w:rsidRPr="008F5C15">
              <w:rPr>
                <w:rFonts w:ascii="Verdana" w:hAnsi="Verdana"/>
                <w:sz w:val="16"/>
                <w:szCs w:val="16"/>
                <w:lang w:val="en-US"/>
              </w:rPr>
              <w:t xml:space="preserve">The plasma used in the manufacture of blood products must come from blood separated from an individual donation of whole blood or from nontherapeutic plasmapheresis from donors, healthy and that have complied with the requirements for the Selection of Donors and with the times of quarantine established according to the type of donation described in the NOM-253-SSA1-2012 and the FEUM (Pharmacopeia of the United Mexican States). </w:t>
            </w:r>
          </w:p>
        </w:tc>
      </w:tr>
      <w:tr w:rsidR="001C6A90" w:rsidRPr="00F70181" w14:paraId="538AB82C" w14:textId="77777777" w:rsidTr="00886332">
        <w:tc>
          <w:tcPr>
            <w:tcW w:w="4405" w:type="dxa"/>
          </w:tcPr>
          <w:p w14:paraId="7DE6B9A7" w14:textId="77777777" w:rsidR="001C6A90" w:rsidRPr="008F5C15" w:rsidRDefault="001C6A90" w:rsidP="001C6A90">
            <w:pPr>
              <w:pStyle w:val="Texto"/>
              <w:spacing w:after="80" w:line="276" w:lineRule="auto"/>
              <w:ind w:firstLine="0"/>
              <w:rPr>
                <w:rFonts w:ascii="Verdana" w:hAnsi="Verdana"/>
                <w:b/>
                <w:sz w:val="16"/>
                <w:szCs w:val="16"/>
                <w:lang w:val="es-MX"/>
              </w:rPr>
            </w:pPr>
            <w:r w:rsidRPr="008F5C15">
              <w:rPr>
                <w:rFonts w:ascii="Verdana" w:hAnsi="Verdana"/>
                <w:b/>
                <w:sz w:val="16"/>
                <w:szCs w:val="16"/>
                <w:lang w:val="es-MX"/>
              </w:rPr>
              <w:t>10.5.6.6.1</w:t>
            </w:r>
            <w:r w:rsidRPr="008F5C15">
              <w:rPr>
                <w:rFonts w:ascii="Verdana" w:hAnsi="Verdana"/>
                <w:sz w:val="16"/>
                <w:szCs w:val="16"/>
                <w:lang w:val="es-MX"/>
              </w:rPr>
              <w:t xml:space="preserve"> Los concentrados de leucocitos utilizados en la fabricación de factor de transferencia deberán proceder de sangre fraccionada de donación individual de sangre completa de donantes regulares o de repetición, saludables y seleccionados que hayan acumulado dos evaluaciones clínicas documentadas en un año y en un mismo centro y hayan cumplido con requisitos de Selección de Donantes descritos en la NOM-253-SSA1-2012 y la FEUM.</w:t>
            </w:r>
          </w:p>
        </w:tc>
        <w:tc>
          <w:tcPr>
            <w:tcW w:w="4427" w:type="dxa"/>
          </w:tcPr>
          <w:p w14:paraId="176D34AE"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10.5.6.6.1 </w:t>
            </w:r>
            <w:r w:rsidRPr="008F5C15">
              <w:rPr>
                <w:rFonts w:ascii="Verdana" w:hAnsi="Verdana"/>
                <w:sz w:val="16"/>
                <w:szCs w:val="16"/>
                <w:lang w:val="en-US"/>
              </w:rPr>
              <w:t>The concentrates of leukocytes used in the manufacture of transference factor must proceed from fractionated blood from individual donation of whole blood from regular donors or repeat donors, healthy and selected, that have accumulated two clinical evaluations documented in a year and in a single center and have complied with the requirements of Selection of Donors described in the NOM-253-SSA1-2012 and the FEUM (Pharmacopeia of the United Mexican States).</w:t>
            </w:r>
          </w:p>
        </w:tc>
      </w:tr>
      <w:tr w:rsidR="001C6A90" w:rsidRPr="00F70181" w14:paraId="0DF4758A" w14:textId="77777777" w:rsidTr="00886332">
        <w:tc>
          <w:tcPr>
            <w:tcW w:w="4405" w:type="dxa"/>
          </w:tcPr>
          <w:p w14:paraId="0BC85C56"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10.5.6.6.1.1</w:t>
            </w:r>
            <w:r w:rsidRPr="008F5C15">
              <w:rPr>
                <w:rFonts w:ascii="Verdana" w:hAnsi="Verdana"/>
                <w:sz w:val="16"/>
                <w:szCs w:val="16"/>
                <w:lang w:val="es-MX"/>
              </w:rPr>
              <w:t xml:space="preserve"> La liberación final del producto Factor de transferencia procederá después de que las unidades hayan cumplido el tamizaje serológico y se hayan completado todas las pruebas de evaluación de virus relevantes mencionados en el punto 10.5.6.18 de esta Norma.</w:t>
            </w:r>
          </w:p>
        </w:tc>
        <w:tc>
          <w:tcPr>
            <w:tcW w:w="4427" w:type="dxa"/>
          </w:tcPr>
          <w:p w14:paraId="208AF562"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10.5.6.6.1.1 </w:t>
            </w:r>
            <w:r w:rsidRPr="008F5C15">
              <w:rPr>
                <w:rFonts w:ascii="Verdana" w:hAnsi="Verdana"/>
                <w:sz w:val="16"/>
                <w:szCs w:val="16"/>
                <w:lang w:val="en-US"/>
              </w:rPr>
              <w:t xml:space="preserve">The final release of the transference factor product after the units have completed the serological screening and all the relevant tests of evaluation of mentioned in the point 10.5.6.18 of this Standard are completed. </w:t>
            </w:r>
          </w:p>
        </w:tc>
      </w:tr>
      <w:tr w:rsidR="001C6A90" w:rsidRPr="00F70181" w14:paraId="7713CF62" w14:textId="77777777" w:rsidTr="00886332">
        <w:tc>
          <w:tcPr>
            <w:tcW w:w="4405" w:type="dxa"/>
          </w:tcPr>
          <w:p w14:paraId="764DE6CD"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10.5.6.6.2</w:t>
            </w:r>
            <w:r w:rsidRPr="008F5C15">
              <w:rPr>
                <w:rFonts w:ascii="Verdana" w:hAnsi="Verdana"/>
                <w:sz w:val="16"/>
                <w:szCs w:val="16"/>
                <w:lang w:val="es-MX"/>
              </w:rPr>
              <w:t xml:space="preserve"> El banco de Sangre presentará la documentación que avale el cumplimiento del punto anterior.</w:t>
            </w:r>
          </w:p>
        </w:tc>
        <w:tc>
          <w:tcPr>
            <w:tcW w:w="4427" w:type="dxa"/>
          </w:tcPr>
          <w:p w14:paraId="259C451A"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10.5.6.6.2 </w:t>
            </w:r>
            <w:r w:rsidRPr="008F5C15">
              <w:rPr>
                <w:rFonts w:ascii="Verdana" w:hAnsi="Verdana"/>
                <w:sz w:val="16"/>
                <w:szCs w:val="16"/>
                <w:lang w:val="en-US"/>
              </w:rPr>
              <w:t xml:space="preserve">The Blood bank will present the documentation that supports the compliance to the preceding point. </w:t>
            </w:r>
          </w:p>
        </w:tc>
      </w:tr>
      <w:tr w:rsidR="001C6A90" w:rsidRPr="00F70181" w14:paraId="14E65256" w14:textId="77777777" w:rsidTr="00886332">
        <w:tc>
          <w:tcPr>
            <w:tcW w:w="4405" w:type="dxa"/>
          </w:tcPr>
          <w:p w14:paraId="4E07D3BE"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10.5.6.7 </w:t>
            </w:r>
            <w:r w:rsidRPr="008F5C15">
              <w:rPr>
                <w:rFonts w:ascii="Verdana" w:hAnsi="Verdana"/>
                <w:sz w:val="16"/>
                <w:szCs w:val="16"/>
                <w:lang w:val="es-MX"/>
              </w:rPr>
              <w:t>El plasma utilizado para la fabricación de hemoderivados deberá ser colectado en establecimientos que cuenten con autorización de la Secretaría o de la autoridad competente para los establecimientos ubicados en el extranjero y auditados y aprobados por el fabricante del medicamento.</w:t>
            </w:r>
          </w:p>
        </w:tc>
        <w:tc>
          <w:tcPr>
            <w:tcW w:w="4427" w:type="dxa"/>
          </w:tcPr>
          <w:p w14:paraId="1D5304A8"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10.5.6.7 </w:t>
            </w:r>
            <w:r w:rsidRPr="008F5C15">
              <w:rPr>
                <w:rFonts w:ascii="Verdana" w:hAnsi="Verdana"/>
                <w:sz w:val="16"/>
                <w:szCs w:val="16"/>
                <w:lang w:val="en-US"/>
              </w:rPr>
              <w:t xml:space="preserve">The plasma used for the manufacture of hemoderivatives must be collected in establishments that have authorization from the Secretary or the appropriate authority for the establishments located outside of Mexico and audited and approved by the manufacturer of the drug product. </w:t>
            </w:r>
          </w:p>
        </w:tc>
      </w:tr>
      <w:tr w:rsidR="001C6A90" w:rsidRPr="00F70181" w14:paraId="10335C43" w14:textId="77777777" w:rsidTr="00886332">
        <w:tc>
          <w:tcPr>
            <w:tcW w:w="4405" w:type="dxa"/>
          </w:tcPr>
          <w:p w14:paraId="62F174A6"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10.5.6.8</w:t>
            </w:r>
            <w:r w:rsidRPr="008F5C15">
              <w:rPr>
                <w:rFonts w:ascii="Verdana" w:hAnsi="Verdana"/>
                <w:sz w:val="16"/>
                <w:szCs w:val="16"/>
                <w:lang w:val="es-MX"/>
              </w:rPr>
              <w:t xml:space="preserve"> Los establecimientos que se propongan para el aprovechamiento del plasma residual para obtener hemoderivados deberán ser evaluados por la Secretaría de conformidad con la Norma Oficial Mexicana NOM-253-SSA1-2012, Para la disposición de sangre humana y sus componentes con fines terapéuticos y, por lo que hace a la infraestructura para el manejo y almacenamiento del plasma, deberán cumplir con el marco jurídico aplicable.</w:t>
            </w:r>
          </w:p>
        </w:tc>
        <w:tc>
          <w:tcPr>
            <w:tcW w:w="4427" w:type="dxa"/>
          </w:tcPr>
          <w:p w14:paraId="6414E21D"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10.5.6.8 </w:t>
            </w:r>
            <w:r w:rsidRPr="008F5C15">
              <w:rPr>
                <w:rFonts w:ascii="Verdana" w:hAnsi="Verdana"/>
                <w:sz w:val="16"/>
                <w:szCs w:val="16"/>
                <w:lang w:val="en-US"/>
              </w:rPr>
              <w:t xml:space="preserve">The establishments proposed for the utilization of the residual plasma to obtain hemoderivatives must be evaluated by the Secretary according to the Official Mexican Standard NOM-253-SSA1-2012, For the disposition of human blood and its components for therapeutic purposes, and for that which makes reference to the infrastructure for the handling and storage of plasma, must comply with the applicable legal framework. </w:t>
            </w:r>
          </w:p>
        </w:tc>
      </w:tr>
      <w:tr w:rsidR="001C6A90" w:rsidRPr="00F70181" w14:paraId="692B2476" w14:textId="77777777" w:rsidTr="00886332">
        <w:tc>
          <w:tcPr>
            <w:tcW w:w="4405" w:type="dxa"/>
          </w:tcPr>
          <w:p w14:paraId="1D673522"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10.5.6.8.1</w:t>
            </w:r>
            <w:r w:rsidRPr="008F5C15">
              <w:rPr>
                <w:rFonts w:ascii="Verdana" w:hAnsi="Verdana"/>
                <w:sz w:val="16"/>
                <w:szCs w:val="16"/>
                <w:lang w:val="es-MX"/>
              </w:rPr>
              <w:t xml:space="preserve"> Para la obtención del permiso de salida de producto de seres humanos (plasma) se deberá presentar evidencia de cumplimiento del punto anterior y copia de la licencia sanitaria de los bancos de sangre de los cuales se obtuvo el plasma.</w:t>
            </w:r>
          </w:p>
        </w:tc>
        <w:tc>
          <w:tcPr>
            <w:tcW w:w="4427" w:type="dxa"/>
          </w:tcPr>
          <w:p w14:paraId="1B6E1512"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10.5.6.8.1 </w:t>
            </w:r>
            <w:r w:rsidRPr="008F5C15">
              <w:rPr>
                <w:rFonts w:ascii="Verdana" w:hAnsi="Verdana"/>
                <w:sz w:val="16"/>
                <w:szCs w:val="16"/>
                <w:lang w:val="en-US"/>
              </w:rPr>
              <w:t xml:space="preserve">For obtaining the permit for output of product of human beings (plasma), evidence must be presented of compliance to the preceding point and a copy of the sanitary license of the blood banks from which the plasma was obtained. </w:t>
            </w:r>
          </w:p>
        </w:tc>
      </w:tr>
      <w:tr w:rsidR="001C6A90" w:rsidRPr="00F70181" w14:paraId="09F29E5E" w14:textId="77777777" w:rsidTr="00886332">
        <w:tc>
          <w:tcPr>
            <w:tcW w:w="4405" w:type="dxa"/>
          </w:tcPr>
          <w:p w14:paraId="3722A34D"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10.5.6.8.2</w:t>
            </w:r>
            <w:r w:rsidRPr="008F5C15">
              <w:rPr>
                <w:rFonts w:ascii="Verdana" w:hAnsi="Verdana"/>
                <w:sz w:val="16"/>
                <w:szCs w:val="16"/>
                <w:lang w:val="es-MX"/>
              </w:rPr>
              <w:t xml:space="preserve"> Previo a la solicitud del permiso de internación de los hemoderivados obtenidos bajo el convenio de aprovechamiento de plasma deberán presentar a la COFEPRIS el balance plasma–producto hemoderivado.</w:t>
            </w:r>
          </w:p>
        </w:tc>
        <w:tc>
          <w:tcPr>
            <w:tcW w:w="4427" w:type="dxa"/>
          </w:tcPr>
          <w:p w14:paraId="46DF920C"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10.5.6.8.2 </w:t>
            </w:r>
            <w:r w:rsidRPr="008F5C15">
              <w:rPr>
                <w:rFonts w:ascii="Verdana" w:hAnsi="Verdana"/>
                <w:sz w:val="16"/>
                <w:szCs w:val="16"/>
                <w:lang w:val="en-US"/>
              </w:rPr>
              <w:t xml:space="preserve">Prior to the application for the internment permit of the hemoderivatives obtained under the agreement for the use of plasma, the balance plasma hemoderivative product must be presented to COFEPRIS. </w:t>
            </w:r>
          </w:p>
        </w:tc>
      </w:tr>
      <w:tr w:rsidR="001C6A90" w:rsidRPr="00F70181" w14:paraId="2EA8F457" w14:textId="77777777" w:rsidTr="00886332">
        <w:tc>
          <w:tcPr>
            <w:tcW w:w="4405" w:type="dxa"/>
          </w:tcPr>
          <w:p w14:paraId="3BB244FB"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10.5.6.9</w:t>
            </w:r>
            <w:r w:rsidRPr="008F5C15">
              <w:rPr>
                <w:rFonts w:ascii="Verdana" w:hAnsi="Verdana"/>
                <w:sz w:val="16"/>
                <w:szCs w:val="16"/>
                <w:lang w:val="es-MX"/>
              </w:rPr>
              <w:t xml:space="preserve"> Los establecimientos receptores del plasma residual deberán someter a la Secretaría el Expediente Maestro del Plasma y mantenerlo actualizado anualmente.</w:t>
            </w:r>
          </w:p>
        </w:tc>
        <w:tc>
          <w:tcPr>
            <w:tcW w:w="4427" w:type="dxa"/>
          </w:tcPr>
          <w:p w14:paraId="410D19F0"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10.5.6.9 </w:t>
            </w:r>
            <w:r w:rsidRPr="008F5C15">
              <w:rPr>
                <w:rFonts w:ascii="Verdana" w:hAnsi="Verdana"/>
                <w:sz w:val="16"/>
                <w:szCs w:val="16"/>
                <w:lang w:val="en-US"/>
              </w:rPr>
              <w:t xml:space="preserve">The recipient establishments of the residual plasma must submit to the Secretary the Plasma Master File and maintain it updated annually. </w:t>
            </w:r>
          </w:p>
        </w:tc>
      </w:tr>
      <w:tr w:rsidR="001C6A90" w:rsidRPr="00F70181" w14:paraId="14E40878" w14:textId="77777777" w:rsidTr="00886332">
        <w:tc>
          <w:tcPr>
            <w:tcW w:w="4405" w:type="dxa"/>
          </w:tcPr>
          <w:p w14:paraId="22B27384"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10.5.6.10</w:t>
            </w:r>
            <w:r w:rsidRPr="008F5C15">
              <w:rPr>
                <w:rFonts w:ascii="Verdana" w:hAnsi="Verdana"/>
                <w:sz w:val="16"/>
                <w:szCs w:val="16"/>
                <w:lang w:val="es-MX"/>
              </w:rPr>
              <w:t xml:space="preserve"> Se deberá suscribir un contrato técnico entre el fabricante y el establecimiento de recolección y fraccionamiento inicial de sangre para el cumplimiento de las Buenas Prácticas de Fabricación y las concernientes al almacenamiento y transporte del plasma para fraccionamiento en cumplimiento de las medidas que garanticen la recuperación de proteínas lábiles y no lábiles en el plasma, especificadas en la FEUM.</w:t>
            </w:r>
          </w:p>
        </w:tc>
        <w:tc>
          <w:tcPr>
            <w:tcW w:w="4427" w:type="dxa"/>
          </w:tcPr>
          <w:p w14:paraId="3306547D"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10.5.6.10 </w:t>
            </w:r>
            <w:r w:rsidRPr="008F5C15">
              <w:rPr>
                <w:rFonts w:ascii="Verdana" w:hAnsi="Verdana"/>
                <w:sz w:val="16"/>
                <w:szCs w:val="16"/>
                <w:lang w:val="en-US"/>
              </w:rPr>
              <w:t>A technical contract must be signed between the manufacturer and the collection and initial blood fractioning establishment for the compliance to the GMP (Good Manufacturing Practices) and those concerning storage and transport of the plasma for fractioning in compliance to the measures that guarantee the recovery of labile proteins and no labile proteins in the plasma, specified in the FEUM (Pharmacopeia of the United Mexican States).</w:t>
            </w:r>
          </w:p>
        </w:tc>
      </w:tr>
      <w:tr w:rsidR="001C6A90" w:rsidRPr="00F70181" w14:paraId="5F558C6E" w14:textId="77777777" w:rsidTr="00886332">
        <w:tc>
          <w:tcPr>
            <w:tcW w:w="4405" w:type="dxa"/>
          </w:tcPr>
          <w:p w14:paraId="0B259AE5"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10.5.6.10.1 </w:t>
            </w:r>
            <w:r w:rsidRPr="008F5C15">
              <w:rPr>
                <w:rFonts w:ascii="Verdana" w:hAnsi="Verdana"/>
                <w:sz w:val="16"/>
                <w:szCs w:val="16"/>
                <w:lang w:val="es-MX"/>
              </w:rPr>
              <w:t>El cumplimiento de estos contratos será verificado periódicamente, bajo el sistema de aprobación de proveedores.</w:t>
            </w:r>
          </w:p>
        </w:tc>
        <w:tc>
          <w:tcPr>
            <w:tcW w:w="4427" w:type="dxa"/>
          </w:tcPr>
          <w:p w14:paraId="3CB3F89E"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10.5.6.10.1 </w:t>
            </w:r>
            <w:r w:rsidRPr="008F5C15">
              <w:rPr>
                <w:rFonts w:ascii="Verdana" w:hAnsi="Verdana"/>
                <w:sz w:val="16"/>
                <w:szCs w:val="16"/>
                <w:lang w:val="en-US"/>
              </w:rPr>
              <w:t xml:space="preserve">The compliance of these contracts will be periodically verified, under the system of approval of suppliers. </w:t>
            </w:r>
          </w:p>
        </w:tc>
      </w:tr>
      <w:tr w:rsidR="001C6A90" w:rsidRPr="00F70181" w14:paraId="76B55D0B" w14:textId="77777777" w:rsidTr="00886332">
        <w:tc>
          <w:tcPr>
            <w:tcW w:w="4405" w:type="dxa"/>
          </w:tcPr>
          <w:p w14:paraId="6FF9394A" w14:textId="77777777" w:rsidR="001C6A90" w:rsidRPr="008F5C15" w:rsidRDefault="001C6A90" w:rsidP="001C6A90">
            <w:pPr>
              <w:pStyle w:val="Texto"/>
              <w:spacing w:after="80" w:line="276" w:lineRule="auto"/>
              <w:ind w:firstLine="0"/>
              <w:rPr>
                <w:rFonts w:ascii="Verdana" w:hAnsi="Verdana"/>
                <w:b/>
                <w:sz w:val="16"/>
                <w:szCs w:val="16"/>
                <w:lang w:val="es-MX"/>
              </w:rPr>
            </w:pPr>
            <w:r w:rsidRPr="008F5C15">
              <w:rPr>
                <w:rFonts w:ascii="Verdana" w:hAnsi="Verdana"/>
                <w:b/>
                <w:sz w:val="16"/>
                <w:szCs w:val="16"/>
                <w:lang w:val="es-MX"/>
              </w:rPr>
              <w:t xml:space="preserve">10.5.6.11 </w:t>
            </w:r>
            <w:r w:rsidRPr="008F5C15">
              <w:rPr>
                <w:rFonts w:ascii="Verdana" w:hAnsi="Verdana"/>
                <w:sz w:val="16"/>
                <w:szCs w:val="16"/>
                <w:lang w:val="es-MX"/>
              </w:rPr>
              <w:t>Las unidades individuales de sangre/plasma deberán estar etiquetadas de acuerdo a las especificaciones recomendadas en la NOM-253-SSA1-2012 y al menos indicar:</w:t>
            </w:r>
          </w:p>
        </w:tc>
        <w:tc>
          <w:tcPr>
            <w:tcW w:w="4427" w:type="dxa"/>
          </w:tcPr>
          <w:p w14:paraId="4717CA36"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10.5.6.11 </w:t>
            </w:r>
            <w:r w:rsidRPr="008F5C15">
              <w:rPr>
                <w:rFonts w:ascii="Verdana" w:hAnsi="Verdana"/>
                <w:sz w:val="16"/>
                <w:szCs w:val="16"/>
                <w:lang w:val="en-US"/>
              </w:rPr>
              <w:t xml:space="preserve">The individual units of blood/plasma must be labeled according to the specifications recommended in the NOM-253-SSA1-2012 and at least to indicate: </w:t>
            </w:r>
          </w:p>
        </w:tc>
      </w:tr>
      <w:tr w:rsidR="001C6A90" w:rsidRPr="00262EF8" w14:paraId="3C881E95" w14:textId="77777777" w:rsidTr="00886332">
        <w:tc>
          <w:tcPr>
            <w:tcW w:w="4405" w:type="dxa"/>
          </w:tcPr>
          <w:p w14:paraId="26BF70A0"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10.5.6.11.1</w:t>
            </w:r>
            <w:r w:rsidRPr="008F5C15">
              <w:rPr>
                <w:rFonts w:ascii="Verdana" w:hAnsi="Verdana"/>
                <w:sz w:val="16"/>
                <w:szCs w:val="16"/>
                <w:lang w:val="es-MX"/>
              </w:rPr>
              <w:t xml:space="preserve"> Nombre del producto</w:t>
            </w:r>
          </w:p>
        </w:tc>
        <w:tc>
          <w:tcPr>
            <w:tcW w:w="4427" w:type="dxa"/>
          </w:tcPr>
          <w:p w14:paraId="195066E5"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10.5.6.11.1</w:t>
            </w:r>
            <w:r w:rsidRPr="008F5C15">
              <w:rPr>
                <w:rFonts w:ascii="Verdana" w:hAnsi="Verdana"/>
                <w:sz w:val="16"/>
                <w:szCs w:val="16"/>
                <w:lang w:val="en-US"/>
              </w:rPr>
              <w:t xml:space="preserve"> Name of the product</w:t>
            </w:r>
          </w:p>
        </w:tc>
      </w:tr>
      <w:tr w:rsidR="001C6A90" w:rsidRPr="00262EF8" w14:paraId="46C2012E" w14:textId="77777777" w:rsidTr="00886332">
        <w:tc>
          <w:tcPr>
            <w:tcW w:w="4405" w:type="dxa"/>
          </w:tcPr>
          <w:p w14:paraId="4D0A073B"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10.5.6.11.2 </w:t>
            </w:r>
            <w:r w:rsidRPr="008F5C15">
              <w:rPr>
                <w:rFonts w:ascii="Verdana" w:hAnsi="Verdana"/>
                <w:sz w:val="16"/>
                <w:szCs w:val="16"/>
                <w:lang w:val="es-MX"/>
              </w:rPr>
              <w:t>Volumen o peso</w:t>
            </w:r>
          </w:p>
        </w:tc>
        <w:tc>
          <w:tcPr>
            <w:tcW w:w="4427" w:type="dxa"/>
          </w:tcPr>
          <w:p w14:paraId="14C438C1"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10.5.6.11.2 </w:t>
            </w:r>
            <w:r w:rsidRPr="008F5C15">
              <w:rPr>
                <w:rFonts w:ascii="Verdana" w:hAnsi="Verdana"/>
                <w:sz w:val="16"/>
                <w:szCs w:val="16"/>
                <w:lang w:val="en-US"/>
              </w:rPr>
              <w:t>Volume of weight</w:t>
            </w:r>
          </w:p>
        </w:tc>
      </w:tr>
      <w:tr w:rsidR="001C6A90" w:rsidRPr="00262EF8" w14:paraId="0D022382" w14:textId="77777777" w:rsidTr="00886332">
        <w:tc>
          <w:tcPr>
            <w:tcW w:w="4405" w:type="dxa"/>
          </w:tcPr>
          <w:p w14:paraId="1BB41CFA"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10.5.6.11.3 </w:t>
            </w:r>
            <w:r w:rsidRPr="008F5C15">
              <w:rPr>
                <w:rFonts w:ascii="Verdana" w:hAnsi="Verdana"/>
                <w:sz w:val="16"/>
                <w:szCs w:val="16"/>
                <w:lang w:val="es-MX"/>
              </w:rPr>
              <w:t>Identificación del donante</w:t>
            </w:r>
          </w:p>
        </w:tc>
        <w:tc>
          <w:tcPr>
            <w:tcW w:w="4427" w:type="dxa"/>
          </w:tcPr>
          <w:p w14:paraId="67C85F6F"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10.5.6.11.3 </w:t>
            </w:r>
            <w:r w:rsidRPr="008F5C15">
              <w:rPr>
                <w:rFonts w:ascii="Verdana" w:hAnsi="Verdana"/>
                <w:sz w:val="16"/>
                <w:szCs w:val="16"/>
                <w:lang w:val="en-US"/>
              </w:rPr>
              <w:t>Identification of the donor</w:t>
            </w:r>
          </w:p>
        </w:tc>
      </w:tr>
      <w:tr w:rsidR="001C6A90" w:rsidRPr="00262EF8" w14:paraId="2DC1F9C3" w14:textId="77777777" w:rsidTr="00886332">
        <w:tc>
          <w:tcPr>
            <w:tcW w:w="4405" w:type="dxa"/>
          </w:tcPr>
          <w:p w14:paraId="2618E135"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10.5.6.11.4 </w:t>
            </w:r>
            <w:r w:rsidRPr="008F5C15">
              <w:rPr>
                <w:rFonts w:ascii="Verdana" w:hAnsi="Verdana"/>
                <w:sz w:val="16"/>
                <w:szCs w:val="16"/>
                <w:lang w:val="es-MX"/>
              </w:rPr>
              <w:t>Establecimiento de recolección</w:t>
            </w:r>
          </w:p>
        </w:tc>
        <w:tc>
          <w:tcPr>
            <w:tcW w:w="4427" w:type="dxa"/>
          </w:tcPr>
          <w:p w14:paraId="238483D3"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10.5.6.11.4 </w:t>
            </w:r>
            <w:r w:rsidRPr="008F5C15">
              <w:rPr>
                <w:rFonts w:ascii="Verdana" w:hAnsi="Verdana"/>
                <w:sz w:val="16"/>
                <w:szCs w:val="16"/>
                <w:lang w:val="en-US"/>
              </w:rPr>
              <w:t>Collection establishment</w:t>
            </w:r>
          </w:p>
        </w:tc>
      </w:tr>
      <w:tr w:rsidR="001C6A90" w:rsidRPr="00262EF8" w14:paraId="47791E42" w14:textId="77777777" w:rsidTr="00886332">
        <w:tc>
          <w:tcPr>
            <w:tcW w:w="4405" w:type="dxa"/>
          </w:tcPr>
          <w:p w14:paraId="05978BF4"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10.5.6.11.5 </w:t>
            </w:r>
            <w:r w:rsidRPr="008F5C15">
              <w:rPr>
                <w:rFonts w:ascii="Verdana" w:hAnsi="Verdana"/>
                <w:sz w:val="16"/>
                <w:szCs w:val="16"/>
                <w:lang w:val="es-MX"/>
              </w:rPr>
              <w:t>Caducidad</w:t>
            </w:r>
          </w:p>
        </w:tc>
        <w:tc>
          <w:tcPr>
            <w:tcW w:w="4427" w:type="dxa"/>
          </w:tcPr>
          <w:p w14:paraId="21E0C883"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10.5.6.11.5 </w:t>
            </w:r>
            <w:r w:rsidRPr="008F5C15">
              <w:rPr>
                <w:rFonts w:ascii="Verdana" w:hAnsi="Verdana"/>
                <w:sz w:val="16"/>
                <w:szCs w:val="16"/>
                <w:lang w:val="en-US"/>
              </w:rPr>
              <w:t>Expiration date</w:t>
            </w:r>
          </w:p>
        </w:tc>
      </w:tr>
      <w:tr w:rsidR="001C6A90" w:rsidRPr="00262EF8" w14:paraId="57513EC2" w14:textId="77777777" w:rsidTr="00886332">
        <w:tc>
          <w:tcPr>
            <w:tcW w:w="4405" w:type="dxa"/>
          </w:tcPr>
          <w:p w14:paraId="0C8AAD8F"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10.5.6.11.6 </w:t>
            </w:r>
            <w:r w:rsidRPr="008F5C15">
              <w:rPr>
                <w:rFonts w:ascii="Verdana" w:hAnsi="Verdana"/>
                <w:sz w:val="16"/>
                <w:szCs w:val="16"/>
                <w:lang w:val="es-MX"/>
              </w:rPr>
              <w:t>Temperatura de almacenamiento</w:t>
            </w:r>
          </w:p>
        </w:tc>
        <w:tc>
          <w:tcPr>
            <w:tcW w:w="4427" w:type="dxa"/>
          </w:tcPr>
          <w:p w14:paraId="3F3109C9"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10.5.6.11.6 </w:t>
            </w:r>
            <w:r w:rsidRPr="008F5C15">
              <w:rPr>
                <w:rFonts w:ascii="Verdana" w:hAnsi="Verdana"/>
                <w:sz w:val="16"/>
                <w:szCs w:val="16"/>
                <w:lang w:val="en-US"/>
              </w:rPr>
              <w:t>Storage temperature</w:t>
            </w:r>
          </w:p>
        </w:tc>
      </w:tr>
      <w:tr w:rsidR="001C6A90" w:rsidRPr="00F70181" w14:paraId="76FF1354" w14:textId="77777777" w:rsidTr="00886332">
        <w:tc>
          <w:tcPr>
            <w:tcW w:w="4405" w:type="dxa"/>
          </w:tcPr>
          <w:p w14:paraId="62E1710A"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lastRenderedPageBreak/>
              <w:t>10.5.6.11.7</w:t>
            </w:r>
            <w:r w:rsidRPr="008F5C15">
              <w:rPr>
                <w:rFonts w:ascii="Verdana" w:hAnsi="Verdana"/>
                <w:sz w:val="16"/>
                <w:szCs w:val="16"/>
                <w:lang w:val="es-MX"/>
              </w:rPr>
              <w:t xml:space="preserve"> Nombre, contenido y volumen del anticoagulante</w:t>
            </w:r>
          </w:p>
        </w:tc>
        <w:tc>
          <w:tcPr>
            <w:tcW w:w="4427" w:type="dxa"/>
          </w:tcPr>
          <w:p w14:paraId="7DBA814B"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10.5.6.11.7</w:t>
            </w:r>
            <w:r w:rsidRPr="008F5C15">
              <w:rPr>
                <w:rFonts w:ascii="Verdana" w:hAnsi="Verdana"/>
                <w:sz w:val="16"/>
                <w:szCs w:val="16"/>
                <w:lang w:val="en-US"/>
              </w:rPr>
              <w:t xml:space="preserve"> Name, content and volume of anticoagulant</w:t>
            </w:r>
          </w:p>
        </w:tc>
      </w:tr>
      <w:tr w:rsidR="001C6A90" w:rsidRPr="00262EF8" w14:paraId="6D4CB474" w14:textId="77777777" w:rsidTr="00886332">
        <w:tc>
          <w:tcPr>
            <w:tcW w:w="4405" w:type="dxa"/>
          </w:tcPr>
          <w:p w14:paraId="32956BBC"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10.5.6.11.8</w:t>
            </w:r>
            <w:r w:rsidRPr="008F5C15">
              <w:rPr>
                <w:rFonts w:ascii="Verdana" w:hAnsi="Verdana"/>
                <w:sz w:val="16"/>
                <w:szCs w:val="16"/>
                <w:lang w:val="es-MX"/>
              </w:rPr>
              <w:t xml:space="preserve"> Resultado de pruebas serológicas</w:t>
            </w:r>
          </w:p>
        </w:tc>
        <w:tc>
          <w:tcPr>
            <w:tcW w:w="4427" w:type="dxa"/>
          </w:tcPr>
          <w:p w14:paraId="2952ECA1"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10.5.6.11.8</w:t>
            </w:r>
            <w:r w:rsidRPr="008F5C15">
              <w:rPr>
                <w:rFonts w:ascii="Verdana" w:hAnsi="Verdana"/>
                <w:sz w:val="16"/>
                <w:szCs w:val="16"/>
                <w:lang w:val="en-US"/>
              </w:rPr>
              <w:t xml:space="preserve"> Results of serological tests</w:t>
            </w:r>
          </w:p>
        </w:tc>
      </w:tr>
      <w:tr w:rsidR="001C6A90" w:rsidRPr="00262EF8" w14:paraId="4BE9760B" w14:textId="77777777" w:rsidTr="00886332">
        <w:tc>
          <w:tcPr>
            <w:tcW w:w="4405" w:type="dxa"/>
          </w:tcPr>
          <w:p w14:paraId="32B3A96C" w14:textId="77777777" w:rsidR="001C6A90" w:rsidRPr="008F5C15" w:rsidRDefault="001C6A90" w:rsidP="001C6A90">
            <w:pPr>
              <w:pStyle w:val="Texto"/>
              <w:spacing w:after="80" w:line="276" w:lineRule="auto"/>
              <w:ind w:firstLine="0"/>
              <w:rPr>
                <w:rFonts w:ascii="Verdana" w:hAnsi="Verdana"/>
                <w:b/>
                <w:sz w:val="16"/>
                <w:szCs w:val="16"/>
                <w:lang w:val="es-MX"/>
              </w:rPr>
            </w:pPr>
            <w:r w:rsidRPr="008F5C15">
              <w:rPr>
                <w:rFonts w:ascii="Verdana" w:hAnsi="Verdana"/>
                <w:b/>
                <w:sz w:val="16"/>
                <w:szCs w:val="16"/>
                <w:lang w:val="es-MX"/>
              </w:rPr>
              <w:t>10.5.6.11.9</w:t>
            </w:r>
            <w:r w:rsidRPr="008F5C15">
              <w:rPr>
                <w:rFonts w:ascii="Verdana" w:hAnsi="Verdana"/>
                <w:sz w:val="16"/>
                <w:szCs w:val="16"/>
                <w:lang w:val="es-MX"/>
              </w:rPr>
              <w:t xml:space="preserve"> Grupo Sanguíneo</w:t>
            </w:r>
          </w:p>
        </w:tc>
        <w:tc>
          <w:tcPr>
            <w:tcW w:w="4427" w:type="dxa"/>
          </w:tcPr>
          <w:p w14:paraId="317761A3" w14:textId="77777777" w:rsidR="001C6A90" w:rsidRPr="008F5C15" w:rsidRDefault="001C6A90" w:rsidP="001C6A90">
            <w:pPr>
              <w:pStyle w:val="Texto"/>
              <w:spacing w:after="80" w:line="276" w:lineRule="auto"/>
              <w:ind w:firstLine="0"/>
              <w:rPr>
                <w:rFonts w:ascii="Verdana" w:hAnsi="Verdana"/>
                <w:b/>
                <w:sz w:val="16"/>
                <w:szCs w:val="16"/>
                <w:lang w:val="en-US"/>
              </w:rPr>
            </w:pPr>
            <w:r w:rsidRPr="008F5C15">
              <w:rPr>
                <w:rFonts w:ascii="Verdana" w:hAnsi="Verdana"/>
                <w:b/>
                <w:sz w:val="16"/>
                <w:szCs w:val="16"/>
                <w:lang w:val="en-US"/>
              </w:rPr>
              <w:t>10.5.6.11.9</w:t>
            </w:r>
            <w:r w:rsidRPr="008F5C15">
              <w:rPr>
                <w:rFonts w:ascii="Verdana" w:hAnsi="Verdana"/>
                <w:sz w:val="16"/>
                <w:szCs w:val="16"/>
                <w:lang w:val="en-US"/>
              </w:rPr>
              <w:t xml:space="preserve"> Blood group </w:t>
            </w:r>
          </w:p>
        </w:tc>
      </w:tr>
      <w:tr w:rsidR="001C6A90" w:rsidRPr="00F70181" w14:paraId="57B329F5" w14:textId="77777777" w:rsidTr="00886332">
        <w:tc>
          <w:tcPr>
            <w:tcW w:w="4405" w:type="dxa"/>
          </w:tcPr>
          <w:p w14:paraId="566256F1"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10.5.6.12</w:t>
            </w:r>
            <w:r w:rsidRPr="008F5C15">
              <w:rPr>
                <w:rFonts w:ascii="Verdana" w:hAnsi="Verdana"/>
                <w:sz w:val="16"/>
                <w:szCs w:val="16"/>
                <w:lang w:val="es-MX"/>
              </w:rPr>
              <w:t xml:space="preserve"> La fabricación de hemoderivados se realizará a partir de cargas de mezclas de plasma definidas con un máximo de 15000 donaciones, de las que se conozcan detalladamente los datos de las unidades de plasma que los componen. </w:t>
            </w:r>
          </w:p>
        </w:tc>
        <w:tc>
          <w:tcPr>
            <w:tcW w:w="4427" w:type="dxa"/>
          </w:tcPr>
          <w:p w14:paraId="15AE3851" w14:textId="77777777" w:rsidR="001C6A90" w:rsidRPr="008F5C15" w:rsidRDefault="001C6A90" w:rsidP="001C6A90">
            <w:pPr>
              <w:jc w:val="both"/>
              <w:rPr>
                <w:rFonts w:ascii="Verdana" w:hAnsi="Verdana"/>
                <w:sz w:val="16"/>
                <w:szCs w:val="16"/>
                <w:lang w:val="en-US"/>
              </w:rPr>
            </w:pPr>
            <w:r w:rsidRPr="008F5C15">
              <w:rPr>
                <w:rFonts w:ascii="Verdana" w:hAnsi="Verdana"/>
                <w:b/>
                <w:sz w:val="16"/>
                <w:szCs w:val="16"/>
                <w:lang w:val="en-US"/>
              </w:rPr>
              <w:t>10.5.6.12</w:t>
            </w:r>
            <w:r w:rsidRPr="008F5C15">
              <w:rPr>
                <w:rFonts w:ascii="Verdana" w:hAnsi="Verdana"/>
                <w:sz w:val="16"/>
                <w:szCs w:val="16"/>
                <w:lang w:val="en-US"/>
              </w:rPr>
              <w:t xml:space="preserve"> The manufacture of hemoderivatives will be made from the lots of mixtures of plasma defined with a maximum of 15000 donations, of which the data of the plasma units they are comprised are known in detail. </w:t>
            </w:r>
          </w:p>
        </w:tc>
      </w:tr>
      <w:tr w:rsidR="001C6A90" w:rsidRPr="00F70181" w14:paraId="2C09F0BB" w14:textId="77777777" w:rsidTr="00886332">
        <w:tc>
          <w:tcPr>
            <w:tcW w:w="4405" w:type="dxa"/>
          </w:tcPr>
          <w:p w14:paraId="0F5D6E21"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10.5.6.13</w:t>
            </w:r>
            <w:r w:rsidRPr="008F5C15">
              <w:rPr>
                <w:rFonts w:ascii="Verdana" w:hAnsi="Verdana"/>
                <w:sz w:val="16"/>
                <w:szCs w:val="16"/>
                <w:lang w:val="es-MX"/>
              </w:rPr>
              <w:t xml:space="preserve"> Las muestras de retención de cada donación serán identificadas de manera que sea trazable la información con la donación y se mantendrán a temperatura como mínimo de –30°C.</w:t>
            </w:r>
          </w:p>
        </w:tc>
        <w:tc>
          <w:tcPr>
            <w:tcW w:w="4427" w:type="dxa"/>
          </w:tcPr>
          <w:p w14:paraId="0E569E77"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10.5.6.13 </w:t>
            </w:r>
            <w:r w:rsidRPr="008F5C15">
              <w:rPr>
                <w:rFonts w:ascii="Verdana" w:hAnsi="Verdana"/>
                <w:sz w:val="16"/>
                <w:szCs w:val="16"/>
                <w:lang w:val="en-US"/>
              </w:rPr>
              <w:t xml:space="preserve">The retention samples of each donation will be identified in a way that the information is traceable with the donation and will be maintained at a minimum temperature of -30ºC. </w:t>
            </w:r>
          </w:p>
        </w:tc>
      </w:tr>
      <w:tr w:rsidR="001C6A90" w:rsidRPr="00F70181" w14:paraId="0917C29D" w14:textId="77777777" w:rsidTr="00886332">
        <w:tc>
          <w:tcPr>
            <w:tcW w:w="4405" w:type="dxa"/>
          </w:tcPr>
          <w:p w14:paraId="146503F0"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10.5.6.13.1</w:t>
            </w:r>
            <w:r w:rsidRPr="008F5C15">
              <w:rPr>
                <w:rFonts w:ascii="Verdana" w:hAnsi="Verdana"/>
                <w:sz w:val="16"/>
                <w:szCs w:val="16"/>
                <w:lang w:val="es-MX"/>
              </w:rPr>
              <w:t xml:space="preserve"> Estas muestras de retención se deberán conservar hasta un año después de la fecha de caducidad del producto de mayor vigencia obtenido de la mezcla en que se usó el plasma.</w:t>
            </w:r>
          </w:p>
        </w:tc>
        <w:tc>
          <w:tcPr>
            <w:tcW w:w="4427" w:type="dxa"/>
          </w:tcPr>
          <w:p w14:paraId="0254C50A"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10.5.6.13.1 </w:t>
            </w:r>
            <w:r w:rsidRPr="008F5C15">
              <w:rPr>
                <w:rFonts w:ascii="Verdana" w:hAnsi="Verdana"/>
                <w:sz w:val="16"/>
                <w:szCs w:val="16"/>
                <w:lang w:val="en-US"/>
              </w:rPr>
              <w:t xml:space="preserve">These retention samples will be conserved up to a year after the expiration date of the product with the longest period obtained from the mixture from which the plasma was used. </w:t>
            </w:r>
          </w:p>
        </w:tc>
      </w:tr>
      <w:tr w:rsidR="001C6A90" w:rsidRPr="00F70181" w14:paraId="4969C887" w14:textId="77777777" w:rsidTr="00886332">
        <w:tc>
          <w:tcPr>
            <w:tcW w:w="4405" w:type="dxa"/>
          </w:tcPr>
          <w:p w14:paraId="6F91BA6E" w14:textId="77777777" w:rsidR="001C6A90" w:rsidRPr="008F5C15" w:rsidRDefault="001C6A90" w:rsidP="001C6A90">
            <w:pPr>
              <w:pStyle w:val="Texto"/>
              <w:spacing w:after="80" w:line="276" w:lineRule="auto"/>
              <w:ind w:firstLine="0"/>
              <w:rPr>
                <w:rFonts w:ascii="Verdana" w:hAnsi="Verdana"/>
                <w:b/>
                <w:sz w:val="16"/>
                <w:szCs w:val="16"/>
                <w:lang w:val="es-MX"/>
              </w:rPr>
            </w:pPr>
            <w:r w:rsidRPr="008F5C15">
              <w:rPr>
                <w:rFonts w:ascii="Verdana" w:hAnsi="Verdana"/>
                <w:b/>
                <w:sz w:val="16"/>
                <w:szCs w:val="16"/>
                <w:lang w:val="es-MX"/>
              </w:rPr>
              <w:t xml:space="preserve">10.5.6.14 </w:t>
            </w:r>
            <w:r w:rsidRPr="008F5C15">
              <w:rPr>
                <w:rFonts w:ascii="Verdana" w:hAnsi="Verdana"/>
                <w:sz w:val="16"/>
                <w:szCs w:val="16"/>
                <w:lang w:val="es-MX"/>
              </w:rPr>
              <w:t>El extracto dializable de leucocitos humanos o el plasma utilizado para la fabricación de hemoderivados deberá contar con la constancia de análisis que incluya las pruebas realizadas por el establecimiento que hizo la recolección indicadas en la NOM-253-SSA1-2012 y la FEUM.</w:t>
            </w:r>
          </w:p>
        </w:tc>
        <w:tc>
          <w:tcPr>
            <w:tcW w:w="4427" w:type="dxa"/>
          </w:tcPr>
          <w:p w14:paraId="44AA040A"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10.5.6.14 </w:t>
            </w:r>
            <w:r w:rsidRPr="008F5C15">
              <w:rPr>
                <w:rFonts w:ascii="Verdana" w:hAnsi="Verdana"/>
                <w:sz w:val="16"/>
                <w:szCs w:val="16"/>
                <w:lang w:val="en-US"/>
              </w:rPr>
              <w:t>The</w:t>
            </w:r>
            <w:r w:rsidRPr="008F5C15">
              <w:rPr>
                <w:rFonts w:ascii="Verdana" w:hAnsi="Verdana"/>
                <w:b/>
                <w:sz w:val="16"/>
                <w:szCs w:val="16"/>
                <w:lang w:val="en-US"/>
              </w:rPr>
              <w:t xml:space="preserve"> </w:t>
            </w:r>
            <w:r w:rsidRPr="008F5C15">
              <w:rPr>
                <w:rFonts w:ascii="Verdana" w:hAnsi="Verdana"/>
                <w:sz w:val="16"/>
                <w:szCs w:val="16"/>
                <w:lang w:val="en-US"/>
              </w:rPr>
              <w:t>Dialyzable Extract of human Leukocytes or the plasma used for the manufacture of hemoderivatives must have the certificate of analysis that includes the tests made by the establishment that made the collection indicated in the NOM-253-SSA1-2012 and the FEUM (Pharmacopeia of the United Mexican States).</w:t>
            </w:r>
          </w:p>
        </w:tc>
      </w:tr>
      <w:tr w:rsidR="001C6A90" w:rsidRPr="00F70181" w14:paraId="1AD319A9" w14:textId="77777777" w:rsidTr="00886332">
        <w:tc>
          <w:tcPr>
            <w:tcW w:w="4405" w:type="dxa"/>
          </w:tcPr>
          <w:p w14:paraId="7A3EB529"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10.5.6.15 </w:t>
            </w:r>
            <w:r w:rsidRPr="008F5C15">
              <w:rPr>
                <w:rFonts w:ascii="Verdana" w:hAnsi="Verdana"/>
                <w:sz w:val="16"/>
                <w:szCs w:val="16"/>
                <w:lang w:val="es-MX"/>
              </w:rPr>
              <w:t>El establecimiento de fraccionamiento de plasma deberá evaluar la presencia de ácidos nucleicos (mediante NAT) de los Virus de inmunodeficiencia humana (VIH) 1 y 2, virus de hepatitis A (VHA), virus de hepatitis B (VHB), virus de hepatitis C (VHC), y parvovirus B19 (ej. Por reacción en cadena de la polimerasa), en minimezclas de plasma antes de que las unidades (bolsas o botellas) sean liberadas para la conformación de las mezclas o cargas de fraccionamiento.</w:t>
            </w:r>
          </w:p>
        </w:tc>
        <w:tc>
          <w:tcPr>
            <w:tcW w:w="4427" w:type="dxa"/>
          </w:tcPr>
          <w:p w14:paraId="52B8E918"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10.5.6.15 </w:t>
            </w:r>
            <w:r w:rsidRPr="008F5C15">
              <w:rPr>
                <w:rFonts w:ascii="Verdana" w:hAnsi="Verdana"/>
                <w:sz w:val="16"/>
                <w:szCs w:val="16"/>
                <w:lang w:val="en-US"/>
              </w:rPr>
              <w:t xml:space="preserve">The establishment for the fractioning of the plasma must evaluate the presence of nucleic acids (through NAT (Nucleic acid testing) of the human immunodeficiency virus (HIV) 1 and 2, hepatitis A virus (HAV), hepatitis B virus (HBV), hepatitis C virus (HCV), and parvovirus (B19 (for example, for reaction in a polymerase chain), in minimixtures of plasma before the units (bags or bottles) are released for the formation of the mixtures or fractioning lots. </w:t>
            </w:r>
          </w:p>
        </w:tc>
      </w:tr>
      <w:tr w:rsidR="001C6A90" w:rsidRPr="00F70181" w14:paraId="41EA2F12" w14:textId="77777777" w:rsidTr="00886332">
        <w:tc>
          <w:tcPr>
            <w:tcW w:w="4405" w:type="dxa"/>
          </w:tcPr>
          <w:p w14:paraId="2F8C1700"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10.5.6.16</w:t>
            </w:r>
            <w:r w:rsidRPr="008F5C15">
              <w:rPr>
                <w:rFonts w:ascii="Verdana" w:hAnsi="Verdana"/>
                <w:sz w:val="16"/>
                <w:szCs w:val="16"/>
                <w:lang w:val="es-MX"/>
              </w:rPr>
              <w:t xml:space="preserve"> Se debe repetir la evaluación de ácidos nucleicos en las mezclas constituidas para fraccionamiento.</w:t>
            </w:r>
          </w:p>
        </w:tc>
        <w:tc>
          <w:tcPr>
            <w:tcW w:w="4427" w:type="dxa"/>
          </w:tcPr>
          <w:p w14:paraId="2C5B3417"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10.5.6.16 </w:t>
            </w:r>
            <w:r w:rsidRPr="008F5C15">
              <w:rPr>
                <w:rFonts w:ascii="Verdana" w:hAnsi="Verdana"/>
                <w:sz w:val="16"/>
                <w:szCs w:val="16"/>
                <w:lang w:val="en-US"/>
              </w:rPr>
              <w:t xml:space="preserve">The evaluation of nucleic acids must be repeated in the mixtures constituted for fractioning. </w:t>
            </w:r>
          </w:p>
        </w:tc>
      </w:tr>
      <w:tr w:rsidR="001C6A90" w:rsidRPr="00F70181" w14:paraId="75248988" w14:textId="77777777" w:rsidTr="00886332">
        <w:tc>
          <w:tcPr>
            <w:tcW w:w="4405" w:type="dxa"/>
          </w:tcPr>
          <w:p w14:paraId="501CA1C6"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10.5.6.17</w:t>
            </w:r>
            <w:r w:rsidRPr="008F5C15">
              <w:rPr>
                <w:rFonts w:ascii="Verdana" w:hAnsi="Verdana"/>
                <w:sz w:val="16"/>
                <w:szCs w:val="16"/>
                <w:lang w:val="es-MX"/>
              </w:rPr>
              <w:t xml:space="preserve"> Es obligación del Responsable Sanitario del establecimiento la liberación del plasma utilizado en la fabricación de hemoderivados y de asegurar que cumple los requisitos y especificaciones establecidos.</w:t>
            </w:r>
          </w:p>
        </w:tc>
        <w:tc>
          <w:tcPr>
            <w:tcW w:w="4427" w:type="dxa"/>
          </w:tcPr>
          <w:p w14:paraId="757719C5"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10.5.6.17 </w:t>
            </w:r>
            <w:r w:rsidRPr="008F5C15">
              <w:rPr>
                <w:rFonts w:ascii="Verdana" w:hAnsi="Verdana"/>
                <w:sz w:val="16"/>
                <w:szCs w:val="16"/>
                <w:lang w:val="en-US"/>
              </w:rPr>
              <w:t xml:space="preserve">It is the obligation of the Person responsible for sanitary compliance of the establishment for the release of the plasma used in the manufacture of hemoderivatives and to assure that it complies with the established requirements and specifications. </w:t>
            </w:r>
          </w:p>
        </w:tc>
      </w:tr>
      <w:tr w:rsidR="001C6A90" w:rsidRPr="00F70181" w14:paraId="7CE66492" w14:textId="77777777" w:rsidTr="00886332">
        <w:tc>
          <w:tcPr>
            <w:tcW w:w="4405" w:type="dxa"/>
          </w:tcPr>
          <w:p w14:paraId="15BD2710" w14:textId="77777777" w:rsidR="001C6A90" w:rsidRPr="008F5C15" w:rsidRDefault="001C6A90" w:rsidP="001C6A90">
            <w:pPr>
              <w:pStyle w:val="Texto"/>
              <w:spacing w:after="80" w:line="276" w:lineRule="auto"/>
              <w:ind w:firstLine="0"/>
              <w:rPr>
                <w:rFonts w:ascii="Verdana" w:hAnsi="Verdana"/>
                <w:b/>
                <w:sz w:val="16"/>
                <w:szCs w:val="16"/>
                <w:lang w:val="es-MX"/>
              </w:rPr>
            </w:pPr>
            <w:r w:rsidRPr="008F5C15">
              <w:rPr>
                <w:rFonts w:ascii="Verdana" w:hAnsi="Verdana"/>
                <w:b/>
                <w:sz w:val="16"/>
                <w:szCs w:val="16"/>
                <w:lang w:val="es-MX"/>
              </w:rPr>
              <w:t xml:space="preserve">10.5.6.18 </w:t>
            </w:r>
            <w:r w:rsidRPr="008F5C15">
              <w:rPr>
                <w:rFonts w:ascii="Verdana" w:hAnsi="Verdana"/>
                <w:sz w:val="16"/>
                <w:szCs w:val="16"/>
                <w:lang w:val="es-MX"/>
              </w:rPr>
              <w:t>Sólo podrá autorizar el uso de mezclas de plasma con resultados negativos de Marcadores Serológicos Negativos para VIH, VHB y VHC y de Ácidos Nucleicos Negativos para VIH 1 y 2, VHA, VHB, VHC [&lt; 100 UI/L], PVB19 [&lt; 10</w:t>
            </w:r>
            <w:r w:rsidRPr="008F5C15">
              <w:rPr>
                <w:rFonts w:ascii="Verdana" w:hAnsi="Verdana"/>
                <w:position w:val="6"/>
                <w:sz w:val="16"/>
                <w:szCs w:val="16"/>
                <w:lang w:val="es-MX"/>
              </w:rPr>
              <w:t>4</w:t>
            </w:r>
            <w:r w:rsidRPr="008F5C15">
              <w:rPr>
                <w:rFonts w:ascii="Verdana" w:hAnsi="Verdana"/>
                <w:sz w:val="16"/>
                <w:szCs w:val="16"/>
                <w:lang w:val="es-MX"/>
              </w:rPr>
              <w:t xml:space="preserve"> UI ADN viral/mL]), Proteínas Totales (50 g/L) y FVIII (= 0.7 UI/mL) de acuerdo con lo establecido en la NOM-253-SSA1-2012, en la FEUM y recomendaciones de la OMS. </w:t>
            </w:r>
          </w:p>
        </w:tc>
        <w:tc>
          <w:tcPr>
            <w:tcW w:w="4427" w:type="dxa"/>
          </w:tcPr>
          <w:p w14:paraId="14903FA5"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10.5.6.18 </w:t>
            </w:r>
            <w:r w:rsidRPr="008F5C15">
              <w:rPr>
                <w:rFonts w:ascii="Verdana" w:hAnsi="Verdana"/>
                <w:sz w:val="16"/>
                <w:szCs w:val="16"/>
                <w:lang w:val="en-US"/>
              </w:rPr>
              <w:t xml:space="preserve">The use of mixtures of plasma only can be authorized with negative results of Negative Serological Markers for HIV, HBV, and HVC and Negative Nucleic Acids for HIV 1 and 2, HAV, HBV, HCV [&lt; 100 UI/L], PVB19 [&lt; 104 UI DNA viral/mL]), Total proteins (50 g/L) and FVIII (= 0.7 UI/mL) according to that established in the NOM-253-SSA1-2012, in the FEUM and recommendations of the WHO. </w:t>
            </w:r>
          </w:p>
        </w:tc>
      </w:tr>
      <w:tr w:rsidR="001C6A90" w:rsidRPr="00F70181" w14:paraId="78E48C1A" w14:textId="77777777" w:rsidTr="00886332">
        <w:tc>
          <w:tcPr>
            <w:tcW w:w="4405" w:type="dxa"/>
          </w:tcPr>
          <w:p w14:paraId="2DAD27C1"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lastRenderedPageBreak/>
              <w:t xml:space="preserve">10.5.6.19 </w:t>
            </w:r>
            <w:r w:rsidRPr="008F5C15">
              <w:rPr>
                <w:rFonts w:ascii="Verdana" w:hAnsi="Verdana"/>
                <w:sz w:val="16"/>
                <w:szCs w:val="16"/>
                <w:lang w:val="es-MX"/>
              </w:rPr>
              <w:t>Deben establecer procedimientos para la inspección visual de las bolsas o botellas individuales antes de la mezcla, proceso de descongelación de plasma, la apertura y realización de la mezcla.</w:t>
            </w:r>
          </w:p>
        </w:tc>
        <w:tc>
          <w:tcPr>
            <w:tcW w:w="4427" w:type="dxa"/>
          </w:tcPr>
          <w:p w14:paraId="66DAF48C"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10.5.6.19 </w:t>
            </w:r>
            <w:r w:rsidRPr="008F5C15">
              <w:rPr>
                <w:rFonts w:ascii="Verdana" w:hAnsi="Verdana"/>
                <w:sz w:val="16"/>
                <w:szCs w:val="16"/>
                <w:lang w:val="en-US"/>
              </w:rPr>
              <w:t xml:space="preserve">Procedures must be established for the visual inspection of the individual bags or bottles before the mixture, thawing process of the plasma, the opening and execution of the mixture. </w:t>
            </w:r>
          </w:p>
        </w:tc>
      </w:tr>
      <w:tr w:rsidR="001C6A90" w:rsidRPr="00F70181" w14:paraId="66B0738E" w14:textId="77777777" w:rsidTr="00886332">
        <w:tc>
          <w:tcPr>
            <w:tcW w:w="4405" w:type="dxa"/>
          </w:tcPr>
          <w:p w14:paraId="72DFBB33"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10.5.6.20 </w:t>
            </w:r>
            <w:r w:rsidRPr="008F5C15">
              <w:rPr>
                <w:rFonts w:ascii="Verdana" w:hAnsi="Verdana"/>
                <w:sz w:val="16"/>
                <w:szCs w:val="16"/>
                <w:lang w:val="es-MX"/>
              </w:rPr>
              <w:t>Se reportará el tamaño de la mezcla de plasma, en número de donaciones y en litros.</w:t>
            </w:r>
          </w:p>
        </w:tc>
        <w:tc>
          <w:tcPr>
            <w:tcW w:w="4427" w:type="dxa"/>
          </w:tcPr>
          <w:p w14:paraId="0C1D9A2D"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10.5.6.20 </w:t>
            </w:r>
            <w:r w:rsidRPr="008F5C15">
              <w:rPr>
                <w:rFonts w:ascii="Verdana" w:hAnsi="Verdana"/>
                <w:sz w:val="16"/>
                <w:szCs w:val="16"/>
                <w:lang w:val="en-US"/>
              </w:rPr>
              <w:t>The size of the mixture of the plasma will be reported in the number of donations and in liters.</w:t>
            </w:r>
          </w:p>
        </w:tc>
      </w:tr>
      <w:tr w:rsidR="001C6A90" w:rsidRPr="00F70181" w14:paraId="051ED14E" w14:textId="77777777" w:rsidTr="00886332">
        <w:tc>
          <w:tcPr>
            <w:tcW w:w="4405" w:type="dxa"/>
          </w:tcPr>
          <w:p w14:paraId="1A4E0C2B"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10.5.6.21 </w:t>
            </w:r>
            <w:r w:rsidRPr="008F5C15">
              <w:rPr>
                <w:rFonts w:ascii="Verdana" w:hAnsi="Verdana"/>
                <w:sz w:val="16"/>
                <w:szCs w:val="16"/>
                <w:lang w:val="es-MX"/>
              </w:rPr>
              <w:t>Se mantendrán registros que permitan la trazabilidad del origen y controles a que fue sometida cada donación. Estos registros se conservarán como mínimo un año con posterioridad a la fecha de vencimiento del producto terminado con mayor tiempo de vida útil.</w:t>
            </w:r>
          </w:p>
        </w:tc>
        <w:tc>
          <w:tcPr>
            <w:tcW w:w="4427" w:type="dxa"/>
          </w:tcPr>
          <w:p w14:paraId="3F359195"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10.5.6.21 </w:t>
            </w:r>
            <w:r w:rsidRPr="008F5C15">
              <w:rPr>
                <w:rFonts w:ascii="Verdana" w:hAnsi="Verdana"/>
                <w:sz w:val="16"/>
                <w:szCs w:val="16"/>
                <w:lang w:val="en-US"/>
              </w:rPr>
              <w:t xml:space="preserve">Records will be maintained that permit the traceability of the origin and controls to which each donate was submitted. These records will be conserved a minimum of one year after the expiration date of the finished product with greater useful life time. </w:t>
            </w:r>
          </w:p>
        </w:tc>
      </w:tr>
      <w:tr w:rsidR="001C6A90" w:rsidRPr="00F70181" w14:paraId="7BCCD849" w14:textId="77777777" w:rsidTr="00886332">
        <w:tc>
          <w:tcPr>
            <w:tcW w:w="4405" w:type="dxa"/>
          </w:tcPr>
          <w:p w14:paraId="0A505E74"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10.5.6.22</w:t>
            </w:r>
            <w:r w:rsidRPr="008F5C15">
              <w:rPr>
                <w:rFonts w:ascii="Verdana" w:hAnsi="Verdana"/>
                <w:sz w:val="16"/>
                <w:szCs w:val="16"/>
                <w:lang w:val="es-MX"/>
              </w:rPr>
              <w:t xml:space="preserve"> Se conservarán muestras de retención de cada mezcla de plasma las que se mantendrán por igual periodo que los registros. Las muestras de retención se almacenarán a temperaturas como mínimo de -30°C.</w:t>
            </w:r>
          </w:p>
        </w:tc>
        <w:tc>
          <w:tcPr>
            <w:tcW w:w="4427" w:type="dxa"/>
          </w:tcPr>
          <w:p w14:paraId="484435B2"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10.5.6.22 </w:t>
            </w:r>
            <w:r w:rsidRPr="008F5C15">
              <w:rPr>
                <w:rFonts w:ascii="Verdana" w:hAnsi="Verdana"/>
                <w:sz w:val="16"/>
                <w:szCs w:val="16"/>
                <w:lang w:val="en-US"/>
              </w:rPr>
              <w:t xml:space="preserve">Retention samples will be conserved for each plasma mixture which will be maintained for a period equal to the records. The retention samples will be stored at temperatures at a minimum of -30ºC. </w:t>
            </w:r>
          </w:p>
        </w:tc>
      </w:tr>
      <w:tr w:rsidR="001C6A90" w:rsidRPr="00262EF8" w14:paraId="1B28D65C" w14:textId="77777777" w:rsidTr="00886332">
        <w:tc>
          <w:tcPr>
            <w:tcW w:w="4405" w:type="dxa"/>
          </w:tcPr>
          <w:p w14:paraId="7C925490"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10.5.6.23</w:t>
            </w:r>
            <w:r w:rsidRPr="008F5C15">
              <w:rPr>
                <w:rFonts w:ascii="Verdana" w:hAnsi="Verdana"/>
                <w:sz w:val="16"/>
                <w:szCs w:val="16"/>
                <w:lang w:val="es-MX"/>
              </w:rPr>
              <w:t xml:space="preserve"> Expediente Maestro del Plasma (EMP).</w:t>
            </w:r>
          </w:p>
        </w:tc>
        <w:tc>
          <w:tcPr>
            <w:tcW w:w="4427" w:type="dxa"/>
          </w:tcPr>
          <w:p w14:paraId="14C315D2"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10.5.6.23 </w:t>
            </w:r>
            <w:r w:rsidRPr="008F5C15">
              <w:rPr>
                <w:rFonts w:ascii="Verdana" w:hAnsi="Verdana"/>
                <w:sz w:val="16"/>
                <w:szCs w:val="16"/>
                <w:lang w:val="en-US"/>
              </w:rPr>
              <w:t>Plasma Master File (PMF).</w:t>
            </w:r>
          </w:p>
        </w:tc>
      </w:tr>
      <w:tr w:rsidR="001C6A90" w:rsidRPr="00F70181" w14:paraId="59A67562" w14:textId="77777777" w:rsidTr="00886332">
        <w:tc>
          <w:tcPr>
            <w:tcW w:w="4405" w:type="dxa"/>
          </w:tcPr>
          <w:p w14:paraId="08B43C53"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10.5.6.24</w:t>
            </w:r>
            <w:r w:rsidRPr="008F5C15">
              <w:rPr>
                <w:rFonts w:ascii="Verdana" w:hAnsi="Verdana"/>
                <w:sz w:val="16"/>
                <w:szCs w:val="16"/>
                <w:lang w:val="es-MX"/>
              </w:rPr>
              <w:t xml:space="preserve"> El Expediente Maestro del Plasma (EMP) será diseñado en conjunto por el fabricante de Hemoderivados y los Bancos de Sangre proveedores de plasma y contendrá la información común sobre el plasma, desde la recolección hasta las mezclas de plasma. En donde se incluya la información concerniente para la producción de todas las fracciones intermedias incluyendo, componentes de los excipientes y principios activos.</w:t>
            </w:r>
          </w:p>
        </w:tc>
        <w:tc>
          <w:tcPr>
            <w:tcW w:w="4427" w:type="dxa"/>
          </w:tcPr>
          <w:p w14:paraId="057AF8C6"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10.5.6.24 </w:t>
            </w:r>
            <w:r w:rsidRPr="008F5C15">
              <w:rPr>
                <w:rFonts w:ascii="Verdana" w:hAnsi="Verdana"/>
                <w:sz w:val="16"/>
                <w:szCs w:val="16"/>
                <w:lang w:val="en-US"/>
              </w:rPr>
              <w:t>The Plasma Master File (PMF) will be designed together with the manufacturer of Hemoderivatives and the Blood Banks, suppliers of plasma, and will contain the common information on the plasma, from the collection to the plasma mixtures. Where the information is concluded concerning the production of all the intermediate fractions including, components of the excipient and active materials.</w:t>
            </w:r>
          </w:p>
        </w:tc>
      </w:tr>
      <w:tr w:rsidR="001C6A90" w:rsidRPr="00F70181" w14:paraId="15625B29" w14:textId="77777777" w:rsidTr="00886332">
        <w:tc>
          <w:tcPr>
            <w:tcW w:w="4405" w:type="dxa"/>
          </w:tcPr>
          <w:p w14:paraId="61F205F1"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10.5.6.25</w:t>
            </w:r>
            <w:r w:rsidRPr="008F5C15">
              <w:rPr>
                <w:rFonts w:ascii="Verdana" w:hAnsi="Verdana"/>
                <w:sz w:val="16"/>
                <w:szCs w:val="16"/>
                <w:lang w:val="es-MX"/>
              </w:rPr>
              <w:t xml:space="preserve"> El EMP debe contener como mínimo:</w:t>
            </w:r>
          </w:p>
        </w:tc>
        <w:tc>
          <w:tcPr>
            <w:tcW w:w="4427" w:type="dxa"/>
          </w:tcPr>
          <w:p w14:paraId="1CDAEA7C"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10.5.6.25 </w:t>
            </w:r>
            <w:r w:rsidRPr="008F5C15">
              <w:rPr>
                <w:rFonts w:ascii="Verdana" w:hAnsi="Verdana"/>
                <w:sz w:val="16"/>
                <w:szCs w:val="16"/>
                <w:lang w:val="en-US"/>
              </w:rPr>
              <w:t xml:space="preserve">The PMF must contain as a minimum: </w:t>
            </w:r>
          </w:p>
        </w:tc>
      </w:tr>
      <w:tr w:rsidR="001C6A90" w:rsidRPr="00F70181" w14:paraId="1BF0ED4F" w14:textId="77777777" w:rsidTr="00886332">
        <w:tc>
          <w:tcPr>
            <w:tcW w:w="4405" w:type="dxa"/>
          </w:tcPr>
          <w:p w14:paraId="794FEBA3" w14:textId="77777777" w:rsidR="001C6A90" w:rsidRPr="008F5C15" w:rsidRDefault="001C6A90" w:rsidP="001C6A90">
            <w:pPr>
              <w:pStyle w:val="Texto"/>
              <w:spacing w:after="80" w:line="276" w:lineRule="auto"/>
              <w:ind w:firstLine="0"/>
              <w:rPr>
                <w:rFonts w:ascii="Verdana" w:hAnsi="Verdana"/>
                <w:sz w:val="16"/>
                <w:szCs w:val="16"/>
                <w:lang w:val="es-MX"/>
              </w:rPr>
            </w:pPr>
            <w:r w:rsidRPr="008F5C15">
              <w:rPr>
                <w:rFonts w:ascii="Verdana" w:hAnsi="Verdana"/>
                <w:b/>
                <w:sz w:val="16"/>
                <w:szCs w:val="16"/>
                <w:lang w:val="es-MX"/>
              </w:rPr>
              <w:t xml:space="preserve">10.5.6.25.1 </w:t>
            </w:r>
            <w:r w:rsidRPr="008F5C15">
              <w:rPr>
                <w:rFonts w:ascii="Verdana" w:hAnsi="Verdana"/>
                <w:sz w:val="16"/>
                <w:szCs w:val="16"/>
                <w:lang w:val="es-MX"/>
              </w:rPr>
              <w:t>Identificación y direcciones de los centros de recolección y Bancos de Sangre proveedores de sangre y plasma incluyendo cualquier subcontratista y cualquier sitio separado para el ensayo de las donaciones individuales, para cada Banco de Sangre.</w:t>
            </w:r>
          </w:p>
        </w:tc>
        <w:tc>
          <w:tcPr>
            <w:tcW w:w="4427" w:type="dxa"/>
          </w:tcPr>
          <w:p w14:paraId="0A0FD1D1" w14:textId="77777777" w:rsidR="001C6A90" w:rsidRPr="008F5C15" w:rsidRDefault="001C6A90" w:rsidP="001C6A90">
            <w:pPr>
              <w:pStyle w:val="Texto"/>
              <w:spacing w:after="80" w:line="276" w:lineRule="auto"/>
              <w:ind w:firstLine="0"/>
              <w:rPr>
                <w:rFonts w:ascii="Verdana" w:hAnsi="Verdana"/>
                <w:sz w:val="16"/>
                <w:szCs w:val="16"/>
                <w:lang w:val="en-US"/>
              </w:rPr>
            </w:pPr>
            <w:r w:rsidRPr="008F5C15">
              <w:rPr>
                <w:rFonts w:ascii="Verdana" w:hAnsi="Verdana"/>
                <w:b/>
                <w:sz w:val="16"/>
                <w:szCs w:val="16"/>
                <w:lang w:val="en-US"/>
              </w:rPr>
              <w:t xml:space="preserve">10.5.6.25.1 </w:t>
            </w:r>
            <w:r w:rsidRPr="008F5C15">
              <w:rPr>
                <w:rFonts w:ascii="Verdana" w:hAnsi="Verdana"/>
                <w:sz w:val="16"/>
                <w:szCs w:val="16"/>
                <w:lang w:val="en-US"/>
              </w:rPr>
              <w:t xml:space="preserve">Identification and addresses of the collection centers and Blood Bank suppliers of blood and plasma including any subcontractor and any separate site for the testing of the individual donations for each Blood Bank. </w:t>
            </w:r>
          </w:p>
        </w:tc>
      </w:tr>
      <w:tr w:rsidR="001C6A90" w:rsidRPr="00F70181" w14:paraId="5DE221D2" w14:textId="77777777" w:rsidTr="00886332">
        <w:tc>
          <w:tcPr>
            <w:tcW w:w="4405" w:type="dxa"/>
          </w:tcPr>
          <w:p w14:paraId="04CCB3E3"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10.5.6.25.2 </w:t>
            </w:r>
            <w:r w:rsidRPr="008F5C15">
              <w:rPr>
                <w:rFonts w:ascii="Verdana" w:hAnsi="Verdana"/>
                <w:sz w:val="16"/>
                <w:szCs w:val="16"/>
                <w:lang w:val="es-MX"/>
              </w:rPr>
              <w:t>Demostración de la evaluación y aceptación de proveedores de plasma como materia prima farmacéutica.</w:t>
            </w:r>
          </w:p>
        </w:tc>
        <w:tc>
          <w:tcPr>
            <w:tcW w:w="4427" w:type="dxa"/>
          </w:tcPr>
          <w:p w14:paraId="3C1DCA2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10.5.6.25.2</w:t>
            </w:r>
            <w:r w:rsidRPr="008F5C15">
              <w:rPr>
                <w:rFonts w:ascii="Verdana" w:hAnsi="Verdana"/>
                <w:sz w:val="16"/>
                <w:szCs w:val="16"/>
                <w:lang w:val="en-US"/>
              </w:rPr>
              <w:t xml:space="preserve"> Demonstration of the evaluation and acceptance of suppliers of plasma as a pharmaceutical raw material. </w:t>
            </w:r>
          </w:p>
        </w:tc>
      </w:tr>
      <w:tr w:rsidR="001C6A90" w:rsidRPr="00F70181" w14:paraId="7D4E59CC" w14:textId="77777777" w:rsidTr="00886332">
        <w:tc>
          <w:tcPr>
            <w:tcW w:w="4405" w:type="dxa"/>
          </w:tcPr>
          <w:p w14:paraId="473870B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10.5.6.25.3</w:t>
            </w:r>
            <w:r w:rsidRPr="008F5C15">
              <w:rPr>
                <w:rFonts w:ascii="Verdana" w:hAnsi="Verdana"/>
                <w:sz w:val="16"/>
                <w:szCs w:val="16"/>
                <w:lang w:val="es-MX"/>
              </w:rPr>
              <w:t xml:space="preserve"> Constancia de que los Bancos de Sangre se encuentran autorizados por la COFEPRIS, así como de que son inspeccionados regularmente por la COFEPRIS en coordinación con el Centro Nacional de la Transfusión Sanguínea (CNTS), conforme al instrumento consensual que para tal fin se suscriba.</w:t>
            </w:r>
          </w:p>
        </w:tc>
        <w:tc>
          <w:tcPr>
            <w:tcW w:w="4427" w:type="dxa"/>
          </w:tcPr>
          <w:p w14:paraId="5B483CB9"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10.5.6.25.3 </w:t>
            </w:r>
            <w:r w:rsidRPr="008F5C15">
              <w:rPr>
                <w:rFonts w:ascii="Verdana" w:hAnsi="Verdana"/>
                <w:sz w:val="16"/>
                <w:szCs w:val="16"/>
                <w:lang w:val="en-US"/>
              </w:rPr>
              <w:t xml:space="preserve">Documentation that the Blood Banks are found authorized by COFEPRIS, as well as being regularly inspected by COFEPRIS in coordination with the National Center of Blood Transfusion (CNTS) according to the consensual instrument that is executed for the purpose. </w:t>
            </w:r>
          </w:p>
        </w:tc>
      </w:tr>
      <w:tr w:rsidR="001C6A90" w:rsidRPr="00F70181" w14:paraId="02FC88A5" w14:textId="77777777" w:rsidTr="00886332">
        <w:tc>
          <w:tcPr>
            <w:tcW w:w="4405" w:type="dxa"/>
          </w:tcPr>
          <w:p w14:paraId="41D7EA16"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10.5.6.25.4</w:t>
            </w:r>
            <w:r w:rsidRPr="008F5C15">
              <w:rPr>
                <w:rFonts w:ascii="Verdana" w:hAnsi="Verdana"/>
                <w:sz w:val="16"/>
                <w:szCs w:val="16"/>
                <w:lang w:val="es-MX"/>
              </w:rPr>
              <w:t xml:space="preserve"> Información sobre las auditorías realizadas por o en nombre del solicitante/titular del Registro de Medicamentos del producto y sobre cualquier certificación por otras organizaciones (nombre y frecuencia).</w:t>
            </w:r>
          </w:p>
        </w:tc>
        <w:tc>
          <w:tcPr>
            <w:tcW w:w="4427" w:type="dxa"/>
          </w:tcPr>
          <w:p w14:paraId="133C14F4"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10.5.6.25.4 </w:t>
            </w:r>
            <w:r w:rsidRPr="008F5C15">
              <w:rPr>
                <w:rFonts w:ascii="Verdana" w:hAnsi="Verdana"/>
                <w:sz w:val="16"/>
                <w:szCs w:val="16"/>
                <w:lang w:val="en-US"/>
              </w:rPr>
              <w:t xml:space="preserve">Information on the audits carried out by/or in the name of the applicant/holder of the Registration of Drug Products of the product and on any certification by other organizations (name and frequency). </w:t>
            </w:r>
          </w:p>
        </w:tc>
      </w:tr>
      <w:tr w:rsidR="001C6A90" w:rsidRPr="00F70181" w14:paraId="5F439C9B" w14:textId="77777777" w:rsidTr="00886332">
        <w:tc>
          <w:tcPr>
            <w:tcW w:w="4405" w:type="dxa"/>
          </w:tcPr>
          <w:p w14:paraId="2D12D7AB"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 xml:space="preserve">10.5.6.25.5 </w:t>
            </w:r>
            <w:r w:rsidRPr="008F5C15">
              <w:rPr>
                <w:rFonts w:ascii="Verdana" w:hAnsi="Verdana"/>
                <w:sz w:val="16"/>
                <w:szCs w:val="16"/>
                <w:lang w:val="es-MX"/>
              </w:rPr>
              <w:t>Copia del convenio o contrato entre el fabricante de Hemoderivados y los Bancos de Sangre proveedores de plasma.</w:t>
            </w:r>
          </w:p>
        </w:tc>
        <w:tc>
          <w:tcPr>
            <w:tcW w:w="4427" w:type="dxa"/>
          </w:tcPr>
          <w:p w14:paraId="46E877AA"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10.5.6.25.5 </w:t>
            </w:r>
            <w:r w:rsidRPr="008F5C15">
              <w:rPr>
                <w:rFonts w:ascii="Verdana" w:hAnsi="Verdana"/>
                <w:sz w:val="16"/>
                <w:szCs w:val="16"/>
                <w:lang w:val="en-US"/>
              </w:rPr>
              <w:t>Copy of the agreement or contract between the manufacturer of Hemoderivatives and the Blood Banks suppliers of plasma.</w:t>
            </w:r>
          </w:p>
        </w:tc>
      </w:tr>
      <w:tr w:rsidR="001C6A90" w:rsidRPr="00F70181" w14:paraId="16C02282" w14:textId="77777777" w:rsidTr="00886332">
        <w:tc>
          <w:tcPr>
            <w:tcW w:w="4405" w:type="dxa"/>
          </w:tcPr>
          <w:p w14:paraId="3FDBDD12"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lastRenderedPageBreak/>
              <w:t>10.5.6.25.6</w:t>
            </w:r>
            <w:r w:rsidRPr="008F5C15">
              <w:rPr>
                <w:rFonts w:ascii="Verdana" w:hAnsi="Verdana"/>
                <w:sz w:val="16"/>
                <w:szCs w:val="16"/>
                <w:lang w:val="es-MX"/>
              </w:rPr>
              <w:t xml:space="preserve"> Información sobre el tipo de donación, según procedencia del plasma en: sangre fraccionada de sangre total o plasmaféresis, y el tipo de donantes.</w:t>
            </w:r>
          </w:p>
        </w:tc>
        <w:tc>
          <w:tcPr>
            <w:tcW w:w="4427" w:type="dxa"/>
          </w:tcPr>
          <w:p w14:paraId="70BCD18E"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10.5.6.25.6 </w:t>
            </w:r>
            <w:r w:rsidRPr="008F5C15">
              <w:rPr>
                <w:rFonts w:ascii="Verdana" w:hAnsi="Verdana"/>
                <w:sz w:val="16"/>
                <w:szCs w:val="16"/>
                <w:lang w:val="en-US"/>
              </w:rPr>
              <w:t xml:space="preserve">Information on the type of donation according to the origin of the plasma in: total fractioned blood or plasmapheresis, and the type of donors. </w:t>
            </w:r>
          </w:p>
        </w:tc>
      </w:tr>
      <w:tr w:rsidR="001C6A90" w:rsidRPr="00F70181" w14:paraId="35340BF6" w14:textId="77777777" w:rsidTr="00886332">
        <w:tc>
          <w:tcPr>
            <w:tcW w:w="4405" w:type="dxa"/>
          </w:tcPr>
          <w:p w14:paraId="63F89AAF"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10.5.6.25.7</w:t>
            </w:r>
            <w:r w:rsidRPr="008F5C15">
              <w:rPr>
                <w:rFonts w:ascii="Verdana" w:hAnsi="Verdana"/>
                <w:sz w:val="16"/>
                <w:szCs w:val="16"/>
                <w:lang w:val="es-MX"/>
              </w:rPr>
              <w:t xml:space="preserve"> Los registros de los donantes de plasma y su caracterización, de acuerdo a los procedimientos que definan los criterios de selección, los resultados de las pruebas de detección de enfermedades infecciosas de transmisión sanguínea y los registros de selección/exclusión de donantes de acuerdo al punto 2.14 del apartado de referencias de esta Norma y a la FEUM.</w:t>
            </w:r>
          </w:p>
        </w:tc>
        <w:tc>
          <w:tcPr>
            <w:tcW w:w="4427" w:type="dxa"/>
          </w:tcPr>
          <w:p w14:paraId="5353140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10.5.6.25.7 </w:t>
            </w:r>
            <w:r w:rsidRPr="008F5C15">
              <w:rPr>
                <w:rFonts w:ascii="Verdana" w:hAnsi="Verdana"/>
                <w:sz w:val="16"/>
                <w:szCs w:val="16"/>
                <w:lang w:val="en-US"/>
              </w:rPr>
              <w:t xml:space="preserve">The records of the donors of plasma and their characterization, according to the procedures defined in the selection criteria, the results of the tests for the detection of infectious diseases transmitted by blood and the records of selection/exclusion of donors according to point 2.14 of the References of this Standard and the FEUM (Pharmacopeia of the United Mexican States). </w:t>
            </w:r>
          </w:p>
        </w:tc>
      </w:tr>
      <w:tr w:rsidR="001C6A90" w:rsidRPr="00F70181" w14:paraId="6D0D6D30" w14:textId="77777777" w:rsidTr="00886332">
        <w:tc>
          <w:tcPr>
            <w:tcW w:w="4405" w:type="dxa"/>
          </w:tcPr>
          <w:p w14:paraId="28BBB7C8" w14:textId="77777777" w:rsidR="001C6A90" w:rsidRPr="008F5C15" w:rsidRDefault="001C6A90" w:rsidP="001C6A90">
            <w:pPr>
              <w:pStyle w:val="Texto"/>
              <w:spacing w:line="276" w:lineRule="auto"/>
              <w:ind w:firstLine="0"/>
              <w:rPr>
                <w:rFonts w:ascii="Verdana" w:hAnsi="Verdana"/>
                <w:sz w:val="16"/>
                <w:szCs w:val="16"/>
                <w:lang w:val="es-MX"/>
              </w:rPr>
            </w:pPr>
            <w:r w:rsidRPr="008F5C15">
              <w:rPr>
                <w:rFonts w:ascii="Verdana" w:hAnsi="Verdana"/>
                <w:b/>
                <w:sz w:val="16"/>
                <w:szCs w:val="16"/>
                <w:lang w:val="es-MX"/>
              </w:rPr>
              <w:t>10.5.6.25.8</w:t>
            </w:r>
            <w:r w:rsidRPr="008F5C15">
              <w:rPr>
                <w:rFonts w:ascii="Verdana" w:hAnsi="Verdana"/>
                <w:sz w:val="16"/>
                <w:szCs w:val="16"/>
                <w:lang w:val="es-MX"/>
              </w:rPr>
              <w:t xml:space="preserve"> Información sobre los ensayos utilizados para la detección de agentes infecciosos y su validación que incluya como mínimo: nombre comercial, fabricante, número de registro del kit de diagnóstico si se encuentra registrado en el país, o en su defecto, certificación que avale su calidad, los niveles de detección, sensibilidad y especificidad resumidos según tabla 1, así como el criterio de aceptabilidad o rechazo, incluyendo la política de reensayos y pruebas confirmatorias y sus algoritmos.</w:t>
            </w:r>
          </w:p>
        </w:tc>
        <w:tc>
          <w:tcPr>
            <w:tcW w:w="4427" w:type="dxa"/>
          </w:tcPr>
          <w:p w14:paraId="44863E36" w14:textId="77777777" w:rsidR="001C6A90" w:rsidRPr="008F5C15" w:rsidRDefault="001C6A90" w:rsidP="001C6A90">
            <w:pPr>
              <w:pStyle w:val="Texto"/>
              <w:spacing w:line="276" w:lineRule="auto"/>
              <w:ind w:firstLine="0"/>
              <w:rPr>
                <w:rFonts w:ascii="Verdana" w:hAnsi="Verdana"/>
                <w:sz w:val="16"/>
                <w:szCs w:val="16"/>
                <w:lang w:val="en-US"/>
              </w:rPr>
            </w:pPr>
            <w:r w:rsidRPr="008F5C15">
              <w:rPr>
                <w:rFonts w:ascii="Verdana" w:hAnsi="Verdana"/>
                <w:b/>
                <w:sz w:val="16"/>
                <w:szCs w:val="16"/>
                <w:lang w:val="en-US"/>
              </w:rPr>
              <w:t xml:space="preserve">10.5.6.25.8 </w:t>
            </w:r>
            <w:r w:rsidRPr="008F5C15">
              <w:rPr>
                <w:rFonts w:ascii="Verdana" w:hAnsi="Verdana"/>
                <w:sz w:val="16"/>
                <w:szCs w:val="16"/>
                <w:lang w:val="en-US"/>
              </w:rPr>
              <w:t xml:space="preserve">Information on the tests used for the detection of infectious agents and their validation that includes as a minimum: commercial name, manufacturer, registration number of the diagnostic kit if it is registered in the country, or in its absence, certification that supports its quality, the levels of detection, sensitivity and specificity summarized according to Table 1, as well as the acceptance and rejection criteria, including the policy of retesting and confirmatory tests and their algorithms. </w:t>
            </w:r>
          </w:p>
        </w:tc>
      </w:tr>
    </w:tbl>
    <w:p w14:paraId="3722C6E5" w14:textId="77777777" w:rsidR="00262EF8" w:rsidRDefault="00262EF8" w:rsidP="005C0901">
      <w:pPr>
        <w:pStyle w:val="Texto"/>
        <w:spacing w:line="276" w:lineRule="auto"/>
        <w:rPr>
          <w:rFonts w:ascii="Verdana" w:hAnsi="Verdana"/>
          <w:sz w:val="16"/>
          <w:szCs w:val="16"/>
          <w:lang w:val="en-US"/>
        </w:rPr>
      </w:pPr>
    </w:p>
    <w:p w14:paraId="4C350DCA" w14:textId="77777777" w:rsidR="00C62B4C" w:rsidRPr="00C62B4C" w:rsidRDefault="00C62B4C" w:rsidP="00C62B4C">
      <w:pPr>
        <w:pStyle w:val="Texto"/>
        <w:spacing w:line="276" w:lineRule="auto"/>
        <w:jc w:val="center"/>
        <w:rPr>
          <w:rFonts w:ascii="Verdana" w:hAnsi="Verdana"/>
          <w:b/>
          <w:sz w:val="16"/>
          <w:szCs w:val="16"/>
          <w:lang w:val="en-US"/>
        </w:rPr>
      </w:pPr>
      <w:r>
        <w:rPr>
          <w:rFonts w:ascii="Verdana" w:hAnsi="Verdana"/>
          <w:b/>
          <w:sz w:val="16"/>
          <w:szCs w:val="16"/>
          <w:lang w:val="en-US"/>
        </w:rPr>
        <w:t>TABLA 1</w:t>
      </w:r>
    </w:p>
    <w:tbl>
      <w:tblPr>
        <w:tblW w:w="8712" w:type="dxa"/>
        <w:jc w:val="center"/>
        <w:tblCellMar>
          <w:left w:w="72" w:type="dxa"/>
          <w:right w:w="72" w:type="dxa"/>
        </w:tblCellMar>
        <w:tblLook w:val="0000" w:firstRow="0" w:lastRow="0" w:firstColumn="0" w:lastColumn="0" w:noHBand="0" w:noVBand="0"/>
      </w:tblPr>
      <w:tblGrid>
        <w:gridCol w:w="1352"/>
        <w:gridCol w:w="1193"/>
        <w:gridCol w:w="1200"/>
        <w:gridCol w:w="1096"/>
        <w:gridCol w:w="1227"/>
        <w:gridCol w:w="1316"/>
        <w:gridCol w:w="1328"/>
      </w:tblGrid>
      <w:tr w:rsidR="0092514C" w:rsidRPr="00262EF8" w14:paraId="4DD56099" w14:textId="77777777">
        <w:trPr>
          <w:cantSplit/>
          <w:trHeight w:val="20"/>
          <w:jc w:val="center"/>
        </w:trPr>
        <w:tc>
          <w:tcPr>
            <w:tcW w:w="1352" w:type="dxa"/>
            <w:vMerge w:val="restart"/>
            <w:tcBorders>
              <w:top w:val="single" w:sz="6" w:space="0" w:color="auto"/>
              <w:left w:val="single" w:sz="6" w:space="0" w:color="auto"/>
              <w:right w:val="single" w:sz="6" w:space="0" w:color="auto"/>
            </w:tcBorders>
            <w:noWrap/>
            <w:vAlign w:val="center"/>
          </w:tcPr>
          <w:p w14:paraId="2A5EECFB" w14:textId="77777777" w:rsidR="0092514C" w:rsidRPr="00D429B4" w:rsidRDefault="0092514C" w:rsidP="005C0901">
            <w:pPr>
              <w:pStyle w:val="Texto"/>
              <w:spacing w:line="276" w:lineRule="auto"/>
              <w:ind w:firstLine="0"/>
              <w:jc w:val="center"/>
              <w:rPr>
                <w:rFonts w:ascii="Verdana" w:hAnsi="Verdana"/>
                <w:b/>
                <w:sz w:val="16"/>
                <w:szCs w:val="16"/>
                <w:lang w:val="es-MX"/>
              </w:rPr>
            </w:pPr>
            <w:r w:rsidRPr="00D429B4">
              <w:rPr>
                <w:rFonts w:ascii="Verdana" w:hAnsi="Verdana"/>
                <w:b/>
                <w:sz w:val="16"/>
                <w:szCs w:val="16"/>
                <w:lang w:val="es-MX"/>
              </w:rPr>
              <w:t>Parámetro</w:t>
            </w:r>
          </w:p>
        </w:tc>
        <w:tc>
          <w:tcPr>
            <w:tcW w:w="1202" w:type="dxa"/>
            <w:vMerge w:val="restart"/>
            <w:tcBorders>
              <w:top w:val="single" w:sz="6" w:space="0" w:color="auto"/>
              <w:left w:val="single" w:sz="6" w:space="0" w:color="auto"/>
              <w:right w:val="single" w:sz="6" w:space="0" w:color="auto"/>
            </w:tcBorders>
            <w:vAlign w:val="center"/>
          </w:tcPr>
          <w:p w14:paraId="16B6108F" w14:textId="77777777" w:rsidR="0092514C" w:rsidRPr="00D429B4" w:rsidRDefault="0092514C" w:rsidP="005C0901">
            <w:pPr>
              <w:pStyle w:val="Texto"/>
              <w:spacing w:line="276" w:lineRule="auto"/>
              <w:ind w:firstLine="0"/>
              <w:jc w:val="center"/>
              <w:rPr>
                <w:rFonts w:ascii="Verdana" w:hAnsi="Verdana"/>
                <w:b/>
                <w:sz w:val="16"/>
                <w:szCs w:val="16"/>
                <w:lang w:val="es-MX"/>
              </w:rPr>
            </w:pPr>
            <w:r w:rsidRPr="00D429B4">
              <w:rPr>
                <w:rFonts w:ascii="Verdana" w:hAnsi="Verdana"/>
                <w:b/>
                <w:sz w:val="16"/>
                <w:szCs w:val="16"/>
                <w:lang w:val="es-MX"/>
              </w:rPr>
              <w:t>Método de Evaluación</w:t>
            </w:r>
          </w:p>
        </w:tc>
        <w:tc>
          <w:tcPr>
            <w:tcW w:w="1202" w:type="dxa"/>
            <w:vMerge w:val="restart"/>
            <w:tcBorders>
              <w:top w:val="single" w:sz="6" w:space="0" w:color="auto"/>
              <w:left w:val="single" w:sz="6" w:space="0" w:color="auto"/>
              <w:right w:val="single" w:sz="6" w:space="0" w:color="auto"/>
            </w:tcBorders>
            <w:vAlign w:val="center"/>
          </w:tcPr>
          <w:p w14:paraId="61A5FA57" w14:textId="77777777" w:rsidR="0092514C" w:rsidRPr="00D429B4" w:rsidRDefault="0092514C" w:rsidP="005C0901">
            <w:pPr>
              <w:pStyle w:val="Texto"/>
              <w:spacing w:line="276" w:lineRule="auto"/>
              <w:ind w:firstLine="0"/>
              <w:jc w:val="center"/>
              <w:rPr>
                <w:rFonts w:ascii="Verdana" w:hAnsi="Verdana"/>
                <w:b/>
                <w:sz w:val="16"/>
                <w:szCs w:val="16"/>
                <w:lang w:val="es-MX"/>
              </w:rPr>
            </w:pPr>
            <w:r w:rsidRPr="00D429B4">
              <w:rPr>
                <w:rFonts w:ascii="Verdana" w:hAnsi="Verdana"/>
                <w:b/>
                <w:sz w:val="16"/>
                <w:szCs w:val="16"/>
                <w:lang w:val="es-MX"/>
              </w:rPr>
              <w:t>Marca comercial del kit de diagnóstico</w:t>
            </w:r>
          </w:p>
        </w:tc>
        <w:tc>
          <w:tcPr>
            <w:tcW w:w="1051" w:type="dxa"/>
            <w:vMerge w:val="restart"/>
            <w:tcBorders>
              <w:top w:val="single" w:sz="6" w:space="0" w:color="auto"/>
              <w:left w:val="single" w:sz="6" w:space="0" w:color="auto"/>
              <w:right w:val="single" w:sz="6" w:space="0" w:color="auto"/>
            </w:tcBorders>
            <w:vAlign w:val="center"/>
          </w:tcPr>
          <w:p w14:paraId="3781C4E1" w14:textId="77777777" w:rsidR="0092514C" w:rsidRPr="00D429B4" w:rsidRDefault="0092514C" w:rsidP="005C0901">
            <w:pPr>
              <w:pStyle w:val="Texto"/>
              <w:spacing w:line="276" w:lineRule="auto"/>
              <w:ind w:firstLine="0"/>
              <w:jc w:val="center"/>
              <w:rPr>
                <w:rFonts w:ascii="Verdana" w:hAnsi="Verdana"/>
                <w:b/>
                <w:sz w:val="16"/>
                <w:szCs w:val="16"/>
                <w:lang w:val="es-MX"/>
              </w:rPr>
            </w:pPr>
            <w:r w:rsidRPr="00D429B4">
              <w:rPr>
                <w:rFonts w:ascii="Verdana" w:hAnsi="Verdana"/>
                <w:b/>
                <w:sz w:val="16"/>
                <w:szCs w:val="16"/>
                <w:lang w:val="es-MX"/>
              </w:rPr>
              <w:t>Fabricante</w:t>
            </w:r>
          </w:p>
        </w:tc>
        <w:tc>
          <w:tcPr>
            <w:tcW w:w="2554" w:type="dxa"/>
            <w:gridSpan w:val="2"/>
            <w:tcBorders>
              <w:top w:val="single" w:sz="6" w:space="0" w:color="auto"/>
              <w:left w:val="single" w:sz="6" w:space="0" w:color="auto"/>
              <w:bottom w:val="single" w:sz="6" w:space="0" w:color="auto"/>
              <w:right w:val="single" w:sz="6" w:space="0" w:color="auto"/>
            </w:tcBorders>
            <w:vAlign w:val="center"/>
          </w:tcPr>
          <w:p w14:paraId="086ACD73" w14:textId="77777777" w:rsidR="0092514C" w:rsidRPr="00D429B4" w:rsidRDefault="0092514C" w:rsidP="005C0901">
            <w:pPr>
              <w:pStyle w:val="Texto"/>
              <w:spacing w:line="276" w:lineRule="auto"/>
              <w:ind w:firstLine="0"/>
              <w:jc w:val="center"/>
              <w:rPr>
                <w:rFonts w:ascii="Verdana" w:hAnsi="Verdana"/>
                <w:b/>
                <w:sz w:val="16"/>
                <w:szCs w:val="16"/>
                <w:lang w:val="es-MX"/>
              </w:rPr>
            </w:pPr>
            <w:r w:rsidRPr="00D429B4">
              <w:rPr>
                <w:rFonts w:ascii="Verdana" w:hAnsi="Verdana"/>
                <w:b/>
                <w:sz w:val="16"/>
                <w:szCs w:val="16"/>
                <w:lang w:val="es-MX"/>
              </w:rPr>
              <w:t>Usado para</w:t>
            </w:r>
          </w:p>
        </w:tc>
        <w:tc>
          <w:tcPr>
            <w:tcW w:w="1351" w:type="dxa"/>
            <w:vMerge w:val="restart"/>
            <w:tcBorders>
              <w:top w:val="single" w:sz="6" w:space="0" w:color="auto"/>
              <w:left w:val="single" w:sz="6" w:space="0" w:color="auto"/>
              <w:right w:val="single" w:sz="6" w:space="0" w:color="auto"/>
            </w:tcBorders>
            <w:vAlign w:val="center"/>
          </w:tcPr>
          <w:p w14:paraId="045862DD" w14:textId="77777777" w:rsidR="0092514C" w:rsidRPr="00D429B4" w:rsidRDefault="0092514C" w:rsidP="005C0901">
            <w:pPr>
              <w:pStyle w:val="Texto"/>
              <w:spacing w:line="276" w:lineRule="auto"/>
              <w:ind w:firstLine="0"/>
              <w:jc w:val="center"/>
              <w:rPr>
                <w:rFonts w:ascii="Verdana" w:hAnsi="Verdana"/>
                <w:b/>
                <w:sz w:val="16"/>
                <w:szCs w:val="16"/>
                <w:lang w:val="es-MX"/>
              </w:rPr>
            </w:pPr>
            <w:r w:rsidRPr="00D429B4">
              <w:rPr>
                <w:rFonts w:ascii="Verdana" w:hAnsi="Verdana"/>
                <w:b/>
                <w:sz w:val="16"/>
                <w:szCs w:val="16"/>
                <w:lang w:val="es-MX"/>
              </w:rPr>
              <w:t>Lugar de evaluación</w:t>
            </w:r>
          </w:p>
        </w:tc>
      </w:tr>
      <w:tr w:rsidR="0092514C" w:rsidRPr="00262EF8" w14:paraId="59E9522F" w14:textId="77777777">
        <w:trPr>
          <w:cantSplit/>
          <w:trHeight w:val="20"/>
          <w:jc w:val="center"/>
        </w:trPr>
        <w:tc>
          <w:tcPr>
            <w:tcW w:w="1352" w:type="dxa"/>
            <w:vMerge/>
            <w:tcBorders>
              <w:left w:val="single" w:sz="6" w:space="0" w:color="auto"/>
              <w:bottom w:val="single" w:sz="6" w:space="0" w:color="auto"/>
              <w:right w:val="single" w:sz="6" w:space="0" w:color="auto"/>
            </w:tcBorders>
            <w:vAlign w:val="center"/>
          </w:tcPr>
          <w:p w14:paraId="0DE79CC9" w14:textId="77777777" w:rsidR="0092514C" w:rsidRPr="00D429B4" w:rsidRDefault="0092514C" w:rsidP="005C0901">
            <w:pPr>
              <w:pStyle w:val="Texto"/>
              <w:spacing w:line="276" w:lineRule="auto"/>
              <w:ind w:firstLine="0"/>
              <w:jc w:val="center"/>
              <w:rPr>
                <w:rFonts w:ascii="Verdana" w:hAnsi="Verdana"/>
                <w:sz w:val="16"/>
                <w:szCs w:val="16"/>
                <w:lang w:val="es-MX"/>
              </w:rPr>
            </w:pPr>
          </w:p>
        </w:tc>
        <w:tc>
          <w:tcPr>
            <w:tcW w:w="1202" w:type="dxa"/>
            <w:vMerge/>
            <w:tcBorders>
              <w:left w:val="single" w:sz="6" w:space="0" w:color="auto"/>
              <w:bottom w:val="single" w:sz="6" w:space="0" w:color="auto"/>
              <w:right w:val="single" w:sz="6" w:space="0" w:color="auto"/>
            </w:tcBorders>
            <w:vAlign w:val="center"/>
          </w:tcPr>
          <w:p w14:paraId="09767E46" w14:textId="77777777" w:rsidR="0092514C" w:rsidRPr="00D429B4" w:rsidRDefault="0092514C" w:rsidP="005C0901">
            <w:pPr>
              <w:pStyle w:val="Texto"/>
              <w:spacing w:line="276" w:lineRule="auto"/>
              <w:ind w:firstLine="0"/>
              <w:jc w:val="center"/>
              <w:rPr>
                <w:rFonts w:ascii="Verdana" w:hAnsi="Verdana"/>
                <w:sz w:val="16"/>
                <w:szCs w:val="16"/>
                <w:lang w:val="es-MX"/>
              </w:rPr>
            </w:pPr>
          </w:p>
        </w:tc>
        <w:tc>
          <w:tcPr>
            <w:tcW w:w="1202" w:type="dxa"/>
            <w:vMerge/>
            <w:tcBorders>
              <w:left w:val="single" w:sz="6" w:space="0" w:color="auto"/>
              <w:bottom w:val="single" w:sz="6" w:space="0" w:color="auto"/>
              <w:right w:val="single" w:sz="6" w:space="0" w:color="auto"/>
            </w:tcBorders>
            <w:vAlign w:val="center"/>
          </w:tcPr>
          <w:p w14:paraId="21D70033" w14:textId="77777777" w:rsidR="0092514C" w:rsidRPr="00D429B4" w:rsidRDefault="0092514C" w:rsidP="005C0901">
            <w:pPr>
              <w:pStyle w:val="Texto"/>
              <w:spacing w:line="276" w:lineRule="auto"/>
              <w:ind w:firstLine="0"/>
              <w:jc w:val="center"/>
              <w:rPr>
                <w:rFonts w:ascii="Verdana" w:hAnsi="Verdana"/>
                <w:sz w:val="16"/>
                <w:szCs w:val="16"/>
                <w:lang w:val="es-MX"/>
              </w:rPr>
            </w:pPr>
          </w:p>
        </w:tc>
        <w:tc>
          <w:tcPr>
            <w:tcW w:w="1051" w:type="dxa"/>
            <w:vMerge/>
            <w:tcBorders>
              <w:left w:val="single" w:sz="6" w:space="0" w:color="auto"/>
              <w:bottom w:val="single" w:sz="6" w:space="0" w:color="auto"/>
              <w:right w:val="single" w:sz="6" w:space="0" w:color="auto"/>
            </w:tcBorders>
            <w:vAlign w:val="center"/>
          </w:tcPr>
          <w:p w14:paraId="502F63EB" w14:textId="77777777" w:rsidR="0092514C" w:rsidRPr="00D429B4" w:rsidRDefault="0092514C" w:rsidP="005C0901">
            <w:pPr>
              <w:pStyle w:val="Texto"/>
              <w:spacing w:line="276" w:lineRule="auto"/>
              <w:ind w:firstLine="0"/>
              <w:jc w:val="center"/>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vAlign w:val="center"/>
          </w:tcPr>
          <w:p w14:paraId="4518FB79" w14:textId="77777777" w:rsidR="0092514C" w:rsidRPr="00D429B4" w:rsidRDefault="0092514C" w:rsidP="005C0901">
            <w:pPr>
              <w:pStyle w:val="Texto"/>
              <w:spacing w:line="276" w:lineRule="auto"/>
              <w:ind w:firstLine="0"/>
              <w:jc w:val="center"/>
              <w:rPr>
                <w:rFonts w:ascii="Verdana" w:hAnsi="Verdana"/>
                <w:b/>
                <w:sz w:val="16"/>
                <w:szCs w:val="16"/>
                <w:lang w:val="es-MX"/>
              </w:rPr>
            </w:pPr>
            <w:r w:rsidRPr="00D429B4">
              <w:rPr>
                <w:rFonts w:ascii="Verdana" w:hAnsi="Verdana"/>
                <w:b/>
                <w:sz w:val="16"/>
                <w:szCs w:val="16"/>
                <w:lang w:val="es-MX"/>
              </w:rPr>
              <w:t>Donaciones individuales</w:t>
            </w:r>
          </w:p>
        </w:tc>
        <w:tc>
          <w:tcPr>
            <w:tcW w:w="1352" w:type="dxa"/>
            <w:tcBorders>
              <w:top w:val="single" w:sz="6" w:space="0" w:color="auto"/>
              <w:left w:val="single" w:sz="6" w:space="0" w:color="auto"/>
              <w:bottom w:val="single" w:sz="6" w:space="0" w:color="auto"/>
              <w:right w:val="single" w:sz="6" w:space="0" w:color="auto"/>
            </w:tcBorders>
            <w:vAlign w:val="center"/>
          </w:tcPr>
          <w:p w14:paraId="6A742746" w14:textId="77777777" w:rsidR="0092514C" w:rsidRPr="00D429B4" w:rsidRDefault="00B12EE3" w:rsidP="005C0901">
            <w:pPr>
              <w:pStyle w:val="Texto"/>
              <w:spacing w:line="276" w:lineRule="auto"/>
              <w:ind w:firstLine="0"/>
              <w:jc w:val="center"/>
              <w:rPr>
                <w:rFonts w:ascii="Verdana" w:hAnsi="Verdana"/>
                <w:b/>
                <w:sz w:val="16"/>
                <w:szCs w:val="16"/>
                <w:lang w:val="es-MX"/>
              </w:rPr>
            </w:pPr>
            <w:r w:rsidRPr="00D429B4">
              <w:rPr>
                <w:rFonts w:ascii="Verdana" w:hAnsi="Verdana"/>
                <w:b/>
                <w:sz w:val="16"/>
                <w:szCs w:val="16"/>
                <w:lang w:val="es-MX"/>
              </w:rPr>
              <w:t>Mini mezclas</w:t>
            </w:r>
            <w:r w:rsidR="0092514C" w:rsidRPr="00D429B4">
              <w:rPr>
                <w:rFonts w:ascii="Verdana" w:hAnsi="Verdana"/>
                <w:b/>
                <w:sz w:val="16"/>
                <w:szCs w:val="16"/>
                <w:lang w:val="es-MX"/>
              </w:rPr>
              <w:t>/ Mezclas de plasma</w:t>
            </w:r>
          </w:p>
        </w:tc>
        <w:tc>
          <w:tcPr>
            <w:tcW w:w="1351" w:type="dxa"/>
            <w:vMerge/>
            <w:tcBorders>
              <w:left w:val="single" w:sz="6" w:space="0" w:color="auto"/>
              <w:bottom w:val="single" w:sz="6" w:space="0" w:color="auto"/>
              <w:right w:val="single" w:sz="6" w:space="0" w:color="auto"/>
            </w:tcBorders>
            <w:vAlign w:val="center"/>
          </w:tcPr>
          <w:p w14:paraId="05138BDD" w14:textId="77777777" w:rsidR="0092514C" w:rsidRPr="00D429B4" w:rsidRDefault="0092514C" w:rsidP="005C0901">
            <w:pPr>
              <w:pStyle w:val="Texto"/>
              <w:spacing w:line="276" w:lineRule="auto"/>
              <w:ind w:firstLine="0"/>
              <w:jc w:val="center"/>
              <w:rPr>
                <w:rFonts w:ascii="Verdana" w:hAnsi="Verdana"/>
                <w:sz w:val="16"/>
                <w:szCs w:val="16"/>
                <w:lang w:val="es-MX"/>
              </w:rPr>
            </w:pPr>
          </w:p>
        </w:tc>
      </w:tr>
      <w:tr w:rsidR="0092514C" w:rsidRPr="00262EF8" w14:paraId="5C3BFC96" w14:textId="77777777">
        <w:trPr>
          <w:cantSplit/>
          <w:trHeight w:val="20"/>
          <w:jc w:val="center"/>
        </w:trPr>
        <w:tc>
          <w:tcPr>
            <w:tcW w:w="1352" w:type="dxa"/>
            <w:tcBorders>
              <w:top w:val="single" w:sz="6" w:space="0" w:color="auto"/>
              <w:left w:val="single" w:sz="6" w:space="0" w:color="auto"/>
              <w:bottom w:val="single" w:sz="6" w:space="0" w:color="auto"/>
              <w:right w:val="single" w:sz="6" w:space="0" w:color="auto"/>
            </w:tcBorders>
          </w:tcPr>
          <w:p w14:paraId="6702B80D"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HBsAg</w:t>
            </w:r>
          </w:p>
        </w:tc>
        <w:tc>
          <w:tcPr>
            <w:tcW w:w="1202" w:type="dxa"/>
            <w:tcBorders>
              <w:top w:val="single" w:sz="6" w:space="0" w:color="auto"/>
              <w:left w:val="single" w:sz="6" w:space="0" w:color="auto"/>
              <w:bottom w:val="single" w:sz="6" w:space="0" w:color="auto"/>
              <w:right w:val="single" w:sz="6" w:space="0" w:color="auto"/>
            </w:tcBorders>
          </w:tcPr>
          <w:p w14:paraId="6E5BC8E6" w14:textId="77777777" w:rsidR="0092514C" w:rsidRPr="00D429B4" w:rsidRDefault="0092514C" w:rsidP="005C0901">
            <w:pPr>
              <w:pStyle w:val="Texto"/>
              <w:spacing w:line="276" w:lineRule="auto"/>
              <w:ind w:firstLine="0"/>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tcPr>
          <w:p w14:paraId="52371B43" w14:textId="77777777" w:rsidR="0092514C" w:rsidRPr="00D429B4" w:rsidRDefault="0092514C" w:rsidP="005C0901">
            <w:pPr>
              <w:pStyle w:val="Texto"/>
              <w:spacing w:line="276" w:lineRule="auto"/>
              <w:ind w:firstLine="0"/>
              <w:rPr>
                <w:rFonts w:ascii="Verdana" w:hAnsi="Verdana"/>
                <w:sz w:val="16"/>
                <w:szCs w:val="16"/>
                <w:lang w:val="es-MX"/>
              </w:rPr>
            </w:pPr>
          </w:p>
        </w:tc>
        <w:tc>
          <w:tcPr>
            <w:tcW w:w="1051" w:type="dxa"/>
            <w:tcBorders>
              <w:top w:val="single" w:sz="6" w:space="0" w:color="auto"/>
              <w:left w:val="single" w:sz="6" w:space="0" w:color="auto"/>
              <w:bottom w:val="single" w:sz="6" w:space="0" w:color="auto"/>
              <w:right w:val="single" w:sz="6" w:space="0" w:color="auto"/>
            </w:tcBorders>
          </w:tcPr>
          <w:p w14:paraId="271DAEFC" w14:textId="77777777" w:rsidR="0092514C" w:rsidRPr="00D429B4" w:rsidRDefault="0092514C" w:rsidP="005C0901">
            <w:pPr>
              <w:pStyle w:val="Texto"/>
              <w:spacing w:line="276" w:lineRule="auto"/>
              <w:ind w:firstLine="0"/>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tcPr>
          <w:p w14:paraId="38CEC4A0" w14:textId="77777777" w:rsidR="0092514C" w:rsidRPr="00D429B4" w:rsidRDefault="0092514C" w:rsidP="005C0901">
            <w:pPr>
              <w:pStyle w:val="Texto"/>
              <w:spacing w:line="276" w:lineRule="auto"/>
              <w:ind w:firstLine="0"/>
              <w:rPr>
                <w:rFonts w:ascii="Verdana" w:hAnsi="Verdana"/>
                <w:sz w:val="16"/>
                <w:szCs w:val="16"/>
                <w:lang w:val="es-MX"/>
              </w:rPr>
            </w:pPr>
          </w:p>
        </w:tc>
        <w:tc>
          <w:tcPr>
            <w:tcW w:w="1352" w:type="dxa"/>
            <w:tcBorders>
              <w:top w:val="single" w:sz="6" w:space="0" w:color="auto"/>
              <w:left w:val="single" w:sz="6" w:space="0" w:color="auto"/>
              <w:bottom w:val="single" w:sz="6" w:space="0" w:color="auto"/>
              <w:right w:val="single" w:sz="6" w:space="0" w:color="auto"/>
            </w:tcBorders>
          </w:tcPr>
          <w:p w14:paraId="6F5A081C" w14:textId="77777777" w:rsidR="0092514C" w:rsidRPr="00D429B4" w:rsidRDefault="0092514C" w:rsidP="005C0901">
            <w:pPr>
              <w:pStyle w:val="Texto"/>
              <w:spacing w:line="276" w:lineRule="auto"/>
              <w:ind w:firstLine="0"/>
              <w:rPr>
                <w:rFonts w:ascii="Verdana" w:hAnsi="Verdana"/>
                <w:sz w:val="16"/>
                <w:szCs w:val="16"/>
                <w:lang w:val="es-MX"/>
              </w:rPr>
            </w:pPr>
          </w:p>
        </w:tc>
        <w:tc>
          <w:tcPr>
            <w:tcW w:w="1351" w:type="dxa"/>
            <w:tcBorders>
              <w:top w:val="single" w:sz="6" w:space="0" w:color="auto"/>
              <w:left w:val="single" w:sz="6" w:space="0" w:color="auto"/>
              <w:bottom w:val="single" w:sz="6" w:space="0" w:color="auto"/>
              <w:right w:val="single" w:sz="6" w:space="0" w:color="auto"/>
            </w:tcBorders>
          </w:tcPr>
          <w:p w14:paraId="6BF62024" w14:textId="77777777" w:rsidR="0092514C" w:rsidRPr="00D429B4" w:rsidRDefault="0092514C" w:rsidP="005C0901">
            <w:pPr>
              <w:pStyle w:val="Texto"/>
              <w:spacing w:line="276" w:lineRule="auto"/>
              <w:ind w:firstLine="0"/>
              <w:rPr>
                <w:rFonts w:ascii="Verdana" w:hAnsi="Verdana"/>
                <w:sz w:val="16"/>
                <w:szCs w:val="16"/>
                <w:lang w:val="es-MX"/>
              </w:rPr>
            </w:pPr>
          </w:p>
        </w:tc>
      </w:tr>
      <w:tr w:rsidR="0092514C" w:rsidRPr="00262EF8" w14:paraId="69E21A52" w14:textId="77777777">
        <w:trPr>
          <w:cantSplit/>
          <w:trHeight w:val="20"/>
          <w:jc w:val="center"/>
        </w:trPr>
        <w:tc>
          <w:tcPr>
            <w:tcW w:w="1352" w:type="dxa"/>
            <w:tcBorders>
              <w:top w:val="single" w:sz="6" w:space="0" w:color="auto"/>
              <w:left w:val="single" w:sz="6" w:space="0" w:color="auto"/>
              <w:bottom w:val="single" w:sz="6" w:space="0" w:color="auto"/>
              <w:right w:val="single" w:sz="6" w:space="0" w:color="auto"/>
            </w:tcBorders>
          </w:tcPr>
          <w:p w14:paraId="0455FBE9"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Anticuerpos Anti-VIH 1 y 2</w:t>
            </w:r>
          </w:p>
        </w:tc>
        <w:tc>
          <w:tcPr>
            <w:tcW w:w="1202" w:type="dxa"/>
            <w:tcBorders>
              <w:top w:val="single" w:sz="6" w:space="0" w:color="auto"/>
              <w:left w:val="single" w:sz="6" w:space="0" w:color="auto"/>
              <w:bottom w:val="single" w:sz="6" w:space="0" w:color="auto"/>
              <w:right w:val="single" w:sz="6" w:space="0" w:color="auto"/>
            </w:tcBorders>
          </w:tcPr>
          <w:p w14:paraId="71ADBEF5" w14:textId="77777777" w:rsidR="0092514C" w:rsidRPr="00D429B4" w:rsidRDefault="0092514C" w:rsidP="005C0901">
            <w:pPr>
              <w:pStyle w:val="Texto"/>
              <w:spacing w:line="276" w:lineRule="auto"/>
              <w:ind w:firstLine="0"/>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tcPr>
          <w:p w14:paraId="3183A861" w14:textId="77777777" w:rsidR="0092514C" w:rsidRPr="00D429B4" w:rsidRDefault="0092514C" w:rsidP="005C0901">
            <w:pPr>
              <w:pStyle w:val="Texto"/>
              <w:spacing w:line="276" w:lineRule="auto"/>
              <w:ind w:firstLine="0"/>
              <w:rPr>
                <w:rFonts w:ascii="Verdana" w:hAnsi="Verdana"/>
                <w:sz w:val="16"/>
                <w:szCs w:val="16"/>
                <w:lang w:val="es-MX"/>
              </w:rPr>
            </w:pPr>
          </w:p>
        </w:tc>
        <w:tc>
          <w:tcPr>
            <w:tcW w:w="1051" w:type="dxa"/>
            <w:tcBorders>
              <w:top w:val="single" w:sz="6" w:space="0" w:color="auto"/>
              <w:left w:val="single" w:sz="6" w:space="0" w:color="auto"/>
              <w:bottom w:val="single" w:sz="6" w:space="0" w:color="auto"/>
              <w:right w:val="single" w:sz="6" w:space="0" w:color="auto"/>
            </w:tcBorders>
          </w:tcPr>
          <w:p w14:paraId="22DF4FF5" w14:textId="77777777" w:rsidR="0092514C" w:rsidRPr="00D429B4" w:rsidRDefault="0092514C" w:rsidP="005C0901">
            <w:pPr>
              <w:pStyle w:val="Texto"/>
              <w:spacing w:line="276" w:lineRule="auto"/>
              <w:ind w:firstLine="0"/>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tcPr>
          <w:p w14:paraId="6C0B1EC0" w14:textId="77777777" w:rsidR="0092514C" w:rsidRPr="00D429B4" w:rsidRDefault="0092514C" w:rsidP="005C0901">
            <w:pPr>
              <w:pStyle w:val="Texto"/>
              <w:spacing w:line="276" w:lineRule="auto"/>
              <w:ind w:firstLine="0"/>
              <w:rPr>
                <w:rFonts w:ascii="Verdana" w:hAnsi="Verdana"/>
                <w:sz w:val="16"/>
                <w:szCs w:val="16"/>
                <w:lang w:val="es-MX"/>
              </w:rPr>
            </w:pPr>
          </w:p>
        </w:tc>
        <w:tc>
          <w:tcPr>
            <w:tcW w:w="1352" w:type="dxa"/>
            <w:tcBorders>
              <w:top w:val="single" w:sz="6" w:space="0" w:color="auto"/>
              <w:left w:val="single" w:sz="6" w:space="0" w:color="auto"/>
              <w:bottom w:val="single" w:sz="6" w:space="0" w:color="auto"/>
              <w:right w:val="single" w:sz="6" w:space="0" w:color="auto"/>
            </w:tcBorders>
          </w:tcPr>
          <w:p w14:paraId="01A7A729" w14:textId="77777777" w:rsidR="0092514C" w:rsidRPr="00D429B4" w:rsidRDefault="0092514C" w:rsidP="005C0901">
            <w:pPr>
              <w:pStyle w:val="Texto"/>
              <w:spacing w:line="276" w:lineRule="auto"/>
              <w:ind w:firstLine="0"/>
              <w:rPr>
                <w:rFonts w:ascii="Verdana" w:hAnsi="Verdana"/>
                <w:sz w:val="16"/>
                <w:szCs w:val="16"/>
                <w:lang w:val="es-MX"/>
              </w:rPr>
            </w:pPr>
          </w:p>
        </w:tc>
        <w:tc>
          <w:tcPr>
            <w:tcW w:w="1351" w:type="dxa"/>
            <w:tcBorders>
              <w:top w:val="single" w:sz="6" w:space="0" w:color="auto"/>
              <w:left w:val="single" w:sz="6" w:space="0" w:color="auto"/>
              <w:bottom w:val="single" w:sz="6" w:space="0" w:color="auto"/>
              <w:right w:val="single" w:sz="6" w:space="0" w:color="auto"/>
            </w:tcBorders>
          </w:tcPr>
          <w:p w14:paraId="17C489AB" w14:textId="77777777" w:rsidR="0092514C" w:rsidRPr="00D429B4" w:rsidRDefault="0092514C" w:rsidP="005C0901">
            <w:pPr>
              <w:pStyle w:val="Texto"/>
              <w:spacing w:line="276" w:lineRule="auto"/>
              <w:ind w:firstLine="0"/>
              <w:rPr>
                <w:rFonts w:ascii="Verdana" w:hAnsi="Verdana"/>
                <w:sz w:val="16"/>
                <w:szCs w:val="16"/>
                <w:lang w:val="es-MX"/>
              </w:rPr>
            </w:pPr>
          </w:p>
        </w:tc>
      </w:tr>
      <w:tr w:rsidR="0092514C" w:rsidRPr="00262EF8" w14:paraId="0DF789C6" w14:textId="77777777">
        <w:trPr>
          <w:cantSplit/>
          <w:trHeight w:val="20"/>
          <w:jc w:val="center"/>
        </w:trPr>
        <w:tc>
          <w:tcPr>
            <w:tcW w:w="1352" w:type="dxa"/>
            <w:tcBorders>
              <w:top w:val="single" w:sz="6" w:space="0" w:color="auto"/>
              <w:left w:val="single" w:sz="6" w:space="0" w:color="auto"/>
              <w:bottom w:val="single" w:sz="6" w:space="0" w:color="auto"/>
              <w:right w:val="single" w:sz="6" w:space="0" w:color="auto"/>
            </w:tcBorders>
          </w:tcPr>
          <w:p w14:paraId="22189FC8"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Anticuerpos Anti-VHC</w:t>
            </w:r>
          </w:p>
        </w:tc>
        <w:tc>
          <w:tcPr>
            <w:tcW w:w="1202" w:type="dxa"/>
            <w:tcBorders>
              <w:top w:val="single" w:sz="6" w:space="0" w:color="auto"/>
              <w:left w:val="single" w:sz="6" w:space="0" w:color="auto"/>
              <w:bottom w:val="single" w:sz="6" w:space="0" w:color="auto"/>
              <w:right w:val="single" w:sz="6" w:space="0" w:color="auto"/>
            </w:tcBorders>
          </w:tcPr>
          <w:p w14:paraId="25B691AD" w14:textId="77777777" w:rsidR="0092514C" w:rsidRPr="00D429B4" w:rsidRDefault="0092514C" w:rsidP="005C0901">
            <w:pPr>
              <w:pStyle w:val="Texto"/>
              <w:spacing w:line="276" w:lineRule="auto"/>
              <w:ind w:firstLine="0"/>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tcPr>
          <w:p w14:paraId="67FF6167" w14:textId="77777777" w:rsidR="0092514C" w:rsidRPr="00D429B4" w:rsidRDefault="0092514C" w:rsidP="005C0901">
            <w:pPr>
              <w:pStyle w:val="Texto"/>
              <w:spacing w:line="276" w:lineRule="auto"/>
              <w:ind w:firstLine="0"/>
              <w:rPr>
                <w:rFonts w:ascii="Verdana" w:hAnsi="Verdana"/>
                <w:sz w:val="16"/>
                <w:szCs w:val="16"/>
                <w:lang w:val="es-MX"/>
              </w:rPr>
            </w:pPr>
          </w:p>
        </w:tc>
        <w:tc>
          <w:tcPr>
            <w:tcW w:w="1051" w:type="dxa"/>
            <w:tcBorders>
              <w:top w:val="single" w:sz="6" w:space="0" w:color="auto"/>
              <w:left w:val="single" w:sz="6" w:space="0" w:color="auto"/>
              <w:bottom w:val="single" w:sz="6" w:space="0" w:color="auto"/>
              <w:right w:val="single" w:sz="6" w:space="0" w:color="auto"/>
            </w:tcBorders>
          </w:tcPr>
          <w:p w14:paraId="4B48982A" w14:textId="77777777" w:rsidR="0092514C" w:rsidRPr="00D429B4" w:rsidRDefault="0092514C" w:rsidP="005C0901">
            <w:pPr>
              <w:pStyle w:val="Texto"/>
              <w:spacing w:line="276" w:lineRule="auto"/>
              <w:ind w:firstLine="0"/>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tcPr>
          <w:p w14:paraId="3B0264BD" w14:textId="77777777" w:rsidR="0092514C" w:rsidRPr="00D429B4" w:rsidRDefault="0092514C" w:rsidP="005C0901">
            <w:pPr>
              <w:pStyle w:val="Texto"/>
              <w:spacing w:line="276" w:lineRule="auto"/>
              <w:ind w:firstLine="0"/>
              <w:rPr>
                <w:rFonts w:ascii="Verdana" w:hAnsi="Verdana"/>
                <w:sz w:val="16"/>
                <w:szCs w:val="16"/>
                <w:lang w:val="es-MX"/>
              </w:rPr>
            </w:pPr>
          </w:p>
        </w:tc>
        <w:tc>
          <w:tcPr>
            <w:tcW w:w="1352" w:type="dxa"/>
            <w:tcBorders>
              <w:top w:val="single" w:sz="6" w:space="0" w:color="auto"/>
              <w:left w:val="single" w:sz="6" w:space="0" w:color="auto"/>
              <w:bottom w:val="single" w:sz="6" w:space="0" w:color="auto"/>
              <w:right w:val="single" w:sz="6" w:space="0" w:color="auto"/>
            </w:tcBorders>
          </w:tcPr>
          <w:p w14:paraId="65DF8C90" w14:textId="77777777" w:rsidR="0092514C" w:rsidRPr="00D429B4" w:rsidRDefault="0092514C" w:rsidP="005C0901">
            <w:pPr>
              <w:pStyle w:val="Texto"/>
              <w:spacing w:line="276" w:lineRule="auto"/>
              <w:ind w:firstLine="0"/>
              <w:rPr>
                <w:rFonts w:ascii="Verdana" w:hAnsi="Verdana"/>
                <w:sz w:val="16"/>
                <w:szCs w:val="16"/>
                <w:lang w:val="es-MX"/>
              </w:rPr>
            </w:pPr>
          </w:p>
        </w:tc>
        <w:tc>
          <w:tcPr>
            <w:tcW w:w="1351" w:type="dxa"/>
            <w:tcBorders>
              <w:top w:val="single" w:sz="6" w:space="0" w:color="auto"/>
              <w:left w:val="single" w:sz="6" w:space="0" w:color="auto"/>
              <w:bottom w:val="single" w:sz="6" w:space="0" w:color="auto"/>
              <w:right w:val="single" w:sz="6" w:space="0" w:color="auto"/>
            </w:tcBorders>
          </w:tcPr>
          <w:p w14:paraId="4C204B5A" w14:textId="77777777" w:rsidR="0092514C" w:rsidRPr="00D429B4" w:rsidRDefault="0092514C" w:rsidP="005C0901">
            <w:pPr>
              <w:pStyle w:val="Texto"/>
              <w:spacing w:line="276" w:lineRule="auto"/>
              <w:ind w:firstLine="0"/>
              <w:rPr>
                <w:rFonts w:ascii="Verdana" w:hAnsi="Verdana"/>
                <w:sz w:val="16"/>
                <w:szCs w:val="16"/>
                <w:lang w:val="es-MX"/>
              </w:rPr>
            </w:pPr>
          </w:p>
        </w:tc>
      </w:tr>
      <w:tr w:rsidR="0092514C" w:rsidRPr="00262EF8" w14:paraId="3F937953" w14:textId="77777777">
        <w:trPr>
          <w:cantSplit/>
          <w:trHeight w:val="20"/>
          <w:jc w:val="center"/>
        </w:trPr>
        <w:tc>
          <w:tcPr>
            <w:tcW w:w="1352" w:type="dxa"/>
            <w:tcBorders>
              <w:top w:val="single" w:sz="6" w:space="0" w:color="auto"/>
              <w:left w:val="single" w:sz="6" w:space="0" w:color="auto"/>
              <w:bottom w:val="single" w:sz="6" w:space="0" w:color="auto"/>
              <w:right w:val="single" w:sz="6" w:space="0" w:color="auto"/>
            </w:tcBorders>
          </w:tcPr>
          <w:p w14:paraId="6C6D2EBE"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 xml:space="preserve">NAT para RNA del VHC </w:t>
            </w:r>
          </w:p>
        </w:tc>
        <w:tc>
          <w:tcPr>
            <w:tcW w:w="1202" w:type="dxa"/>
            <w:tcBorders>
              <w:top w:val="single" w:sz="6" w:space="0" w:color="auto"/>
              <w:left w:val="single" w:sz="6" w:space="0" w:color="auto"/>
              <w:bottom w:val="single" w:sz="6" w:space="0" w:color="auto"/>
              <w:right w:val="single" w:sz="6" w:space="0" w:color="auto"/>
            </w:tcBorders>
          </w:tcPr>
          <w:p w14:paraId="33A7299B" w14:textId="77777777" w:rsidR="0092514C" w:rsidRPr="00D429B4" w:rsidRDefault="0092514C" w:rsidP="005C0901">
            <w:pPr>
              <w:pStyle w:val="Texto"/>
              <w:spacing w:line="276" w:lineRule="auto"/>
              <w:ind w:firstLine="0"/>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tcPr>
          <w:p w14:paraId="2EF3FF71" w14:textId="77777777" w:rsidR="0092514C" w:rsidRPr="00D429B4" w:rsidRDefault="0092514C" w:rsidP="005C0901">
            <w:pPr>
              <w:pStyle w:val="Texto"/>
              <w:spacing w:line="276" w:lineRule="auto"/>
              <w:ind w:firstLine="0"/>
              <w:rPr>
                <w:rFonts w:ascii="Verdana" w:hAnsi="Verdana"/>
                <w:sz w:val="16"/>
                <w:szCs w:val="16"/>
                <w:lang w:val="es-MX"/>
              </w:rPr>
            </w:pPr>
          </w:p>
        </w:tc>
        <w:tc>
          <w:tcPr>
            <w:tcW w:w="1051" w:type="dxa"/>
            <w:tcBorders>
              <w:top w:val="single" w:sz="6" w:space="0" w:color="auto"/>
              <w:left w:val="single" w:sz="6" w:space="0" w:color="auto"/>
              <w:bottom w:val="single" w:sz="6" w:space="0" w:color="auto"/>
              <w:right w:val="single" w:sz="6" w:space="0" w:color="auto"/>
            </w:tcBorders>
          </w:tcPr>
          <w:p w14:paraId="619B6D9D" w14:textId="77777777" w:rsidR="0092514C" w:rsidRPr="00D429B4" w:rsidRDefault="0092514C" w:rsidP="005C0901">
            <w:pPr>
              <w:pStyle w:val="Texto"/>
              <w:spacing w:line="276" w:lineRule="auto"/>
              <w:ind w:firstLine="0"/>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tcPr>
          <w:p w14:paraId="22C8F887" w14:textId="77777777" w:rsidR="0092514C" w:rsidRPr="00D429B4" w:rsidRDefault="0092514C" w:rsidP="005C0901">
            <w:pPr>
              <w:pStyle w:val="Texto"/>
              <w:spacing w:line="276" w:lineRule="auto"/>
              <w:ind w:firstLine="0"/>
              <w:rPr>
                <w:rFonts w:ascii="Verdana" w:hAnsi="Verdana"/>
                <w:sz w:val="16"/>
                <w:szCs w:val="16"/>
                <w:lang w:val="es-MX"/>
              </w:rPr>
            </w:pPr>
          </w:p>
        </w:tc>
        <w:tc>
          <w:tcPr>
            <w:tcW w:w="1352" w:type="dxa"/>
            <w:tcBorders>
              <w:top w:val="single" w:sz="6" w:space="0" w:color="auto"/>
              <w:left w:val="single" w:sz="6" w:space="0" w:color="auto"/>
              <w:bottom w:val="single" w:sz="6" w:space="0" w:color="auto"/>
              <w:right w:val="single" w:sz="6" w:space="0" w:color="auto"/>
            </w:tcBorders>
          </w:tcPr>
          <w:p w14:paraId="12F31A61" w14:textId="77777777" w:rsidR="0092514C" w:rsidRPr="00D429B4" w:rsidRDefault="0092514C" w:rsidP="005C0901">
            <w:pPr>
              <w:pStyle w:val="Texto"/>
              <w:spacing w:line="276" w:lineRule="auto"/>
              <w:ind w:firstLine="0"/>
              <w:rPr>
                <w:rFonts w:ascii="Verdana" w:hAnsi="Verdana"/>
                <w:sz w:val="16"/>
                <w:szCs w:val="16"/>
                <w:lang w:val="es-MX"/>
              </w:rPr>
            </w:pPr>
          </w:p>
        </w:tc>
        <w:tc>
          <w:tcPr>
            <w:tcW w:w="1351" w:type="dxa"/>
            <w:tcBorders>
              <w:top w:val="single" w:sz="6" w:space="0" w:color="auto"/>
              <w:left w:val="single" w:sz="6" w:space="0" w:color="auto"/>
              <w:bottom w:val="single" w:sz="6" w:space="0" w:color="auto"/>
              <w:right w:val="single" w:sz="6" w:space="0" w:color="auto"/>
            </w:tcBorders>
          </w:tcPr>
          <w:p w14:paraId="1347ABB8" w14:textId="77777777" w:rsidR="0092514C" w:rsidRPr="00D429B4" w:rsidRDefault="0092514C" w:rsidP="005C0901">
            <w:pPr>
              <w:pStyle w:val="Texto"/>
              <w:spacing w:line="276" w:lineRule="auto"/>
              <w:ind w:firstLine="0"/>
              <w:rPr>
                <w:rFonts w:ascii="Verdana" w:hAnsi="Verdana"/>
                <w:sz w:val="16"/>
                <w:szCs w:val="16"/>
                <w:lang w:val="es-MX"/>
              </w:rPr>
            </w:pPr>
          </w:p>
        </w:tc>
      </w:tr>
      <w:tr w:rsidR="0092514C" w:rsidRPr="00262EF8" w14:paraId="57A05917" w14:textId="77777777">
        <w:trPr>
          <w:cantSplit/>
          <w:trHeight w:val="20"/>
          <w:jc w:val="center"/>
        </w:trPr>
        <w:tc>
          <w:tcPr>
            <w:tcW w:w="1352" w:type="dxa"/>
            <w:tcBorders>
              <w:top w:val="single" w:sz="6" w:space="0" w:color="auto"/>
              <w:left w:val="single" w:sz="6" w:space="0" w:color="auto"/>
              <w:bottom w:val="single" w:sz="6" w:space="0" w:color="auto"/>
              <w:right w:val="single" w:sz="6" w:space="0" w:color="auto"/>
            </w:tcBorders>
          </w:tcPr>
          <w:p w14:paraId="17A249EF"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 xml:space="preserve">ADN del PB19 </w:t>
            </w:r>
          </w:p>
        </w:tc>
        <w:tc>
          <w:tcPr>
            <w:tcW w:w="1202" w:type="dxa"/>
            <w:tcBorders>
              <w:top w:val="single" w:sz="6" w:space="0" w:color="auto"/>
              <w:left w:val="single" w:sz="6" w:space="0" w:color="auto"/>
              <w:bottom w:val="single" w:sz="6" w:space="0" w:color="auto"/>
              <w:right w:val="single" w:sz="6" w:space="0" w:color="auto"/>
            </w:tcBorders>
          </w:tcPr>
          <w:p w14:paraId="47FB1510" w14:textId="77777777" w:rsidR="0092514C" w:rsidRPr="00D429B4" w:rsidRDefault="0092514C" w:rsidP="005C0901">
            <w:pPr>
              <w:pStyle w:val="Texto"/>
              <w:spacing w:line="276" w:lineRule="auto"/>
              <w:ind w:firstLine="0"/>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tcPr>
          <w:p w14:paraId="0663EC58" w14:textId="77777777" w:rsidR="0092514C" w:rsidRPr="00D429B4" w:rsidRDefault="0092514C" w:rsidP="005C0901">
            <w:pPr>
              <w:pStyle w:val="Texto"/>
              <w:spacing w:line="276" w:lineRule="auto"/>
              <w:ind w:firstLine="0"/>
              <w:rPr>
                <w:rFonts w:ascii="Verdana" w:hAnsi="Verdana"/>
                <w:sz w:val="16"/>
                <w:szCs w:val="16"/>
                <w:lang w:val="es-MX"/>
              </w:rPr>
            </w:pPr>
          </w:p>
        </w:tc>
        <w:tc>
          <w:tcPr>
            <w:tcW w:w="1051" w:type="dxa"/>
            <w:tcBorders>
              <w:top w:val="single" w:sz="6" w:space="0" w:color="auto"/>
              <w:left w:val="single" w:sz="6" w:space="0" w:color="auto"/>
              <w:bottom w:val="single" w:sz="6" w:space="0" w:color="auto"/>
              <w:right w:val="single" w:sz="6" w:space="0" w:color="auto"/>
            </w:tcBorders>
          </w:tcPr>
          <w:p w14:paraId="426EA42A" w14:textId="77777777" w:rsidR="0092514C" w:rsidRPr="00D429B4" w:rsidRDefault="0092514C" w:rsidP="005C0901">
            <w:pPr>
              <w:pStyle w:val="Texto"/>
              <w:spacing w:line="276" w:lineRule="auto"/>
              <w:ind w:firstLine="0"/>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tcPr>
          <w:p w14:paraId="299CC1F1" w14:textId="77777777" w:rsidR="0092514C" w:rsidRPr="00D429B4" w:rsidRDefault="0092514C" w:rsidP="005C0901">
            <w:pPr>
              <w:pStyle w:val="Texto"/>
              <w:spacing w:line="276" w:lineRule="auto"/>
              <w:ind w:firstLine="0"/>
              <w:rPr>
                <w:rFonts w:ascii="Verdana" w:hAnsi="Verdana"/>
                <w:sz w:val="16"/>
                <w:szCs w:val="16"/>
                <w:lang w:val="es-MX"/>
              </w:rPr>
            </w:pPr>
          </w:p>
        </w:tc>
        <w:tc>
          <w:tcPr>
            <w:tcW w:w="1352" w:type="dxa"/>
            <w:tcBorders>
              <w:top w:val="single" w:sz="6" w:space="0" w:color="auto"/>
              <w:left w:val="single" w:sz="6" w:space="0" w:color="auto"/>
              <w:bottom w:val="single" w:sz="6" w:space="0" w:color="auto"/>
              <w:right w:val="single" w:sz="6" w:space="0" w:color="auto"/>
            </w:tcBorders>
          </w:tcPr>
          <w:p w14:paraId="7DC8F67D" w14:textId="77777777" w:rsidR="0092514C" w:rsidRPr="00D429B4" w:rsidRDefault="0092514C" w:rsidP="005C0901">
            <w:pPr>
              <w:pStyle w:val="Texto"/>
              <w:spacing w:line="276" w:lineRule="auto"/>
              <w:ind w:firstLine="0"/>
              <w:rPr>
                <w:rFonts w:ascii="Verdana" w:hAnsi="Verdana"/>
                <w:sz w:val="16"/>
                <w:szCs w:val="16"/>
                <w:lang w:val="es-MX"/>
              </w:rPr>
            </w:pPr>
          </w:p>
        </w:tc>
        <w:tc>
          <w:tcPr>
            <w:tcW w:w="1351" w:type="dxa"/>
            <w:tcBorders>
              <w:top w:val="single" w:sz="6" w:space="0" w:color="auto"/>
              <w:left w:val="single" w:sz="6" w:space="0" w:color="auto"/>
              <w:bottom w:val="single" w:sz="6" w:space="0" w:color="auto"/>
              <w:right w:val="single" w:sz="6" w:space="0" w:color="auto"/>
            </w:tcBorders>
          </w:tcPr>
          <w:p w14:paraId="21A5259A" w14:textId="77777777" w:rsidR="0092514C" w:rsidRPr="00D429B4" w:rsidRDefault="0092514C" w:rsidP="005C0901">
            <w:pPr>
              <w:pStyle w:val="Texto"/>
              <w:spacing w:line="276" w:lineRule="auto"/>
              <w:ind w:firstLine="0"/>
              <w:rPr>
                <w:rFonts w:ascii="Verdana" w:hAnsi="Verdana"/>
                <w:sz w:val="16"/>
                <w:szCs w:val="16"/>
                <w:lang w:val="es-MX"/>
              </w:rPr>
            </w:pPr>
          </w:p>
        </w:tc>
      </w:tr>
      <w:tr w:rsidR="0092514C" w:rsidRPr="00262EF8" w14:paraId="692CC033" w14:textId="77777777">
        <w:trPr>
          <w:cantSplit/>
          <w:trHeight w:val="20"/>
          <w:jc w:val="center"/>
        </w:trPr>
        <w:tc>
          <w:tcPr>
            <w:tcW w:w="1352" w:type="dxa"/>
            <w:tcBorders>
              <w:top w:val="single" w:sz="6" w:space="0" w:color="auto"/>
              <w:left w:val="single" w:sz="6" w:space="0" w:color="auto"/>
              <w:bottom w:val="single" w:sz="6" w:space="0" w:color="auto"/>
              <w:right w:val="single" w:sz="6" w:space="0" w:color="auto"/>
            </w:tcBorders>
          </w:tcPr>
          <w:p w14:paraId="3D86A085"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Otras evaluaciones</w:t>
            </w:r>
          </w:p>
        </w:tc>
        <w:tc>
          <w:tcPr>
            <w:tcW w:w="1202" w:type="dxa"/>
            <w:tcBorders>
              <w:top w:val="single" w:sz="6" w:space="0" w:color="auto"/>
              <w:left w:val="single" w:sz="6" w:space="0" w:color="auto"/>
              <w:bottom w:val="single" w:sz="6" w:space="0" w:color="auto"/>
              <w:right w:val="single" w:sz="6" w:space="0" w:color="auto"/>
            </w:tcBorders>
          </w:tcPr>
          <w:p w14:paraId="70C8EDFF" w14:textId="77777777" w:rsidR="0092514C" w:rsidRPr="00D429B4" w:rsidRDefault="0092514C" w:rsidP="005C0901">
            <w:pPr>
              <w:pStyle w:val="Texto"/>
              <w:spacing w:line="276" w:lineRule="auto"/>
              <w:ind w:firstLine="0"/>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tcPr>
          <w:p w14:paraId="675F4E1D" w14:textId="77777777" w:rsidR="0092514C" w:rsidRPr="00D429B4" w:rsidRDefault="0092514C" w:rsidP="005C0901">
            <w:pPr>
              <w:pStyle w:val="Texto"/>
              <w:spacing w:line="276" w:lineRule="auto"/>
              <w:ind w:firstLine="0"/>
              <w:rPr>
                <w:rFonts w:ascii="Verdana" w:hAnsi="Verdana"/>
                <w:sz w:val="16"/>
                <w:szCs w:val="16"/>
                <w:lang w:val="es-MX"/>
              </w:rPr>
            </w:pPr>
          </w:p>
        </w:tc>
        <w:tc>
          <w:tcPr>
            <w:tcW w:w="1051" w:type="dxa"/>
            <w:tcBorders>
              <w:top w:val="single" w:sz="6" w:space="0" w:color="auto"/>
              <w:left w:val="single" w:sz="6" w:space="0" w:color="auto"/>
              <w:bottom w:val="single" w:sz="6" w:space="0" w:color="auto"/>
              <w:right w:val="single" w:sz="6" w:space="0" w:color="auto"/>
            </w:tcBorders>
          </w:tcPr>
          <w:p w14:paraId="4E449FC0" w14:textId="77777777" w:rsidR="0092514C" w:rsidRPr="00D429B4" w:rsidRDefault="0092514C" w:rsidP="005C0901">
            <w:pPr>
              <w:pStyle w:val="Texto"/>
              <w:spacing w:line="276" w:lineRule="auto"/>
              <w:ind w:firstLine="0"/>
              <w:rPr>
                <w:rFonts w:ascii="Verdana" w:hAnsi="Verdana"/>
                <w:sz w:val="16"/>
                <w:szCs w:val="16"/>
                <w:lang w:val="es-MX"/>
              </w:rPr>
            </w:pPr>
          </w:p>
        </w:tc>
        <w:tc>
          <w:tcPr>
            <w:tcW w:w="1202" w:type="dxa"/>
            <w:tcBorders>
              <w:top w:val="single" w:sz="6" w:space="0" w:color="auto"/>
              <w:left w:val="single" w:sz="6" w:space="0" w:color="auto"/>
              <w:bottom w:val="single" w:sz="6" w:space="0" w:color="auto"/>
              <w:right w:val="single" w:sz="6" w:space="0" w:color="auto"/>
            </w:tcBorders>
          </w:tcPr>
          <w:p w14:paraId="39B17433" w14:textId="77777777" w:rsidR="0092514C" w:rsidRPr="00D429B4" w:rsidRDefault="0092514C" w:rsidP="005C0901">
            <w:pPr>
              <w:pStyle w:val="Texto"/>
              <w:spacing w:line="276" w:lineRule="auto"/>
              <w:ind w:firstLine="0"/>
              <w:rPr>
                <w:rFonts w:ascii="Verdana" w:hAnsi="Verdana"/>
                <w:sz w:val="16"/>
                <w:szCs w:val="16"/>
                <w:lang w:val="es-MX"/>
              </w:rPr>
            </w:pPr>
          </w:p>
        </w:tc>
        <w:tc>
          <w:tcPr>
            <w:tcW w:w="1352" w:type="dxa"/>
            <w:tcBorders>
              <w:top w:val="single" w:sz="6" w:space="0" w:color="auto"/>
              <w:left w:val="single" w:sz="6" w:space="0" w:color="auto"/>
              <w:bottom w:val="single" w:sz="6" w:space="0" w:color="auto"/>
              <w:right w:val="single" w:sz="6" w:space="0" w:color="auto"/>
            </w:tcBorders>
          </w:tcPr>
          <w:p w14:paraId="67C38E22" w14:textId="77777777" w:rsidR="0092514C" w:rsidRPr="00D429B4" w:rsidRDefault="0092514C" w:rsidP="005C0901">
            <w:pPr>
              <w:pStyle w:val="Texto"/>
              <w:spacing w:line="276" w:lineRule="auto"/>
              <w:ind w:firstLine="0"/>
              <w:rPr>
                <w:rFonts w:ascii="Verdana" w:hAnsi="Verdana"/>
                <w:sz w:val="16"/>
                <w:szCs w:val="16"/>
                <w:lang w:val="es-MX"/>
              </w:rPr>
            </w:pPr>
          </w:p>
        </w:tc>
        <w:tc>
          <w:tcPr>
            <w:tcW w:w="1351" w:type="dxa"/>
            <w:tcBorders>
              <w:top w:val="single" w:sz="6" w:space="0" w:color="auto"/>
              <w:left w:val="single" w:sz="6" w:space="0" w:color="auto"/>
              <w:bottom w:val="single" w:sz="6" w:space="0" w:color="auto"/>
              <w:right w:val="single" w:sz="6" w:space="0" w:color="auto"/>
            </w:tcBorders>
          </w:tcPr>
          <w:p w14:paraId="5430A4BD" w14:textId="77777777" w:rsidR="0092514C" w:rsidRPr="00D429B4" w:rsidRDefault="0092514C" w:rsidP="005C0901">
            <w:pPr>
              <w:pStyle w:val="Texto"/>
              <w:spacing w:line="276" w:lineRule="auto"/>
              <w:ind w:firstLine="0"/>
              <w:rPr>
                <w:rFonts w:ascii="Verdana" w:hAnsi="Verdana"/>
                <w:sz w:val="16"/>
                <w:szCs w:val="16"/>
                <w:lang w:val="es-MX"/>
              </w:rPr>
            </w:pPr>
          </w:p>
        </w:tc>
      </w:tr>
    </w:tbl>
    <w:p w14:paraId="74D640B0" w14:textId="77777777" w:rsidR="00C62B4C" w:rsidRDefault="00C62B4C" w:rsidP="005C0901">
      <w:pPr>
        <w:pStyle w:val="Texto"/>
        <w:spacing w:line="276" w:lineRule="auto"/>
        <w:ind w:firstLine="0"/>
        <w:jc w:val="center"/>
        <w:rPr>
          <w:rFonts w:ascii="Verdana" w:hAnsi="Verdana"/>
          <w:sz w:val="16"/>
          <w:szCs w:val="16"/>
        </w:rPr>
      </w:pPr>
    </w:p>
    <w:p w14:paraId="5A7C89CF" w14:textId="77777777" w:rsidR="0092514C" w:rsidRDefault="00C62B4C" w:rsidP="005C0901">
      <w:pPr>
        <w:pStyle w:val="Texto"/>
        <w:spacing w:line="276" w:lineRule="auto"/>
        <w:ind w:firstLine="0"/>
        <w:jc w:val="center"/>
        <w:rPr>
          <w:rFonts w:ascii="Verdana" w:hAnsi="Verdana"/>
          <w:b/>
          <w:sz w:val="16"/>
          <w:szCs w:val="16"/>
        </w:rPr>
      </w:pPr>
      <w:r w:rsidRPr="00C62B4C">
        <w:rPr>
          <w:rFonts w:ascii="Verdana" w:hAnsi="Verdana"/>
          <w:b/>
          <w:sz w:val="16"/>
          <w:szCs w:val="16"/>
        </w:rPr>
        <w:t xml:space="preserve">TABLE </w:t>
      </w:r>
      <w:r w:rsidR="0092514C" w:rsidRPr="00C62B4C">
        <w:rPr>
          <w:rFonts w:ascii="Verdana" w:hAnsi="Verdana"/>
          <w:b/>
          <w:sz w:val="16"/>
          <w:szCs w:val="16"/>
        </w:rPr>
        <w:t>1.</w:t>
      </w:r>
    </w:p>
    <w:tbl>
      <w:tblPr>
        <w:tblW w:w="8712" w:type="dxa"/>
        <w:jc w:val="center"/>
        <w:tblCellMar>
          <w:left w:w="72" w:type="dxa"/>
          <w:right w:w="72" w:type="dxa"/>
        </w:tblCellMar>
        <w:tblLook w:val="0000" w:firstRow="0" w:lastRow="0" w:firstColumn="0" w:lastColumn="0" w:noHBand="0" w:noVBand="0"/>
      </w:tblPr>
      <w:tblGrid>
        <w:gridCol w:w="1352"/>
        <w:gridCol w:w="1138"/>
        <w:gridCol w:w="1125"/>
        <w:gridCol w:w="1352"/>
        <w:gridCol w:w="1118"/>
        <w:gridCol w:w="1428"/>
        <w:gridCol w:w="1199"/>
      </w:tblGrid>
      <w:tr w:rsidR="00C62B4C" w:rsidRPr="00C62B4C" w14:paraId="2C69E16E" w14:textId="77777777" w:rsidTr="00C62B4C">
        <w:trPr>
          <w:cantSplit/>
          <w:trHeight w:val="20"/>
          <w:jc w:val="center"/>
        </w:trPr>
        <w:tc>
          <w:tcPr>
            <w:tcW w:w="1352" w:type="dxa"/>
            <w:vMerge w:val="restart"/>
            <w:tcBorders>
              <w:top w:val="single" w:sz="6" w:space="0" w:color="auto"/>
              <w:left w:val="single" w:sz="6" w:space="0" w:color="auto"/>
              <w:right w:val="single" w:sz="6" w:space="0" w:color="auto"/>
            </w:tcBorders>
            <w:noWrap/>
            <w:vAlign w:val="center"/>
          </w:tcPr>
          <w:p w14:paraId="76BFBD5C" w14:textId="77777777" w:rsidR="00C62B4C" w:rsidRPr="00D429B4" w:rsidRDefault="00C62B4C" w:rsidP="00C62B4C">
            <w:pPr>
              <w:spacing w:after="101" w:line="276" w:lineRule="auto"/>
              <w:jc w:val="center"/>
              <w:rPr>
                <w:rFonts w:ascii="Verdana" w:hAnsi="Verdana" w:cs="Arial"/>
                <w:b/>
                <w:sz w:val="16"/>
                <w:szCs w:val="16"/>
                <w:lang w:val="en-US"/>
              </w:rPr>
            </w:pPr>
            <w:r w:rsidRPr="00D429B4">
              <w:rPr>
                <w:rFonts w:ascii="Verdana" w:hAnsi="Verdana" w:cs="Arial"/>
                <w:b/>
                <w:sz w:val="16"/>
                <w:szCs w:val="16"/>
                <w:lang w:val="en-US"/>
              </w:rPr>
              <w:t>Parameter</w:t>
            </w:r>
          </w:p>
        </w:tc>
        <w:tc>
          <w:tcPr>
            <w:tcW w:w="1202" w:type="dxa"/>
            <w:vMerge w:val="restart"/>
            <w:tcBorders>
              <w:top w:val="single" w:sz="6" w:space="0" w:color="auto"/>
              <w:left w:val="single" w:sz="6" w:space="0" w:color="auto"/>
              <w:right w:val="single" w:sz="6" w:space="0" w:color="auto"/>
            </w:tcBorders>
            <w:vAlign w:val="center"/>
          </w:tcPr>
          <w:p w14:paraId="34D07998" w14:textId="77777777" w:rsidR="00C62B4C" w:rsidRPr="00D429B4" w:rsidRDefault="00C62B4C" w:rsidP="00C62B4C">
            <w:pPr>
              <w:spacing w:after="101" w:line="276" w:lineRule="auto"/>
              <w:jc w:val="center"/>
              <w:rPr>
                <w:rFonts w:ascii="Verdana" w:hAnsi="Verdana" w:cs="Arial"/>
                <w:b/>
                <w:sz w:val="16"/>
                <w:szCs w:val="16"/>
                <w:lang w:val="en-US"/>
              </w:rPr>
            </w:pPr>
            <w:r w:rsidRPr="00D429B4">
              <w:rPr>
                <w:rFonts w:ascii="Verdana" w:hAnsi="Verdana" w:cs="Arial"/>
                <w:b/>
                <w:sz w:val="16"/>
                <w:szCs w:val="16"/>
                <w:lang w:val="en-US"/>
              </w:rPr>
              <w:t>Method of Evaluation</w:t>
            </w:r>
          </w:p>
        </w:tc>
        <w:tc>
          <w:tcPr>
            <w:tcW w:w="1202" w:type="dxa"/>
            <w:vMerge w:val="restart"/>
            <w:tcBorders>
              <w:top w:val="single" w:sz="6" w:space="0" w:color="auto"/>
              <w:left w:val="single" w:sz="6" w:space="0" w:color="auto"/>
              <w:right w:val="single" w:sz="6" w:space="0" w:color="auto"/>
            </w:tcBorders>
            <w:vAlign w:val="center"/>
          </w:tcPr>
          <w:p w14:paraId="3CD589C5" w14:textId="77777777" w:rsidR="00C62B4C" w:rsidRPr="00D429B4" w:rsidRDefault="00C62B4C" w:rsidP="00C62B4C">
            <w:pPr>
              <w:spacing w:after="101" w:line="276" w:lineRule="auto"/>
              <w:jc w:val="center"/>
              <w:rPr>
                <w:rFonts w:ascii="Verdana" w:hAnsi="Verdana" w:cs="Arial"/>
                <w:b/>
                <w:sz w:val="16"/>
                <w:szCs w:val="16"/>
                <w:lang w:val="en-US"/>
              </w:rPr>
            </w:pPr>
            <w:r w:rsidRPr="00D429B4">
              <w:rPr>
                <w:rFonts w:ascii="Verdana" w:hAnsi="Verdana" w:cs="Arial"/>
                <w:b/>
                <w:sz w:val="16"/>
                <w:szCs w:val="16"/>
                <w:lang w:val="en-US"/>
              </w:rPr>
              <w:t>Brand name of the diagnostic kit</w:t>
            </w:r>
          </w:p>
        </w:tc>
        <w:tc>
          <w:tcPr>
            <w:tcW w:w="1051" w:type="dxa"/>
            <w:vMerge w:val="restart"/>
            <w:tcBorders>
              <w:top w:val="single" w:sz="6" w:space="0" w:color="auto"/>
              <w:left w:val="single" w:sz="6" w:space="0" w:color="auto"/>
              <w:right w:val="single" w:sz="6" w:space="0" w:color="auto"/>
            </w:tcBorders>
            <w:vAlign w:val="center"/>
          </w:tcPr>
          <w:p w14:paraId="67132454" w14:textId="77777777" w:rsidR="00C62B4C" w:rsidRPr="00D429B4" w:rsidRDefault="00C62B4C" w:rsidP="00C62B4C">
            <w:pPr>
              <w:spacing w:after="101" w:line="276" w:lineRule="auto"/>
              <w:jc w:val="center"/>
              <w:rPr>
                <w:rFonts w:ascii="Verdana" w:hAnsi="Verdana" w:cs="Arial"/>
                <w:b/>
                <w:sz w:val="16"/>
                <w:szCs w:val="16"/>
                <w:lang w:val="en-US"/>
              </w:rPr>
            </w:pPr>
            <w:r w:rsidRPr="00D429B4">
              <w:rPr>
                <w:rFonts w:ascii="Verdana" w:hAnsi="Verdana" w:cs="Arial"/>
                <w:b/>
                <w:sz w:val="16"/>
                <w:szCs w:val="16"/>
                <w:lang w:val="en-US"/>
              </w:rPr>
              <w:t>Manufacturer</w:t>
            </w:r>
          </w:p>
        </w:tc>
        <w:tc>
          <w:tcPr>
            <w:tcW w:w="2554" w:type="dxa"/>
            <w:gridSpan w:val="2"/>
            <w:tcBorders>
              <w:top w:val="single" w:sz="6" w:space="0" w:color="auto"/>
              <w:left w:val="single" w:sz="6" w:space="0" w:color="auto"/>
              <w:bottom w:val="single" w:sz="6" w:space="0" w:color="auto"/>
              <w:right w:val="single" w:sz="6" w:space="0" w:color="auto"/>
            </w:tcBorders>
            <w:vAlign w:val="center"/>
          </w:tcPr>
          <w:p w14:paraId="64659B95" w14:textId="77777777" w:rsidR="00C62B4C" w:rsidRPr="00D429B4" w:rsidRDefault="00C62B4C" w:rsidP="00C62B4C">
            <w:pPr>
              <w:spacing w:after="101" w:line="276" w:lineRule="auto"/>
              <w:jc w:val="center"/>
              <w:rPr>
                <w:rFonts w:ascii="Verdana" w:hAnsi="Verdana" w:cs="Arial"/>
                <w:b/>
                <w:sz w:val="16"/>
                <w:szCs w:val="16"/>
                <w:lang w:val="en-US"/>
              </w:rPr>
            </w:pPr>
            <w:r w:rsidRPr="00D429B4">
              <w:rPr>
                <w:rFonts w:ascii="Verdana" w:hAnsi="Verdana" w:cs="Arial"/>
                <w:b/>
                <w:sz w:val="16"/>
                <w:szCs w:val="16"/>
                <w:lang w:val="en-US"/>
              </w:rPr>
              <w:t>Used by</w:t>
            </w:r>
          </w:p>
        </w:tc>
        <w:tc>
          <w:tcPr>
            <w:tcW w:w="1351" w:type="dxa"/>
            <w:vMerge w:val="restart"/>
            <w:tcBorders>
              <w:top w:val="single" w:sz="6" w:space="0" w:color="auto"/>
              <w:left w:val="single" w:sz="6" w:space="0" w:color="auto"/>
              <w:right w:val="single" w:sz="6" w:space="0" w:color="auto"/>
            </w:tcBorders>
            <w:vAlign w:val="center"/>
          </w:tcPr>
          <w:p w14:paraId="290E80A4" w14:textId="77777777" w:rsidR="00C62B4C" w:rsidRPr="00D429B4" w:rsidRDefault="00C62B4C" w:rsidP="00C62B4C">
            <w:pPr>
              <w:spacing w:after="101" w:line="276" w:lineRule="auto"/>
              <w:jc w:val="center"/>
              <w:rPr>
                <w:rFonts w:ascii="Verdana" w:hAnsi="Verdana" w:cs="Arial"/>
                <w:b/>
                <w:sz w:val="16"/>
                <w:szCs w:val="16"/>
                <w:lang w:val="en-US"/>
              </w:rPr>
            </w:pPr>
            <w:r w:rsidRPr="00D429B4">
              <w:rPr>
                <w:rFonts w:ascii="Verdana" w:hAnsi="Verdana" w:cs="Arial"/>
                <w:b/>
                <w:sz w:val="16"/>
                <w:szCs w:val="16"/>
                <w:lang w:val="en-US"/>
              </w:rPr>
              <w:t>Place of evaluation</w:t>
            </w:r>
          </w:p>
        </w:tc>
      </w:tr>
      <w:tr w:rsidR="00C62B4C" w:rsidRPr="00C62B4C" w14:paraId="4A8ABFB6" w14:textId="77777777" w:rsidTr="00C62B4C">
        <w:trPr>
          <w:cantSplit/>
          <w:trHeight w:val="20"/>
          <w:jc w:val="center"/>
        </w:trPr>
        <w:tc>
          <w:tcPr>
            <w:tcW w:w="1352" w:type="dxa"/>
            <w:vMerge/>
            <w:tcBorders>
              <w:left w:val="single" w:sz="6" w:space="0" w:color="auto"/>
              <w:bottom w:val="single" w:sz="6" w:space="0" w:color="auto"/>
              <w:right w:val="single" w:sz="6" w:space="0" w:color="auto"/>
            </w:tcBorders>
            <w:vAlign w:val="center"/>
          </w:tcPr>
          <w:p w14:paraId="74FA083B" w14:textId="77777777" w:rsidR="00C62B4C" w:rsidRPr="00D429B4" w:rsidRDefault="00C62B4C" w:rsidP="00C62B4C">
            <w:pPr>
              <w:spacing w:after="101" w:line="276" w:lineRule="auto"/>
              <w:jc w:val="center"/>
              <w:rPr>
                <w:rFonts w:ascii="Verdana" w:hAnsi="Verdana" w:cs="Arial"/>
                <w:sz w:val="16"/>
                <w:szCs w:val="16"/>
                <w:lang w:val="en-US"/>
              </w:rPr>
            </w:pPr>
          </w:p>
        </w:tc>
        <w:tc>
          <w:tcPr>
            <w:tcW w:w="1202" w:type="dxa"/>
            <w:vMerge/>
            <w:tcBorders>
              <w:left w:val="single" w:sz="6" w:space="0" w:color="auto"/>
              <w:bottom w:val="single" w:sz="6" w:space="0" w:color="auto"/>
              <w:right w:val="single" w:sz="6" w:space="0" w:color="auto"/>
            </w:tcBorders>
            <w:vAlign w:val="center"/>
          </w:tcPr>
          <w:p w14:paraId="371AC661" w14:textId="77777777" w:rsidR="00C62B4C" w:rsidRPr="00D429B4" w:rsidRDefault="00C62B4C" w:rsidP="00C62B4C">
            <w:pPr>
              <w:spacing w:after="101" w:line="276" w:lineRule="auto"/>
              <w:jc w:val="center"/>
              <w:rPr>
                <w:rFonts w:ascii="Verdana" w:hAnsi="Verdana" w:cs="Arial"/>
                <w:sz w:val="16"/>
                <w:szCs w:val="16"/>
                <w:lang w:val="en-US"/>
              </w:rPr>
            </w:pPr>
          </w:p>
        </w:tc>
        <w:tc>
          <w:tcPr>
            <w:tcW w:w="1202" w:type="dxa"/>
            <w:vMerge/>
            <w:tcBorders>
              <w:left w:val="single" w:sz="6" w:space="0" w:color="auto"/>
              <w:bottom w:val="single" w:sz="6" w:space="0" w:color="auto"/>
              <w:right w:val="single" w:sz="6" w:space="0" w:color="auto"/>
            </w:tcBorders>
            <w:vAlign w:val="center"/>
          </w:tcPr>
          <w:p w14:paraId="19395653" w14:textId="77777777" w:rsidR="00C62B4C" w:rsidRPr="00D429B4" w:rsidRDefault="00C62B4C" w:rsidP="00C62B4C">
            <w:pPr>
              <w:spacing w:after="101" w:line="276" w:lineRule="auto"/>
              <w:jc w:val="center"/>
              <w:rPr>
                <w:rFonts w:ascii="Verdana" w:hAnsi="Verdana" w:cs="Arial"/>
                <w:sz w:val="16"/>
                <w:szCs w:val="16"/>
                <w:lang w:val="en-US"/>
              </w:rPr>
            </w:pPr>
          </w:p>
        </w:tc>
        <w:tc>
          <w:tcPr>
            <w:tcW w:w="1051" w:type="dxa"/>
            <w:vMerge/>
            <w:tcBorders>
              <w:left w:val="single" w:sz="6" w:space="0" w:color="auto"/>
              <w:bottom w:val="single" w:sz="6" w:space="0" w:color="auto"/>
              <w:right w:val="single" w:sz="6" w:space="0" w:color="auto"/>
            </w:tcBorders>
            <w:vAlign w:val="center"/>
          </w:tcPr>
          <w:p w14:paraId="47B174E2" w14:textId="77777777" w:rsidR="00C62B4C" w:rsidRPr="00D429B4" w:rsidRDefault="00C62B4C" w:rsidP="00C62B4C">
            <w:pPr>
              <w:spacing w:after="101" w:line="276" w:lineRule="auto"/>
              <w:jc w:val="center"/>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vAlign w:val="center"/>
          </w:tcPr>
          <w:p w14:paraId="7DDDEDEC" w14:textId="77777777" w:rsidR="00C62B4C" w:rsidRPr="00D429B4" w:rsidRDefault="00C62B4C" w:rsidP="00C62B4C">
            <w:pPr>
              <w:spacing w:after="101" w:line="276" w:lineRule="auto"/>
              <w:jc w:val="center"/>
              <w:rPr>
                <w:rFonts w:ascii="Verdana" w:hAnsi="Verdana" w:cs="Arial"/>
                <w:b/>
                <w:sz w:val="16"/>
                <w:szCs w:val="16"/>
                <w:lang w:val="en-US"/>
              </w:rPr>
            </w:pPr>
            <w:r w:rsidRPr="00D429B4">
              <w:rPr>
                <w:rFonts w:ascii="Verdana" w:hAnsi="Verdana" w:cs="Arial"/>
                <w:b/>
                <w:sz w:val="16"/>
                <w:szCs w:val="16"/>
                <w:lang w:val="en-US"/>
              </w:rPr>
              <w:t>Individual donations</w:t>
            </w:r>
          </w:p>
        </w:tc>
        <w:tc>
          <w:tcPr>
            <w:tcW w:w="1352" w:type="dxa"/>
            <w:tcBorders>
              <w:top w:val="single" w:sz="6" w:space="0" w:color="auto"/>
              <w:left w:val="single" w:sz="6" w:space="0" w:color="auto"/>
              <w:bottom w:val="single" w:sz="6" w:space="0" w:color="auto"/>
              <w:right w:val="single" w:sz="6" w:space="0" w:color="auto"/>
            </w:tcBorders>
            <w:vAlign w:val="center"/>
          </w:tcPr>
          <w:p w14:paraId="45FD5F2F" w14:textId="77777777" w:rsidR="00C62B4C" w:rsidRPr="00D429B4" w:rsidRDefault="00C62B4C" w:rsidP="00C62B4C">
            <w:pPr>
              <w:spacing w:after="101" w:line="276" w:lineRule="auto"/>
              <w:jc w:val="center"/>
              <w:rPr>
                <w:rFonts w:ascii="Verdana" w:hAnsi="Verdana" w:cs="Arial"/>
                <w:b/>
                <w:sz w:val="16"/>
                <w:szCs w:val="16"/>
                <w:lang w:val="en-US"/>
              </w:rPr>
            </w:pPr>
            <w:r w:rsidRPr="00D429B4">
              <w:rPr>
                <w:rFonts w:ascii="Verdana" w:hAnsi="Verdana" w:cs="Arial"/>
                <w:b/>
                <w:sz w:val="16"/>
                <w:szCs w:val="16"/>
                <w:lang w:val="en-US"/>
              </w:rPr>
              <w:t>Minimixtures/ mixtures of plasma</w:t>
            </w:r>
          </w:p>
        </w:tc>
        <w:tc>
          <w:tcPr>
            <w:tcW w:w="1351" w:type="dxa"/>
            <w:vMerge/>
            <w:tcBorders>
              <w:left w:val="single" w:sz="6" w:space="0" w:color="auto"/>
              <w:bottom w:val="single" w:sz="6" w:space="0" w:color="auto"/>
              <w:right w:val="single" w:sz="6" w:space="0" w:color="auto"/>
            </w:tcBorders>
            <w:vAlign w:val="center"/>
          </w:tcPr>
          <w:p w14:paraId="24397002" w14:textId="77777777" w:rsidR="00C62B4C" w:rsidRPr="00D429B4" w:rsidRDefault="00C62B4C" w:rsidP="00C62B4C">
            <w:pPr>
              <w:spacing w:after="101" w:line="276" w:lineRule="auto"/>
              <w:jc w:val="center"/>
              <w:rPr>
                <w:rFonts w:ascii="Verdana" w:hAnsi="Verdana" w:cs="Arial"/>
                <w:sz w:val="16"/>
                <w:szCs w:val="16"/>
                <w:lang w:val="en-US"/>
              </w:rPr>
            </w:pPr>
          </w:p>
        </w:tc>
      </w:tr>
      <w:tr w:rsidR="00C62B4C" w:rsidRPr="00C62B4C" w14:paraId="1BB9E5B0" w14:textId="77777777" w:rsidTr="00C62B4C">
        <w:trPr>
          <w:cantSplit/>
          <w:trHeight w:val="20"/>
          <w:jc w:val="center"/>
        </w:trPr>
        <w:tc>
          <w:tcPr>
            <w:tcW w:w="1352" w:type="dxa"/>
            <w:tcBorders>
              <w:top w:val="single" w:sz="6" w:space="0" w:color="auto"/>
              <w:left w:val="single" w:sz="6" w:space="0" w:color="auto"/>
              <w:bottom w:val="single" w:sz="6" w:space="0" w:color="auto"/>
              <w:right w:val="single" w:sz="6" w:space="0" w:color="auto"/>
            </w:tcBorders>
          </w:tcPr>
          <w:p w14:paraId="47E991CB" w14:textId="77777777" w:rsidR="00C62B4C" w:rsidRPr="00D429B4" w:rsidRDefault="00C62B4C" w:rsidP="00C62B4C">
            <w:pPr>
              <w:spacing w:after="101" w:line="276" w:lineRule="auto"/>
              <w:jc w:val="both"/>
              <w:rPr>
                <w:rFonts w:ascii="Verdana" w:hAnsi="Verdana" w:cs="Arial"/>
                <w:sz w:val="16"/>
                <w:szCs w:val="16"/>
                <w:lang w:val="en-US"/>
              </w:rPr>
            </w:pPr>
            <w:r w:rsidRPr="00D429B4">
              <w:rPr>
                <w:rFonts w:ascii="Verdana" w:hAnsi="Verdana" w:cs="Arial"/>
                <w:sz w:val="16"/>
                <w:szCs w:val="16"/>
                <w:lang w:val="en-US"/>
              </w:rPr>
              <w:t>HBsAg</w:t>
            </w:r>
          </w:p>
        </w:tc>
        <w:tc>
          <w:tcPr>
            <w:tcW w:w="1202" w:type="dxa"/>
            <w:tcBorders>
              <w:top w:val="single" w:sz="6" w:space="0" w:color="auto"/>
              <w:left w:val="single" w:sz="6" w:space="0" w:color="auto"/>
              <w:bottom w:val="single" w:sz="6" w:space="0" w:color="auto"/>
              <w:right w:val="single" w:sz="6" w:space="0" w:color="auto"/>
            </w:tcBorders>
          </w:tcPr>
          <w:p w14:paraId="668AE911" w14:textId="77777777" w:rsidR="00C62B4C" w:rsidRPr="00D429B4" w:rsidRDefault="00C62B4C" w:rsidP="00C62B4C">
            <w:pPr>
              <w:spacing w:after="101" w:line="276" w:lineRule="auto"/>
              <w:jc w:val="both"/>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tcPr>
          <w:p w14:paraId="7A1C2696" w14:textId="77777777" w:rsidR="00C62B4C" w:rsidRPr="00D429B4" w:rsidRDefault="00C62B4C" w:rsidP="00C62B4C">
            <w:pPr>
              <w:spacing w:after="101" w:line="276" w:lineRule="auto"/>
              <w:jc w:val="both"/>
              <w:rPr>
                <w:rFonts w:ascii="Verdana" w:hAnsi="Verdana" w:cs="Arial"/>
                <w:sz w:val="16"/>
                <w:szCs w:val="16"/>
                <w:lang w:val="en-US"/>
              </w:rPr>
            </w:pPr>
          </w:p>
        </w:tc>
        <w:tc>
          <w:tcPr>
            <w:tcW w:w="1051" w:type="dxa"/>
            <w:tcBorders>
              <w:top w:val="single" w:sz="6" w:space="0" w:color="auto"/>
              <w:left w:val="single" w:sz="6" w:space="0" w:color="auto"/>
              <w:bottom w:val="single" w:sz="6" w:space="0" w:color="auto"/>
              <w:right w:val="single" w:sz="6" w:space="0" w:color="auto"/>
            </w:tcBorders>
          </w:tcPr>
          <w:p w14:paraId="25013A89" w14:textId="77777777" w:rsidR="00C62B4C" w:rsidRPr="00D429B4" w:rsidRDefault="00C62B4C" w:rsidP="00C62B4C">
            <w:pPr>
              <w:spacing w:after="101" w:line="276" w:lineRule="auto"/>
              <w:jc w:val="both"/>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tcPr>
          <w:p w14:paraId="3B2F5EEE" w14:textId="77777777" w:rsidR="00C62B4C" w:rsidRPr="00D429B4" w:rsidRDefault="00C62B4C" w:rsidP="00C62B4C">
            <w:pPr>
              <w:spacing w:after="101" w:line="276" w:lineRule="auto"/>
              <w:jc w:val="both"/>
              <w:rPr>
                <w:rFonts w:ascii="Verdana" w:hAnsi="Verdana" w:cs="Arial"/>
                <w:sz w:val="16"/>
                <w:szCs w:val="16"/>
                <w:lang w:val="en-US"/>
              </w:rPr>
            </w:pPr>
          </w:p>
        </w:tc>
        <w:tc>
          <w:tcPr>
            <w:tcW w:w="1352" w:type="dxa"/>
            <w:tcBorders>
              <w:top w:val="single" w:sz="6" w:space="0" w:color="auto"/>
              <w:left w:val="single" w:sz="6" w:space="0" w:color="auto"/>
              <w:bottom w:val="single" w:sz="6" w:space="0" w:color="auto"/>
              <w:right w:val="single" w:sz="6" w:space="0" w:color="auto"/>
            </w:tcBorders>
          </w:tcPr>
          <w:p w14:paraId="23599D0A" w14:textId="77777777" w:rsidR="00C62B4C" w:rsidRPr="00D429B4" w:rsidRDefault="00C62B4C" w:rsidP="00C62B4C">
            <w:pPr>
              <w:spacing w:after="101" w:line="276" w:lineRule="auto"/>
              <w:jc w:val="both"/>
              <w:rPr>
                <w:rFonts w:ascii="Verdana" w:hAnsi="Verdana" w:cs="Arial"/>
                <w:sz w:val="16"/>
                <w:szCs w:val="16"/>
                <w:lang w:val="en-US"/>
              </w:rPr>
            </w:pPr>
          </w:p>
        </w:tc>
        <w:tc>
          <w:tcPr>
            <w:tcW w:w="1351" w:type="dxa"/>
            <w:tcBorders>
              <w:top w:val="single" w:sz="6" w:space="0" w:color="auto"/>
              <w:left w:val="single" w:sz="6" w:space="0" w:color="auto"/>
              <w:bottom w:val="single" w:sz="6" w:space="0" w:color="auto"/>
              <w:right w:val="single" w:sz="6" w:space="0" w:color="auto"/>
            </w:tcBorders>
          </w:tcPr>
          <w:p w14:paraId="3FEA5489" w14:textId="77777777" w:rsidR="00C62B4C" w:rsidRPr="00D429B4" w:rsidRDefault="00C62B4C" w:rsidP="00C62B4C">
            <w:pPr>
              <w:spacing w:after="101" w:line="276" w:lineRule="auto"/>
              <w:jc w:val="both"/>
              <w:rPr>
                <w:rFonts w:ascii="Verdana" w:hAnsi="Verdana" w:cs="Arial"/>
                <w:sz w:val="16"/>
                <w:szCs w:val="16"/>
                <w:lang w:val="en-US"/>
              </w:rPr>
            </w:pPr>
          </w:p>
        </w:tc>
      </w:tr>
      <w:tr w:rsidR="00C62B4C" w:rsidRPr="00C62B4C" w14:paraId="0748BCD6" w14:textId="77777777" w:rsidTr="00C62B4C">
        <w:trPr>
          <w:cantSplit/>
          <w:trHeight w:val="20"/>
          <w:jc w:val="center"/>
        </w:trPr>
        <w:tc>
          <w:tcPr>
            <w:tcW w:w="1352" w:type="dxa"/>
            <w:tcBorders>
              <w:top w:val="single" w:sz="6" w:space="0" w:color="auto"/>
              <w:left w:val="single" w:sz="6" w:space="0" w:color="auto"/>
              <w:bottom w:val="single" w:sz="6" w:space="0" w:color="auto"/>
              <w:right w:val="single" w:sz="6" w:space="0" w:color="auto"/>
            </w:tcBorders>
          </w:tcPr>
          <w:p w14:paraId="45AD4337" w14:textId="77777777" w:rsidR="00C62B4C" w:rsidRPr="00D429B4" w:rsidRDefault="00C62B4C" w:rsidP="00C62B4C">
            <w:pPr>
              <w:spacing w:after="101" w:line="276" w:lineRule="auto"/>
              <w:jc w:val="both"/>
              <w:rPr>
                <w:rFonts w:ascii="Verdana" w:hAnsi="Verdana" w:cs="Arial"/>
                <w:sz w:val="16"/>
                <w:szCs w:val="16"/>
                <w:lang w:val="en-US"/>
              </w:rPr>
            </w:pPr>
            <w:r w:rsidRPr="00D429B4">
              <w:rPr>
                <w:rFonts w:ascii="Verdana" w:hAnsi="Verdana" w:cs="Arial"/>
                <w:sz w:val="16"/>
                <w:szCs w:val="16"/>
                <w:lang w:val="en-US"/>
              </w:rPr>
              <w:lastRenderedPageBreak/>
              <w:t>Anti-HIV 1 and 2 antibodies</w:t>
            </w:r>
          </w:p>
        </w:tc>
        <w:tc>
          <w:tcPr>
            <w:tcW w:w="1202" w:type="dxa"/>
            <w:tcBorders>
              <w:top w:val="single" w:sz="6" w:space="0" w:color="auto"/>
              <w:left w:val="single" w:sz="6" w:space="0" w:color="auto"/>
              <w:bottom w:val="single" w:sz="6" w:space="0" w:color="auto"/>
              <w:right w:val="single" w:sz="6" w:space="0" w:color="auto"/>
            </w:tcBorders>
          </w:tcPr>
          <w:p w14:paraId="22F86A40" w14:textId="77777777" w:rsidR="00C62B4C" w:rsidRPr="00D429B4" w:rsidRDefault="00C62B4C" w:rsidP="00C62B4C">
            <w:pPr>
              <w:spacing w:after="101" w:line="276" w:lineRule="auto"/>
              <w:jc w:val="both"/>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tcPr>
          <w:p w14:paraId="2F10E7DA" w14:textId="77777777" w:rsidR="00C62B4C" w:rsidRPr="00D429B4" w:rsidRDefault="00C62B4C" w:rsidP="00C62B4C">
            <w:pPr>
              <w:spacing w:after="101" w:line="276" w:lineRule="auto"/>
              <w:jc w:val="both"/>
              <w:rPr>
                <w:rFonts w:ascii="Verdana" w:hAnsi="Verdana" w:cs="Arial"/>
                <w:sz w:val="16"/>
                <w:szCs w:val="16"/>
                <w:lang w:val="en-US"/>
              </w:rPr>
            </w:pPr>
          </w:p>
        </w:tc>
        <w:tc>
          <w:tcPr>
            <w:tcW w:w="1051" w:type="dxa"/>
            <w:tcBorders>
              <w:top w:val="single" w:sz="6" w:space="0" w:color="auto"/>
              <w:left w:val="single" w:sz="6" w:space="0" w:color="auto"/>
              <w:bottom w:val="single" w:sz="6" w:space="0" w:color="auto"/>
              <w:right w:val="single" w:sz="6" w:space="0" w:color="auto"/>
            </w:tcBorders>
          </w:tcPr>
          <w:p w14:paraId="369B5E6D" w14:textId="77777777" w:rsidR="00C62B4C" w:rsidRPr="00D429B4" w:rsidRDefault="00C62B4C" w:rsidP="00C62B4C">
            <w:pPr>
              <w:spacing w:after="101" w:line="276" w:lineRule="auto"/>
              <w:jc w:val="both"/>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tcPr>
          <w:p w14:paraId="01825956" w14:textId="77777777" w:rsidR="00C62B4C" w:rsidRPr="00D429B4" w:rsidRDefault="00C62B4C" w:rsidP="00C62B4C">
            <w:pPr>
              <w:spacing w:after="101" w:line="276" w:lineRule="auto"/>
              <w:jc w:val="both"/>
              <w:rPr>
                <w:rFonts w:ascii="Verdana" w:hAnsi="Verdana" w:cs="Arial"/>
                <w:sz w:val="16"/>
                <w:szCs w:val="16"/>
                <w:lang w:val="en-US"/>
              </w:rPr>
            </w:pPr>
          </w:p>
        </w:tc>
        <w:tc>
          <w:tcPr>
            <w:tcW w:w="1352" w:type="dxa"/>
            <w:tcBorders>
              <w:top w:val="single" w:sz="6" w:space="0" w:color="auto"/>
              <w:left w:val="single" w:sz="6" w:space="0" w:color="auto"/>
              <w:bottom w:val="single" w:sz="6" w:space="0" w:color="auto"/>
              <w:right w:val="single" w:sz="6" w:space="0" w:color="auto"/>
            </w:tcBorders>
          </w:tcPr>
          <w:p w14:paraId="00A9F4A3" w14:textId="77777777" w:rsidR="00C62B4C" w:rsidRPr="00D429B4" w:rsidRDefault="00C62B4C" w:rsidP="00C62B4C">
            <w:pPr>
              <w:spacing w:after="101" w:line="276" w:lineRule="auto"/>
              <w:jc w:val="both"/>
              <w:rPr>
                <w:rFonts w:ascii="Verdana" w:hAnsi="Verdana" w:cs="Arial"/>
                <w:sz w:val="16"/>
                <w:szCs w:val="16"/>
                <w:lang w:val="en-US"/>
              </w:rPr>
            </w:pPr>
          </w:p>
        </w:tc>
        <w:tc>
          <w:tcPr>
            <w:tcW w:w="1351" w:type="dxa"/>
            <w:tcBorders>
              <w:top w:val="single" w:sz="6" w:space="0" w:color="auto"/>
              <w:left w:val="single" w:sz="6" w:space="0" w:color="auto"/>
              <w:bottom w:val="single" w:sz="6" w:space="0" w:color="auto"/>
              <w:right w:val="single" w:sz="6" w:space="0" w:color="auto"/>
            </w:tcBorders>
          </w:tcPr>
          <w:p w14:paraId="131AD421" w14:textId="77777777" w:rsidR="00C62B4C" w:rsidRPr="00D429B4" w:rsidRDefault="00C62B4C" w:rsidP="00C62B4C">
            <w:pPr>
              <w:spacing w:after="101" w:line="276" w:lineRule="auto"/>
              <w:jc w:val="both"/>
              <w:rPr>
                <w:rFonts w:ascii="Verdana" w:hAnsi="Verdana" w:cs="Arial"/>
                <w:sz w:val="16"/>
                <w:szCs w:val="16"/>
                <w:lang w:val="en-US"/>
              </w:rPr>
            </w:pPr>
          </w:p>
        </w:tc>
      </w:tr>
      <w:tr w:rsidR="00C62B4C" w:rsidRPr="00C62B4C" w14:paraId="37C9FFED" w14:textId="77777777" w:rsidTr="00C62B4C">
        <w:trPr>
          <w:cantSplit/>
          <w:trHeight w:val="20"/>
          <w:jc w:val="center"/>
        </w:trPr>
        <w:tc>
          <w:tcPr>
            <w:tcW w:w="1352" w:type="dxa"/>
            <w:tcBorders>
              <w:top w:val="single" w:sz="6" w:space="0" w:color="auto"/>
              <w:left w:val="single" w:sz="6" w:space="0" w:color="auto"/>
              <w:bottom w:val="single" w:sz="6" w:space="0" w:color="auto"/>
              <w:right w:val="single" w:sz="6" w:space="0" w:color="auto"/>
            </w:tcBorders>
          </w:tcPr>
          <w:p w14:paraId="0C810379" w14:textId="77777777" w:rsidR="00C62B4C" w:rsidRPr="00D429B4" w:rsidRDefault="00C62B4C" w:rsidP="00C62B4C">
            <w:pPr>
              <w:spacing w:after="101" w:line="276" w:lineRule="auto"/>
              <w:jc w:val="both"/>
              <w:rPr>
                <w:rFonts w:ascii="Verdana" w:hAnsi="Verdana" w:cs="Arial"/>
                <w:sz w:val="16"/>
                <w:szCs w:val="16"/>
                <w:lang w:val="en-US"/>
              </w:rPr>
            </w:pPr>
            <w:r w:rsidRPr="00D429B4">
              <w:rPr>
                <w:rFonts w:ascii="Verdana" w:hAnsi="Verdana" w:cs="Arial"/>
                <w:sz w:val="16"/>
                <w:szCs w:val="16"/>
                <w:lang w:val="en-US"/>
              </w:rPr>
              <w:t>Anti-HCV 1 and 2 antibodies</w:t>
            </w:r>
          </w:p>
        </w:tc>
        <w:tc>
          <w:tcPr>
            <w:tcW w:w="1202" w:type="dxa"/>
            <w:tcBorders>
              <w:top w:val="single" w:sz="6" w:space="0" w:color="auto"/>
              <w:left w:val="single" w:sz="6" w:space="0" w:color="auto"/>
              <w:bottom w:val="single" w:sz="6" w:space="0" w:color="auto"/>
              <w:right w:val="single" w:sz="6" w:space="0" w:color="auto"/>
            </w:tcBorders>
          </w:tcPr>
          <w:p w14:paraId="4C6EEABF" w14:textId="77777777" w:rsidR="00C62B4C" w:rsidRPr="00D429B4" w:rsidRDefault="00C62B4C" w:rsidP="00C62B4C">
            <w:pPr>
              <w:spacing w:after="101" w:line="276" w:lineRule="auto"/>
              <w:jc w:val="both"/>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tcPr>
          <w:p w14:paraId="563082E8" w14:textId="77777777" w:rsidR="00C62B4C" w:rsidRPr="00D429B4" w:rsidRDefault="00C62B4C" w:rsidP="00C62B4C">
            <w:pPr>
              <w:spacing w:after="101" w:line="276" w:lineRule="auto"/>
              <w:jc w:val="both"/>
              <w:rPr>
                <w:rFonts w:ascii="Verdana" w:hAnsi="Verdana" w:cs="Arial"/>
                <w:sz w:val="16"/>
                <w:szCs w:val="16"/>
                <w:lang w:val="en-US"/>
              </w:rPr>
            </w:pPr>
          </w:p>
        </w:tc>
        <w:tc>
          <w:tcPr>
            <w:tcW w:w="1051" w:type="dxa"/>
            <w:tcBorders>
              <w:top w:val="single" w:sz="6" w:space="0" w:color="auto"/>
              <w:left w:val="single" w:sz="6" w:space="0" w:color="auto"/>
              <w:bottom w:val="single" w:sz="6" w:space="0" w:color="auto"/>
              <w:right w:val="single" w:sz="6" w:space="0" w:color="auto"/>
            </w:tcBorders>
          </w:tcPr>
          <w:p w14:paraId="1E1AD474" w14:textId="77777777" w:rsidR="00C62B4C" w:rsidRPr="00D429B4" w:rsidRDefault="00C62B4C" w:rsidP="00C62B4C">
            <w:pPr>
              <w:spacing w:after="101" w:line="276" w:lineRule="auto"/>
              <w:jc w:val="both"/>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tcPr>
          <w:p w14:paraId="06551546" w14:textId="77777777" w:rsidR="00C62B4C" w:rsidRPr="00D429B4" w:rsidRDefault="00C62B4C" w:rsidP="00C62B4C">
            <w:pPr>
              <w:spacing w:after="101" w:line="276" w:lineRule="auto"/>
              <w:jc w:val="both"/>
              <w:rPr>
                <w:rFonts w:ascii="Verdana" w:hAnsi="Verdana" w:cs="Arial"/>
                <w:sz w:val="16"/>
                <w:szCs w:val="16"/>
                <w:lang w:val="en-US"/>
              </w:rPr>
            </w:pPr>
          </w:p>
        </w:tc>
        <w:tc>
          <w:tcPr>
            <w:tcW w:w="1352" w:type="dxa"/>
            <w:tcBorders>
              <w:top w:val="single" w:sz="6" w:space="0" w:color="auto"/>
              <w:left w:val="single" w:sz="6" w:space="0" w:color="auto"/>
              <w:bottom w:val="single" w:sz="6" w:space="0" w:color="auto"/>
              <w:right w:val="single" w:sz="6" w:space="0" w:color="auto"/>
            </w:tcBorders>
          </w:tcPr>
          <w:p w14:paraId="091DDB93" w14:textId="77777777" w:rsidR="00C62B4C" w:rsidRPr="00D429B4" w:rsidRDefault="00C62B4C" w:rsidP="00C62B4C">
            <w:pPr>
              <w:spacing w:after="101" w:line="276" w:lineRule="auto"/>
              <w:jc w:val="both"/>
              <w:rPr>
                <w:rFonts w:ascii="Verdana" w:hAnsi="Verdana" w:cs="Arial"/>
                <w:sz w:val="16"/>
                <w:szCs w:val="16"/>
                <w:lang w:val="en-US"/>
              </w:rPr>
            </w:pPr>
          </w:p>
        </w:tc>
        <w:tc>
          <w:tcPr>
            <w:tcW w:w="1351" w:type="dxa"/>
            <w:tcBorders>
              <w:top w:val="single" w:sz="6" w:space="0" w:color="auto"/>
              <w:left w:val="single" w:sz="6" w:space="0" w:color="auto"/>
              <w:bottom w:val="single" w:sz="6" w:space="0" w:color="auto"/>
              <w:right w:val="single" w:sz="6" w:space="0" w:color="auto"/>
            </w:tcBorders>
          </w:tcPr>
          <w:p w14:paraId="597D5245" w14:textId="77777777" w:rsidR="00C62B4C" w:rsidRPr="00D429B4" w:rsidRDefault="00C62B4C" w:rsidP="00C62B4C">
            <w:pPr>
              <w:spacing w:after="101" w:line="276" w:lineRule="auto"/>
              <w:jc w:val="both"/>
              <w:rPr>
                <w:rFonts w:ascii="Verdana" w:hAnsi="Verdana" w:cs="Arial"/>
                <w:sz w:val="16"/>
                <w:szCs w:val="16"/>
                <w:lang w:val="en-US"/>
              </w:rPr>
            </w:pPr>
          </w:p>
        </w:tc>
      </w:tr>
      <w:tr w:rsidR="00C62B4C" w:rsidRPr="00F70181" w14:paraId="22BD74CA" w14:textId="77777777" w:rsidTr="00C62B4C">
        <w:trPr>
          <w:cantSplit/>
          <w:trHeight w:val="20"/>
          <w:jc w:val="center"/>
        </w:trPr>
        <w:tc>
          <w:tcPr>
            <w:tcW w:w="1352" w:type="dxa"/>
            <w:tcBorders>
              <w:top w:val="single" w:sz="6" w:space="0" w:color="auto"/>
              <w:left w:val="single" w:sz="6" w:space="0" w:color="auto"/>
              <w:bottom w:val="single" w:sz="6" w:space="0" w:color="auto"/>
              <w:right w:val="single" w:sz="6" w:space="0" w:color="auto"/>
            </w:tcBorders>
          </w:tcPr>
          <w:p w14:paraId="5B6BFF49" w14:textId="77777777" w:rsidR="00C62B4C" w:rsidRPr="00D429B4" w:rsidRDefault="00C62B4C" w:rsidP="00C62B4C">
            <w:pPr>
              <w:spacing w:after="101" w:line="276" w:lineRule="auto"/>
              <w:jc w:val="both"/>
              <w:rPr>
                <w:rFonts w:ascii="Verdana" w:hAnsi="Verdana" w:cs="Arial"/>
                <w:sz w:val="16"/>
                <w:szCs w:val="16"/>
                <w:lang w:val="en-US"/>
              </w:rPr>
            </w:pPr>
            <w:r w:rsidRPr="00D429B4">
              <w:rPr>
                <w:rFonts w:ascii="Verdana" w:hAnsi="Verdana" w:cs="Arial"/>
                <w:sz w:val="16"/>
                <w:szCs w:val="16"/>
                <w:lang w:val="en-US"/>
              </w:rPr>
              <w:t xml:space="preserve">NAT for RNA of the HCV </w:t>
            </w:r>
          </w:p>
        </w:tc>
        <w:tc>
          <w:tcPr>
            <w:tcW w:w="1202" w:type="dxa"/>
            <w:tcBorders>
              <w:top w:val="single" w:sz="6" w:space="0" w:color="auto"/>
              <w:left w:val="single" w:sz="6" w:space="0" w:color="auto"/>
              <w:bottom w:val="single" w:sz="6" w:space="0" w:color="auto"/>
              <w:right w:val="single" w:sz="6" w:space="0" w:color="auto"/>
            </w:tcBorders>
          </w:tcPr>
          <w:p w14:paraId="592D8BB4" w14:textId="77777777" w:rsidR="00C62B4C" w:rsidRPr="00D429B4" w:rsidRDefault="00C62B4C" w:rsidP="00C62B4C">
            <w:pPr>
              <w:spacing w:after="101" w:line="276" w:lineRule="auto"/>
              <w:jc w:val="both"/>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tcPr>
          <w:p w14:paraId="43555FB8" w14:textId="77777777" w:rsidR="00C62B4C" w:rsidRPr="00D429B4" w:rsidRDefault="00C62B4C" w:rsidP="00C62B4C">
            <w:pPr>
              <w:spacing w:after="101" w:line="276" w:lineRule="auto"/>
              <w:jc w:val="both"/>
              <w:rPr>
                <w:rFonts w:ascii="Verdana" w:hAnsi="Verdana" w:cs="Arial"/>
                <w:sz w:val="16"/>
                <w:szCs w:val="16"/>
                <w:lang w:val="en-US"/>
              </w:rPr>
            </w:pPr>
          </w:p>
        </w:tc>
        <w:tc>
          <w:tcPr>
            <w:tcW w:w="1051" w:type="dxa"/>
            <w:tcBorders>
              <w:top w:val="single" w:sz="6" w:space="0" w:color="auto"/>
              <w:left w:val="single" w:sz="6" w:space="0" w:color="auto"/>
              <w:bottom w:val="single" w:sz="6" w:space="0" w:color="auto"/>
              <w:right w:val="single" w:sz="6" w:space="0" w:color="auto"/>
            </w:tcBorders>
          </w:tcPr>
          <w:p w14:paraId="3D45DBD4" w14:textId="77777777" w:rsidR="00C62B4C" w:rsidRPr="00D429B4" w:rsidRDefault="00C62B4C" w:rsidP="00C62B4C">
            <w:pPr>
              <w:spacing w:after="101" w:line="276" w:lineRule="auto"/>
              <w:jc w:val="both"/>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tcPr>
          <w:p w14:paraId="3C0F2085" w14:textId="77777777" w:rsidR="00C62B4C" w:rsidRPr="00D429B4" w:rsidRDefault="00C62B4C" w:rsidP="00C62B4C">
            <w:pPr>
              <w:spacing w:after="101" w:line="276" w:lineRule="auto"/>
              <w:jc w:val="both"/>
              <w:rPr>
                <w:rFonts w:ascii="Verdana" w:hAnsi="Verdana" w:cs="Arial"/>
                <w:sz w:val="16"/>
                <w:szCs w:val="16"/>
                <w:lang w:val="en-US"/>
              </w:rPr>
            </w:pPr>
          </w:p>
        </w:tc>
        <w:tc>
          <w:tcPr>
            <w:tcW w:w="1352" w:type="dxa"/>
            <w:tcBorders>
              <w:top w:val="single" w:sz="6" w:space="0" w:color="auto"/>
              <w:left w:val="single" w:sz="6" w:space="0" w:color="auto"/>
              <w:bottom w:val="single" w:sz="6" w:space="0" w:color="auto"/>
              <w:right w:val="single" w:sz="6" w:space="0" w:color="auto"/>
            </w:tcBorders>
          </w:tcPr>
          <w:p w14:paraId="2B5F5341" w14:textId="77777777" w:rsidR="00C62B4C" w:rsidRPr="00D429B4" w:rsidRDefault="00C62B4C" w:rsidP="00C62B4C">
            <w:pPr>
              <w:spacing w:after="101" w:line="276" w:lineRule="auto"/>
              <w:jc w:val="both"/>
              <w:rPr>
                <w:rFonts w:ascii="Verdana" w:hAnsi="Verdana" w:cs="Arial"/>
                <w:sz w:val="16"/>
                <w:szCs w:val="16"/>
                <w:lang w:val="en-US"/>
              </w:rPr>
            </w:pPr>
          </w:p>
        </w:tc>
        <w:tc>
          <w:tcPr>
            <w:tcW w:w="1351" w:type="dxa"/>
            <w:tcBorders>
              <w:top w:val="single" w:sz="6" w:space="0" w:color="auto"/>
              <w:left w:val="single" w:sz="6" w:space="0" w:color="auto"/>
              <w:bottom w:val="single" w:sz="6" w:space="0" w:color="auto"/>
              <w:right w:val="single" w:sz="6" w:space="0" w:color="auto"/>
            </w:tcBorders>
          </w:tcPr>
          <w:p w14:paraId="03099C4A" w14:textId="77777777" w:rsidR="00C62B4C" w:rsidRPr="00D429B4" w:rsidRDefault="00C62B4C" w:rsidP="00C62B4C">
            <w:pPr>
              <w:spacing w:after="101" w:line="276" w:lineRule="auto"/>
              <w:jc w:val="both"/>
              <w:rPr>
                <w:rFonts w:ascii="Verdana" w:hAnsi="Verdana" w:cs="Arial"/>
                <w:sz w:val="16"/>
                <w:szCs w:val="16"/>
                <w:lang w:val="en-US"/>
              </w:rPr>
            </w:pPr>
          </w:p>
        </w:tc>
      </w:tr>
      <w:tr w:rsidR="00C62B4C" w:rsidRPr="00C62B4C" w14:paraId="075249D2" w14:textId="77777777" w:rsidTr="00C62B4C">
        <w:trPr>
          <w:cantSplit/>
          <w:trHeight w:val="20"/>
          <w:jc w:val="center"/>
        </w:trPr>
        <w:tc>
          <w:tcPr>
            <w:tcW w:w="1352" w:type="dxa"/>
            <w:tcBorders>
              <w:top w:val="single" w:sz="6" w:space="0" w:color="auto"/>
              <w:left w:val="single" w:sz="6" w:space="0" w:color="auto"/>
              <w:bottom w:val="single" w:sz="6" w:space="0" w:color="auto"/>
              <w:right w:val="single" w:sz="6" w:space="0" w:color="auto"/>
            </w:tcBorders>
          </w:tcPr>
          <w:p w14:paraId="59361BD0" w14:textId="77777777" w:rsidR="00C62B4C" w:rsidRPr="00D429B4" w:rsidRDefault="00C62B4C" w:rsidP="00C62B4C">
            <w:pPr>
              <w:spacing w:after="101" w:line="276" w:lineRule="auto"/>
              <w:jc w:val="both"/>
              <w:rPr>
                <w:rFonts w:ascii="Verdana" w:hAnsi="Verdana" w:cs="Arial"/>
                <w:sz w:val="16"/>
                <w:szCs w:val="16"/>
                <w:lang w:val="en-US"/>
              </w:rPr>
            </w:pPr>
            <w:r w:rsidRPr="00D429B4">
              <w:rPr>
                <w:rFonts w:ascii="Verdana" w:hAnsi="Verdana" w:cs="Arial"/>
                <w:sz w:val="16"/>
                <w:szCs w:val="16"/>
                <w:lang w:val="en-US"/>
              </w:rPr>
              <w:t xml:space="preserve">DNA of the  PB19 </w:t>
            </w:r>
          </w:p>
        </w:tc>
        <w:tc>
          <w:tcPr>
            <w:tcW w:w="1202" w:type="dxa"/>
            <w:tcBorders>
              <w:top w:val="single" w:sz="6" w:space="0" w:color="auto"/>
              <w:left w:val="single" w:sz="6" w:space="0" w:color="auto"/>
              <w:bottom w:val="single" w:sz="6" w:space="0" w:color="auto"/>
              <w:right w:val="single" w:sz="6" w:space="0" w:color="auto"/>
            </w:tcBorders>
          </w:tcPr>
          <w:p w14:paraId="0BD5CE69" w14:textId="77777777" w:rsidR="00C62B4C" w:rsidRPr="00D429B4" w:rsidRDefault="00C62B4C" w:rsidP="00C62B4C">
            <w:pPr>
              <w:spacing w:after="101" w:line="276" w:lineRule="auto"/>
              <w:jc w:val="both"/>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tcPr>
          <w:p w14:paraId="245C4F70" w14:textId="77777777" w:rsidR="00C62B4C" w:rsidRPr="00D429B4" w:rsidRDefault="00C62B4C" w:rsidP="00C62B4C">
            <w:pPr>
              <w:spacing w:after="101" w:line="276" w:lineRule="auto"/>
              <w:jc w:val="both"/>
              <w:rPr>
                <w:rFonts w:ascii="Verdana" w:hAnsi="Verdana" w:cs="Arial"/>
                <w:sz w:val="16"/>
                <w:szCs w:val="16"/>
                <w:lang w:val="en-US"/>
              </w:rPr>
            </w:pPr>
          </w:p>
        </w:tc>
        <w:tc>
          <w:tcPr>
            <w:tcW w:w="1051" w:type="dxa"/>
            <w:tcBorders>
              <w:top w:val="single" w:sz="6" w:space="0" w:color="auto"/>
              <w:left w:val="single" w:sz="6" w:space="0" w:color="auto"/>
              <w:bottom w:val="single" w:sz="6" w:space="0" w:color="auto"/>
              <w:right w:val="single" w:sz="6" w:space="0" w:color="auto"/>
            </w:tcBorders>
          </w:tcPr>
          <w:p w14:paraId="0460457F" w14:textId="77777777" w:rsidR="00C62B4C" w:rsidRPr="00D429B4" w:rsidRDefault="00C62B4C" w:rsidP="00C62B4C">
            <w:pPr>
              <w:spacing w:after="101" w:line="276" w:lineRule="auto"/>
              <w:jc w:val="both"/>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tcPr>
          <w:p w14:paraId="7C56C963" w14:textId="77777777" w:rsidR="00C62B4C" w:rsidRPr="00D429B4" w:rsidRDefault="00C62B4C" w:rsidP="00C62B4C">
            <w:pPr>
              <w:spacing w:after="101" w:line="276" w:lineRule="auto"/>
              <w:jc w:val="both"/>
              <w:rPr>
                <w:rFonts w:ascii="Verdana" w:hAnsi="Verdana" w:cs="Arial"/>
                <w:sz w:val="16"/>
                <w:szCs w:val="16"/>
                <w:lang w:val="en-US"/>
              </w:rPr>
            </w:pPr>
          </w:p>
        </w:tc>
        <w:tc>
          <w:tcPr>
            <w:tcW w:w="1352" w:type="dxa"/>
            <w:tcBorders>
              <w:top w:val="single" w:sz="6" w:space="0" w:color="auto"/>
              <w:left w:val="single" w:sz="6" w:space="0" w:color="auto"/>
              <w:bottom w:val="single" w:sz="6" w:space="0" w:color="auto"/>
              <w:right w:val="single" w:sz="6" w:space="0" w:color="auto"/>
            </w:tcBorders>
          </w:tcPr>
          <w:p w14:paraId="2878DA45" w14:textId="77777777" w:rsidR="00C62B4C" w:rsidRPr="00D429B4" w:rsidRDefault="00C62B4C" w:rsidP="00C62B4C">
            <w:pPr>
              <w:spacing w:after="101" w:line="276" w:lineRule="auto"/>
              <w:jc w:val="both"/>
              <w:rPr>
                <w:rFonts w:ascii="Verdana" w:hAnsi="Verdana" w:cs="Arial"/>
                <w:sz w:val="16"/>
                <w:szCs w:val="16"/>
                <w:lang w:val="en-US"/>
              </w:rPr>
            </w:pPr>
          </w:p>
        </w:tc>
        <w:tc>
          <w:tcPr>
            <w:tcW w:w="1351" w:type="dxa"/>
            <w:tcBorders>
              <w:top w:val="single" w:sz="6" w:space="0" w:color="auto"/>
              <w:left w:val="single" w:sz="6" w:space="0" w:color="auto"/>
              <w:bottom w:val="single" w:sz="6" w:space="0" w:color="auto"/>
              <w:right w:val="single" w:sz="6" w:space="0" w:color="auto"/>
            </w:tcBorders>
          </w:tcPr>
          <w:p w14:paraId="3F5A53EC" w14:textId="77777777" w:rsidR="00C62B4C" w:rsidRPr="00D429B4" w:rsidRDefault="00C62B4C" w:rsidP="00C62B4C">
            <w:pPr>
              <w:spacing w:after="101" w:line="276" w:lineRule="auto"/>
              <w:jc w:val="both"/>
              <w:rPr>
                <w:rFonts w:ascii="Verdana" w:hAnsi="Verdana" w:cs="Arial"/>
                <w:sz w:val="16"/>
                <w:szCs w:val="16"/>
                <w:lang w:val="en-US"/>
              </w:rPr>
            </w:pPr>
          </w:p>
        </w:tc>
      </w:tr>
      <w:tr w:rsidR="00C62B4C" w:rsidRPr="00C62B4C" w14:paraId="4EBECF46" w14:textId="77777777" w:rsidTr="00C62B4C">
        <w:trPr>
          <w:cantSplit/>
          <w:trHeight w:val="20"/>
          <w:jc w:val="center"/>
        </w:trPr>
        <w:tc>
          <w:tcPr>
            <w:tcW w:w="1352" w:type="dxa"/>
            <w:tcBorders>
              <w:top w:val="single" w:sz="6" w:space="0" w:color="auto"/>
              <w:left w:val="single" w:sz="6" w:space="0" w:color="auto"/>
              <w:bottom w:val="single" w:sz="6" w:space="0" w:color="auto"/>
              <w:right w:val="single" w:sz="6" w:space="0" w:color="auto"/>
            </w:tcBorders>
          </w:tcPr>
          <w:p w14:paraId="7AE6C2E5" w14:textId="77777777" w:rsidR="00C62B4C" w:rsidRPr="00D429B4" w:rsidRDefault="00C62B4C" w:rsidP="00C62B4C">
            <w:pPr>
              <w:spacing w:after="101" w:line="276" w:lineRule="auto"/>
              <w:jc w:val="both"/>
              <w:rPr>
                <w:rFonts w:ascii="Verdana" w:hAnsi="Verdana" w:cs="Arial"/>
                <w:sz w:val="16"/>
                <w:szCs w:val="16"/>
                <w:lang w:val="en-US"/>
              </w:rPr>
            </w:pPr>
            <w:r w:rsidRPr="00D429B4">
              <w:rPr>
                <w:rFonts w:ascii="Verdana" w:hAnsi="Verdana" w:cs="Arial"/>
                <w:sz w:val="16"/>
                <w:szCs w:val="16"/>
                <w:lang w:val="en-US"/>
              </w:rPr>
              <w:t>Other evaluations</w:t>
            </w:r>
          </w:p>
        </w:tc>
        <w:tc>
          <w:tcPr>
            <w:tcW w:w="1202" w:type="dxa"/>
            <w:tcBorders>
              <w:top w:val="single" w:sz="6" w:space="0" w:color="auto"/>
              <w:left w:val="single" w:sz="6" w:space="0" w:color="auto"/>
              <w:bottom w:val="single" w:sz="6" w:space="0" w:color="auto"/>
              <w:right w:val="single" w:sz="6" w:space="0" w:color="auto"/>
            </w:tcBorders>
          </w:tcPr>
          <w:p w14:paraId="01CFC195" w14:textId="77777777" w:rsidR="00C62B4C" w:rsidRPr="00D429B4" w:rsidRDefault="00C62B4C" w:rsidP="00C62B4C">
            <w:pPr>
              <w:spacing w:after="101" w:line="276" w:lineRule="auto"/>
              <w:jc w:val="both"/>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tcPr>
          <w:p w14:paraId="1A42244F" w14:textId="77777777" w:rsidR="00C62B4C" w:rsidRPr="00D429B4" w:rsidRDefault="00C62B4C" w:rsidP="00C62B4C">
            <w:pPr>
              <w:spacing w:after="101" w:line="276" w:lineRule="auto"/>
              <w:jc w:val="both"/>
              <w:rPr>
                <w:rFonts w:ascii="Verdana" w:hAnsi="Verdana" w:cs="Arial"/>
                <w:sz w:val="16"/>
                <w:szCs w:val="16"/>
                <w:lang w:val="en-US"/>
              </w:rPr>
            </w:pPr>
          </w:p>
        </w:tc>
        <w:tc>
          <w:tcPr>
            <w:tcW w:w="1051" w:type="dxa"/>
            <w:tcBorders>
              <w:top w:val="single" w:sz="6" w:space="0" w:color="auto"/>
              <w:left w:val="single" w:sz="6" w:space="0" w:color="auto"/>
              <w:bottom w:val="single" w:sz="6" w:space="0" w:color="auto"/>
              <w:right w:val="single" w:sz="6" w:space="0" w:color="auto"/>
            </w:tcBorders>
          </w:tcPr>
          <w:p w14:paraId="7677A07F" w14:textId="77777777" w:rsidR="00C62B4C" w:rsidRPr="00D429B4" w:rsidRDefault="00C62B4C" w:rsidP="00C62B4C">
            <w:pPr>
              <w:spacing w:after="101" w:line="276" w:lineRule="auto"/>
              <w:jc w:val="both"/>
              <w:rPr>
                <w:rFonts w:ascii="Verdana" w:hAnsi="Verdana" w:cs="Arial"/>
                <w:sz w:val="16"/>
                <w:szCs w:val="16"/>
                <w:lang w:val="en-US"/>
              </w:rPr>
            </w:pPr>
          </w:p>
        </w:tc>
        <w:tc>
          <w:tcPr>
            <w:tcW w:w="1202" w:type="dxa"/>
            <w:tcBorders>
              <w:top w:val="single" w:sz="6" w:space="0" w:color="auto"/>
              <w:left w:val="single" w:sz="6" w:space="0" w:color="auto"/>
              <w:bottom w:val="single" w:sz="6" w:space="0" w:color="auto"/>
              <w:right w:val="single" w:sz="6" w:space="0" w:color="auto"/>
            </w:tcBorders>
          </w:tcPr>
          <w:p w14:paraId="66552903" w14:textId="77777777" w:rsidR="00C62B4C" w:rsidRPr="00D429B4" w:rsidRDefault="00C62B4C" w:rsidP="00C62B4C">
            <w:pPr>
              <w:spacing w:after="101" w:line="276" w:lineRule="auto"/>
              <w:jc w:val="both"/>
              <w:rPr>
                <w:rFonts w:ascii="Verdana" w:hAnsi="Verdana" w:cs="Arial"/>
                <w:sz w:val="16"/>
                <w:szCs w:val="16"/>
                <w:lang w:val="en-US"/>
              </w:rPr>
            </w:pPr>
          </w:p>
        </w:tc>
        <w:tc>
          <w:tcPr>
            <w:tcW w:w="1352" w:type="dxa"/>
            <w:tcBorders>
              <w:top w:val="single" w:sz="6" w:space="0" w:color="auto"/>
              <w:left w:val="single" w:sz="6" w:space="0" w:color="auto"/>
              <w:bottom w:val="single" w:sz="6" w:space="0" w:color="auto"/>
              <w:right w:val="single" w:sz="6" w:space="0" w:color="auto"/>
            </w:tcBorders>
          </w:tcPr>
          <w:p w14:paraId="6C13421C" w14:textId="77777777" w:rsidR="00C62B4C" w:rsidRPr="00D429B4" w:rsidRDefault="00C62B4C" w:rsidP="00C62B4C">
            <w:pPr>
              <w:spacing w:after="101" w:line="276" w:lineRule="auto"/>
              <w:jc w:val="both"/>
              <w:rPr>
                <w:rFonts w:ascii="Verdana" w:hAnsi="Verdana" w:cs="Arial"/>
                <w:sz w:val="16"/>
                <w:szCs w:val="16"/>
                <w:lang w:val="en-US"/>
              </w:rPr>
            </w:pPr>
          </w:p>
        </w:tc>
        <w:tc>
          <w:tcPr>
            <w:tcW w:w="1351" w:type="dxa"/>
            <w:tcBorders>
              <w:top w:val="single" w:sz="6" w:space="0" w:color="auto"/>
              <w:left w:val="single" w:sz="6" w:space="0" w:color="auto"/>
              <w:bottom w:val="single" w:sz="6" w:space="0" w:color="auto"/>
              <w:right w:val="single" w:sz="6" w:space="0" w:color="auto"/>
            </w:tcBorders>
          </w:tcPr>
          <w:p w14:paraId="39DC2D33" w14:textId="77777777" w:rsidR="00C62B4C" w:rsidRPr="00D429B4" w:rsidRDefault="00C62B4C" w:rsidP="00C62B4C">
            <w:pPr>
              <w:spacing w:after="101" w:line="276" w:lineRule="auto"/>
              <w:jc w:val="both"/>
              <w:rPr>
                <w:rFonts w:ascii="Verdana" w:hAnsi="Verdana" w:cs="Arial"/>
                <w:sz w:val="16"/>
                <w:szCs w:val="16"/>
                <w:lang w:val="en-US"/>
              </w:rPr>
            </w:pPr>
          </w:p>
        </w:tc>
      </w:tr>
    </w:tbl>
    <w:p w14:paraId="092290CB" w14:textId="77777777" w:rsidR="0092514C" w:rsidRDefault="0092514C" w:rsidP="005C0901">
      <w:pPr>
        <w:pStyle w:val="Texto"/>
        <w:spacing w:line="276" w:lineRule="au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C62B4C" w:rsidRPr="00F70181" w14:paraId="51AE1896" w14:textId="77777777" w:rsidTr="00C62B4C">
        <w:tc>
          <w:tcPr>
            <w:tcW w:w="4416" w:type="dxa"/>
          </w:tcPr>
          <w:p w14:paraId="0E195F7E" w14:textId="77777777" w:rsidR="00C62B4C" w:rsidRDefault="00C62B4C" w:rsidP="00C62B4C">
            <w:pPr>
              <w:pStyle w:val="Texto"/>
              <w:spacing w:line="276" w:lineRule="auto"/>
              <w:ind w:firstLine="0"/>
              <w:rPr>
                <w:rFonts w:ascii="Verdana" w:hAnsi="Verdana"/>
                <w:sz w:val="16"/>
                <w:szCs w:val="16"/>
              </w:rPr>
            </w:pPr>
            <w:r w:rsidRPr="00262EF8">
              <w:rPr>
                <w:rFonts w:ascii="Verdana" w:hAnsi="Verdana"/>
                <w:b/>
                <w:sz w:val="16"/>
                <w:szCs w:val="16"/>
              </w:rPr>
              <w:t>10.5.6.25.9</w:t>
            </w:r>
            <w:r w:rsidRPr="00262EF8">
              <w:rPr>
                <w:rFonts w:ascii="Verdana" w:hAnsi="Verdana"/>
                <w:sz w:val="16"/>
                <w:szCs w:val="16"/>
              </w:rPr>
              <w:t xml:space="preserve"> Informe de los resultados de las evaluaciones practicadas a las donaciones y su aceptación o rechazo de acuerdo a las especificaciones de la FEUM y del punto 10.5.6.18 de esta Norma.</w:t>
            </w:r>
          </w:p>
        </w:tc>
        <w:tc>
          <w:tcPr>
            <w:tcW w:w="4416" w:type="dxa"/>
          </w:tcPr>
          <w:p w14:paraId="7E710A89" w14:textId="77777777" w:rsidR="00C62B4C" w:rsidRPr="00C62B4C" w:rsidRDefault="00C62B4C" w:rsidP="00C62B4C">
            <w:pPr>
              <w:pStyle w:val="Texto"/>
              <w:spacing w:line="276" w:lineRule="auto"/>
              <w:ind w:firstLine="0"/>
              <w:rPr>
                <w:rFonts w:ascii="Verdana" w:hAnsi="Verdana"/>
                <w:sz w:val="16"/>
                <w:szCs w:val="16"/>
                <w:lang w:val="en-US"/>
              </w:rPr>
            </w:pPr>
            <w:r>
              <w:rPr>
                <w:rFonts w:ascii="Verdana" w:hAnsi="Verdana"/>
                <w:b/>
                <w:sz w:val="16"/>
                <w:szCs w:val="16"/>
                <w:lang w:val="en-US"/>
              </w:rPr>
              <w:t xml:space="preserve">10.5.6.25.9 </w:t>
            </w:r>
            <w:r>
              <w:rPr>
                <w:rFonts w:ascii="Verdana" w:hAnsi="Verdana"/>
                <w:sz w:val="16"/>
                <w:szCs w:val="16"/>
                <w:lang w:val="en-US"/>
              </w:rPr>
              <w:t xml:space="preserve">Report of the results of the evaluations performed on the donations and its acceptance or rejection according to the FEUM specifications and the point 10.5.6.18 of this Standard. </w:t>
            </w:r>
          </w:p>
        </w:tc>
      </w:tr>
      <w:tr w:rsidR="00C62B4C" w:rsidRPr="00F70181" w14:paraId="34B75050" w14:textId="77777777" w:rsidTr="00C62B4C">
        <w:tc>
          <w:tcPr>
            <w:tcW w:w="4416" w:type="dxa"/>
          </w:tcPr>
          <w:p w14:paraId="1EF22536" w14:textId="77777777" w:rsidR="00C62B4C" w:rsidRDefault="00C62B4C" w:rsidP="00C62B4C">
            <w:pPr>
              <w:pStyle w:val="Texto"/>
              <w:spacing w:line="276" w:lineRule="auto"/>
              <w:ind w:firstLine="0"/>
              <w:rPr>
                <w:rFonts w:ascii="Verdana" w:hAnsi="Verdana"/>
                <w:sz w:val="16"/>
                <w:szCs w:val="16"/>
              </w:rPr>
            </w:pPr>
            <w:r w:rsidRPr="00A430A8">
              <w:rPr>
                <w:rFonts w:ascii="Verdana" w:hAnsi="Verdana"/>
                <w:b/>
                <w:sz w:val="16"/>
                <w:szCs w:val="16"/>
                <w:lang w:val="es-MX"/>
              </w:rPr>
              <w:t xml:space="preserve">10.5.6.25.9.1 </w:t>
            </w:r>
            <w:r w:rsidRPr="00A430A8">
              <w:rPr>
                <w:rFonts w:ascii="Verdana" w:hAnsi="Verdana"/>
                <w:sz w:val="16"/>
                <w:szCs w:val="16"/>
                <w:lang w:val="es-MX"/>
              </w:rPr>
              <w:t>Cuando se practiquen ensayos con minimezclas se deberán proporc</w:t>
            </w:r>
            <w:r w:rsidRPr="00262EF8">
              <w:rPr>
                <w:rFonts w:ascii="Verdana" w:hAnsi="Verdana"/>
                <w:sz w:val="16"/>
                <w:szCs w:val="16"/>
              </w:rPr>
              <w:t>ionar los detalles del racional de su uso y del método empleado incluyendo el número y listado de muestras incluidas como aparecen resumidos en la tabla 2.</w:t>
            </w:r>
          </w:p>
        </w:tc>
        <w:tc>
          <w:tcPr>
            <w:tcW w:w="4416" w:type="dxa"/>
          </w:tcPr>
          <w:p w14:paraId="4A8A3F9D" w14:textId="77777777" w:rsidR="00C62B4C" w:rsidRPr="00C62B4C" w:rsidRDefault="00C62B4C" w:rsidP="00C62B4C">
            <w:pPr>
              <w:pStyle w:val="Texto"/>
              <w:spacing w:line="276" w:lineRule="auto"/>
              <w:ind w:firstLine="0"/>
              <w:rPr>
                <w:rFonts w:ascii="Verdana" w:hAnsi="Verdana"/>
                <w:sz w:val="16"/>
                <w:szCs w:val="16"/>
                <w:lang w:val="en-US"/>
              </w:rPr>
            </w:pPr>
            <w:r w:rsidRPr="00C62B4C">
              <w:rPr>
                <w:rFonts w:ascii="Verdana" w:hAnsi="Verdana"/>
                <w:b/>
                <w:sz w:val="16"/>
                <w:szCs w:val="16"/>
                <w:lang w:val="en-US"/>
              </w:rPr>
              <w:t>10.5.6.25.9.1</w:t>
            </w:r>
            <w:r>
              <w:rPr>
                <w:rFonts w:ascii="Verdana" w:hAnsi="Verdana"/>
                <w:sz w:val="16"/>
                <w:szCs w:val="16"/>
                <w:lang w:val="en-US"/>
              </w:rPr>
              <w:t xml:space="preserve"> When tests are carried out with minimixtures, the details of the rational for the use and the method employed, including the number and list of samples included as they appear summarized in Table 2 must be provided. </w:t>
            </w:r>
          </w:p>
        </w:tc>
      </w:tr>
    </w:tbl>
    <w:p w14:paraId="7790E493" w14:textId="77777777" w:rsidR="00C62B4C" w:rsidRPr="00C62B4C" w:rsidRDefault="00C62B4C" w:rsidP="00C62B4C">
      <w:pPr>
        <w:pStyle w:val="Texto"/>
        <w:spacing w:line="276" w:lineRule="auto"/>
        <w:ind w:firstLine="0"/>
        <w:jc w:val="center"/>
        <w:rPr>
          <w:rFonts w:ascii="Verdana" w:hAnsi="Verdana"/>
          <w:b/>
          <w:sz w:val="16"/>
          <w:szCs w:val="16"/>
          <w:lang w:val="en-US"/>
        </w:rPr>
      </w:pPr>
      <w:r w:rsidRPr="00C62B4C">
        <w:rPr>
          <w:rFonts w:ascii="Verdana" w:hAnsi="Verdana"/>
          <w:b/>
          <w:sz w:val="16"/>
          <w:szCs w:val="16"/>
        </w:rPr>
        <w:t>Tabla 2.</w:t>
      </w:r>
    </w:p>
    <w:tbl>
      <w:tblPr>
        <w:tblW w:w="8712" w:type="dxa"/>
        <w:jc w:val="center"/>
        <w:tblCellMar>
          <w:left w:w="72" w:type="dxa"/>
          <w:right w:w="72" w:type="dxa"/>
        </w:tblCellMar>
        <w:tblLook w:val="0000" w:firstRow="0" w:lastRow="0" w:firstColumn="0" w:lastColumn="0" w:noHBand="0" w:noVBand="0"/>
      </w:tblPr>
      <w:tblGrid>
        <w:gridCol w:w="2063"/>
        <w:gridCol w:w="1664"/>
        <w:gridCol w:w="1865"/>
        <w:gridCol w:w="3120"/>
      </w:tblGrid>
      <w:tr w:rsidR="0092514C" w:rsidRPr="00262EF8" w14:paraId="1E905FB3" w14:textId="77777777">
        <w:trPr>
          <w:cantSplit/>
          <w:trHeight w:val="20"/>
          <w:jc w:val="center"/>
        </w:trPr>
        <w:tc>
          <w:tcPr>
            <w:tcW w:w="2063" w:type="dxa"/>
            <w:vMerge w:val="restart"/>
            <w:tcBorders>
              <w:top w:val="single" w:sz="6" w:space="0" w:color="auto"/>
              <w:left w:val="single" w:sz="6" w:space="0" w:color="auto"/>
              <w:right w:val="single" w:sz="6" w:space="0" w:color="auto"/>
            </w:tcBorders>
            <w:noWrap/>
            <w:vAlign w:val="center"/>
          </w:tcPr>
          <w:p w14:paraId="0C9DE19A" w14:textId="77777777" w:rsidR="0092514C" w:rsidRPr="00262EF8" w:rsidRDefault="0092514C" w:rsidP="005C0901">
            <w:pPr>
              <w:pStyle w:val="Texto"/>
              <w:spacing w:before="40" w:after="40" w:line="276" w:lineRule="auto"/>
              <w:ind w:firstLine="0"/>
              <w:jc w:val="center"/>
              <w:rPr>
                <w:rFonts w:ascii="Verdana" w:hAnsi="Verdana"/>
                <w:b/>
                <w:sz w:val="16"/>
                <w:szCs w:val="16"/>
              </w:rPr>
            </w:pPr>
            <w:r w:rsidRPr="00262EF8">
              <w:rPr>
                <w:rFonts w:ascii="Verdana" w:hAnsi="Verdana"/>
                <w:b/>
                <w:sz w:val="16"/>
                <w:szCs w:val="16"/>
              </w:rPr>
              <w:t>Parámetro</w:t>
            </w:r>
          </w:p>
        </w:tc>
        <w:tc>
          <w:tcPr>
            <w:tcW w:w="6649" w:type="dxa"/>
            <w:gridSpan w:val="3"/>
            <w:tcBorders>
              <w:top w:val="single" w:sz="6" w:space="0" w:color="auto"/>
              <w:left w:val="single" w:sz="6" w:space="0" w:color="auto"/>
              <w:bottom w:val="single" w:sz="6" w:space="0" w:color="auto"/>
              <w:right w:val="single" w:sz="6" w:space="0" w:color="auto"/>
            </w:tcBorders>
            <w:vAlign w:val="center"/>
          </w:tcPr>
          <w:p w14:paraId="1FE490B6" w14:textId="77777777" w:rsidR="0092514C" w:rsidRPr="00262EF8" w:rsidRDefault="0092514C" w:rsidP="005C0901">
            <w:pPr>
              <w:pStyle w:val="Texto"/>
              <w:spacing w:before="40" w:after="40" w:line="276" w:lineRule="auto"/>
              <w:ind w:firstLine="0"/>
              <w:jc w:val="center"/>
              <w:rPr>
                <w:rFonts w:ascii="Verdana" w:hAnsi="Verdana"/>
                <w:b/>
                <w:sz w:val="16"/>
                <w:szCs w:val="16"/>
              </w:rPr>
            </w:pPr>
            <w:r w:rsidRPr="00262EF8">
              <w:rPr>
                <w:rFonts w:ascii="Verdana" w:hAnsi="Verdana"/>
                <w:b/>
                <w:sz w:val="16"/>
                <w:szCs w:val="16"/>
              </w:rPr>
              <w:t>Evaluación realizada en:</w:t>
            </w:r>
          </w:p>
        </w:tc>
      </w:tr>
      <w:tr w:rsidR="0092514C" w:rsidRPr="00262EF8" w14:paraId="2A22D020" w14:textId="77777777">
        <w:trPr>
          <w:cantSplit/>
          <w:trHeight w:val="20"/>
          <w:jc w:val="center"/>
        </w:trPr>
        <w:tc>
          <w:tcPr>
            <w:tcW w:w="2063" w:type="dxa"/>
            <w:vMerge/>
            <w:tcBorders>
              <w:left w:val="single" w:sz="6" w:space="0" w:color="auto"/>
              <w:bottom w:val="single" w:sz="6" w:space="0" w:color="auto"/>
              <w:right w:val="single" w:sz="6" w:space="0" w:color="auto"/>
            </w:tcBorders>
            <w:vAlign w:val="center"/>
          </w:tcPr>
          <w:p w14:paraId="23B417BE" w14:textId="77777777" w:rsidR="0092514C" w:rsidRPr="00262EF8" w:rsidRDefault="0092514C" w:rsidP="005C0901">
            <w:pPr>
              <w:pStyle w:val="Texto"/>
              <w:spacing w:before="40" w:after="40" w:line="276" w:lineRule="auto"/>
              <w:ind w:firstLine="0"/>
              <w:jc w:val="center"/>
              <w:rPr>
                <w:rFonts w:ascii="Verdana" w:hAnsi="Verdana"/>
                <w:b/>
                <w:sz w:val="16"/>
                <w:szCs w:val="16"/>
              </w:rPr>
            </w:pPr>
          </w:p>
        </w:tc>
        <w:tc>
          <w:tcPr>
            <w:tcW w:w="1664" w:type="dxa"/>
            <w:tcBorders>
              <w:top w:val="single" w:sz="6" w:space="0" w:color="auto"/>
              <w:left w:val="single" w:sz="6" w:space="0" w:color="auto"/>
              <w:bottom w:val="single" w:sz="6" w:space="0" w:color="auto"/>
              <w:right w:val="single" w:sz="6" w:space="0" w:color="auto"/>
            </w:tcBorders>
            <w:vAlign w:val="center"/>
          </w:tcPr>
          <w:p w14:paraId="4EFF92F6" w14:textId="77777777" w:rsidR="0092514C" w:rsidRPr="00262EF8" w:rsidRDefault="0092514C" w:rsidP="005C0901">
            <w:pPr>
              <w:pStyle w:val="Texto"/>
              <w:spacing w:before="40" w:after="40" w:line="276" w:lineRule="auto"/>
              <w:ind w:firstLine="0"/>
              <w:jc w:val="center"/>
              <w:rPr>
                <w:rFonts w:ascii="Verdana" w:hAnsi="Verdana"/>
                <w:b/>
                <w:sz w:val="16"/>
                <w:szCs w:val="16"/>
              </w:rPr>
            </w:pPr>
            <w:r w:rsidRPr="00262EF8">
              <w:rPr>
                <w:rFonts w:ascii="Verdana" w:hAnsi="Verdana"/>
                <w:b/>
                <w:sz w:val="16"/>
                <w:szCs w:val="16"/>
              </w:rPr>
              <w:t>Donaciones individuales</w:t>
            </w:r>
          </w:p>
        </w:tc>
        <w:tc>
          <w:tcPr>
            <w:tcW w:w="1865" w:type="dxa"/>
            <w:tcBorders>
              <w:top w:val="single" w:sz="6" w:space="0" w:color="auto"/>
              <w:left w:val="single" w:sz="6" w:space="0" w:color="auto"/>
              <w:bottom w:val="single" w:sz="6" w:space="0" w:color="auto"/>
              <w:right w:val="single" w:sz="6" w:space="0" w:color="auto"/>
            </w:tcBorders>
            <w:vAlign w:val="center"/>
          </w:tcPr>
          <w:p w14:paraId="3DB5D763" w14:textId="77777777" w:rsidR="0092514C" w:rsidRPr="00262EF8" w:rsidRDefault="0092514C" w:rsidP="005C0901">
            <w:pPr>
              <w:pStyle w:val="Texto"/>
              <w:spacing w:before="40" w:after="40" w:line="276" w:lineRule="auto"/>
              <w:ind w:firstLine="0"/>
              <w:jc w:val="center"/>
              <w:rPr>
                <w:rFonts w:ascii="Verdana" w:hAnsi="Verdana"/>
                <w:b/>
                <w:sz w:val="16"/>
                <w:szCs w:val="16"/>
              </w:rPr>
            </w:pPr>
            <w:r w:rsidRPr="00262EF8">
              <w:rPr>
                <w:rFonts w:ascii="Verdana" w:hAnsi="Verdana"/>
                <w:b/>
                <w:sz w:val="16"/>
                <w:szCs w:val="16"/>
              </w:rPr>
              <w:t>Minimezclas (tamaño)</w:t>
            </w:r>
          </w:p>
        </w:tc>
        <w:tc>
          <w:tcPr>
            <w:tcW w:w="3120" w:type="dxa"/>
            <w:tcBorders>
              <w:top w:val="single" w:sz="6" w:space="0" w:color="auto"/>
              <w:left w:val="single" w:sz="6" w:space="0" w:color="auto"/>
              <w:bottom w:val="single" w:sz="6" w:space="0" w:color="auto"/>
              <w:right w:val="single" w:sz="6" w:space="0" w:color="auto"/>
            </w:tcBorders>
            <w:vAlign w:val="center"/>
          </w:tcPr>
          <w:p w14:paraId="0414B9A6" w14:textId="77777777" w:rsidR="0092514C" w:rsidRPr="00262EF8" w:rsidRDefault="0092514C" w:rsidP="005C0901">
            <w:pPr>
              <w:pStyle w:val="Texto"/>
              <w:spacing w:before="40" w:after="40" w:line="276" w:lineRule="auto"/>
              <w:ind w:firstLine="0"/>
              <w:jc w:val="center"/>
              <w:rPr>
                <w:rFonts w:ascii="Verdana" w:hAnsi="Verdana"/>
                <w:b/>
                <w:sz w:val="16"/>
                <w:szCs w:val="16"/>
              </w:rPr>
            </w:pPr>
            <w:r w:rsidRPr="00262EF8">
              <w:rPr>
                <w:rFonts w:ascii="Verdana" w:hAnsi="Verdana"/>
                <w:b/>
                <w:sz w:val="16"/>
                <w:szCs w:val="16"/>
              </w:rPr>
              <w:t>Mezclas de plasma</w:t>
            </w:r>
          </w:p>
        </w:tc>
      </w:tr>
      <w:tr w:rsidR="0092514C" w:rsidRPr="00262EF8" w14:paraId="62185311" w14:textId="77777777">
        <w:trPr>
          <w:cantSplit/>
          <w:trHeight w:val="20"/>
          <w:jc w:val="center"/>
        </w:trPr>
        <w:tc>
          <w:tcPr>
            <w:tcW w:w="2063" w:type="dxa"/>
            <w:tcBorders>
              <w:top w:val="single" w:sz="6" w:space="0" w:color="auto"/>
              <w:left w:val="single" w:sz="6" w:space="0" w:color="auto"/>
              <w:bottom w:val="single" w:sz="6" w:space="0" w:color="auto"/>
              <w:right w:val="single" w:sz="6" w:space="0" w:color="auto"/>
            </w:tcBorders>
          </w:tcPr>
          <w:p w14:paraId="149725A8" w14:textId="77777777" w:rsidR="0092514C" w:rsidRPr="00262EF8" w:rsidRDefault="0092514C" w:rsidP="005C0901">
            <w:pPr>
              <w:pStyle w:val="Texto"/>
              <w:spacing w:before="40" w:after="40" w:line="276" w:lineRule="auto"/>
              <w:ind w:firstLine="0"/>
              <w:rPr>
                <w:rFonts w:ascii="Verdana" w:hAnsi="Verdana"/>
                <w:sz w:val="16"/>
                <w:szCs w:val="16"/>
              </w:rPr>
            </w:pPr>
            <w:r w:rsidRPr="00262EF8">
              <w:rPr>
                <w:rFonts w:ascii="Verdana" w:hAnsi="Verdana"/>
                <w:sz w:val="16"/>
                <w:szCs w:val="16"/>
              </w:rPr>
              <w:t>HBsAg</w:t>
            </w:r>
          </w:p>
        </w:tc>
        <w:tc>
          <w:tcPr>
            <w:tcW w:w="1664" w:type="dxa"/>
            <w:tcBorders>
              <w:top w:val="single" w:sz="6" w:space="0" w:color="auto"/>
              <w:left w:val="single" w:sz="6" w:space="0" w:color="auto"/>
              <w:bottom w:val="single" w:sz="6" w:space="0" w:color="auto"/>
              <w:right w:val="single" w:sz="6" w:space="0" w:color="auto"/>
            </w:tcBorders>
          </w:tcPr>
          <w:p w14:paraId="058C6332" w14:textId="77777777" w:rsidR="0092514C" w:rsidRPr="00262EF8" w:rsidRDefault="0092514C" w:rsidP="005C0901">
            <w:pPr>
              <w:pStyle w:val="Texto"/>
              <w:spacing w:before="40" w:after="40" w:line="276" w:lineRule="auto"/>
              <w:ind w:firstLine="0"/>
              <w:rPr>
                <w:rFonts w:ascii="Verdana" w:hAnsi="Verdana"/>
                <w:sz w:val="16"/>
                <w:szCs w:val="16"/>
              </w:rPr>
            </w:pPr>
          </w:p>
        </w:tc>
        <w:tc>
          <w:tcPr>
            <w:tcW w:w="1865" w:type="dxa"/>
            <w:tcBorders>
              <w:top w:val="single" w:sz="6" w:space="0" w:color="auto"/>
              <w:left w:val="single" w:sz="6" w:space="0" w:color="auto"/>
              <w:bottom w:val="single" w:sz="6" w:space="0" w:color="auto"/>
              <w:right w:val="single" w:sz="6" w:space="0" w:color="auto"/>
            </w:tcBorders>
          </w:tcPr>
          <w:p w14:paraId="75C61B60" w14:textId="77777777" w:rsidR="0092514C" w:rsidRPr="00262EF8" w:rsidRDefault="0092514C" w:rsidP="005C0901">
            <w:pPr>
              <w:pStyle w:val="Texto"/>
              <w:spacing w:before="40" w:after="40" w:line="276" w:lineRule="auto"/>
              <w:ind w:firstLine="0"/>
              <w:rPr>
                <w:rFonts w:ascii="Verdana" w:hAnsi="Verdana"/>
                <w:sz w:val="16"/>
                <w:szCs w:val="16"/>
              </w:rPr>
            </w:pPr>
          </w:p>
        </w:tc>
        <w:tc>
          <w:tcPr>
            <w:tcW w:w="3120" w:type="dxa"/>
            <w:tcBorders>
              <w:top w:val="single" w:sz="6" w:space="0" w:color="auto"/>
              <w:left w:val="single" w:sz="6" w:space="0" w:color="auto"/>
              <w:bottom w:val="single" w:sz="6" w:space="0" w:color="auto"/>
              <w:right w:val="single" w:sz="6" w:space="0" w:color="auto"/>
            </w:tcBorders>
          </w:tcPr>
          <w:p w14:paraId="4C152424" w14:textId="77777777" w:rsidR="0092514C" w:rsidRPr="00262EF8" w:rsidRDefault="0092514C" w:rsidP="005C0901">
            <w:pPr>
              <w:pStyle w:val="Texto"/>
              <w:spacing w:before="40" w:after="40" w:line="276" w:lineRule="auto"/>
              <w:ind w:firstLine="0"/>
              <w:rPr>
                <w:rFonts w:ascii="Verdana" w:hAnsi="Verdana"/>
                <w:sz w:val="16"/>
                <w:szCs w:val="16"/>
              </w:rPr>
            </w:pPr>
          </w:p>
        </w:tc>
      </w:tr>
      <w:tr w:rsidR="0092514C" w:rsidRPr="00262EF8" w14:paraId="224BD261" w14:textId="77777777">
        <w:trPr>
          <w:cantSplit/>
          <w:trHeight w:val="20"/>
          <w:jc w:val="center"/>
        </w:trPr>
        <w:tc>
          <w:tcPr>
            <w:tcW w:w="2063" w:type="dxa"/>
            <w:tcBorders>
              <w:top w:val="single" w:sz="6" w:space="0" w:color="auto"/>
              <w:left w:val="single" w:sz="6" w:space="0" w:color="auto"/>
              <w:bottom w:val="single" w:sz="6" w:space="0" w:color="auto"/>
              <w:right w:val="single" w:sz="6" w:space="0" w:color="auto"/>
            </w:tcBorders>
          </w:tcPr>
          <w:p w14:paraId="5A3792C8" w14:textId="77777777" w:rsidR="0092514C" w:rsidRPr="00262EF8" w:rsidRDefault="0092514C" w:rsidP="005C0901">
            <w:pPr>
              <w:pStyle w:val="Texto"/>
              <w:spacing w:before="40" w:after="40" w:line="276" w:lineRule="auto"/>
              <w:ind w:firstLine="0"/>
              <w:rPr>
                <w:rFonts w:ascii="Verdana" w:hAnsi="Verdana"/>
                <w:sz w:val="16"/>
                <w:szCs w:val="16"/>
              </w:rPr>
            </w:pPr>
            <w:r w:rsidRPr="00262EF8">
              <w:rPr>
                <w:rFonts w:ascii="Verdana" w:hAnsi="Verdana"/>
                <w:sz w:val="16"/>
                <w:szCs w:val="16"/>
              </w:rPr>
              <w:t>Anticuerpos Anti-VIH 1 y 2</w:t>
            </w:r>
          </w:p>
        </w:tc>
        <w:tc>
          <w:tcPr>
            <w:tcW w:w="1664" w:type="dxa"/>
            <w:tcBorders>
              <w:top w:val="single" w:sz="6" w:space="0" w:color="auto"/>
              <w:left w:val="single" w:sz="6" w:space="0" w:color="auto"/>
              <w:bottom w:val="single" w:sz="6" w:space="0" w:color="auto"/>
              <w:right w:val="single" w:sz="6" w:space="0" w:color="auto"/>
            </w:tcBorders>
          </w:tcPr>
          <w:p w14:paraId="2106FA2B" w14:textId="77777777" w:rsidR="0092514C" w:rsidRPr="00262EF8" w:rsidRDefault="0092514C" w:rsidP="005C0901">
            <w:pPr>
              <w:pStyle w:val="Texto"/>
              <w:spacing w:before="40" w:after="40" w:line="276" w:lineRule="auto"/>
              <w:ind w:firstLine="0"/>
              <w:rPr>
                <w:rFonts w:ascii="Verdana" w:hAnsi="Verdana"/>
                <w:sz w:val="16"/>
                <w:szCs w:val="16"/>
              </w:rPr>
            </w:pPr>
          </w:p>
        </w:tc>
        <w:tc>
          <w:tcPr>
            <w:tcW w:w="1865" w:type="dxa"/>
            <w:tcBorders>
              <w:top w:val="single" w:sz="6" w:space="0" w:color="auto"/>
              <w:left w:val="single" w:sz="6" w:space="0" w:color="auto"/>
              <w:bottom w:val="single" w:sz="6" w:space="0" w:color="auto"/>
              <w:right w:val="single" w:sz="6" w:space="0" w:color="auto"/>
            </w:tcBorders>
          </w:tcPr>
          <w:p w14:paraId="23B81299" w14:textId="77777777" w:rsidR="0092514C" w:rsidRPr="00262EF8" w:rsidRDefault="0092514C" w:rsidP="005C0901">
            <w:pPr>
              <w:pStyle w:val="Texto"/>
              <w:spacing w:before="40" w:after="40" w:line="276" w:lineRule="auto"/>
              <w:ind w:firstLine="0"/>
              <w:rPr>
                <w:rFonts w:ascii="Verdana" w:hAnsi="Verdana"/>
                <w:sz w:val="16"/>
                <w:szCs w:val="16"/>
              </w:rPr>
            </w:pPr>
          </w:p>
        </w:tc>
        <w:tc>
          <w:tcPr>
            <w:tcW w:w="3120" w:type="dxa"/>
            <w:tcBorders>
              <w:top w:val="single" w:sz="6" w:space="0" w:color="auto"/>
              <w:left w:val="single" w:sz="6" w:space="0" w:color="auto"/>
              <w:bottom w:val="single" w:sz="6" w:space="0" w:color="auto"/>
              <w:right w:val="single" w:sz="6" w:space="0" w:color="auto"/>
            </w:tcBorders>
          </w:tcPr>
          <w:p w14:paraId="67AE3C4A" w14:textId="77777777" w:rsidR="0092514C" w:rsidRPr="00262EF8" w:rsidRDefault="0092514C" w:rsidP="005C0901">
            <w:pPr>
              <w:pStyle w:val="Texto"/>
              <w:spacing w:before="40" w:after="40" w:line="276" w:lineRule="auto"/>
              <w:ind w:firstLine="0"/>
              <w:rPr>
                <w:rFonts w:ascii="Verdana" w:hAnsi="Verdana"/>
                <w:sz w:val="16"/>
                <w:szCs w:val="16"/>
              </w:rPr>
            </w:pPr>
          </w:p>
        </w:tc>
      </w:tr>
      <w:tr w:rsidR="0092514C" w:rsidRPr="00262EF8" w14:paraId="3641103D" w14:textId="77777777">
        <w:trPr>
          <w:cantSplit/>
          <w:trHeight w:val="20"/>
          <w:jc w:val="center"/>
        </w:trPr>
        <w:tc>
          <w:tcPr>
            <w:tcW w:w="2063" w:type="dxa"/>
            <w:tcBorders>
              <w:top w:val="single" w:sz="6" w:space="0" w:color="auto"/>
              <w:left w:val="single" w:sz="6" w:space="0" w:color="auto"/>
              <w:bottom w:val="single" w:sz="6" w:space="0" w:color="auto"/>
              <w:right w:val="single" w:sz="6" w:space="0" w:color="auto"/>
            </w:tcBorders>
          </w:tcPr>
          <w:p w14:paraId="51D29181" w14:textId="77777777" w:rsidR="0092514C" w:rsidRPr="00262EF8" w:rsidRDefault="0092514C" w:rsidP="005C0901">
            <w:pPr>
              <w:pStyle w:val="Texto"/>
              <w:spacing w:before="40" w:after="40" w:line="276" w:lineRule="auto"/>
              <w:ind w:firstLine="0"/>
              <w:rPr>
                <w:rFonts w:ascii="Verdana" w:hAnsi="Verdana"/>
                <w:sz w:val="16"/>
                <w:szCs w:val="16"/>
              </w:rPr>
            </w:pPr>
            <w:r w:rsidRPr="00262EF8">
              <w:rPr>
                <w:rFonts w:ascii="Verdana" w:hAnsi="Verdana"/>
                <w:sz w:val="16"/>
                <w:szCs w:val="16"/>
              </w:rPr>
              <w:t>Anticuerpos Anti-VHC</w:t>
            </w:r>
          </w:p>
        </w:tc>
        <w:tc>
          <w:tcPr>
            <w:tcW w:w="1664" w:type="dxa"/>
            <w:tcBorders>
              <w:top w:val="single" w:sz="6" w:space="0" w:color="auto"/>
              <w:left w:val="single" w:sz="6" w:space="0" w:color="auto"/>
              <w:bottom w:val="single" w:sz="6" w:space="0" w:color="auto"/>
              <w:right w:val="single" w:sz="6" w:space="0" w:color="auto"/>
            </w:tcBorders>
          </w:tcPr>
          <w:p w14:paraId="1624D988" w14:textId="77777777" w:rsidR="0092514C" w:rsidRPr="00262EF8" w:rsidRDefault="0092514C" w:rsidP="005C0901">
            <w:pPr>
              <w:pStyle w:val="Texto"/>
              <w:spacing w:before="40" w:after="40" w:line="276" w:lineRule="auto"/>
              <w:ind w:firstLine="0"/>
              <w:rPr>
                <w:rFonts w:ascii="Verdana" w:hAnsi="Verdana"/>
                <w:sz w:val="16"/>
                <w:szCs w:val="16"/>
              </w:rPr>
            </w:pPr>
          </w:p>
        </w:tc>
        <w:tc>
          <w:tcPr>
            <w:tcW w:w="1865" w:type="dxa"/>
            <w:tcBorders>
              <w:top w:val="single" w:sz="6" w:space="0" w:color="auto"/>
              <w:left w:val="single" w:sz="6" w:space="0" w:color="auto"/>
              <w:bottom w:val="single" w:sz="6" w:space="0" w:color="auto"/>
              <w:right w:val="single" w:sz="6" w:space="0" w:color="auto"/>
            </w:tcBorders>
          </w:tcPr>
          <w:p w14:paraId="1EB9FDD1" w14:textId="77777777" w:rsidR="0092514C" w:rsidRPr="00262EF8" w:rsidRDefault="0092514C" w:rsidP="005C0901">
            <w:pPr>
              <w:pStyle w:val="Texto"/>
              <w:spacing w:before="40" w:after="40" w:line="276" w:lineRule="auto"/>
              <w:ind w:firstLine="0"/>
              <w:rPr>
                <w:rFonts w:ascii="Verdana" w:hAnsi="Verdana"/>
                <w:sz w:val="16"/>
                <w:szCs w:val="16"/>
              </w:rPr>
            </w:pPr>
          </w:p>
        </w:tc>
        <w:tc>
          <w:tcPr>
            <w:tcW w:w="3120" w:type="dxa"/>
            <w:tcBorders>
              <w:top w:val="single" w:sz="6" w:space="0" w:color="auto"/>
              <w:left w:val="single" w:sz="6" w:space="0" w:color="auto"/>
              <w:bottom w:val="single" w:sz="6" w:space="0" w:color="auto"/>
              <w:right w:val="single" w:sz="6" w:space="0" w:color="auto"/>
            </w:tcBorders>
          </w:tcPr>
          <w:p w14:paraId="604AF25F" w14:textId="77777777" w:rsidR="0092514C" w:rsidRPr="00262EF8" w:rsidRDefault="0092514C" w:rsidP="005C0901">
            <w:pPr>
              <w:pStyle w:val="Texto"/>
              <w:spacing w:before="40" w:after="40" w:line="276" w:lineRule="auto"/>
              <w:ind w:firstLine="0"/>
              <w:rPr>
                <w:rFonts w:ascii="Verdana" w:hAnsi="Verdana"/>
                <w:sz w:val="16"/>
                <w:szCs w:val="16"/>
              </w:rPr>
            </w:pPr>
          </w:p>
        </w:tc>
      </w:tr>
      <w:tr w:rsidR="0092514C" w:rsidRPr="00262EF8" w14:paraId="4DED3261" w14:textId="77777777">
        <w:trPr>
          <w:cantSplit/>
          <w:trHeight w:val="20"/>
          <w:jc w:val="center"/>
        </w:trPr>
        <w:tc>
          <w:tcPr>
            <w:tcW w:w="2063" w:type="dxa"/>
            <w:tcBorders>
              <w:top w:val="single" w:sz="6" w:space="0" w:color="auto"/>
              <w:left w:val="single" w:sz="6" w:space="0" w:color="auto"/>
              <w:bottom w:val="single" w:sz="6" w:space="0" w:color="auto"/>
              <w:right w:val="single" w:sz="6" w:space="0" w:color="auto"/>
            </w:tcBorders>
          </w:tcPr>
          <w:p w14:paraId="7918B2F2" w14:textId="77777777" w:rsidR="0092514C" w:rsidRPr="00262EF8" w:rsidRDefault="0092514C" w:rsidP="005C0901">
            <w:pPr>
              <w:pStyle w:val="Texto"/>
              <w:spacing w:before="40" w:after="40" w:line="276" w:lineRule="auto"/>
              <w:ind w:firstLine="0"/>
              <w:rPr>
                <w:rFonts w:ascii="Verdana" w:hAnsi="Verdana"/>
                <w:sz w:val="16"/>
                <w:szCs w:val="16"/>
              </w:rPr>
            </w:pPr>
            <w:r w:rsidRPr="00262EF8">
              <w:rPr>
                <w:rFonts w:ascii="Verdana" w:hAnsi="Verdana"/>
                <w:sz w:val="16"/>
                <w:szCs w:val="16"/>
              </w:rPr>
              <w:t xml:space="preserve">NAT para RNA del VHC </w:t>
            </w:r>
          </w:p>
        </w:tc>
        <w:tc>
          <w:tcPr>
            <w:tcW w:w="1664" w:type="dxa"/>
            <w:tcBorders>
              <w:top w:val="single" w:sz="6" w:space="0" w:color="auto"/>
              <w:left w:val="single" w:sz="6" w:space="0" w:color="auto"/>
              <w:bottom w:val="single" w:sz="6" w:space="0" w:color="auto"/>
              <w:right w:val="single" w:sz="6" w:space="0" w:color="auto"/>
            </w:tcBorders>
          </w:tcPr>
          <w:p w14:paraId="4395F65C" w14:textId="77777777" w:rsidR="0092514C" w:rsidRPr="00262EF8" w:rsidRDefault="0092514C" w:rsidP="005C0901">
            <w:pPr>
              <w:pStyle w:val="Texto"/>
              <w:spacing w:before="40" w:after="40" w:line="276" w:lineRule="auto"/>
              <w:ind w:firstLine="0"/>
              <w:rPr>
                <w:rFonts w:ascii="Verdana" w:hAnsi="Verdana"/>
                <w:sz w:val="16"/>
                <w:szCs w:val="16"/>
              </w:rPr>
            </w:pPr>
          </w:p>
        </w:tc>
        <w:tc>
          <w:tcPr>
            <w:tcW w:w="1865" w:type="dxa"/>
            <w:tcBorders>
              <w:top w:val="single" w:sz="6" w:space="0" w:color="auto"/>
              <w:left w:val="single" w:sz="6" w:space="0" w:color="auto"/>
              <w:bottom w:val="single" w:sz="6" w:space="0" w:color="auto"/>
              <w:right w:val="single" w:sz="6" w:space="0" w:color="auto"/>
            </w:tcBorders>
          </w:tcPr>
          <w:p w14:paraId="6B18F86B" w14:textId="77777777" w:rsidR="0092514C" w:rsidRPr="00262EF8" w:rsidRDefault="0092514C" w:rsidP="005C0901">
            <w:pPr>
              <w:pStyle w:val="Texto"/>
              <w:spacing w:before="40" w:after="40" w:line="276" w:lineRule="auto"/>
              <w:ind w:firstLine="0"/>
              <w:rPr>
                <w:rFonts w:ascii="Verdana" w:hAnsi="Verdana"/>
                <w:sz w:val="16"/>
                <w:szCs w:val="16"/>
              </w:rPr>
            </w:pPr>
          </w:p>
        </w:tc>
        <w:tc>
          <w:tcPr>
            <w:tcW w:w="3120" w:type="dxa"/>
            <w:tcBorders>
              <w:top w:val="single" w:sz="6" w:space="0" w:color="auto"/>
              <w:left w:val="single" w:sz="6" w:space="0" w:color="auto"/>
              <w:bottom w:val="single" w:sz="6" w:space="0" w:color="auto"/>
              <w:right w:val="single" w:sz="6" w:space="0" w:color="auto"/>
            </w:tcBorders>
          </w:tcPr>
          <w:p w14:paraId="37FF0846" w14:textId="77777777" w:rsidR="0092514C" w:rsidRPr="00262EF8" w:rsidRDefault="0092514C" w:rsidP="005C0901">
            <w:pPr>
              <w:pStyle w:val="Texto"/>
              <w:spacing w:before="40" w:after="40" w:line="276" w:lineRule="auto"/>
              <w:ind w:firstLine="0"/>
              <w:rPr>
                <w:rFonts w:ascii="Verdana" w:hAnsi="Verdana"/>
                <w:sz w:val="16"/>
                <w:szCs w:val="16"/>
              </w:rPr>
            </w:pPr>
          </w:p>
        </w:tc>
      </w:tr>
      <w:tr w:rsidR="0092514C" w:rsidRPr="00262EF8" w14:paraId="1DA73FFA" w14:textId="77777777">
        <w:trPr>
          <w:cantSplit/>
          <w:trHeight w:val="20"/>
          <w:jc w:val="center"/>
        </w:trPr>
        <w:tc>
          <w:tcPr>
            <w:tcW w:w="2063" w:type="dxa"/>
            <w:tcBorders>
              <w:top w:val="single" w:sz="6" w:space="0" w:color="auto"/>
              <w:left w:val="single" w:sz="6" w:space="0" w:color="auto"/>
              <w:bottom w:val="single" w:sz="6" w:space="0" w:color="auto"/>
              <w:right w:val="single" w:sz="6" w:space="0" w:color="auto"/>
            </w:tcBorders>
          </w:tcPr>
          <w:p w14:paraId="1FB2A1FC" w14:textId="77777777" w:rsidR="0092514C" w:rsidRPr="00262EF8" w:rsidRDefault="0092514C" w:rsidP="005C0901">
            <w:pPr>
              <w:pStyle w:val="Texto"/>
              <w:spacing w:before="40" w:after="40" w:line="276" w:lineRule="auto"/>
              <w:ind w:firstLine="0"/>
              <w:rPr>
                <w:rFonts w:ascii="Verdana" w:hAnsi="Verdana"/>
                <w:sz w:val="16"/>
                <w:szCs w:val="16"/>
              </w:rPr>
            </w:pPr>
            <w:r w:rsidRPr="00262EF8">
              <w:rPr>
                <w:rFonts w:ascii="Verdana" w:hAnsi="Verdana"/>
                <w:sz w:val="16"/>
                <w:szCs w:val="16"/>
              </w:rPr>
              <w:t xml:space="preserve">ADN del PB19 </w:t>
            </w:r>
          </w:p>
        </w:tc>
        <w:tc>
          <w:tcPr>
            <w:tcW w:w="1664" w:type="dxa"/>
            <w:tcBorders>
              <w:top w:val="single" w:sz="6" w:space="0" w:color="auto"/>
              <w:left w:val="single" w:sz="6" w:space="0" w:color="auto"/>
              <w:bottom w:val="single" w:sz="6" w:space="0" w:color="auto"/>
              <w:right w:val="single" w:sz="6" w:space="0" w:color="auto"/>
            </w:tcBorders>
          </w:tcPr>
          <w:p w14:paraId="22FD05DC" w14:textId="77777777" w:rsidR="0092514C" w:rsidRPr="00262EF8" w:rsidRDefault="0092514C" w:rsidP="005C0901">
            <w:pPr>
              <w:pStyle w:val="Texto"/>
              <w:spacing w:before="40" w:after="40" w:line="276" w:lineRule="auto"/>
              <w:ind w:firstLine="0"/>
              <w:rPr>
                <w:rFonts w:ascii="Verdana" w:hAnsi="Verdana"/>
                <w:sz w:val="16"/>
                <w:szCs w:val="16"/>
              </w:rPr>
            </w:pPr>
          </w:p>
        </w:tc>
        <w:tc>
          <w:tcPr>
            <w:tcW w:w="1865" w:type="dxa"/>
            <w:tcBorders>
              <w:top w:val="single" w:sz="6" w:space="0" w:color="auto"/>
              <w:left w:val="single" w:sz="6" w:space="0" w:color="auto"/>
              <w:bottom w:val="single" w:sz="6" w:space="0" w:color="auto"/>
              <w:right w:val="single" w:sz="6" w:space="0" w:color="auto"/>
            </w:tcBorders>
          </w:tcPr>
          <w:p w14:paraId="5FD67D12" w14:textId="77777777" w:rsidR="0092514C" w:rsidRPr="00262EF8" w:rsidRDefault="0092514C" w:rsidP="005C0901">
            <w:pPr>
              <w:pStyle w:val="Texto"/>
              <w:spacing w:before="40" w:after="40" w:line="276" w:lineRule="auto"/>
              <w:ind w:firstLine="0"/>
              <w:rPr>
                <w:rFonts w:ascii="Verdana" w:hAnsi="Verdana"/>
                <w:sz w:val="16"/>
                <w:szCs w:val="16"/>
              </w:rPr>
            </w:pPr>
          </w:p>
        </w:tc>
        <w:tc>
          <w:tcPr>
            <w:tcW w:w="3120" w:type="dxa"/>
            <w:tcBorders>
              <w:top w:val="single" w:sz="6" w:space="0" w:color="auto"/>
              <w:left w:val="single" w:sz="6" w:space="0" w:color="auto"/>
              <w:bottom w:val="single" w:sz="6" w:space="0" w:color="auto"/>
              <w:right w:val="single" w:sz="6" w:space="0" w:color="auto"/>
            </w:tcBorders>
          </w:tcPr>
          <w:p w14:paraId="42890590" w14:textId="77777777" w:rsidR="0092514C" w:rsidRPr="00262EF8" w:rsidRDefault="0092514C" w:rsidP="005C0901">
            <w:pPr>
              <w:pStyle w:val="Texto"/>
              <w:spacing w:before="40" w:after="40" w:line="276" w:lineRule="auto"/>
              <w:ind w:firstLine="0"/>
              <w:rPr>
                <w:rFonts w:ascii="Verdana" w:hAnsi="Verdana"/>
                <w:sz w:val="16"/>
                <w:szCs w:val="16"/>
              </w:rPr>
            </w:pPr>
          </w:p>
        </w:tc>
      </w:tr>
      <w:tr w:rsidR="0092514C" w:rsidRPr="00262EF8" w14:paraId="1378F016" w14:textId="77777777">
        <w:trPr>
          <w:cantSplit/>
          <w:trHeight w:val="20"/>
          <w:jc w:val="center"/>
        </w:trPr>
        <w:tc>
          <w:tcPr>
            <w:tcW w:w="2063" w:type="dxa"/>
            <w:tcBorders>
              <w:top w:val="single" w:sz="6" w:space="0" w:color="auto"/>
              <w:left w:val="single" w:sz="6" w:space="0" w:color="auto"/>
              <w:bottom w:val="single" w:sz="6" w:space="0" w:color="auto"/>
              <w:right w:val="single" w:sz="6" w:space="0" w:color="auto"/>
            </w:tcBorders>
          </w:tcPr>
          <w:p w14:paraId="344E2B6B" w14:textId="77777777" w:rsidR="0092514C" w:rsidRPr="00262EF8" w:rsidRDefault="0092514C" w:rsidP="005C0901">
            <w:pPr>
              <w:pStyle w:val="Texto"/>
              <w:spacing w:before="40" w:after="40" w:line="276" w:lineRule="auto"/>
              <w:ind w:firstLine="0"/>
              <w:rPr>
                <w:rFonts w:ascii="Verdana" w:hAnsi="Verdana"/>
                <w:sz w:val="16"/>
                <w:szCs w:val="16"/>
              </w:rPr>
            </w:pPr>
            <w:r w:rsidRPr="00262EF8">
              <w:rPr>
                <w:rFonts w:ascii="Verdana" w:hAnsi="Verdana"/>
                <w:sz w:val="16"/>
                <w:szCs w:val="16"/>
              </w:rPr>
              <w:t>Otras evaluaciones</w:t>
            </w:r>
          </w:p>
        </w:tc>
        <w:tc>
          <w:tcPr>
            <w:tcW w:w="1664" w:type="dxa"/>
            <w:tcBorders>
              <w:top w:val="single" w:sz="6" w:space="0" w:color="auto"/>
              <w:left w:val="single" w:sz="6" w:space="0" w:color="auto"/>
              <w:bottom w:val="single" w:sz="6" w:space="0" w:color="auto"/>
              <w:right w:val="single" w:sz="6" w:space="0" w:color="auto"/>
            </w:tcBorders>
          </w:tcPr>
          <w:p w14:paraId="35E47A4B" w14:textId="77777777" w:rsidR="0092514C" w:rsidRPr="00262EF8" w:rsidRDefault="0092514C" w:rsidP="005C0901">
            <w:pPr>
              <w:pStyle w:val="Texto"/>
              <w:spacing w:before="40" w:after="40" w:line="276" w:lineRule="auto"/>
              <w:ind w:firstLine="0"/>
              <w:rPr>
                <w:rFonts w:ascii="Verdana" w:hAnsi="Verdana"/>
                <w:sz w:val="16"/>
                <w:szCs w:val="16"/>
              </w:rPr>
            </w:pPr>
          </w:p>
        </w:tc>
        <w:tc>
          <w:tcPr>
            <w:tcW w:w="1865" w:type="dxa"/>
            <w:tcBorders>
              <w:top w:val="single" w:sz="6" w:space="0" w:color="auto"/>
              <w:left w:val="single" w:sz="6" w:space="0" w:color="auto"/>
              <w:bottom w:val="single" w:sz="6" w:space="0" w:color="auto"/>
              <w:right w:val="single" w:sz="6" w:space="0" w:color="auto"/>
            </w:tcBorders>
          </w:tcPr>
          <w:p w14:paraId="19346198" w14:textId="77777777" w:rsidR="0092514C" w:rsidRPr="00262EF8" w:rsidRDefault="0092514C" w:rsidP="005C0901">
            <w:pPr>
              <w:pStyle w:val="Texto"/>
              <w:spacing w:before="40" w:after="40" w:line="276" w:lineRule="auto"/>
              <w:ind w:firstLine="0"/>
              <w:rPr>
                <w:rFonts w:ascii="Verdana" w:hAnsi="Verdana"/>
                <w:sz w:val="16"/>
                <w:szCs w:val="16"/>
              </w:rPr>
            </w:pPr>
          </w:p>
        </w:tc>
        <w:tc>
          <w:tcPr>
            <w:tcW w:w="3120" w:type="dxa"/>
            <w:tcBorders>
              <w:top w:val="single" w:sz="6" w:space="0" w:color="auto"/>
              <w:left w:val="single" w:sz="6" w:space="0" w:color="auto"/>
              <w:bottom w:val="single" w:sz="6" w:space="0" w:color="auto"/>
              <w:right w:val="single" w:sz="6" w:space="0" w:color="auto"/>
            </w:tcBorders>
          </w:tcPr>
          <w:p w14:paraId="0990CF9A" w14:textId="77777777" w:rsidR="0092514C" w:rsidRPr="00262EF8" w:rsidRDefault="0092514C" w:rsidP="005C0901">
            <w:pPr>
              <w:pStyle w:val="Texto"/>
              <w:spacing w:before="40" w:after="40" w:line="276" w:lineRule="auto"/>
              <w:ind w:firstLine="0"/>
              <w:rPr>
                <w:rFonts w:ascii="Verdana" w:hAnsi="Verdana"/>
                <w:sz w:val="16"/>
                <w:szCs w:val="16"/>
              </w:rPr>
            </w:pPr>
          </w:p>
        </w:tc>
      </w:tr>
    </w:tbl>
    <w:p w14:paraId="219F24C1" w14:textId="77777777" w:rsidR="0092514C" w:rsidRPr="00C62B4C" w:rsidRDefault="00C62B4C" w:rsidP="005C0901">
      <w:pPr>
        <w:pStyle w:val="Texto"/>
        <w:spacing w:line="276" w:lineRule="auto"/>
        <w:ind w:firstLine="0"/>
        <w:jc w:val="center"/>
        <w:rPr>
          <w:rFonts w:ascii="Verdana" w:hAnsi="Verdana"/>
          <w:b/>
          <w:sz w:val="16"/>
          <w:szCs w:val="16"/>
        </w:rPr>
      </w:pPr>
      <w:r w:rsidRPr="00C62B4C">
        <w:rPr>
          <w:rFonts w:ascii="Verdana" w:hAnsi="Verdana"/>
          <w:b/>
          <w:sz w:val="16"/>
          <w:szCs w:val="16"/>
        </w:rPr>
        <w:t>Table 2</w:t>
      </w:r>
    </w:p>
    <w:tbl>
      <w:tblPr>
        <w:tblW w:w="8712" w:type="dxa"/>
        <w:jc w:val="center"/>
        <w:tblCellMar>
          <w:left w:w="72" w:type="dxa"/>
          <w:right w:w="72" w:type="dxa"/>
        </w:tblCellMar>
        <w:tblLook w:val="0000" w:firstRow="0" w:lastRow="0" w:firstColumn="0" w:lastColumn="0" w:noHBand="0" w:noVBand="0"/>
      </w:tblPr>
      <w:tblGrid>
        <w:gridCol w:w="2063"/>
        <w:gridCol w:w="1664"/>
        <w:gridCol w:w="1865"/>
        <w:gridCol w:w="3120"/>
      </w:tblGrid>
      <w:tr w:rsidR="00C62B4C" w:rsidRPr="00C62B4C" w14:paraId="43A61C19" w14:textId="77777777" w:rsidTr="00C62B4C">
        <w:trPr>
          <w:cantSplit/>
          <w:trHeight w:val="20"/>
          <w:jc w:val="center"/>
        </w:trPr>
        <w:tc>
          <w:tcPr>
            <w:tcW w:w="2063" w:type="dxa"/>
            <w:vMerge w:val="restart"/>
            <w:tcBorders>
              <w:top w:val="single" w:sz="6" w:space="0" w:color="auto"/>
              <w:left w:val="single" w:sz="6" w:space="0" w:color="auto"/>
              <w:right w:val="single" w:sz="6" w:space="0" w:color="auto"/>
            </w:tcBorders>
            <w:noWrap/>
            <w:vAlign w:val="center"/>
          </w:tcPr>
          <w:p w14:paraId="7151D2C2" w14:textId="77777777" w:rsidR="00C62B4C" w:rsidRPr="00C62B4C" w:rsidRDefault="00C62B4C" w:rsidP="00C62B4C">
            <w:pPr>
              <w:spacing w:before="40" w:after="40" w:line="276" w:lineRule="auto"/>
              <w:jc w:val="center"/>
              <w:rPr>
                <w:rFonts w:ascii="Verdana" w:hAnsi="Verdana" w:cs="Arial"/>
                <w:b/>
                <w:sz w:val="16"/>
                <w:szCs w:val="16"/>
              </w:rPr>
            </w:pPr>
            <w:r>
              <w:rPr>
                <w:rFonts w:ascii="Verdana" w:hAnsi="Verdana" w:cs="Arial"/>
                <w:b/>
                <w:sz w:val="16"/>
                <w:szCs w:val="16"/>
              </w:rPr>
              <w:t>Parameter</w:t>
            </w:r>
          </w:p>
        </w:tc>
        <w:tc>
          <w:tcPr>
            <w:tcW w:w="6649" w:type="dxa"/>
            <w:gridSpan w:val="3"/>
            <w:tcBorders>
              <w:top w:val="single" w:sz="6" w:space="0" w:color="auto"/>
              <w:left w:val="single" w:sz="6" w:space="0" w:color="auto"/>
              <w:bottom w:val="single" w:sz="6" w:space="0" w:color="auto"/>
              <w:right w:val="single" w:sz="6" w:space="0" w:color="auto"/>
            </w:tcBorders>
            <w:vAlign w:val="center"/>
          </w:tcPr>
          <w:p w14:paraId="6B0F43BA" w14:textId="77777777" w:rsidR="00C62B4C" w:rsidRPr="00C62B4C" w:rsidRDefault="00C62B4C" w:rsidP="00C62B4C">
            <w:pPr>
              <w:spacing w:before="40" w:after="40" w:line="276" w:lineRule="auto"/>
              <w:jc w:val="center"/>
              <w:rPr>
                <w:rFonts w:ascii="Verdana" w:hAnsi="Verdana" w:cs="Arial"/>
                <w:b/>
                <w:sz w:val="16"/>
                <w:szCs w:val="16"/>
              </w:rPr>
            </w:pPr>
            <w:r>
              <w:rPr>
                <w:rFonts w:ascii="Verdana" w:hAnsi="Verdana" w:cs="Arial"/>
                <w:b/>
                <w:sz w:val="16"/>
                <w:szCs w:val="16"/>
              </w:rPr>
              <w:t>Evaluation made on</w:t>
            </w:r>
            <w:r w:rsidRPr="00C62B4C">
              <w:rPr>
                <w:rFonts w:ascii="Verdana" w:hAnsi="Verdana" w:cs="Arial"/>
                <w:b/>
                <w:sz w:val="16"/>
                <w:szCs w:val="16"/>
              </w:rPr>
              <w:t>:</w:t>
            </w:r>
          </w:p>
        </w:tc>
      </w:tr>
      <w:tr w:rsidR="00C62B4C" w:rsidRPr="00C62B4C" w14:paraId="6775DEFC" w14:textId="77777777" w:rsidTr="00C62B4C">
        <w:trPr>
          <w:cantSplit/>
          <w:trHeight w:val="20"/>
          <w:jc w:val="center"/>
        </w:trPr>
        <w:tc>
          <w:tcPr>
            <w:tcW w:w="2063" w:type="dxa"/>
            <w:vMerge/>
            <w:tcBorders>
              <w:left w:val="single" w:sz="6" w:space="0" w:color="auto"/>
              <w:bottom w:val="single" w:sz="6" w:space="0" w:color="auto"/>
              <w:right w:val="single" w:sz="6" w:space="0" w:color="auto"/>
            </w:tcBorders>
            <w:vAlign w:val="center"/>
          </w:tcPr>
          <w:p w14:paraId="5690C9B7" w14:textId="77777777" w:rsidR="00C62B4C" w:rsidRPr="00C62B4C" w:rsidRDefault="00C62B4C" w:rsidP="00C62B4C">
            <w:pPr>
              <w:spacing w:before="40" w:after="40" w:line="276" w:lineRule="auto"/>
              <w:jc w:val="center"/>
              <w:rPr>
                <w:rFonts w:ascii="Verdana" w:hAnsi="Verdana" w:cs="Arial"/>
                <w:b/>
                <w:sz w:val="16"/>
                <w:szCs w:val="16"/>
              </w:rPr>
            </w:pPr>
          </w:p>
        </w:tc>
        <w:tc>
          <w:tcPr>
            <w:tcW w:w="1664" w:type="dxa"/>
            <w:tcBorders>
              <w:top w:val="single" w:sz="6" w:space="0" w:color="auto"/>
              <w:left w:val="single" w:sz="6" w:space="0" w:color="auto"/>
              <w:bottom w:val="single" w:sz="6" w:space="0" w:color="auto"/>
              <w:right w:val="single" w:sz="6" w:space="0" w:color="auto"/>
            </w:tcBorders>
            <w:vAlign w:val="center"/>
          </w:tcPr>
          <w:p w14:paraId="0B975B22" w14:textId="77777777" w:rsidR="00C62B4C" w:rsidRPr="00C62B4C" w:rsidRDefault="00C62B4C" w:rsidP="00C62B4C">
            <w:pPr>
              <w:spacing w:before="40" w:after="40" w:line="276" w:lineRule="auto"/>
              <w:jc w:val="center"/>
              <w:rPr>
                <w:rFonts w:ascii="Verdana" w:hAnsi="Verdana" w:cs="Arial"/>
                <w:b/>
                <w:sz w:val="16"/>
                <w:szCs w:val="16"/>
              </w:rPr>
            </w:pPr>
            <w:r>
              <w:rPr>
                <w:rFonts w:ascii="Verdana" w:hAnsi="Verdana" w:cs="Arial"/>
                <w:b/>
                <w:sz w:val="16"/>
                <w:szCs w:val="16"/>
              </w:rPr>
              <w:t>Individual donations</w:t>
            </w:r>
          </w:p>
        </w:tc>
        <w:tc>
          <w:tcPr>
            <w:tcW w:w="1865" w:type="dxa"/>
            <w:tcBorders>
              <w:top w:val="single" w:sz="6" w:space="0" w:color="auto"/>
              <w:left w:val="single" w:sz="6" w:space="0" w:color="auto"/>
              <w:bottom w:val="single" w:sz="6" w:space="0" w:color="auto"/>
              <w:right w:val="single" w:sz="6" w:space="0" w:color="auto"/>
            </w:tcBorders>
            <w:vAlign w:val="center"/>
          </w:tcPr>
          <w:p w14:paraId="488FDF2C" w14:textId="77777777" w:rsidR="00C62B4C" w:rsidRPr="00C62B4C" w:rsidRDefault="00C62B4C" w:rsidP="00C62B4C">
            <w:pPr>
              <w:spacing w:before="40" w:after="40" w:line="276" w:lineRule="auto"/>
              <w:jc w:val="center"/>
              <w:rPr>
                <w:rFonts w:ascii="Verdana" w:hAnsi="Verdana" w:cs="Arial"/>
                <w:b/>
                <w:sz w:val="16"/>
                <w:szCs w:val="16"/>
              </w:rPr>
            </w:pPr>
            <w:r w:rsidRPr="00C62B4C">
              <w:rPr>
                <w:rFonts w:ascii="Verdana" w:hAnsi="Verdana" w:cs="Arial"/>
                <w:b/>
                <w:sz w:val="16"/>
                <w:szCs w:val="16"/>
              </w:rPr>
              <w:t>Minim</w:t>
            </w:r>
            <w:r>
              <w:rPr>
                <w:rFonts w:ascii="Verdana" w:hAnsi="Verdana" w:cs="Arial"/>
                <w:b/>
                <w:sz w:val="16"/>
                <w:szCs w:val="16"/>
              </w:rPr>
              <w:t>ixtures</w:t>
            </w:r>
            <w:r w:rsidRPr="00C62B4C">
              <w:rPr>
                <w:rFonts w:ascii="Verdana" w:hAnsi="Verdana" w:cs="Arial"/>
                <w:b/>
                <w:sz w:val="16"/>
                <w:szCs w:val="16"/>
              </w:rPr>
              <w:t xml:space="preserve"> (</w:t>
            </w:r>
            <w:r>
              <w:rPr>
                <w:rFonts w:ascii="Verdana" w:hAnsi="Verdana" w:cs="Arial"/>
                <w:b/>
                <w:sz w:val="16"/>
                <w:szCs w:val="16"/>
              </w:rPr>
              <w:t>size</w:t>
            </w:r>
            <w:r w:rsidRPr="00C62B4C">
              <w:rPr>
                <w:rFonts w:ascii="Verdana" w:hAnsi="Verdana" w:cs="Arial"/>
                <w:b/>
                <w:sz w:val="16"/>
                <w:szCs w:val="16"/>
              </w:rPr>
              <w:t>)</w:t>
            </w:r>
          </w:p>
        </w:tc>
        <w:tc>
          <w:tcPr>
            <w:tcW w:w="3120" w:type="dxa"/>
            <w:tcBorders>
              <w:top w:val="single" w:sz="6" w:space="0" w:color="auto"/>
              <w:left w:val="single" w:sz="6" w:space="0" w:color="auto"/>
              <w:bottom w:val="single" w:sz="6" w:space="0" w:color="auto"/>
              <w:right w:val="single" w:sz="6" w:space="0" w:color="auto"/>
            </w:tcBorders>
            <w:vAlign w:val="center"/>
          </w:tcPr>
          <w:p w14:paraId="52718130" w14:textId="77777777" w:rsidR="00C62B4C" w:rsidRPr="00C62B4C" w:rsidRDefault="00C62B4C" w:rsidP="00C62B4C">
            <w:pPr>
              <w:spacing w:before="40" w:after="40" w:line="276" w:lineRule="auto"/>
              <w:jc w:val="center"/>
              <w:rPr>
                <w:rFonts w:ascii="Verdana" w:hAnsi="Verdana" w:cs="Arial"/>
                <w:b/>
                <w:sz w:val="16"/>
                <w:szCs w:val="16"/>
              </w:rPr>
            </w:pPr>
            <w:r>
              <w:rPr>
                <w:rFonts w:ascii="Verdana" w:hAnsi="Verdana" w:cs="Arial"/>
                <w:b/>
                <w:sz w:val="16"/>
                <w:szCs w:val="16"/>
              </w:rPr>
              <w:t>Plasma mixtures</w:t>
            </w:r>
          </w:p>
        </w:tc>
      </w:tr>
      <w:tr w:rsidR="00C62B4C" w:rsidRPr="00C62B4C" w14:paraId="11D1BA57" w14:textId="77777777" w:rsidTr="00C62B4C">
        <w:trPr>
          <w:cantSplit/>
          <w:trHeight w:val="20"/>
          <w:jc w:val="center"/>
        </w:trPr>
        <w:tc>
          <w:tcPr>
            <w:tcW w:w="2063" w:type="dxa"/>
            <w:tcBorders>
              <w:top w:val="single" w:sz="6" w:space="0" w:color="auto"/>
              <w:left w:val="single" w:sz="6" w:space="0" w:color="auto"/>
              <w:bottom w:val="single" w:sz="6" w:space="0" w:color="auto"/>
              <w:right w:val="single" w:sz="6" w:space="0" w:color="auto"/>
            </w:tcBorders>
          </w:tcPr>
          <w:p w14:paraId="2FF84D81" w14:textId="77777777" w:rsidR="00C62B4C" w:rsidRPr="00C62B4C" w:rsidRDefault="00C62B4C" w:rsidP="00C62B4C">
            <w:pPr>
              <w:spacing w:before="40" w:after="40" w:line="276" w:lineRule="auto"/>
              <w:jc w:val="both"/>
              <w:rPr>
                <w:rFonts w:ascii="Verdana" w:hAnsi="Verdana" w:cs="Arial"/>
                <w:sz w:val="16"/>
                <w:szCs w:val="16"/>
              </w:rPr>
            </w:pPr>
            <w:r w:rsidRPr="00C62B4C">
              <w:rPr>
                <w:rFonts w:ascii="Verdana" w:hAnsi="Verdana" w:cs="Arial"/>
                <w:sz w:val="16"/>
                <w:szCs w:val="16"/>
              </w:rPr>
              <w:t>HBsAg</w:t>
            </w:r>
          </w:p>
        </w:tc>
        <w:tc>
          <w:tcPr>
            <w:tcW w:w="1664" w:type="dxa"/>
            <w:tcBorders>
              <w:top w:val="single" w:sz="6" w:space="0" w:color="auto"/>
              <w:left w:val="single" w:sz="6" w:space="0" w:color="auto"/>
              <w:bottom w:val="single" w:sz="6" w:space="0" w:color="auto"/>
              <w:right w:val="single" w:sz="6" w:space="0" w:color="auto"/>
            </w:tcBorders>
          </w:tcPr>
          <w:p w14:paraId="63C20D2D" w14:textId="77777777" w:rsidR="00C62B4C" w:rsidRPr="00C62B4C" w:rsidRDefault="00C62B4C" w:rsidP="00C62B4C">
            <w:pPr>
              <w:spacing w:before="40" w:after="40" w:line="276" w:lineRule="auto"/>
              <w:jc w:val="both"/>
              <w:rPr>
                <w:rFonts w:ascii="Verdana" w:hAnsi="Verdana" w:cs="Arial"/>
                <w:sz w:val="16"/>
                <w:szCs w:val="16"/>
              </w:rPr>
            </w:pPr>
          </w:p>
        </w:tc>
        <w:tc>
          <w:tcPr>
            <w:tcW w:w="1865" w:type="dxa"/>
            <w:tcBorders>
              <w:top w:val="single" w:sz="6" w:space="0" w:color="auto"/>
              <w:left w:val="single" w:sz="6" w:space="0" w:color="auto"/>
              <w:bottom w:val="single" w:sz="6" w:space="0" w:color="auto"/>
              <w:right w:val="single" w:sz="6" w:space="0" w:color="auto"/>
            </w:tcBorders>
          </w:tcPr>
          <w:p w14:paraId="268063D8" w14:textId="77777777" w:rsidR="00C62B4C" w:rsidRPr="00C62B4C" w:rsidRDefault="00C62B4C" w:rsidP="00C62B4C">
            <w:pPr>
              <w:spacing w:before="40" w:after="40" w:line="276" w:lineRule="auto"/>
              <w:jc w:val="both"/>
              <w:rPr>
                <w:rFonts w:ascii="Verdana" w:hAnsi="Verdana" w:cs="Arial"/>
                <w:sz w:val="16"/>
                <w:szCs w:val="16"/>
              </w:rPr>
            </w:pPr>
          </w:p>
        </w:tc>
        <w:tc>
          <w:tcPr>
            <w:tcW w:w="3120" w:type="dxa"/>
            <w:tcBorders>
              <w:top w:val="single" w:sz="6" w:space="0" w:color="auto"/>
              <w:left w:val="single" w:sz="6" w:space="0" w:color="auto"/>
              <w:bottom w:val="single" w:sz="6" w:space="0" w:color="auto"/>
              <w:right w:val="single" w:sz="6" w:space="0" w:color="auto"/>
            </w:tcBorders>
          </w:tcPr>
          <w:p w14:paraId="26832FE9" w14:textId="77777777" w:rsidR="00C62B4C" w:rsidRPr="00C62B4C" w:rsidRDefault="00C62B4C" w:rsidP="00C62B4C">
            <w:pPr>
              <w:spacing w:before="40" w:after="40" w:line="276" w:lineRule="auto"/>
              <w:jc w:val="both"/>
              <w:rPr>
                <w:rFonts w:ascii="Verdana" w:hAnsi="Verdana" w:cs="Arial"/>
                <w:sz w:val="16"/>
                <w:szCs w:val="16"/>
              </w:rPr>
            </w:pPr>
          </w:p>
        </w:tc>
      </w:tr>
      <w:tr w:rsidR="00C62B4C" w:rsidRPr="00C62B4C" w14:paraId="65C3D832" w14:textId="77777777" w:rsidTr="00C62B4C">
        <w:trPr>
          <w:cantSplit/>
          <w:trHeight w:val="20"/>
          <w:jc w:val="center"/>
        </w:trPr>
        <w:tc>
          <w:tcPr>
            <w:tcW w:w="2063" w:type="dxa"/>
            <w:tcBorders>
              <w:top w:val="single" w:sz="6" w:space="0" w:color="auto"/>
              <w:left w:val="single" w:sz="6" w:space="0" w:color="auto"/>
              <w:bottom w:val="single" w:sz="6" w:space="0" w:color="auto"/>
              <w:right w:val="single" w:sz="6" w:space="0" w:color="auto"/>
            </w:tcBorders>
          </w:tcPr>
          <w:p w14:paraId="35E65407" w14:textId="77777777" w:rsidR="00C62B4C" w:rsidRPr="00C62B4C" w:rsidRDefault="00C62B4C" w:rsidP="00C62B4C">
            <w:pPr>
              <w:spacing w:before="40" w:after="40" w:line="276" w:lineRule="auto"/>
              <w:jc w:val="both"/>
              <w:rPr>
                <w:rFonts w:ascii="Verdana" w:hAnsi="Verdana" w:cs="Arial"/>
                <w:sz w:val="16"/>
                <w:szCs w:val="16"/>
                <w:lang w:val="en-US"/>
              </w:rPr>
            </w:pPr>
            <w:r w:rsidRPr="00C62B4C">
              <w:rPr>
                <w:rFonts w:ascii="Verdana" w:hAnsi="Verdana" w:cs="Arial"/>
                <w:sz w:val="16"/>
                <w:szCs w:val="16"/>
                <w:lang w:val="en-US"/>
              </w:rPr>
              <w:t>Anti-HIV antibodies 1 and 2</w:t>
            </w:r>
          </w:p>
        </w:tc>
        <w:tc>
          <w:tcPr>
            <w:tcW w:w="1664" w:type="dxa"/>
            <w:tcBorders>
              <w:top w:val="single" w:sz="6" w:space="0" w:color="auto"/>
              <w:left w:val="single" w:sz="6" w:space="0" w:color="auto"/>
              <w:bottom w:val="single" w:sz="6" w:space="0" w:color="auto"/>
              <w:right w:val="single" w:sz="6" w:space="0" w:color="auto"/>
            </w:tcBorders>
          </w:tcPr>
          <w:p w14:paraId="603261C3" w14:textId="77777777" w:rsidR="00C62B4C" w:rsidRPr="00C62B4C" w:rsidRDefault="00C62B4C" w:rsidP="00C62B4C">
            <w:pPr>
              <w:spacing w:before="40" w:after="40" w:line="276" w:lineRule="auto"/>
              <w:jc w:val="both"/>
              <w:rPr>
                <w:rFonts w:ascii="Verdana" w:hAnsi="Verdana" w:cs="Arial"/>
                <w:sz w:val="16"/>
                <w:szCs w:val="16"/>
                <w:lang w:val="en-US"/>
              </w:rPr>
            </w:pPr>
          </w:p>
        </w:tc>
        <w:tc>
          <w:tcPr>
            <w:tcW w:w="1865" w:type="dxa"/>
            <w:tcBorders>
              <w:top w:val="single" w:sz="6" w:space="0" w:color="auto"/>
              <w:left w:val="single" w:sz="6" w:space="0" w:color="auto"/>
              <w:bottom w:val="single" w:sz="6" w:space="0" w:color="auto"/>
              <w:right w:val="single" w:sz="6" w:space="0" w:color="auto"/>
            </w:tcBorders>
          </w:tcPr>
          <w:p w14:paraId="07DD7226" w14:textId="77777777" w:rsidR="00C62B4C" w:rsidRPr="00C62B4C" w:rsidRDefault="00C62B4C" w:rsidP="00C62B4C">
            <w:pPr>
              <w:spacing w:before="40" w:after="40" w:line="276" w:lineRule="auto"/>
              <w:jc w:val="both"/>
              <w:rPr>
                <w:rFonts w:ascii="Verdana" w:hAnsi="Verdana" w:cs="Arial"/>
                <w:sz w:val="16"/>
                <w:szCs w:val="16"/>
                <w:lang w:val="en-US"/>
              </w:rPr>
            </w:pPr>
          </w:p>
        </w:tc>
        <w:tc>
          <w:tcPr>
            <w:tcW w:w="3120" w:type="dxa"/>
            <w:tcBorders>
              <w:top w:val="single" w:sz="6" w:space="0" w:color="auto"/>
              <w:left w:val="single" w:sz="6" w:space="0" w:color="auto"/>
              <w:bottom w:val="single" w:sz="6" w:space="0" w:color="auto"/>
              <w:right w:val="single" w:sz="6" w:space="0" w:color="auto"/>
            </w:tcBorders>
          </w:tcPr>
          <w:p w14:paraId="5570DC64" w14:textId="77777777" w:rsidR="00C62B4C" w:rsidRPr="00C62B4C" w:rsidRDefault="00C62B4C" w:rsidP="00C62B4C">
            <w:pPr>
              <w:spacing w:before="40" w:after="40" w:line="276" w:lineRule="auto"/>
              <w:jc w:val="both"/>
              <w:rPr>
                <w:rFonts w:ascii="Verdana" w:hAnsi="Verdana" w:cs="Arial"/>
                <w:sz w:val="16"/>
                <w:szCs w:val="16"/>
                <w:lang w:val="en-US"/>
              </w:rPr>
            </w:pPr>
          </w:p>
        </w:tc>
      </w:tr>
      <w:tr w:rsidR="00C62B4C" w:rsidRPr="00C62B4C" w14:paraId="5FD9214E" w14:textId="77777777" w:rsidTr="00C62B4C">
        <w:trPr>
          <w:cantSplit/>
          <w:trHeight w:val="20"/>
          <w:jc w:val="center"/>
        </w:trPr>
        <w:tc>
          <w:tcPr>
            <w:tcW w:w="2063" w:type="dxa"/>
            <w:tcBorders>
              <w:top w:val="single" w:sz="6" w:space="0" w:color="auto"/>
              <w:left w:val="single" w:sz="6" w:space="0" w:color="auto"/>
              <w:bottom w:val="single" w:sz="6" w:space="0" w:color="auto"/>
              <w:right w:val="single" w:sz="6" w:space="0" w:color="auto"/>
            </w:tcBorders>
          </w:tcPr>
          <w:p w14:paraId="2549D746" w14:textId="77777777" w:rsidR="00C62B4C" w:rsidRPr="00C62B4C" w:rsidRDefault="00C62B4C" w:rsidP="00C62B4C">
            <w:pPr>
              <w:spacing w:before="40" w:after="40" w:line="276" w:lineRule="auto"/>
              <w:jc w:val="both"/>
              <w:rPr>
                <w:rFonts w:ascii="Verdana" w:hAnsi="Verdana" w:cs="Arial"/>
                <w:sz w:val="16"/>
                <w:szCs w:val="16"/>
              </w:rPr>
            </w:pPr>
            <w:r>
              <w:rPr>
                <w:rFonts w:ascii="Verdana" w:hAnsi="Verdana" w:cs="Arial"/>
                <w:sz w:val="16"/>
                <w:szCs w:val="16"/>
              </w:rPr>
              <w:t>Anti-HCV antibodies</w:t>
            </w:r>
          </w:p>
        </w:tc>
        <w:tc>
          <w:tcPr>
            <w:tcW w:w="1664" w:type="dxa"/>
            <w:tcBorders>
              <w:top w:val="single" w:sz="6" w:space="0" w:color="auto"/>
              <w:left w:val="single" w:sz="6" w:space="0" w:color="auto"/>
              <w:bottom w:val="single" w:sz="6" w:space="0" w:color="auto"/>
              <w:right w:val="single" w:sz="6" w:space="0" w:color="auto"/>
            </w:tcBorders>
          </w:tcPr>
          <w:p w14:paraId="1CD45B7E" w14:textId="77777777" w:rsidR="00C62B4C" w:rsidRPr="00C62B4C" w:rsidRDefault="00C62B4C" w:rsidP="00C62B4C">
            <w:pPr>
              <w:spacing w:before="40" w:after="40" w:line="276" w:lineRule="auto"/>
              <w:jc w:val="both"/>
              <w:rPr>
                <w:rFonts w:ascii="Verdana" w:hAnsi="Verdana" w:cs="Arial"/>
                <w:sz w:val="16"/>
                <w:szCs w:val="16"/>
              </w:rPr>
            </w:pPr>
          </w:p>
        </w:tc>
        <w:tc>
          <w:tcPr>
            <w:tcW w:w="1865" w:type="dxa"/>
            <w:tcBorders>
              <w:top w:val="single" w:sz="6" w:space="0" w:color="auto"/>
              <w:left w:val="single" w:sz="6" w:space="0" w:color="auto"/>
              <w:bottom w:val="single" w:sz="6" w:space="0" w:color="auto"/>
              <w:right w:val="single" w:sz="6" w:space="0" w:color="auto"/>
            </w:tcBorders>
          </w:tcPr>
          <w:p w14:paraId="19C6BA0E" w14:textId="77777777" w:rsidR="00C62B4C" w:rsidRPr="00C62B4C" w:rsidRDefault="00C62B4C" w:rsidP="00C62B4C">
            <w:pPr>
              <w:spacing w:before="40" w:after="40" w:line="276" w:lineRule="auto"/>
              <w:jc w:val="both"/>
              <w:rPr>
                <w:rFonts w:ascii="Verdana" w:hAnsi="Verdana" w:cs="Arial"/>
                <w:sz w:val="16"/>
                <w:szCs w:val="16"/>
              </w:rPr>
            </w:pPr>
          </w:p>
        </w:tc>
        <w:tc>
          <w:tcPr>
            <w:tcW w:w="3120" w:type="dxa"/>
            <w:tcBorders>
              <w:top w:val="single" w:sz="6" w:space="0" w:color="auto"/>
              <w:left w:val="single" w:sz="6" w:space="0" w:color="auto"/>
              <w:bottom w:val="single" w:sz="6" w:space="0" w:color="auto"/>
              <w:right w:val="single" w:sz="6" w:space="0" w:color="auto"/>
            </w:tcBorders>
          </w:tcPr>
          <w:p w14:paraId="77DC7749" w14:textId="77777777" w:rsidR="00C62B4C" w:rsidRPr="00C62B4C" w:rsidRDefault="00C62B4C" w:rsidP="00C62B4C">
            <w:pPr>
              <w:spacing w:before="40" w:after="40" w:line="276" w:lineRule="auto"/>
              <w:jc w:val="both"/>
              <w:rPr>
                <w:rFonts w:ascii="Verdana" w:hAnsi="Verdana" w:cs="Arial"/>
                <w:sz w:val="16"/>
                <w:szCs w:val="16"/>
              </w:rPr>
            </w:pPr>
          </w:p>
        </w:tc>
      </w:tr>
      <w:tr w:rsidR="00C62B4C" w:rsidRPr="00F70181" w14:paraId="76BCF747" w14:textId="77777777" w:rsidTr="00C62B4C">
        <w:trPr>
          <w:cantSplit/>
          <w:trHeight w:val="20"/>
          <w:jc w:val="center"/>
        </w:trPr>
        <w:tc>
          <w:tcPr>
            <w:tcW w:w="2063" w:type="dxa"/>
            <w:tcBorders>
              <w:top w:val="single" w:sz="6" w:space="0" w:color="auto"/>
              <w:left w:val="single" w:sz="6" w:space="0" w:color="auto"/>
              <w:bottom w:val="single" w:sz="6" w:space="0" w:color="auto"/>
              <w:right w:val="single" w:sz="6" w:space="0" w:color="auto"/>
            </w:tcBorders>
          </w:tcPr>
          <w:p w14:paraId="27DF9BDB" w14:textId="77777777" w:rsidR="00C62B4C" w:rsidRPr="00C62B4C" w:rsidRDefault="00C62B4C" w:rsidP="00C62B4C">
            <w:pPr>
              <w:spacing w:before="40" w:after="40" w:line="276" w:lineRule="auto"/>
              <w:jc w:val="both"/>
              <w:rPr>
                <w:rFonts w:ascii="Verdana" w:hAnsi="Verdana" w:cs="Arial"/>
                <w:sz w:val="16"/>
                <w:szCs w:val="16"/>
                <w:lang w:val="en-US"/>
              </w:rPr>
            </w:pPr>
            <w:r w:rsidRPr="00C62B4C">
              <w:rPr>
                <w:rFonts w:ascii="Verdana" w:hAnsi="Verdana" w:cs="Arial"/>
                <w:sz w:val="16"/>
                <w:szCs w:val="16"/>
                <w:lang w:val="en-US"/>
              </w:rPr>
              <w:t xml:space="preserve">NAT for RNA of the HCV </w:t>
            </w:r>
          </w:p>
        </w:tc>
        <w:tc>
          <w:tcPr>
            <w:tcW w:w="1664" w:type="dxa"/>
            <w:tcBorders>
              <w:top w:val="single" w:sz="6" w:space="0" w:color="auto"/>
              <w:left w:val="single" w:sz="6" w:space="0" w:color="auto"/>
              <w:bottom w:val="single" w:sz="6" w:space="0" w:color="auto"/>
              <w:right w:val="single" w:sz="6" w:space="0" w:color="auto"/>
            </w:tcBorders>
          </w:tcPr>
          <w:p w14:paraId="486AF753" w14:textId="77777777" w:rsidR="00C62B4C" w:rsidRPr="00C62B4C" w:rsidRDefault="00C62B4C" w:rsidP="00C62B4C">
            <w:pPr>
              <w:spacing w:before="40" w:after="40" w:line="276" w:lineRule="auto"/>
              <w:jc w:val="both"/>
              <w:rPr>
                <w:rFonts w:ascii="Verdana" w:hAnsi="Verdana" w:cs="Arial"/>
                <w:sz w:val="16"/>
                <w:szCs w:val="16"/>
                <w:lang w:val="en-US"/>
              </w:rPr>
            </w:pPr>
          </w:p>
        </w:tc>
        <w:tc>
          <w:tcPr>
            <w:tcW w:w="1865" w:type="dxa"/>
            <w:tcBorders>
              <w:top w:val="single" w:sz="6" w:space="0" w:color="auto"/>
              <w:left w:val="single" w:sz="6" w:space="0" w:color="auto"/>
              <w:bottom w:val="single" w:sz="6" w:space="0" w:color="auto"/>
              <w:right w:val="single" w:sz="6" w:space="0" w:color="auto"/>
            </w:tcBorders>
          </w:tcPr>
          <w:p w14:paraId="4A9F1207" w14:textId="77777777" w:rsidR="00C62B4C" w:rsidRPr="00C62B4C" w:rsidRDefault="00C62B4C" w:rsidP="00C62B4C">
            <w:pPr>
              <w:spacing w:before="40" w:after="40" w:line="276" w:lineRule="auto"/>
              <w:jc w:val="both"/>
              <w:rPr>
                <w:rFonts w:ascii="Verdana" w:hAnsi="Verdana" w:cs="Arial"/>
                <w:sz w:val="16"/>
                <w:szCs w:val="16"/>
                <w:lang w:val="en-US"/>
              </w:rPr>
            </w:pPr>
          </w:p>
        </w:tc>
        <w:tc>
          <w:tcPr>
            <w:tcW w:w="3120" w:type="dxa"/>
            <w:tcBorders>
              <w:top w:val="single" w:sz="6" w:space="0" w:color="auto"/>
              <w:left w:val="single" w:sz="6" w:space="0" w:color="auto"/>
              <w:bottom w:val="single" w:sz="6" w:space="0" w:color="auto"/>
              <w:right w:val="single" w:sz="6" w:space="0" w:color="auto"/>
            </w:tcBorders>
          </w:tcPr>
          <w:p w14:paraId="53837F71" w14:textId="77777777" w:rsidR="00C62B4C" w:rsidRPr="00C62B4C" w:rsidRDefault="00C62B4C" w:rsidP="00C62B4C">
            <w:pPr>
              <w:spacing w:before="40" w:after="40" w:line="276" w:lineRule="auto"/>
              <w:jc w:val="both"/>
              <w:rPr>
                <w:rFonts w:ascii="Verdana" w:hAnsi="Verdana" w:cs="Arial"/>
                <w:sz w:val="16"/>
                <w:szCs w:val="16"/>
                <w:lang w:val="en-US"/>
              </w:rPr>
            </w:pPr>
          </w:p>
        </w:tc>
      </w:tr>
      <w:tr w:rsidR="00C62B4C" w:rsidRPr="00C62B4C" w14:paraId="43CBE102" w14:textId="77777777" w:rsidTr="00C62B4C">
        <w:trPr>
          <w:cantSplit/>
          <w:trHeight w:val="20"/>
          <w:jc w:val="center"/>
        </w:trPr>
        <w:tc>
          <w:tcPr>
            <w:tcW w:w="2063" w:type="dxa"/>
            <w:tcBorders>
              <w:top w:val="single" w:sz="6" w:space="0" w:color="auto"/>
              <w:left w:val="single" w:sz="6" w:space="0" w:color="auto"/>
              <w:bottom w:val="single" w:sz="6" w:space="0" w:color="auto"/>
              <w:right w:val="single" w:sz="6" w:space="0" w:color="auto"/>
            </w:tcBorders>
          </w:tcPr>
          <w:p w14:paraId="4A6747D8" w14:textId="77777777" w:rsidR="00C62B4C" w:rsidRPr="00C62B4C" w:rsidRDefault="00C62B4C" w:rsidP="00C62B4C">
            <w:pPr>
              <w:spacing w:before="40" w:after="40" w:line="276" w:lineRule="auto"/>
              <w:jc w:val="both"/>
              <w:rPr>
                <w:rFonts w:ascii="Verdana" w:hAnsi="Verdana" w:cs="Arial"/>
                <w:sz w:val="16"/>
                <w:szCs w:val="16"/>
              </w:rPr>
            </w:pPr>
            <w:r>
              <w:rPr>
                <w:rFonts w:ascii="Verdana" w:hAnsi="Verdana" w:cs="Arial"/>
                <w:sz w:val="16"/>
                <w:szCs w:val="16"/>
              </w:rPr>
              <w:t>DNA of the</w:t>
            </w:r>
            <w:r w:rsidRPr="00C62B4C">
              <w:rPr>
                <w:rFonts w:ascii="Verdana" w:hAnsi="Verdana" w:cs="Arial"/>
                <w:sz w:val="16"/>
                <w:szCs w:val="16"/>
              </w:rPr>
              <w:t xml:space="preserve"> PB19 </w:t>
            </w:r>
          </w:p>
        </w:tc>
        <w:tc>
          <w:tcPr>
            <w:tcW w:w="1664" w:type="dxa"/>
            <w:tcBorders>
              <w:top w:val="single" w:sz="6" w:space="0" w:color="auto"/>
              <w:left w:val="single" w:sz="6" w:space="0" w:color="auto"/>
              <w:bottom w:val="single" w:sz="6" w:space="0" w:color="auto"/>
              <w:right w:val="single" w:sz="6" w:space="0" w:color="auto"/>
            </w:tcBorders>
          </w:tcPr>
          <w:p w14:paraId="773BF66B" w14:textId="77777777" w:rsidR="00C62B4C" w:rsidRPr="00C62B4C" w:rsidRDefault="00C62B4C" w:rsidP="00C62B4C">
            <w:pPr>
              <w:spacing w:before="40" w:after="40" w:line="276" w:lineRule="auto"/>
              <w:jc w:val="both"/>
              <w:rPr>
                <w:rFonts w:ascii="Verdana" w:hAnsi="Verdana" w:cs="Arial"/>
                <w:sz w:val="16"/>
                <w:szCs w:val="16"/>
              </w:rPr>
            </w:pPr>
          </w:p>
        </w:tc>
        <w:tc>
          <w:tcPr>
            <w:tcW w:w="1865" w:type="dxa"/>
            <w:tcBorders>
              <w:top w:val="single" w:sz="6" w:space="0" w:color="auto"/>
              <w:left w:val="single" w:sz="6" w:space="0" w:color="auto"/>
              <w:bottom w:val="single" w:sz="6" w:space="0" w:color="auto"/>
              <w:right w:val="single" w:sz="6" w:space="0" w:color="auto"/>
            </w:tcBorders>
          </w:tcPr>
          <w:p w14:paraId="5269559D" w14:textId="77777777" w:rsidR="00C62B4C" w:rsidRPr="00C62B4C" w:rsidRDefault="00C62B4C" w:rsidP="00C62B4C">
            <w:pPr>
              <w:spacing w:before="40" w:after="40" w:line="276" w:lineRule="auto"/>
              <w:jc w:val="both"/>
              <w:rPr>
                <w:rFonts w:ascii="Verdana" w:hAnsi="Verdana" w:cs="Arial"/>
                <w:sz w:val="16"/>
                <w:szCs w:val="16"/>
              </w:rPr>
            </w:pPr>
          </w:p>
        </w:tc>
        <w:tc>
          <w:tcPr>
            <w:tcW w:w="3120" w:type="dxa"/>
            <w:tcBorders>
              <w:top w:val="single" w:sz="6" w:space="0" w:color="auto"/>
              <w:left w:val="single" w:sz="6" w:space="0" w:color="auto"/>
              <w:bottom w:val="single" w:sz="6" w:space="0" w:color="auto"/>
              <w:right w:val="single" w:sz="6" w:space="0" w:color="auto"/>
            </w:tcBorders>
          </w:tcPr>
          <w:p w14:paraId="2E0653DC" w14:textId="77777777" w:rsidR="00C62B4C" w:rsidRPr="00C62B4C" w:rsidRDefault="00C62B4C" w:rsidP="00C62B4C">
            <w:pPr>
              <w:spacing w:before="40" w:after="40" w:line="276" w:lineRule="auto"/>
              <w:jc w:val="both"/>
              <w:rPr>
                <w:rFonts w:ascii="Verdana" w:hAnsi="Verdana" w:cs="Arial"/>
                <w:sz w:val="16"/>
                <w:szCs w:val="16"/>
              </w:rPr>
            </w:pPr>
          </w:p>
        </w:tc>
      </w:tr>
      <w:tr w:rsidR="00C62B4C" w:rsidRPr="00C62B4C" w14:paraId="5CC9B331" w14:textId="77777777" w:rsidTr="00C62B4C">
        <w:trPr>
          <w:cantSplit/>
          <w:trHeight w:val="20"/>
          <w:jc w:val="center"/>
        </w:trPr>
        <w:tc>
          <w:tcPr>
            <w:tcW w:w="2063" w:type="dxa"/>
            <w:tcBorders>
              <w:top w:val="single" w:sz="6" w:space="0" w:color="auto"/>
              <w:left w:val="single" w:sz="6" w:space="0" w:color="auto"/>
              <w:bottom w:val="single" w:sz="6" w:space="0" w:color="auto"/>
              <w:right w:val="single" w:sz="6" w:space="0" w:color="auto"/>
            </w:tcBorders>
          </w:tcPr>
          <w:p w14:paraId="7F83EB81" w14:textId="77777777" w:rsidR="00C62B4C" w:rsidRPr="00C62B4C" w:rsidRDefault="00C62B4C" w:rsidP="00C62B4C">
            <w:pPr>
              <w:spacing w:before="40" w:after="40" w:line="276" w:lineRule="auto"/>
              <w:jc w:val="both"/>
              <w:rPr>
                <w:rFonts w:ascii="Verdana" w:hAnsi="Verdana" w:cs="Arial"/>
                <w:sz w:val="16"/>
                <w:szCs w:val="16"/>
              </w:rPr>
            </w:pPr>
            <w:r>
              <w:rPr>
                <w:rFonts w:ascii="Verdana" w:hAnsi="Verdana" w:cs="Arial"/>
                <w:sz w:val="16"/>
                <w:szCs w:val="16"/>
              </w:rPr>
              <w:t>Other evaluations</w:t>
            </w:r>
          </w:p>
        </w:tc>
        <w:tc>
          <w:tcPr>
            <w:tcW w:w="1664" w:type="dxa"/>
            <w:tcBorders>
              <w:top w:val="single" w:sz="6" w:space="0" w:color="auto"/>
              <w:left w:val="single" w:sz="6" w:space="0" w:color="auto"/>
              <w:bottom w:val="single" w:sz="6" w:space="0" w:color="auto"/>
              <w:right w:val="single" w:sz="6" w:space="0" w:color="auto"/>
            </w:tcBorders>
          </w:tcPr>
          <w:p w14:paraId="02EEB5A5" w14:textId="77777777" w:rsidR="00C62B4C" w:rsidRPr="00C62B4C" w:rsidRDefault="00C62B4C" w:rsidP="00C62B4C">
            <w:pPr>
              <w:spacing w:before="40" w:after="40" w:line="276" w:lineRule="auto"/>
              <w:jc w:val="both"/>
              <w:rPr>
                <w:rFonts w:ascii="Verdana" w:hAnsi="Verdana" w:cs="Arial"/>
                <w:sz w:val="16"/>
                <w:szCs w:val="16"/>
              </w:rPr>
            </w:pPr>
          </w:p>
        </w:tc>
        <w:tc>
          <w:tcPr>
            <w:tcW w:w="1865" w:type="dxa"/>
            <w:tcBorders>
              <w:top w:val="single" w:sz="6" w:space="0" w:color="auto"/>
              <w:left w:val="single" w:sz="6" w:space="0" w:color="auto"/>
              <w:bottom w:val="single" w:sz="6" w:space="0" w:color="auto"/>
              <w:right w:val="single" w:sz="6" w:space="0" w:color="auto"/>
            </w:tcBorders>
          </w:tcPr>
          <w:p w14:paraId="1ABB1F22" w14:textId="77777777" w:rsidR="00C62B4C" w:rsidRPr="00C62B4C" w:rsidRDefault="00C62B4C" w:rsidP="00C62B4C">
            <w:pPr>
              <w:spacing w:before="40" w:after="40" w:line="276" w:lineRule="auto"/>
              <w:jc w:val="both"/>
              <w:rPr>
                <w:rFonts w:ascii="Verdana" w:hAnsi="Verdana" w:cs="Arial"/>
                <w:sz w:val="16"/>
                <w:szCs w:val="16"/>
              </w:rPr>
            </w:pPr>
          </w:p>
        </w:tc>
        <w:tc>
          <w:tcPr>
            <w:tcW w:w="3120" w:type="dxa"/>
            <w:tcBorders>
              <w:top w:val="single" w:sz="6" w:space="0" w:color="auto"/>
              <w:left w:val="single" w:sz="6" w:space="0" w:color="auto"/>
              <w:bottom w:val="single" w:sz="6" w:space="0" w:color="auto"/>
              <w:right w:val="single" w:sz="6" w:space="0" w:color="auto"/>
            </w:tcBorders>
          </w:tcPr>
          <w:p w14:paraId="17A62AEE" w14:textId="77777777" w:rsidR="00C62B4C" w:rsidRPr="00C62B4C" w:rsidRDefault="00C62B4C" w:rsidP="00C62B4C">
            <w:pPr>
              <w:spacing w:before="40" w:after="40" w:line="276" w:lineRule="auto"/>
              <w:jc w:val="both"/>
              <w:rPr>
                <w:rFonts w:ascii="Verdana" w:hAnsi="Verdana" w:cs="Arial"/>
                <w:sz w:val="16"/>
                <w:szCs w:val="16"/>
              </w:rPr>
            </w:pPr>
          </w:p>
        </w:tc>
      </w:tr>
    </w:tbl>
    <w:p w14:paraId="40EC4A9F" w14:textId="77777777" w:rsidR="00C62B4C" w:rsidRDefault="00C62B4C" w:rsidP="005C0901">
      <w:pPr>
        <w:pStyle w:val="Texto"/>
        <w:spacing w:line="276" w:lineRule="auto"/>
        <w:ind w:firstLine="0"/>
        <w:jc w:val="center"/>
        <w:rPr>
          <w:rFonts w:ascii="Verdana" w:hAnsi="Verdana"/>
          <w:sz w:val="16"/>
          <w:szCs w:val="16"/>
        </w:rPr>
      </w:pPr>
    </w:p>
    <w:p w14:paraId="43F79E36" w14:textId="77777777" w:rsidR="00C62B4C" w:rsidRPr="00C62B4C" w:rsidRDefault="00C62B4C" w:rsidP="005C0901">
      <w:pPr>
        <w:pStyle w:val="Texto"/>
        <w:spacing w:line="276" w:lineRule="auto"/>
        <w:ind w:firstLine="0"/>
        <w:jc w:val="center"/>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1"/>
        <w:gridCol w:w="4421"/>
      </w:tblGrid>
      <w:tr w:rsidR="00DD29AF" w:rsidRPr="00F70181" w14:paraId="29427126" w14:textId="77777777" w:rsidTr="00335F65">
        <w:tc>
          <w:tcPr>
            <w:tcW w:w="4421" w:type="dxa"/>
          </w:tcPr>
          <w:p w14:paraId="0D7D5F67"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10.5.6.25.10</w:t>
            </w:r>
            <w:r w:rsidRPr="00D429B4">
              <w:rPr>
                <w:rFonts w:ascii="Verdana" w:hAnsi="Verdana"/>
                <w:sz w:val="16"/>
                <w:szCs w:val="16"/>
                <w:lang w:val="es-MX"/>
              </w:rPr>
              <w:t xml:space="preserve"> Información sobre el establecimiento de un Sistema de Información posterior a la donación.</w:t>
            </w:r>
          </w:p>
        </w:tc>
        <w:tc>
          <w:tcPr>
            <w:tcW w:w="4421" w:type="dxa"/>
          </w:tcPr>
          <w:p w14:paraId="1DC1A778" w14:textId="77777777" w:rsidR="00DD29AF" w:rsidRPr="00D429B4" w:rsidRDefault="00F74D33"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10.5.6.25.10 </w:t>
            </w:r>
            <w:r w:rsidRPr="00D429B4">
              <w:rPr>
                <w:rFonts w:ascii="Verdana" w:hAnsi="Verdana"/>
                <w:sz w:val="16"/>
                <w:szCs w:val="16"/>
                <w:lang w:val="en-US"/>
              </w:rPr>
              <w:t xml:space="preserve">Information on the establishment of an information system after the donation. </w:t>
            </w:r>
          </w:p>
        </w:tc>
      </w:tr>
      <w:tr w:rsidR="00DD29AF" w:rsidRPr="00F70181" w14:paraId="077D8C7C" w14:textId="77777777" w:rsidTr="00335F65">
        <w:tc>
          <w:tcPr>
            <w:tcW w:w="4421" w:type="dxa"/>
          </w:tcPr>
          <w:p w14:paraId="74FB8E60"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10.5.6.25.11</w:t>
            </w:r>
            <w:r w:rsidRPr="00D429B4">
              <w:rPr>
                <w:rFonts w:ascii="Verdana" w:hAnsi="Verdana"/>
                <w:sz w:val="16"/>
                <w:szCs w:val="16"/>
                <w:lang w:val="es-MX"/>
              </w:rPr>
              <w:t xml:space="preserve"> Información sobre el procedimiento mediante el cual se comunicará inmediatamente a la COFEPRIS y al CNTS cualquier evento que ocurra en el que se detecte una falla crítica en un Banco de Sangre y las medidas tomadas al respecto.</w:t>
            </w:r>
          </w:p>
        </w:tc>
        <w:tc>
          <w:tcPr>
            <w:tcW w:w="4421" w:type="dxa"/>
          </w:tcPr>
          <w:p w14:paraId="7191F554" w14:textId="77777777" w:rsidR="00DD29AF" w:rsidRPr="00D429B4" w:rsidRDefault="00F74D33"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10.5.6.25.11 </w:t>
            </w:r>
            <w:r w:rsidRPr="00D429B4">
              <w:rPr>
                <w:rFonts w:ascii="Verdana" w:hAnsi="Verdana"/>
                <w:sz w:val="16"/>
                <w:szCs w:val="16"/>
                <w:lang w:val="en-US"/>
              </w:rPr>
              <w:t xml:space="preserve">Information on the procedure which will be communicated immediately to the COFEPRIS and the CNTS of any event that occurs in </w:t>
            </w:r>
            <w:r w:rsidR="00B12EE3" w:rsidRPr="00D429B4">
              <w:rPr>
                <w:rFonts w:ascii="Verdana" w:hAnsi="Verdana"/>
                <w:sz w:val="16"/>
                <w:szCs w:val="16"/>
                <w:lang w:val="en-US"/>
              </w:rPr>
              <w:t>which</w:t>
            </w:r>
            <w:r w:rsidRPr="00D429B4">
              <w:rPr>
                <w:rFonts w:ascii="Verdana" w:hAnsi="Verdana"/>
                <w:sz w:val="16"/>
                <w:szCs w:val="16"/>
                <w:lang w:val="en-US"/>
              </w:rPr>
              <w:t xml:space="preserve"> a critical failure is detected in a Blood Banks and the measures taken with regard to it. </w:t>
            </w:r>
          </w:p>
        </w:tc>
      </w:tr>
      <w:tr w:rsidR="00DD29AF" w:rsidRPr="00F70181" w14:paraId="46605DAB" w14:textId="77777777" w:rsidTr="00335F65">
        <w:tc>
          <w:tcPr>
            <w:tcW w:w="4421" w:type="dxa"/>
          </w:tcPr>
          <w:p w14:paraId="768312FD"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10.5.6.25.12</w:t>
            </w:r>
            <w:r w:rsidRPr="00D429B4">
              <w:rPr>
                <w:rFonts w:ascii="Verdana" w:hAnsi="Verdana"/>
                <w:sz w:val="16"/>
                <w:szCs w:val="16"/>
                <w:lang w:val="es-MX"/>
              </w:rPr>
              <w:t xml:space="preserve"> Información epidemiológica sobre la incidencia y prevalencia de positivos confirmados en donantes que acuden a los establecimientos de recolección y Bancos de Sangre seleccionados como proveedores, obtenidas de fuentes oficiales y de la autoridad sanitaria correspondiente.</w:t>
            </w:r>
          </w:p>
        </w:tc>
        <w:tc>
          <w:tcPr>
            <w:tcW w:w="4421" w:type="dxa"/>
          </w:tcPr>
          <w:p w14:paraId="1D7C589E" w14:textId="77777777" w:rsidR="00DD29AF" w:rsidRPr="00D429B4" w:rsidRDefault="00397C1C"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10.5.6.25.12 </w:t>
            </w:r>
            <w:r w:rsidRPr="00D429B4">
              <w:rPr>
                <w:rFonts w:ascii="Verdana" w:hAnsi="Verdana"/>
                <w:sz w:val="16"/>
                <w:szCs w:val="16"/>
                <w:lang w:val="en-US"/>
              </w:rPr>
              <w:t xml:space="preserve">Epidemiological information on the incidence and prevalence of confirmed positives in donors that go to the collection establishments and Blood Banks </w:t>
            </w:r>
            <w:r w:rsidR="00B12EE3" w:rsidRPr="00D429B4">
              <w:rPr>
                <w:rFonts w:ascii="Verdana" w:hAnsi="Verdana"/>
                <w:sz w:val="16"/>
                <w:szCs w:val="16"/>
                <w:lang w:val="en-US"/>
              </w:rPr>
              <w:t>selected</w:t>
            </w:r>
            <w:r w:rsidRPr="00D429B4">
              <w:rPr>
                <w:rFonts w:ascii="Verdana" w:hAnsi="Verdana"/>
                <w:sz w:val="16"/>
                <w:szCs w:val="16"/>
                <w:lang w:val="en-US"/>
              </w:rPr>
              <w:t xml:space="preserve"> as suppliers, obtained from official sources and from the corresponding sanitary authority. </w:t>
            </w:r>
          </w:p>
        </w:tc>
      </w:tr>
      <w:tr w:rsidR="00DD29AF" w:rsidRPr="00F70181" w14:paraId="0F320508" w14:textId="77777777" w:rsidTr="00335F65">
        <w:tc>
          <w:tcPr>
            <w:tcW w:w="4421" w:type="dxa"/>
          </w:tcPr>
          <w:p w14:paraId="79F652C4"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10.5.6.25.13</w:t>
            </w:r>
            <w:r w:rsidRPr="00D429B4">
              <w:rPr>
                <w:rFonts w:ascii="Verdana" w:hAnsi="Verdana"/>
                <w:sz w:val="16"/>
                <w:szCs w:val="16"/>
                <w:lang w:val="es-MX"/>
              </w:rPr>
              <w:t xml:space="preserve"> Informe sobre la incidencia de seroconversiones y partículas infecciosas positivas confirmadas en donantes (por número de donantes y por número de donaciones).</w:t>
            </w:r>
          </w:p>
        </w:tc>
        <w:tc>
          <w:tcPr>
            <w:tcW w:w="4421" w:type="dxa"/>
          </w:tcPr>
          <w:p w14:paraId="79D22DC0" w14:textId="77777777" w:rsidR="00DD29AF" w:rsidRPr="00D429B4" w:rsidRDefault="00FE109C"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10.5.6.25.13 </w:t>
            </w:r>
            <w:r w:rsidRPr="00D429B4">
              <w:rPr>
                <w:rFonts w:ascii="Verdana" w:hAnsi="Verdana"/>
                <w:sz w:val="16"/>
                <w:szCs w:val="16"/>
                <w:lang w:val="en-US"/>
              </w:rPr>
              <w:t xml:space="preserve">Report on the incidence of seroconversions and positive infectious particles confirmed in donors (by number of donors and by number of donations). </w:t>
            </w:r>
          </w:p>
        </w:tc>
      </w:tr>
      <w:tr w:rsidR="00DD29AF" w:rsidRPr="00F70181" w14:paraId="36947A1A" w14:textId="77777777" w:rsidTr="00335F65">
        <w:tc>
          <w:tcPr>
            <w:tcW w:w="4421" w:type="dxa"/>
          </w:tcPr>
          <w:p w14:paraId="0CF7B523"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10.5.6.25.14</w:t>
            </w:r>
            <w:r w:rsidRPr="00D429B4">
              <w:rPr>
                <w:rFonts w:ascii="Verdana" w:hAnsi="Verdana"/>
                <w:sz w:val="16"/>
                <w:szCs w:val="16"/>
                <w:lang w:val="es-MX"/>
              </w:rPr>
              <w:t xml:space="preserve"> Descripción de los procedimientos empleados para asegurar que el almacenamiento y la transportación del plasma, es ejecutada en las condiciones adecuadas, especificando el tiempo máximo y temperatura de almacenamiento del plasma y del tiempo y temperatura durante la transportación, en cumplimiento con las BPF y especificaciones de la FEUM. Confirmar que las condiciones de almacenamiento y transportación han sido validadas.</w:t>
            </w:r>
          </w:p>
        </w:tc>
        <w:tc>
          <w:tcPr>
            <w:tcW w:w="4421" w:type="dxa"/>
          </w:tcPr>
          <w:p w14:paraId="15ECC028" w14:textId="77777777" w:rsidR="00DD29AF" w:rsidRPr="00D429B4" w:rsidRDefault="004A7592" w:rsidP="00265FFE">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10.5.6.25.14 </w:t>
            </w:r>
            <w:r w:rsidRPr="00D429B4">
              <w:rPr>
                <w:rFonts w:ascii="Verdana" w:hAnsi="Verdana"/>
                <w:sz w:val="16"/>
                <w:szCs w:val="16"/>
                <w:lang w:val="en-US"/>
              </w:rPr>
              <w:t>Description of the procedures employed to assure that the storage and transportation of the plasma</w:t>
            </w:r>
            <w:r w:rsidR="00265FFE" w:rsidRPr="00D429B4">
              <w:rPr>
                <w:rFonts w:ascii="Verdana" w:hAnsi="Verdana"/>
                <w:sz w:val="16"/>
                <w:szCs w:val="16"/>
                <w:lang w:val="en-US"/>
              </w:rPr>
              <w:t xml:space="preserve"> is executed under adequate conditions, specifying the maximum time and temperature of storage of the plasma and of the time and temperature for transportation, in compliance with the GMP (Good Manufacturing Practices) and specifications of the FEUM. Confirm that the storage and transportation conditions have been validated. </w:t>
            </w:r>
          </w:p>
        </w:tc>
      </w:tr>
      <w:tr w:rsidR="00DD29AF" w:rsidRPr="00F70181" w14:paraId="53FCDB9D" w14:textId="77777777" w:rsidTr="00335F65">
        <w:tc>
          <w:tcPr>
            <w:tcW w:w="4421" w:type="dxa"/>
          </w:tcPr>
          <w:p w14:paraId="791CFA6E" w14:textId="77777777" w:rsidR="00DD29AF" w:rsidRPr="00D429B4" w:rsidRDefault="00DD29AF" w:rsidP="00955054">
            <w:pPr>
              <w:pStyle w:val="Texto"/>
              <w:spacing w:line="276" w:lineRule="auto"/>
              <w:ind w:firstLine="0"/>
              <w:rPr>
                <w:rFonts w:ascii="Verdana" w:hAnsi="Verdana"/>
                <w:sz w:val="16"/>
                <w:szCs w:val="16"/>
                <w:lang w:val="es-MX"/>
              </w:rPr>
            </w:pPr>
            <w:r w:rsidRPr="00D429B4">
              <w:rPr>
                <w:rFonts w:ascii="Verdana" w:hAnsi="Verdana"/>
                <w:b/>
                <w:sz w:val="16"/>
                <w:szCs w:val="16"/>
                <w:lang w:val="es-MX"/>
              </w:rPr>
              <w:t>10.5.6.25.15</w:t>
            </w:r>
            <w:r w:rsidRPr="00D429B4">
              <w:rPr>
                <w:rFonts w:ascii="Verdana" w:hAnsi="Verdana"/>
                <w:sz w:val="16"/>
                <w:szCs w:val="16"/>
                <w:lang w:val="es-MX"/>
              </w:rPr>
              <w:t xml:space="preserve"> Información de los procedimientos de mantenimiento de inventarios y de cuarentena para el plasma y proporcionar la justificación para el periodo elegido para cualquier periodo de retención de inventario.</w:t>
            </w:r>
          </w:p>
        </w:tc>
        <w:tc>
          <w:tcPr>
            <w:tcW w:w="4421" w:type="dxa"/>
          </w:tcPr>
          <w:p w14:paraId="67C036A2" w14:textId="77777777" w:rsidR="00DD29AF" w:rsidRPr="00D429B4" w:rsidRDefault="00265FFE"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10.5.6.25.15 </w:t>
            </w:r>
            <w:r w:rsidRPr="00D429B4">
              <w:rPr>
                <w:rFonts w:ascii="Verdana" w:hAnsi="Verdana"/>
                <w:sz w:val="16"/>
                <w:szCs w:val="16"/>
                <w:lang w:val="en-US"/>
              </w:rPr>
              <w:t xml:space="preserve">Information of the procedures of maintenance of inventories and quarantine for plasma and provide the justification for the selected period for any retention of inventory period. </w:t>
            </w:r>
          </w:p>
        </w:tc>
      </w:tr>
      <w:tr w:rsidR="00DD29AF" w:rsidRPr="00F70181" w14:paraId="600B2B53" w14:textId="77777777" w:rsidTr="00335F65">
        <w:tc>
          <w:tcPr>
            <w:tcW w:w="4421" w:type="dxa"/>
          </w:tcPr>
          <w:p w14:paraId="2681EC0E"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10.5.6.26 </w:t>
            </w:r>
            <w:r w:rsidRPr="00D429B4">
              <w:rPr>
                <w:rFonts w:ascii="Verdana" w:hAnsi="Verdana"/>
                <w:sz w:val="16"/>
                <w:szCs w:val="16"/>
                <w:lang w:val="es-MX"/>
              </w:rPr>
              <w:t>El fabricante de hemoderivados verificará que el material de partida no sea obtenido de poblaciones que presenten una elevada prevalencia de infecciones transmitidas por la sangre, relacionadas con los marcadores relevantes que son tamizados rutinariamente. También comprobará que el material de partida no haya sido obtenido en campañas de donación de sangre realizadas durante brotes conocidos de una enfermedad infecciosa, en particular hepatitis A.</w:t>
            </w:r>
          </w:p>
        </w:tc>
        <w:tc>
          <w:tcPr>
            <w:tcW w:w="4421" w:type="dxa"/>
          </w:tcPr>
          <w:p w14:paraId="61499CA4" w14:textId="77777777" w:rsidR="00DD29AF" w:rsidRPr="00D429B4" w:rsidRDefault="00265FFE" w:rsidP="00265FFE">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10.5.6.26 </w:t>
            </w:r>
            <w:r w:rsidRPr="00D429B4">
              <w:rPr>
                <w:rFonts w:ascii="Verdana" w:hAnsi="Verdana"/>
                <w:sz w:val="16"/>
                <w:szCs w:val="16"/>
                <w:lang w:val="en-US"/>
              </w:rPr>
              <w:t xml:space="preserve">The manufacturer of hemoderivatives will verify that the source material is not obtained from populations that present an elevated prevalence of infections transmitted by blood, related to the relevant markers that are routinely screened. It will also be verified that the source material has not been obtained in blood donation campaigns made during </w:t>
            </w:r>
            <w:r w:rsidR="006E219C" w:rsidRPr="00D429B4">
              <w:rPr>
                <w:rFonts w:ascii="Verdana" w:hAnsi="Verdana"/>
                <w:sz w:val="16"/>
                <w:szCs w:val="16"/>
                <w:lang w:val="en-US"/>
              </w:rPr>
              <w:t xml:space="preserve">known outbreaks of an infectious illness, in particular hepatitis A. </w:t>
            </w:r>
          </w:p>
        </w:tc>
      </w:tr>
      <w:tr w:rsidR="00DD29AF" w:rsidRPr="00F70181" w14:paraId="6DB03326" w14:textId="77777777" w:rsidTr="00335F65">
        <w:tc>
          <w:tcPr>
            <w:tcW w:w="4421" w:type="dxa"/>
          </w:tcPr>
          <w:p w14:paraId="2789F0A3"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10.5.6.27</w:t>
            </w:r>
            <w:r w:rsidRPr="00D429B4">
              <w:rPr>
                <w:rFonts w:ascii="Verdana" w:hAnsi="Verdana"/>
                <w:sz w:val="16"/>
                <w:szCs w:val="16"/>
                <w:lang w:val="es-MX"/>
              </w:rPr>
              <w:t xml:space="preserve"> Información sobre las características técnicas de las bolsas empleadas para la obtención de la sangre y/o plasma y del anticoagulante empleado, describiendo:</w:t>
            </w:r>
          </w:p>
        </w:tc>
        <w:tc>
          <w:tcPr>
            <w:tcW w:w="4421" w:type="dxa"/>
          </w:tcPr>
          <w:p w14:paraId="71E15CC0" w14:textId="77777777" w:rsidR="00DD29AF" w:rsidRPr="00D429B4" w:rsidRDefault="006E219C"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10.5.6.27 </w:t>
            </w:r>
            <w:r w:rsidRPr="00D429B4">
              <w:rPr>
                <w:rFonts w:ascii="Verdana" w:hAnsi="Verdana"/>
                <w:sz w:val="16"/>
                <w:szCs w:val="16"/>
                <w:lang w:val="en-US"/>
              </w:rPr>
              <w:t xml:space="preserve">Information on the technical characteristics of the bags employed for obtaining blood and/or plasma and the anticoagulant employed, describing: </w:t>
            </w:r>
          </w:p>
        </w:tc>
      </w:tr>
      <w:tr w:rsidR="00DD29AF" w:rsidRPr="000D2621" w14:paraId="60CF225F" w14:textId="77777777" w:rsidTr="00335F65">
        <w:tc>
          <w:tcPr>
            <w:tcW w:w="4421" w:type="dxa"/>
          </w:tcPr>
          <w:p w14:paraId="1BA72D52"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10.5.6.27.1</w:t>
            </w:r>
            <w:r w:rsidRPr="00D429B4">
              <w:rPr>
                <w:rFonts w:ascii="Verdana" w:hAnsi="Verdana"/>
                <w:sz w:val="16"/>
                <w:szCs w:val="16"/>
                <w:lang w:val="es-MX"/>
              </w:rPr>
              <w:t xml:space="preserve"> Tipo de bolsa, que incluya la descripción de las especificaciones de la bolsa, identidad del material plástico involucrado y del procedimiento de esterilización y su validación. Pruebas de ausencia de sustancias tóxicas residuales.</w:t>
            </w:r>
          </w:p>
        </w:tc>
        <w:tc>
          <w:tcPr>
            <w:tcW w:w="4421" w:type="dxa"/>
          </w:tcPr>
          <w:p w14:paraId="778267A5" w14:textId="77777777" w:rsidR="00DD29AF" w:rsidRPr="00D429B4" w:rsidRDefault="006E219C"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10.5.6.27.1 </w:t>
            </w:r>
            <w:r w:rsidRPr="00D429B4">
              <w:rPr>
                <w:rFonts w:ascii="Verdana" w:hAnsi="Verdana"/>
                <w:sz w:val="16"/>
                <w:szCs w:val="16"/>
                <w:lang w:val="en-US"/>
              </w:rPr>
              <w:t>Type of bag</w:t>
            </w:r>
            <w:r w:rsidR="000D2621" w:rsidRPr="00D429B4">
              <w:rPr>
                <w:rFonts w:ascii="Verdana" w:hAnsi="Verdana"/>
                <w:sz w:val="16"/>
                <w:szCs w:val="16"/>
                <w:lang w:val="en-US"/>
              </w:rPr>
              <w:t xml:space="preserve"> that includes the description of the </w:t>
            </w:r>
            <w:r w:rsidR="00B12EE3" w:rsidRPr="00D429B4">
              <w:rPr>
                <w:rFonts w:ascii="Verdana" w:hAnsi="Verdana"/>
                <w:sz w:val="16"/>
                <w:szCs w:val="16"/>
                <w:lang w:val="en-US"/>
              </w:rPr>
              <w:t>specifications</w:t>
            </w:r>
            <w:r w:rsidR="000D2621" w:rsidRPr="00D429B4">
              <w:rPr>
                <w:rFonts w:ascii="Verdana" w:hAnsi="Verdana"/>
                <w:sz w:val="16"/>
                <w:szCs w:val="16"/>
                <w:lang w:val="en-US"/>
              </w:rPr>
              <w:t xml:space="preserve"> of the bag, identity of the plastic material involved and of the sterilization procedure and its validation. Tests for the absence of residual toxic substances. </w:t>
            </w:r>
          </w:p>
        </w:tc>
      </w:tr>
      <w:tr w:rsidR="00DD29AF" w:rsidRPr="00DD29AF" w14:paraId="4B42199A" w14:textId="77777777" w:rsidTr="00335F65">
        <w:tc>
          <w:tcPr>
            <w:tcW w:w="4421" w:type="dxa"/>
          </w:tcPr>
          <w:p w14:paraId="0566730D"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10.5.6.27.2 </w:t>
            </w:r>
            <w:r w:rsidRPr="00D429B4">
              <w:rPr>
                <w:rFonts w:ascii="Verdana" w:hAnsi="Verdana"/>
                <w:sz w:val="16"/>
                <w:szCs w:val="16"/>
                <w:lang w:val="es-MX"/>
              </w:rPr>
              <w:t>Fabricante</w:t>
            </w:r>
          </w:p>
        </w:tc>
        <w:tc>
          <w:tcPr>
            <w:tcW w:w="4421" w:type="dxa"/>
          </w:tcPr>
          <w:p w14:paraId="465879B6" w14:textId="77777777" w:rsidR="00DD29AF" w:rsidRPr="00D429B4" w:rsidRDefault="000D2621"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10.5.6.27.2 </w:t>
            </w:r>
            <w:r w:rsidRPr="00D429B4">
              <w:rPr>
                <w:rFonts w:ascii="Verdana" w:hAnsi="Verdana"/>
                <w:sz w:val="16"/>
                <w:szCs w:val="16"/>
                <w:lang w:val="en-US"/>
              </w:rPr>
              <w:t>Manufacturer</w:t>
            </w:r>
          </w:p>
        </w:tc>
      </w:tr>
      <w:tr w:rsidR="00DD29AF" w:rsidRPr="00F70181" w14:paraId="7D4178F4" w14:textId="77777777" w:rsidTr="00335F65">
        <w:tc>
          <w:tcPr>
            <w:tcW w:w="4421" w:type="dxa"/>
          </w:tcPr>
          <w:p w14:paraId="41DD04A8"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10.5.6.27.3 </w:t>
            </w:r>
            <w:r w:rsidRPr="00D429B4">
              <w:rPr>
                <w:rFonts w:ascii="Verdana" w:hAnsi="Verdana"/>
                <w:sz w:val="16"/>
                <w:szCs w:val="16"/>
                <w:lang w:val="es-MX"/>
              </w:rPr>
              <w:t>Composición y calidad de la solución anticoagulante.</w:t>
            </w:r>
          </w:p>
        </w:tc>
        <w:tc>
          <w:tcPr>
            <w:tcW w:w="4421" w:type="dxa"/>
          </w:tcPr>
          <w:p w14:paraId="57088775" w14:textId="77777777" w:rsidR="00DD29AF" w:rsidRPr="00D429B4" w:rsidRDefault="00A430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10.5.6.27.3 </w:t>
            </w:r>
            <w:r w:rsidRPr="00D429B4">
              <w:rPr>
                <w:rFonts w:ascii="Verdana" w:hAnsi="Verdana"/>
                <w:sz w:val="16"/>
                <w:szCs w:val="16"/>
                <w:lang w:val="en-US"/>
              </w:rPr>
              <w:t xml:space="preserve">Composition and quality of the anticoagulant solution. </w:t>
            </w:r>
          </w:p>
        </w:tc>
      </w:tr>
      <w:tr w:rsidR="00DD29AF" w:rsidRPr="00F70181" w14:paraId="24A08D9F" w14:textId="77777777" w:rsidTr="00335F65">
        <w:tc>
          <w:tcPr>
            <w:tcW w:w="4421" w:type="dxa"/>
          </w:tcPr>
          <w:p w14:paraId="53CA2698"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10.5.6.27.4 </w:t>
            </w:r>
            <w:r w:rsidRPr="00D429B4">
              <w:rPr>
                <w:rFonts w:ascii="Verdana" w:hAnsi="Verdana"/>
                <w:sz w:val="16"/>
                <w:szCs w:val="16"/>
                <w:lang w:val="es-MX"/>
              </w:rPr>
              <w:t>Resultados de un estudio de estabilidad en tiempo real del almacenamiento de plasma en el recipiente en cuestión.</w:t>
            </w:r>
          </w:p>
        </w:tc>
        <w:tc>
          <w:tcPr>
            <w:tcW w:w="4421" w:type="dxa"/>
          </w:tcPr>
          <w:p w14:paraId="0D377C19" w14:textId="77777777" w:rsidR="00DD29AF" w:rsidRPr="00D429B4" w:rsidRDefault="00A430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10.5.6.27.4 </w:t>
            </w:r>
            <w:r w:rsidRPr="00D429B4">
              <w:rPr>
                <w:rFonts w:ascii="Verdana" w:hAnsi="Verdana"/>
                <w:sz w:val="16"/>
                <w:szCs w:val="16"/>
                <w:lang w:val="en-US"/>
              </w:rPr>
              <w:t xml:space="preserve">Results of a stability study in real time of the plasma storage in the container in question. </w:t>
            </w:r>
          </w:p>
        </w:tc>
      </w:tr>
      <w:tr w:rsidR="00DD29AF" w:rsidRPr="00F70181" w14:paraId="0AF76527" w14:textId="77777777" w:rsidTr="00335F65">
        <w:tc>
          <w:tcPr>
            <w:tcW w:w="4421" w:type="dxa"/>
          </w:tcPr>
          <w:p w14:paraId="3E65CBA1"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10.5.6.27.5 </w:t>
            </w:r>
            <w:r w:rsidRPr="00D429B4">
              <w:rPr>
                <w:rFonts w:ascii="Verdana" w:hAnsi="Verdana"/>
                <w:sz w:val="16"/>
                <w:szCs w:val="16"/>
                <w:lang w:val="es-MX"/>
              </w:rPr>
              <w:t>Constancia de registro otorgado por la COFEPRIS.</w:t>
            </w:r>
          </w:p>
        </w:tc>
        <w:tc>
          <w:tcPr>
            <w:tcW w:w="4421" w:type="dxa"/>
          </w:tcPr>
          <w:p w14:paraId="6241A22C" w14:textId="77777777" w:rsidR="00DD29AF" w:rsidRPr="00D429B4" w:rsidRDefault="00A430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10.5.6.27.5 </w:t>
            </w:r>
            <w:r w:rsidRPr="00D429B4">
              <w:rPr>
                <w:rFonts w:ascii="Verdana" w:hAnsi="Verdana"/>
                <w:sz w:val="16"/>
                <w:szCs w:val="16"/>
                <w:lang w:val="en-US"/>
              </w:rPr>
              <w:t xml:space="preserve">Documentation of the registration ranted by COFEPRIS. </w:t>
            </w:r>
          </w:p>
        </w:tc>
      </w:tr>
      <w:tr w:rsidR="00DD29AF" w:rsidRPr="00F70181" w14:paraId="7DE97341" w14:textId="77777777" w:rsidTr="00335F65">
        <w:tc>
          <w:tcPr>
            <w:tcW w:w="4421" w:type="dxa"/>
          </w:tcPr>
          <w:p w14:paraId="4FF0439D"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10.5.6.28</w:t>
            </w:r>
            <w:r w:rsidRPr="00D429B4">
              <w:rPr>
                <w:rFonts w:ascii="Verdana" w:hAnsi="Verdana"/>
                <w:sz w:val="16"/>
                <w:szCs w:val="16"/>
                <w:lang w:val="es-MX"/>
              </w:rPr>
              <w:t xml:space="preserve"> Los datos epidemiológicos de los Bancos de Sangre se evaluarán periódicamente, de forma conjunta entre el fabricante de hemoderivados y los Bancos de Sangre, reportándose como mínimo, los siguientes datos:</w:t>
            </w:r>
          </w:p>
        </w:tc>
        <w:tc>
          <w:tcPr>
            <w:tcW w:w="4421" w:type="dxa"/>
          </w:tcPr>
          <w:p w14:paraId="4F5EAB96" w14:textId="77777777" w:rsidR="00DD29AF" w:rsidRPr="00D429B4" w:rsidRDefault="00A430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10.5.6.28 </w:t>
            </w:r>
            <w:r w:rsidRPr="00D429B4">
              <w:rPr>
                <w:rFonts w:ascii="Verdana" w:hAnsi="Verdana"/>
                <w:sz w:val="16"/>
                <w:szCs w:val="16"/>
                <w:lang w:val="en-US"/>
              </w:rPr>
              <w:t xml:space="preserve">The epidemiological data of the Blood Banks will be periodically evaluated, jointly between the manufacturer of hemoderivatives and the Blood Banks, reporting as a minimum, the following data: </w:t>
            </w:r>
          </w:p>
        </w:tc>
      </w:tr>
      <w:tr w:rsidR="00DD29AF" w:rsidRPr="00F70181" w14:paraId="359C7401" w14:textId="77777777" w:rsidTr="00335F65">
        <w:tc>
          <w:tcPr>
            <w:tcW w:w="4421" w:type="dxa"/>
          </w:tcPr>
          <w:p w14:paraId="7FF775AD"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10.5.6.28.1 </w:t>
            </w:r>
            <w:r w:rsidRPr="00D429B4">
              <w:rPr>
                <w:rFonts w:ascii="Verdana" w:hAnsi="Verdana"/>
                <w:sz w:val="16"/>
                <w:szCs w:val="16"/>
                <w:lang w:val="es-MX"/>
              </w:rPr>
              <w:t>Incidencia de seroconversiones positivas confirmadas en donantes (por número de donantes y por número de donaciones).</w:t>
            </w:r>
          </w:p>
        </w:tc>
        <w:tc>
          <w:tcPr>
            <w:tcW w:w="4421" w:type="dxa"/>
          </w:tcPr>
          <w:p w14:paraId="536A71CC" w14:textId="77777777" w:rsidR="00DD29AF" w:rsidRPr="00D429B4" w:rsidRDefault="00A430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10.5.6.28.1 </w:t>
            </w:r>
            <w:r w:rsidRPr="00D429B4">
              <w:rPr>
                <w:rFonts w:ascii="Verdana" w:hAnsi="Verdana"/>
                <w:sz w:val="16"/>
                <w:szCs w:val="16"/>
                <w:lang w:val="en-US"/>
              </w:rPr>
              <w:t>Incidence of positive seroconversions confirmed in donors (by number of donors and by number of donations).</w:t>
            </w:r>
          </w:p>
        </w:tc>
      </w:tr>
      <w:tr w:rsidR="00DD29AF" w:rsidRPr="00F70181" w14:paraId="5B55C2F6" w14:textId="77777777" w:rsidTr="00335F65">
        <w:tc>
          <w:tcPr>
            <w:tcW w:w="4421" w:type="dxa"/>
          </w:tcPr>
          <w:p w14:paraId="4E1B1C7C"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10.5.6.28.2 </w:t>
            </w:r>
            <w:r w:rsidRPr="00D429B4">
              <w:rPr>
                <w:rFonts w:ascii="Verdana" w:hAnsi="Verdana"/>
                <w:sz w:val="16"/>
                <w:szCs w:val="16"/>
                <w:lang w:val="es-MX"/>
              </w:rPr>
              <w:t>Prevalencia de positivos confirmados en nuevos donantes.</w:t>
            </w:r>
          </w:p>
        </w:tc>
        <w:tc>
          <w:tcPr>
            <w:tcW w:w="4421" w:type="dxa"/>
          </w:tcPr>
          <w:p w14:paraId="01209DE3" w14:textId="77777777" w:rsidR="00DD29AF" w:rsidRPr="00D429B4" w:rsidRDefault="00A430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10.5.6.28.2 </w:t>
            </w:r>
            <w:r w:rsidRPr="00D429B4">
              <w:rPr>
                <w:rFonts w:ascii="Verdana" w:hAnsi="Verdana"/>
                <w:sz w:val="16"/>
                <w:szCs w:val="16"/>
                <w:lang w:val="en-US"/>
              </w:rPr>
              <w:t xml:space="preserve">Prevalence of positives confirmed in new donors. </w:t>
            </w:r>
          </w:p>
        </w:tc>
      </w:tr>
      <w:tr w:rsidR="00DD29AF" w:rsidRPr="00F70181" w14:paraId="4AFD89FF" w14:textId="77777777" w:rsidTr="00335F65">
        <w:tc>
          <w:tcPr>
            <w:tcW w:w="4421" w:type="dxa"/>
          </w:tcPr>
          <w:p w14:paraId="04254BBC"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10.5.6.29</w:t>
            </w:r>
            <w:r w:rsidRPr="00D429B4">
              <w:rPr>
                <w:rFonts w:ascii="Verdana" w:hAnsi="Verdana"/>
                <w:sz w:val="16"/>
                <w:szCs w:val="16"/>
                <w:lang w:val="es-MX"/>
              </w:rPr>
              <w:t xml:space="preserve"> Estos informes serán parte del Expediente Maestro del Plasma y se actualizarán con </w:t>
            </w:r>
            <w:r w:rsidR="00B12EE3" w:rsidRPr="00D429B4">
              <w:rPr>
                <w:rFonts w:ascii="Verdana" w:hAnsi="Verdana"/>
                <w:sz w:val="16"/>
                <w:szCs w:val="16"/>
                <w:lang w:val="es-MX"/>
              </w:rPr>
              <w:t>la misma</w:t>
            </w:r>
            <w:r w:rsidRPr="00D429B4">
              <w:rPr>
                <w:rFonts w:ascii="Verdana" w:hAnsi="Verdana"/>
                <w:sz w:val="16"/>
                <w:szCs w:val="16"/>
                <w:lang w:val="es-MX"/>
              </w:rPr>
              <w:t xml:space="preserve"> periodicidad.</w:t>
            </w:r>
          </w:p>
        </w:tc>
        <w:tc>
          <w:tcPr>
            <w:tcW w:w="4421" w:type="dxa"/>
          </w:tcPr>
          <w:p w14:paraId="25D72D9C" w14:textId="77777777" w:rsidR="00DD29AF" w:rsidRPr="00D429B4" w:rsidRDefault="00A430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10.5.6.29</w:t>
            </w:r>
            <w:r w:rsidRPr="00D429B4">
              <w:rPr>
                <w:rFonts w:ascii="Verdana" w:hAnsi="Verdana"/>
                <w:sz w:val="16"/>
                <w:szCs w:val="16"/>
                <w:lang w:val="en-US"/>
              </w:rPr>
              <w:t xml:space="preserve"> These reports will be part of the Plasma Master File (PMF) and will be updated with the same schedule. </w:t>
            </w:r>
          </w:p>
        </w:tc>
      </w:tr>
      <w:tr w:rsidR="00DD29AF" w:rsidRPr="00F70181" w14:paraId="7E7CAB8E" w14:textId="77777777" w:rsidTr="00335F65">
        <w:tc>
          <w:tcPr>
            <w:tcW w:w="4421" w:type="dxa"/>
          </w:tcPr>
          <w:p w14:paraId="7BA3CAAF"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10.5.6.30</w:t>
            </w:r>
            <w:r w:rsidRPr="00D429B4">
              <w:rPr>
                <w:rFonts w:ascii="Verdana" w:hAnsi="Verdana"/>
                <w:sz w:val="16"/>
                <w:szCs w:val="16"/>
                <w:lang w:val="es-MX"/>
              </w:rPr>
              <w:t xml:space="preserve"> Sistema de información posterior a la donación.</w:t>
            </w:r>
          </w:p>
        </w:tc>
        <w:tc>
          <w:tcPr>
            <w:tcW w:w="4421" w:type="dxa"/>
          </w:tcPr>
          <w:p w14:paraId="55A38D9D" w14:textId="77777777" w:rsidR="00DD29AF" w:rsidRPr="00D429B4" w:rsidRDefault="00A430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10.5.6.30 </w:t>
            </w:r>
            <w:r w:rsidRPr="00D429B4">
              <w:rPr>
                <w:rFonts w:ascii="Verdana" w:hAnsi="Verdana"/>
                <w:sz w:val="16"/>
                <w:szCs w:val="16"/>
                <w:lang w:val="en-US"/>
              </w:rPr>
              <w:t xml:space="preserve">Information system after the donation. </w:t>
            </w:r>
          </w:p>
        </w:tc>
      </w:tr>
      <w:tr w:rsidR="00DD29AF" w:rsidRPr="00F70181" w14:paraId="04D2EC93" w14:textId="77777777" w:rsidTr="00335F65">
        <w:tc>
          <w:tcPr>
            <w:tcW w:w="4421" w:type="dxa"/>
          </w:tcPr>
          <w:p w14:paraId="0FCE5987"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10.5.6.31</w:t>
            </w:r>
            <w:r w:rsidRPr="00D429B4">
              <w:rPr>
                <w:rFonts w:ascii="Verdana" w:hAnsi="Verdana"/>
                <w:sz w:val="16"/>
                <w:szCs w:val="16"/>
                <w:lang w:val="es-MX"/>
              </w:rPr>
              <w:t xml:space="preserve"> Se debe establecer un sistema documentado y fácilmente accesible que asegure la trazabilidad del plasma desde el donante hasta los productos finales y viceversa. Este sistema debe cumplir con las disposiciones jurídicas aplicables en materia de datos personales.</w:t>
            </w:r>
          </w:p>
        </w:tc>
        <w:tc>
          <w:tcPr>
            <w:tcW w:w="4421" w:type="dxa"/>
          </w:tcPr>
          <w:p w14:paraId="7A4D5C18" w14:textId="77777777" w:rsidR="00DD29AF" w:rsidRPr="00D429B4" w:rsidRDefault="00A430A8" w:rsidP="00A430A8">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10.5.6.31 </w:t>
            </w:r>
            <w:r w:rsidRPr="00D429B4">
              <w:rPr>
                <w:rFonts w:ascii="Verdana" w:hAnsi="Verdana"/>
                <w:sz w:val="16"/>
                <w:szCs w:val="16"/>
                <w:lang w:val="en-US"/>
              </w:rPr>
              <w:t xml:space="preserve">A documented and easily accessible system must be established that assures the traceability of the plasma from the donor to the final products and </w:t>
            </w:r>
            <w:r w:rsidR="00B12EE3" w:rsidRPr="00D429B4">
              <w:rPr>
                <w:rFonts w:ascii="Verdana" w:hAnsi="Verdana"/>
                <w:sz w:val="16"/>
                <w:szCs w:val="16"/>
                <w:lang w:val="en-US"/>
              </w:rPr>
              <w:t>vice versa</w:t>
            </w:r>
            <w:r w:rsidRPr="00D429B4">
              <w:rPr>
                <w:rFonts w:ascii="Verdana" w:hAnsi="Verdana"/>
                <w:sz w:val="16"/>
                <w:szCs w:val="16"/>
                <w:lang w:val="en-US"/>
              </w:rPr>
              <w:t xml:space="preserve">. This system must comply with the applicable legal provisions with regards to personal data. </w:t>
            </w:r>
          </w:p>
        </w:tc>
      </w:tr>
      <w:tr w:rsidR="00DD29AF" w:rsidRPr="00F70181" w14:paraId="1553B618" w14:textId="77777777" w:rsidTr="00335F65">
        <w:tc>
          <w:tcPr>
            <w:tcW w:w="4421" w:type="dxa"/>
          </w:tcPr>
          <w:p w14:paraId="2ACA6D97"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10.5.6.32 </w:t>
            </w:r>
            <w:r w:rsidRPr="00D429B4">
              <w:rPr>
                <w:rFonts w:ascii="Verdana" w:hAnsi="Verdana"/>
                <w:sz w:val="16"/>
                <w:szCs w:val="16"/>
                <w:lang w:val="es-MX"/>
              </w:rPr>
              <w:t>Este sistema describirá los mecanismos de información mutua entre el Banco de Sangre y el fabricante de hemoderivados, de modo que ellos puedan informarse el uno al otro, con posterioridad a la donación, si:</w:t>
            </w:r>
          </w:p>
        </w:tc>
        <w:tc>
          <w:tcPr>
            <w:tcW w:w="4421" w:type="dxa"/>
          </w:tcPr>
          <w:p w14:paraId="32DAF773" w14:textId="77777777" w:rsidR="00DD29AF" w:rsidRPr="00D429B4" w:rsidRDefault="00717F22"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10.5.6.32 </w:t>
            </w:r>
            <w:r w:rsidRPr="00D429B4">
              <w:rPr>
                <w:rFonts w:ascii="Verdana" w:hAnsi="Verdana"/>
                <w:sz w:val="16"/>
                <w:szCs w:val="16"/>
                <w:lang w:val="en-US"/>
              </w:rPr>
              <w:t xml:space="preserve">This system will describe the mutual information mechanisms between the Blood Banks and the manufacturer of hemoderivatives, in a way that one can inform the other, after the donation, if: </w:t>
            </w:r>
          </w:p>
        </w:tc>
      </w:tr>
      <w:tr w:rsidR="00DD29AF" w:rsidRPr="00F70181" w14:paraId="067ED6E9" w14:textId="77777777" w:rsidTr="00335F65">
        <w:tc>
          <w:tcPr>
            <w:tcW w:w="4421" w:type="dxa"/>
          </w:tcPr>
          <w:p w14:paraId="477D7CDA"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10.5.6.32.1</w:t>
            </w:r>
            <w:r w:rsidRPr="00D429B4">
              <w:rPr>
                <w:rFonts w:ascii="Verdana" w:hAnsi="Verdana"/>
                <w:sz w:val="16"/>
                <w:szCs w:val="16"/>
                <w:lang w:val="es-MX"/>
              </w:rPr>
              <w:t xml:space="preserve"> Se encuentra que el plasma no es apto para su utilización en el proceso de </w:t>
            </w:r>
            <w:r w:rsidR="00B12EE3" w:rsidRPr="00D429B4">
              <w:rPr>
                <w:rFonts w:ascii="Verdana" w:hAnsi="Verdana"/>
                <w:sz w:val="16"/>
                <w:szCs w:val="16"/>
                <w:lang w:val="es-MX"/>
              </w:rPr>
              <w:t>fabricación de</w:t>
            </w:r>
            <w:r w:rsidRPr="00D429B4">
              <w:rPr>
                <w:rFonts w:ascii="Verdana" w:hAnsi="Verdana"/>
                <w:sz w:val="16"/>
                <w:szCs w:val="16"/>
                <w:lang w:val="es-MX"/>
              </w:rPr>
              <w:t xml:space="preserve"> hemoderivados;</w:t>
            </w:r>
          </w:p>
        </w:tc>
        <w:tc>
          <w:tcPr>
            <w:tcW w:w="4421" w:type="dxa"/>
          </w:tcPr>
          <w:p w14:paraId="342B91A3" w14:textId="77777777" w:rsidR="00DD29AF" w:rsidRPr="00D429B4" w:rsidRDefault="00717F22"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10.5.6.32.1 </w:t>
            </w:r>
            <w:r w:rsidRPr="00D429B4">
              <w:rPr>
                <w:rFonts w:ascii="Verdana" w:hAnsi="Verdana"/>
                <w:sz w:val="16"/>
                <w:szCs w:val="16"/>
                <w:lang w:val="en-US"/>
              </w:rPr>
              <w:t xml:space="preserve">The plasma is found to not be fit for use in the manufacturing process of hemoderivatives. </w:t>
            </w:r>
          </w:p>
        </w:tc>
      </w:tr>
      <w:tr w:rsidR="00DD29AF" w:rsidRPr="00F70181" w14:paraId="71E710FF" w14:textId="77777777" w:rsidTr="00335F65">
        <w:tc>
          <w:tcPr>
            <w:tcW w:w="4421" w:type="dxa"/>
          </w:tcPr>
          <w:p w14:paraId="4B076111" w14:textId="77777777" w:rsidR="00DD29AF" w:rsidRPr="00D429B4" w:rsidRDefault="00DD29AF"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10.5.6.32.2 </w:t>
            </w:r>
            <w:r w:rsidRPr="00D429B4">
              <w:rPr>
                <w:rFonts w:ascii="Verdana" w:hAnsi="Verdana"/>
                <w:sz w:val="16"/>
                <w:szCs w:val="16"/>
                <w:lang w:val="es-MX"/>
              </w:rPr>
              <w:t xml:space="preserve">Una donación posterior de un donante previamente encontrado negativo para marcadores virales se encuentra positiva para cualquiera de éstos o se detecta carga viral por determinación </w:t>
            </w:r>
            <w:r w:rsidR="00B12EE3" w:rsidRPr="00D429B4">
              <w:rPr>
                <w:rFonts w:ascii="Verdana" w:hAnsi="Verdana"/>
                <w:sz w:val="16"/>
                <w:szCs w:val="16"/>
                <w:lang w:val="es-MX"/>
              </w:rPr>
              <w:t>de ácidos</w:t>
            </w:r>
            <w:r w:rsidRPr="00D429B4">
              <w:rPr>
                <w:rFonts w:ascii="Verdana" w:hAnsi="Verdana"/>
                <w:sz w:val="16"/>
                <w:szCs w:val="16"/>
                <w:lang w:val="es-MX"/>
              </w:rPr>
              <w:t xml:space="preserve"> nucleicos;</w:t>
            </w:r>
          </w:p>
        </w:tc>
        <w:tc>
          <w:tcPr>
            <w:tcW w:w="4421" w:type="dxa"/>
          </w:tcPr>
          <w:p w14:paraId="75239A65" w14:textId="77777777" w:rsidR="00DD29AF" w:rsidRPr="00D429B4" w:rsidRDefault="00717F22"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10.5.6.32.2 </w:t>
            </w:r>
            <w:r w:rsidRPr="00D429B4">
              <w:rPr>
                <w:rFonts w:ascii="Verdana" w:hAnsi="Verdana"/>
                <w:sz w:val="16"/>
                <w:szCs w:val="16"/>
                <w:lang w:val="en-US"/>
              </w:rPr>
              <w:t xml:space="preserve">A donation after a donor previously found to be negative for viral markers is found to be positive for any of them or a viral load is detected by determination of nucleic acids; </w:t>
            </w:r>
          </w:p>
        </w:tc>
      </w:tr>
      <w:tr w:rsidR="00DD29AF" w:rsidRPr="00F70181" w14:paraId="4F8B8B4A" w14:textId="77777777" w:rsidTr="00335F65">
        <w:tc>
          <w:tcPr>
            <w:tcW w:w="4421" w:type="dxa"/>
          </w:tcPr>
          <w:p w14:paraId="4883EDAA" w14:textId="77777777" w:rsidR="00DD29AF" w:rsidRPr="00D429B4" w:rsidRDefault="00DD29AF"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10.5.6.32.3</w:t>
            </w:r>
            <w:r w:rsidRPr="00D429B4">
              <w:rPr>
                <w:rFonts w:ascii="Verdana" w:hAnsi="Verdana"/>
                <w:sz w:val="16"/>
                <w:szCs w:val="16"/>
                <w:lang w:val="es-MX"/>
              </w:rPr>
              <w:t xml:space="preserve"> Se descubre que los ensayos para marcadores virales no han sido llevados a cabo de acuerdo a procedimientos aprobados;</w:t>
            </w:r>
          </w:p>
        </w:tc>
        <w:tc>
          <w:tcPr>
            <w:tcW w:w="4421" w:type="dxa"/>
          </w:tcPr>
          <w:p w14:paraId="0841634F" w14:textId="77777777" w:rsidR="00DD29AF" w:rsidRPr="00D429B4" w:rsidRDefault="00717F22"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10.5.6.32.3 </w:t>
            </w:r>
            <w:r w:rsidRPr="00D429B4">
              <w:rPr>
                <w:rFonts w:ascii="Verdana" w:hAnsi="Verdana"/>
                <w:sz w:val="16"/>
                <w:szCs w:val="16"/>
                <w:lang w:val="en-US"/>
              </w:rPr>
              <w:t xml:space="preserve">It is discovered that the tests for viral markers has not be carried out according to approved procedures; </w:t>
            </w:r>
          </w:p>
        </w:tc>
      </w:tr>
      <w:tr w:rsidR="00DD29AF" w:rsidRPr="00F70181" w14:paraId="322734DB" w14:textId="77777777" w:rsidTr="00335F65">
        <w:tc>
          <w:tcPr>
            <w:tcW w:w="4421" w:type="dxa"/>
          </w:tcPr>
          <w:p w14:paraId="376B7B90"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10.5.6.32.4 </w:t>
            </w:r>
            <w:r w:rsidRPr="00D429B4">
              <w:rPr>
                <w:rFonts w:ascii="Verdana" w:hAnsi="Verdana"/>
                <w:sz w:val="16"/>
                <w:szCs w:val="16"/>
                <w:lang w:val="es-MX"/>
              </w:rPr>
              <w:t>El donante desarrolla la enfermedad de Creutzfeldt-Jacob (CJD), en la forma tradicional o en su variante (vCJD);</w:t>
            </w:r>
          </w:p>
        </w:tc>
        <w:tc>
          <w:tcPr>
            <w:tcW w:w="4421" w:type="dxa"/>
          </w:tcPr>
          <w:p w14:paraId="31700972" w14:textId="77777777" w:rsidR="00DD29AF" w:rsidRPr="00D429B4" w:rsidRDefault="00717F22"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10.5.6.32.4 </w:t>
            </w:r>
            <w:r w:rsidRPr="00D429B4">
              <w:rPr>
                <w:rFonts w:ascii="Verdana" w:hAnsi="Verdana"/>
                <w:sz w:val="16"/>
                <w:szCs w:val="16"/>
                <w:lang w:val="en-US"/>
              </w:rPr>
              <w:t xml:space="preserve">The donor develops Creutzfeldt-Jacob (CJD) disease, in the traditional form or in its variant (Vcjd); </w:t>
            </w:r>
          </w:p>
        </w:tc>
      </w:tr>
      <w:tr w:rsidR="00DD29AF" w:rsidRPr="00F70181" w14:paraId="29B98A7E" w14:textId="77777777" w:rsidTr="00335F65">
        <w:tc>
          <w:tcPr>
            <w:tcW w:w="4421" w:type="dxa"/>
          </w:tcPr>
          <w:p w14:paraId="25237241"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10.5.6.32.5 </w:t>
            </w:r>
            <w:r w:rsidRPr="00D429B4">
              <w:rPr>
                <w:rFonts w:ascii="Verdana" w:hAnsi="Verdana"/>
                <w:sz w:val="16"/>
                <w:szCs w:val="16"/>
                <w:lang w:val="es-MX"/>
              </w:rPr>
              <w:t xml:space="preserve">Se detecta que el plasma recibido para fabricación de hemoderivados proviene de una </w:t>
            </w:r>
            <w:r w:rsidRPr="00D429B4">
              <w:rPr>
                <w:rFonts w:ascii="Verdana" w:hAnsi="Verdana"/>
                <w:sz w:val="16"/>
                <w:szCs w:val="16"/>
                <w:lang w:val="es-MX"/>
              </w:rPr>
              <w:lastRenderedPageBreak/>
              <w:t>unidad o componente de la sangre que causó efectos adversos a la transfusión.</w:t>
            </w:r>
          </w:p>
        </w:tc>
        <w:tc>
          <w:tcPr>
            <w:tcW w:w="4421" w:type="dxa"/>
          </w:tcPr>
          <w:p w14:paraId="5BE2E008" w14:textId="77777777" w:rsidR="00DD29AF" w:rsidRPr="00D429B4" w:rsidRDefault="00717F22"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10.5.6.32.5 </w:t>
            </w:r>
            <w:r w:rsidRPr="00D429B4">
              <w:rPr>
                <w:rFonts w:ascii="Verdana" w:hAnsi="Verdana"/>
                <w:sz w:val="16"/>
                <w:szCs w:val="16"/>
                <w:lang w:val="en-US"/>
              </w:rPr>
              <w:t xml:space="preserve">It is detected that the plasma received for manufacturing hemoderivatives comes from one </w:t>
            </w:r>
            <w:r w:rsidRPr="00D429B4">
              <w:rPr>
                <w:rFonts w:ascii="Verdana" w:hAnsi="Verdana"/>
                <w:sz w:val="16"/>
                <w:szCs w:val="16"/>
                <w:lang w:val="en-US"/>
              </w:rPr>
              <w:lastRenderedPageBreak/>
              <w:t xml:space="preserve">unit or component of the blood that caused adverse effects during transfusion. </w:t>
            </w:r>
          </w:p>
        </w:tc>
      </w:tr>
      <w:tr w:rsidR="00DD29AF" w:rsidRPr="00F70181" w14:paraId="3686F3D4" w14:textId="77777777" w:rsidTr="00335F65">
        <w:tc>
          <w:tcPr>
            <w:tcW w:w="4421" w:type="dxa"/>
          </w:tcPr>
          <w:p w14:paraId="4E02D9B7"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10.5.6.33 </w:t>
            </w:r>
            <w:r w:rsidRPr="00D429B4">
              <w:rPr>
                <w:rFonts w:ascii="Verdana" w:hAnsi="Verdana"/>
                <w:sz w:val="16"/>
                <w:szCs w:val="16"/>
                <w:lang w:val="es-MX"/>
              </w:rPr>
              <w:t xml:space="preserve">Si se considera un límite de tiempo máximo prefijado entre la donación y la identificación de la información post-colecta, de modo que la información descubierta después de este periodo no desencadene acciones posteriores. Se requiere que este límite esté claramente establecido, documentado y justificado </w:t>
            </w:r>
            <w:r w:rsidR="00B12EE3" w:rsidRPr="00D429B4">
              <w:rPr>
                <w:rFonts w:ascii="Verdana" w:hAnsi="Verdana"/>
                <w:sz w:val="16"/>
                <w:szCs w:val="16"/>
                <w:lang w:val="es-MX"/>
              </w:rPr>
              <w:t>en el</w:t>
            </w:r>
            <w:r w:rsidRPr="00D429B4">
              <w:rPr>
                <w:rFonts w:ascii="Verdana" w:hAnsi="Verdana"/>
                <w:sz w:val="16"/>
                <w:szCs w:val="16"/>
                <w:lang w:val="es-MX"/>
              </w:rPr>
              <w:t xml:space="preserve"> sistema.</w:t>
            </w:r>
          </w:p>
        </w:tc>
        <w:tc>
          <w:tcPr>
            <w:tcW w:w="4421" w:type="dxa"/>
          </w:tcPr>
          <w:p w14:paraId="5E67286E" w14:textId="77777777" w:rsidR="00DD29AF" w:rsidRPr="00D429B4" w:rsidRDefault="00717F22" w:rsidP="00717F22">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10.5.6.33 </w:t>
            </w:r>
            <w:r w:rsidRPr="00D429B4">
              <w:rPr>
                <w:rFonts w:ascii="Verdana" w:hAnsi="Verdana"/>
                <w:sz w:val="16"/>
                <w:szCs w:val="16"/>
                <w:lang w:val="en-US"/>
              </w:rPr>
              <w:t>If a prefixed maximum time limit is considered between the donation and the identification of the post collection information, in a way that the information uncovered after this period does not link it to later actions. It is required that this limit is clearly established, documented, and justified in the system.</w:t>
            </w:r>
          </w:p>
        </w:tc>
      </w:tr>
      <w:tr w:rsidR="00DD29AF" w:rsidRPr="00F70181" w14:paraId="79B2D44A" w14:textId="77777777" w:rsidTr="00335F65">
        <w:tc>
          <w:tcPr>
            <w:tcW w:w="4421" w:type="dxa"/>
          </w:tcPr>
          <w:p w14:paraId="7244ED1F"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10.5.6.34 </w:t>
            </w:r>
            <w:r w:rsidRPr="00D429B4">
              <w:rPr>
                <w:rFonts w:ascii="Verdana" w:hAnsi="Verdana"/>
                <w:sz w:val="16"/>
                <w:szCs w:val="16"/>
                <w:lang w:val="es-MX"/>
              </w:rPr>
              <w:t>El sistema garantizará la realización de ensayos adicionales a muestras de unidades individuales o de mezclas de plasmas de donaciones previas (como mínimo hasta 6 meses antes de la última donación negativa). En tales casos las donaciones que no han sido procesadas serán identificadas y retiradas.</w:t>
            </w:r>
          </w:p>
        </w:tc>
        <w:tc>
          <w:tcPr>
            <w:tcW w:w="4421" w:type="dxa"/>
          </w:tcPr>
          <w:p w14:paraId="5949A7AF" w14:textId="77777777" w:rsidR="00DD29AF" w:rsidRPr="00D429B4" w:rsidRDefault="00717F22"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10.5.6.34 </w:t>
            </w:r>
            <w:r w:rsidRPr="00D429B4">
              <w:rPr>
                <w:rFonts w:ascii="Verdana" w:hAnsi="Verdana"/>
                <w:sz w:val="16"/>
                <w:szCs w:val="16"/>
                <w:lang w:val="en-US"/>
              </w:rPr>
              <w:t xml:space="preserve">The system will guarantee the execution of additional tests on samples of individual units or mixtures of plasmas from prior donations (as a minimum up to 6 months prior to the last negative donation). In such cases the donations that have not been processes will be identified and withdrawn. </w:t>
            </w:r>
          </w:p>
        </w:tc>
      </w:tr>
      <w:tr w:rsidR="00DD29AF" w:rsidRPr="00F70181" w14:paraId="07DCFEA0" w14:textId="77777777" w:rsidTr="00335F65">
        <w:tc>
          <w:tcPr>
            <w:tcW w:w="4421" w:type="dxa"/>
          </w:tcPr>
          <w:p w14:paraId="5C87146A"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10.5.6.35 </w:t>
            </w:r>
            <w:r w:rsidRPr="00D429B4">
              <w:rPr>
                <w:rFonts w:ascii="Verdana" w:hAnsi="Verdana"/>
                <w:sz w:val="16"/>
                <w:szCs w:val="16"/>
                <w:lang w:val="es-MX"/>
              </w:rPr>
              <w:t>Se realizará una evaluación cuidadosa de la información recibida, con vistas a determinar si ésta compromete la seguridad de los lotes de producto distribuidos y se requiere su retiro, según lo establecido en el sistema de retiro de productos del fabricante.</w:t>
            </w:r>
          </w:p>
        </w:tc>
        <w:tc>
          <w:tcPr>
            <w:tcW w:w="4421" w:type="dxa"/>
          </w:tcPr>
          <w:p w14:paraId="45271853" w14:textId="77777777" w:rsidR="00DD29AF" w:rsidRPr="00D429B4" w:rsidRDefault="00717F22" w:rsidP="00717F22">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10.5.6.35 </w:t>
            </w:r>
            <w:r w:rsidRPr="00D429B4">
              <w:rPr>
                <w:rFonts w:ascii="Verdana" w:hAnsi="Verdana"/>
                <w:sz w:val="16"/>
                <w:szCs w:val="16"/>
                <w:lang w:val="en-US"/>
              </w:rPr>
              <w:t xml:space="preserve">A careful evaluation will be made of the information received, with views to determining whether it compromises the safety of the product lots distributed and requires its withdrawal, according to that established in the withdrawal system of products from the manufacturer. </w:t>
            </w:r>
          </w:p>
        </w:tc>
      </w:tr>
      <w:tr w:rsidR="00DD29AF" w:rsidRPr="00F70181" w14:paraId="1EFC9C70" w14:textId="77777777" w:rsidTr="00335F65">
        <w:tc>
          <w:tcPr>
            <w:tcW w:w="4421" w:type="dxa"/>
          </w:tcPr>
          <w:p w14:paraId="4420E4C4"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10.5.6.36 </w:t>
            </w:r>
            <w:r w:rsidRPr="00D429B4">
              <w:rPr>
                <w:rFonts w:ascii="Verdana" w:hAnsi="Verdana"/>
                <w:sz w:val="16"/>
                <w:szCs w:val="16"/>
                <w:lang w:val="es-MX"/>
              </w:rPr>
              <w:t>Se llevará a cabo, tan pronto como se reciba la información, una revaloración de toda la documentación del lote o lotes involucrados.</w:t>
            </w:r>
          </w:p>
        </w:tc>
        <w:tc>
          <w:tcPr>
            <w:tcW w:w="4421" w:type="dxa"/>
          </w:tcPr>
          <w:p w14:paraId="3CF50639" w14:textId="77777777" w:rsidR="00DD29AF" w:rsidRPr="00D429B4" w:rsidRDefault="00717F22"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10.5.6.36 </w:t>
            </w:r>
            <w:r w:rsidRPr="00D429B4">
              <w:rPr>
                <w:rFonts w:ascii="Verdana" w:hAnsi="Verdana"/>
                <w:sz w:val="16"/>
                <w:szCs w:val="16"/>
                <w:lang w:val="en-US"/>
              </w:rPr>
              <w:t xml:space="preserve">A reevaluation of all the documentation of the lot or lots involved will be carried out as soon as the information is received. </w:t>
            </w:r>
          </w:p>
        </w:tc>
      </w:tr>
      <w:tr w:rsidR="00DD29AF" w:rsidRPr="00F70181" w14:paraId="5056D319" w14:textId="77777777" w:rsidTr="00335F65">
        <w:tc>
          <w:tcPr>
            <w:tcW w:w="4421" w:type="dxa"/>
          </w:tcPr>
          <w:p w14:paraId="5C0A4575"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10.5.6.37 </w:t>
            </w:r>
            <w:r w:rsidRPr="00D429B4">
              <w:rPr>
                <w:rFonts w:ascii="Verdana" w:hAnsi="Verdana"/>
                <w:sz w:val="16"/>
                <w:szCs w:val="16"/>
                <w:lang w:val="es-MX"/>
              </w:rPr>
              <w:t xml:space="preserve">Los resultados de esta evaluación se pondrán inmediatamente a disposición de la COFEPRIS, para su conocimiento y acciones correspondientes, en cualquier </w:t>
            </w:r>
            <w:r w:rsidR="00B12EE3" w:rsidRPr="00D429B4">
              <w:rPr>
                <w:rFonts w:ascii="Verdana" w:hAnsi="Verdana"/>
                <w:sz w:val="16"/>
                <w:szCs w:val="16"/>
                <w:lang w:val="es-MX"/>
              </w:rPr>
              <w:t>caso,</w:t>
            </w:r>
            <w:r w:rsidRPr="00D429B4">
              <w:rPr>
                <w:rFonts w:ascii="Verdana" w:hAnsi="Verdana"/>
                <w:sz w:val="16"/>
                <w:szCs w:val="16"/>
                <w:lang w:val="es-MX"/>
              </w:rPr>
              <w:t xml:space="preserve"> donde existan evidencias de que una donación contribuyente a una mezcla de plasma se encontrara infectada con VIH o Virus Hepatitis A, B o C o parvovirus B19 y se brindarán los argumentos del fabricante respecto a la continuación de la fabricación a partir de la mezcla implicada o de la retirada del(os) producto(s).</w:t>
            </w:r>
          </w:p>
        </w:tc>
        <w:tc>
          <w:tcPr>
            <w:tcW w:w="4421" w:type="dxa"/>
          </w:tcPr>
          <w:p w14:paraId="1117925E" w14:textId="77777777" w:rsidR="00DD29AF" w:rsidRPr="00D429B4" w:rsidRDefault="00717F22"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10.5.6.37</w:t>
            </w:r>
            <w:r w:rsidR="006C1BF3" w:rsidRPr="00D429B4">
              <w:rPr>
                <w:rFonts w:ascii="Verdana" w:hAnsi="Verdana"/>
                <w:b/>
                <w:sz w:val="16"/>
                <w:szCs w:val="16"/>
                <w:lang w:val="en-US"/>
              </w:rPr>
              <w:t xml:space="preserve"> </w:t>
            </w:r>
            <w:r w:rsidR="006C1BF3" w:rsidRPr="00D429B4">
              <w:rPr>
                <w:rFonts w:ascii="Verdana" w:hAnsi="Verdana"/>
                <w:sz w:val="16"/>
                <w:szCs w:val="16"/>
                <w:lang w:val="en-US"/>
              </w:rPr>
              <w:t xml:space="preserve">The results of this evaluation will immediately be made available to COFEPRIS for its knowledge and corresponding actions, in any case where evidence exists that a donation that contributes to a mixture of plasma will be found infected with HIV or Hepatitis Virus A, B, or C or parvovirus B19 and </w:t>
            </w:r>
            <w:r w:rsidR="00CA1DE0" w:rsidRPr="00D429B4">
              <w:rPr>
                <w:rFonts w:ascii="Verdana" w:hAnsi="Verdana"/>
                <w:sz w:val="16"/>
                <w:szCs w:val="16"/>
                <w:lang w:val="en-US"/>
              </w:rPr>
              <w:t xml:space="preserve">the arguments of the manufacturer will be offered with respect to the continuation of the manufacturing from the implied mixture or the withdrawal of the products. </w:t>
            </w:r>
          </w:p>
        </w:tc>
      </w:tr>
      <w:tr w:rsidR="00DD29AF" w:rsidRPr="00F70181" w14:paraId="12FE2C4F" w14:textId="77777777" w:rsidTr="00335F65">
        <w:tc>
          <w:tcPr>
            <w:tcW w:w="4421" w:type="dxa"/>
          </w:tcPr>
          <w:p w14:paraId="2DED53B4"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10.5.6.38 </w:t>
            </w:r>
            <w:r w:rsidRPr="00D429B4">
              <w:rPr>
                <w:rFonts w:ascii="Verdana" w:hAnsi="Verdana"/>
                <w:sz w:val="16"/>
                <w:szCs w:val="16"/>
                <w:lang w:val="es-MX"/>
              </w:rPr>
              <w:t>Con respecto al riesgo de transmisión de CJD (esporádica, familiar o iatrogénica) así como de la variante de CJD (vCJD), como medida de precaución resulta prudente retirar del mercado los lotes de productos medicinales derivados del plasma involucrados si un donante para un pool de plasma es considerado altamente sospechoso de presentar vCJD por un centro de referencia reconocido.</w:t>
            </w:r>
          </w:p>
        </w:tc>
        <w:tc>
          <w:tcPr>
            <w:tcW w:w="4421" w:type="dxa"/>
          </w:tcPr>
          <w:p w14:paraId="04B0F045" w14:textId="77777777" w:rsidR="00DD29AF" w:rsidRPr="00D429B4" w:rsidRDefault="00CA1DE0"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10.5.6.38 </w:t>
            </w:r>
            <w:r w:rsidRPr="00D429B4">
              <w:rPr>
                <w:rFonts w:ascii="Verdana" w:hAnsi="Verdana"/>
                <w:sz w:val="16"/>
                <w:szCs w:val="16"/>
                <w:lang w:val="en-US"/>
              </w:rPr>
              <w:t>With respect to the risk of transmission of CJD (sporadic, family</w:t>
            </w:r>
            <w:r w:rsidR="0070205D" w:rsidRPr="00D429B4">
              <w:rPr>
                <w:rFonts w:ascii="Verdana" w:hAnsi="Verdana"/>
                <w:sz w:val="16"/>
                <w:szCs w:val="16"/>
                <w:lang w:val="en-US"/>
              </w:rPr>
              <w:t xml:space="preserve"> </w:t>
            </w:r>
            <w:r w:rsidRPr="00D429B4">
              <w:rPr>
                <w:rFonts w:ascii="Verdana" w:hAnsi="Verdana"/>
                <w:sz w:val="16"/>
                <w:szCs w:val="16"/>
                <w:lang w:val="en-US"/>
              </w:rPr>
              <w:t>iatrogenic</w:t>
            </w:r>
            <w:r w:rsidR="0070205D" w:rsidRPr="00D429B4">
              <w:rPr>
                <w:rFonts w:ascii="Verdana" w:hAnsi="Verdana"/>
                <w:sz w:val="16"/>
                <w:szCs w:val="16"/>
                <w:lang w:val="en-US"/>
              </w:rPr>
              <w:t>)</w:t>
            </w:r>
            <w:r w:rsidR="0070205D" w:rsidRPr="00D429B4">
              <w:rPr>
                <w:rFonts w:ascii="Verdana" w:hAnsi="Verdana"/>
                <w:b/>
                <w:sz w:val="16"/>
                <w:szCs w:val="16"/>
                <w:lang w:val="en-US"/>
              </w:rPr>
              <w:t xml:space="preserve"> </w:t>
            </w:r>
            <w:r w:rsidRPr="00D429B4">
              <w:rPr>
                <w:rFonts w:ascii="Verdana" w:hAnsi="Verdana"/>
                <w:sz w:val="16"/>
                <w:szCs w:val="16"/>
                <w:lang w:val="en-US"/>
              </w:rPr>
              <w:t>as well as the variant of CJD (Vcjd), as a measure of precaution it is prudent to withdrawal from the market the medicinal product lots derived from the plasma involved is a donor fro</w:t>
            </w:r>
            <w:r w:rsidR="00B12EE3">
              <w:rPr>
                <w:rFonts w:ascii="Verdana" w:hAnsi="Verdana"/>
                <w:sz w:val="16"/>
                <w:szCs w:val="16"/>
                <w:lang w:val="en-US"/>
              </w:rPr>
              <w:t>m</w:t>
            </w:r>
            <w:r w:rsidRPr="00D429B4">
              <w:rPr>
                <w:rFonts w:ascii="Verdana" w:hAnsi="Verdana"/>
                <w:sz w:val="16"/>
                <w:szCs w:val="16"/>
                <w:lang w:val="en-US"/>
              </w:rPr>
              <w:t xml:space="preserve"> a plasma pool is considered highly suspicious of presenting Vcjd by a recognized reference center. </w:t>
            </w:r>
          </w:p>
        </w:tc>
      </w:tr>
      <w:tr w:rsidR="00DD29AF" w:rsidRPr="00DD29AF" w14:paraId="24CE71CB" w14:textId="77777777" w:rsidTr="00335F65">
        <w:tc>
          <w:tcPr>
            <w:tcW w:w="4421" w:type="dxa"/>
          </w:tcPr>
          <w:p w14:paraId="3BF690BE"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10.5.6.39 </w:t>
            </w:r>
            <w:r w:rsidRPr="00D429B4">
              <w:rPr>
                <w:rFonts w:ascii="Verdana" w:hAnsi="Verdana"/>
                <w:sz w:val="16"/>
                <w:szCs w:val="16"/>
                <w:lang w:val="es-MX"/>
              </w:rPr>
              <w:t>Producción:</w:t>
            </w:r>
          </w:p>
        </w:tc>
        <w:tc>
          <w:tcPr>
            <w:tcW w:w="4421" w:type="dxa"/>
          </w:tcPr>
          <w:p w14:paraId="7D1B8BC8" w14:textId="77777777" w:rsidR="00DD29AF" w:rsidRPr="00D429B4" w:rsidRDefault="00CA1DE0"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10.5.6.39 </w:t>
            </w:r>
            <w:r w:rsidRPr="00D429B4">
              <w:rPr>
                <w:rFonts w:ascii="Verdana" w:hAnsi="Verdana"/>
                <w:sz w:val="16"/>
                <w:szCs w:val="16"/>
                <w:lang w:val="en-US"/>
              </w:rPr>
              <w:t xml:space="preserve">Production: </w:t>
            </w:r>
          </w:p>
        </w:tc>
      </w:tr>
      <w:tr w:rsidR="00DD29AF" w:rsidRPr="00F70181" w14:paraId="4794E641" w14:textId="77777777" w:rsidTr="00335F65">
        <w:tc>
          <w:tcPr>
            <w:tcW w:w="4421" w:type="dxa"/>
          </w:tcPr>
          <w:p w14:paraId="1EF02F39" w14:textId="77777777" w:rsidR="00DD29AF" w:rsidRPr="00D429B4" w:rsidRDefault="00DD29AF"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10.5.6.39.1</w:t>
            </w:r>
            <w:r w:rsidRPr="00D429B4">
              <w:rPr>
                <w:rFonts w:ascii="Verdana" w:hAnsi="Verdana"/>
                <w:sz w:val="16"/>
                <w:szCs w:val="16"/>
                <w:lang w:val="es-MX"/>
              </w:rPr>
              <w:t xml:space="preserve"> El proceso de fabricación de derivados del plasma incluye etapas de proceso como descongelamiento, mezcla de plasma, fraccionamiento, purificación, inactivación y remoción de virus, formulación, llenado y acondicionado.</w:t>
            </w:r>
          </w:p>
        </w:tc>
        <w:tc>
          <w:tcPr>
            <w:tcW w:w="4421" w:type="dxa"/>
          </w:tcPr>
          <w:p w14:paraId="7F505334" w14:textId="77777777" w:rsidR="00DD29AF" w:rsidRPr="00D429B4" w:rsidRDefault="00CA1DE0"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10.5.6.39.1 </w:t>
            </w:r>
            <w:r w:rsidRPr="00D429B4">
              <w:rPr>
                <w:rFonts w:ascii="Verdana" w:hAnsi="Verdana"/>
                <w:sz w:val="16"/>
                <w:szCs w:val="16"/>
                <w:lang w:val="en-US"/>
              </w:rPr>
              <w:t xml:space="preserve">The manufacturing process of plasma derivatives includes stages of the process as well as thawing, plasma mixture, fractioning, purification, inactivation and removal of virus, formulation, filling and conditioning. </w:t>
            </w:r>
          </w:p>
        </w:tc>
      </w:tr>
      <w:tr w:rsidR="00DD29AF" w:rsidRPr="00F70181" w14:paraId="282D9FED" w14:textId="77777777" w:rsidTr="00335F65">
        <w:tc>
          <w:tcPr>
            <w:tcW w:w="4421" w:type="dxa"/>
          </w:tcPr>
          <w:p w14:paraId="365228E6"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10.5.6.39.2 </w:t>
            </w:r>
            <w:r w:rsidRPr="00D429B4">
              <w:rPr>
                <w:rFonts w:ascii="Verdana" w:hAnsi="Verdana"/>
                <w:sz w:val="16"/>
                <w:szCs w:val="16"/>
                <w:lang w:val="es-MX"/>
              </w:rPr>
              <w:t xml:space="preserve">Las áreas de producción deben ser exclusivas e independientes de otro tipo de productos y su clasificación debe estar acorde al </w:t>
            </w:r>
            <w:r w:rsidRPr="00D429B4">
              <w:rPr>
                <w:rFonts w:ascii="Verdana" w:hAnsi="Verdana"/>
                <w:sz w:val="16"/>
                <w:szCs w:val="16"/>
                <w:lang w:val="es-MX"/>
              </w:rPr>
              <w:lastRenderedPageBreak/>
              <w:t xml:space="preserve">proceso que se realice en ellas conforme al Apéndice A Normativo </w:t>
            </w:r>
            <w:r w:rsidR="00B12EE3" w:rsidRPr="00D429B4">
              <w:rPr>
                <w:rFonts w:ascii="Verdana" w:hAnsi="Verdana"/>
                <w:sz w:val="16"/>
                <w:szCs w:val="16"/>
                <w:lang w:val="es-MX"/>
              </w:rPr>
              <w:t>de esta</w:t>
            </w:r>
            <w:r w:rsidRPr="00D429B4">
              <w:rPr>
                <w:rFonts w:ascii="Verdana" w:hAnsi="Verdana"/>
                <w:sz w:val="16"/>
                <w:szCs w:val="16"/>
                <w:lang w:val="es-MX"/>
              </w:rPr>
              <w:t xml:space="preserve"> Norma.</w:t>
            </w:r>
          </w:p>
        </w:tc>
        <w:tc>
          <w:tcPr>
            <w:tcW w:w="4421" w:type="dxa"/>
          </w:tcPr>
          <w:p w14:paraId="08F7DEDE" w14:textId="77777777" w:rsidR="00DD29AF" w:rsidRPr="00D429B4" w:rsidRDefault="00CA1DE0" w:rsidP="0070205D">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10.5.6.39.2 </w:t>
            </w:r>
            <w:r w:rsidRPr="00D429B4">
              <w:rPr>
                <w:rFonts w:ascii="Verdana" w:hAnsi="Verdana"/>
                <w:sz w:val="16"/>
                <w:szCs w:val="16"/>
                <w:lang w:val="en-US"/>
              </w:rPr>
              <w:t xml:space="preserve">The production </w:t>
            </w:r>
            <w:r w:rsidR="0070205D" w:rsidRPr="00D429B4">
              <w:rPr>
                <w:rFonts w:ascii="Verdana" w:hAnsi="Verdana"/>
                <w:sz w:val="16"/>
                <w:szCs w:val="16"/>
                <w:lang w:val="en-US"/>
              </w:rPr>
              <w:t>a</w:t>
            </w:r>
            <w:r w:rsidRPr="00D429B4">
              <w:rPr>
                <w:rFonts w:ascii="Verdana" w:hAnsi="Verdana"/>
                <w:sz w:val="16"/>
                <w:szCs w:val="16"/>
                <w:lang w:val="en-US"/>
              </w:rPr>
              <w:t>reas must be exclusive and independen</w:t>
            </w:r>
            <w:r w:rsidR="0070205D" w:rsidRPr="00D429B4">
              <w:rPr>
                <w:rFonts w:ascii="Verdana" w:hAnsi="Verdana"/>
                <w:sz w:val="16"/>
                <w:szCs w:val="16"/>
                <w:lang w:val="en-US"/>
              </w:rPr>
              <w:t>t</w:t>
            </w:r>
            <w:r w:rsidRPr="00D429B4">
              <w:rPr>
                <w:rFonts w:ascii="Verdana" w:hAnsi="Verdana"/>
                <w:sz w:val="16"/>
                <w:szCs w:val="16"/>
                <w:lang w:val="en-US"/>
              </w:rPr>
              <w:t xml:space="preserve"> from another type of products and their classification must be according to the process </w:t>
            </w:r>
            <w:r w:rsidRPr="00D429B4">
              <w:rPr>
                <w:rFonts w:ascii="Verdana" w:hAnsi="Verdana"/>
                <w:sz w:val="16"/>
                <w:szCs w:val="16"/>
                <w:lang w:val="en-US"/>
              </w:rPr>
              <w:lastRenderedPageBreak/>
              <w:t xml:space="preserve">that is made in them according to the Obligatory Appendix A of this Standard. </w:t>
            </w:r>
          </w:p>
        </w:tc>
      </w:tr>
      <w:tr w:rsidR="00DD29AF" w:rsidRPr="00F70181" w14:paraId="6621D72A" w14:textId="77777777" w:rsidTr="00335F65">
        <w:tc>
          <w:tcPr>
            <w:tcW w:w="4421" w:type="dxa"/>
          </w:tcPr>
          <w:p w14:paraId="795D0031"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10.5.6.40</w:t>
            </w:r>
            <w:r w:rsidRPr="00D429B4">
              <w:rPr>
                <w:rFonts w:ascii="Verdana" w:hAnsi="Verdana"/>
                <w:sz w:val="16"/>
                <w:szCs w:val="16"/>
                <w:lang w:val="es-MX"/>
              </w:rPr>
              <w:t xml:space="preserve"> Las instalaciones, equipos y servicios de las etapas de fraccionamiento, inactivación y remoción viral, formulación y llenado, deberán ser independientes.</w:t>
            </w:r>
          </w:p>
        </w:tc>
        <w:tc>
          <w:tcPr>
            <w:tcW w:w="4421" w:type="dxa"/>
          </w:tcPr>
          <w:p w14:paraId="7FDD415F" w14:textId="77777777" w:rsidR="00DD29AF" w:rsidRPr="00D429B4" w:rsidRDefault="00CA1DE0"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10.5.6.40 </w:t>
            </w:r>
            <w:r w:rsidRPr="00D429B4">
              <w:rPr>
                <w:rFonts w:ascii="Verdana" w:hAnsi="Verdana"/>
                <w:sz w:val="16"/>
                <w:szCs w:val="16"/>
                <w:lang w:val="en-US"/>
              </w:rPr>
              <w:t xml:space="preserve">The installations, equipment and services of the stages of fractioning, inactivation and viral removal, formulation and filling, must be independent. </w:t>
            </w:r>
          </w:p>
        </w:tc>
      </w:tr>
      <w:tr w:rsidR="00DD29AF" w:rsidRPr="00F70181" w14:paraId="4AE6372C" w14:textId="77777777" w:rsidTr="00335F65">
        <w:tc>
          <w:tcPr>
            <w:tcW w:w="4421" w:type="dxa"/>
          </w:tcPr>
          <w:p w14:paraId="3B4857A0"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10.5.6.41</w:t>
            </w:r>
            <w:r w:rsidRPr="00D429B4">
              <w:rPr>
                <w:rFonts w:ascii="Verdana" w:hAnsi="Verdana"/>
                <w:sz w:val="16"/>
                <w:szCs w:val="16"/>
                <w:lang w:val="es-MX"/>
              </w:rPr>
              <w:t xml:space="preserve"> Se podrá adicionar anticoagulantes como antitrombina y heparina en varias etapas del proceso de fabricación de factores de la coagulación para minimizar la activación. Los materiales su uso y concentraciones residuales deberán ser documentados en cada etapa y el producto final.</w:t>
            </w:r>
          </w:p>
        </w:tc>
        <w:tc>
          <w:tcPr>
            <w:tcW w:w="4421" w:type="dxa"/>
          </w:tcPr>
          <w:p w14:paraId="61566825" w14:textId="77777777" w:rsidR="00DD29AF" w:rsidRPr="00D429B4" w:rsidRDefault="00CA1DE0"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10.5.6.41 </w:t>
            </w:r>
            <w:r w:rsidRPr="00D429B4">
              <w:rPr>
                <w:rFonts w:ascii="Verdana" w:hAnsi="Verdana"/>
                <w:sz w:val="16"/>
                <w:szCs w:val="16"/>
                <w:lang w:val="en-US"/>
              </w:rPr>
              <w:t xml:space="preserve">Anticoagulants can be added such as </w:t>
            </w:r>
            <w:r w:rsidR="0070205D" w:rsidRPr="00D429B4">
              <w:rPr>
                <w:rFonts w:ascii="Verdana" w:hAnsi="Verdana"/>
                <w:sz w:val="16"/>
                <w:szCs w:val="16"/>
                <w:lang w:val="en-US"/>
              </w:rPr>
              <w:t>antithrombin</w:t>
            </w:r>
            <w:r w:rsidRPr="00D429B4">
              <w:rPr>
                <w:rFonts w:ascii="Verdana" w:hAnsi="Verdana"/>
                <w:sz w:val="16"/>
                <w:szCs w:val="16"/>
                <w:lang w:val="en-US"/>
              </w:rPr>
              <w:t xml:space="preserve"> and heparin in various stages of the manufacturing process of </w:t>
            </w:r>
            <w:r w:rsidR="0070205D" w:rsidRPr="00D429B4">
              <w:rPr>
                <w:rFonts w:ascii="Verdana" w:hAnsi="Verdana"/>
                <w:sz w:val="16"/>
                <w:szCs w:val="16"/>
                <w:lang w:val="en-US"/>
              </w:rPr>
              <w:t xml:space="preserve">coagulation factors in order to minimize the activation. The materials, their use and residual concentrations, must be documented in each stage and the end product. </w:t>
            </w:r>
          </w:p>
        </w:tc>
      </w:tr>
      <w:tr w:rsidR="00DD29AF" w:rsidRPr="00F70181" w14:paraId="05BDB8DA" w14:textId="77777777" w:rsidTr="00335F65">
        <w:tc>
          <w:tcPr>
            <w:tcW w:w="4421" w:type="dxa"/>
          </w:tcPr>
          <w:p w14:paraId="7CDF63C1"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10.5.6.42</w:t>
            </w:r>
            <w:r w:rsidRPr="00D429B4">
              <w:rPr>
                <w:rFonts w:ascii="Verdana" w:hAnsi="Verdana"/>
                <w:sz w:val="16"/>
                <w:szCs w:val="16"/>
                <w:lang w:val="es-MX"/>
              </w:rPr>
              <w:t xml:space="preserve"> Se incluirán procesos diseñados específicamente para inactivar virus envueltos y no envueltos y con capacidad de remover virus y otros agentes con capacidad infectiva tales como bacterias y parásitos.</w:t>
            </w:r>
          </w:p>
        </w:tc>
        <w:tc>
          <w:tcPr>
            <w:tcW w:w="4421" w:type="dxa"/>
          </w:tcPr>
          <w:p w14:paraId="2102DBFA" w14:textId="77777777" w:rsidR="00DD29AF" w:rsidRPr="00D429B4" w:rsidRDefault="0070205D" w:rsidP="00692758">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10.5.6.42 </w:t>
            </w:r>
            <w:r w:rsidRPr="00D429B4">
              <w:rPr>
                <w:rFonts w:ascii="Verdana" w:hAnsi="Verdana"/>
                <w:sz w:val="16"/>
                <w:szCs w:val="16"/>
                <w:lang w:val="en-US"/>
              </w:rPr>
              <w:t xml:space="preserve">Processes designed specifically to inactivate enveloped and nonenveloped viruses and with a capacity of removing virus </w:t>
            </w:r>
            <w:r w:rsidR="00692758" w:rsidRPr="00D429B4">
              <w:rPr>
                <w:rFonts w:ascii="Verdana" w:hAnsi="Verdana"/>
                <w:sz w:val="16"/>
                <w:szCs w:val="16"/>
                <w:lang w:val="en-US"/>
              </w:rPr>
              <w:t xml:space="preserve">and other agents with an ineffective capacity such as bacteria and parasites will be included. </w:t>
            </w:r>
          </w:p>
        </w:tc>
      </w:tr>
      <w:tr w:rsidR="00DD29AF" w:rsidRPr="00F70181" w14:paraId="617F58DE" w14:textId="77777777" w:rsidTr="00335F65">
        <w:tc>
          <w:tcPr>
            <w:tcW w:w="4421" w:type="dxa"/>
          </w:tcPr>
          <w:p w14:paraId="5A692B0E" w14:textId="77777777" w:rsidR="00DD29AF" w:rsidRPr="00D429B4" w:rsidRDefault="00DD29AF"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10.5.6.43</w:t>
            </w:r>
            <w:r w:rsidRPr="00D429B4">
              <w:rPr>
                <w:rFonts w:ascii="Verdana" w:hAnsi="Verdana"/>
                <w:sz w:val="16"/>
                <w:szCs w:val="16"/>
                <w:lang w:val="es-MX"/>
              </w:rPr>
              <w:t xml:space="preserve"> El establecimiento fabricante del hemoderivado debe implementar los controles de calidad que garanticen el uso seguro de estos materiales.</w:t>
            </w:r>
          </w:p>
        </w:tc>
        <w:tc>
          <w:tcPr>
            <w:tcW w:w="4421" w:type="dxa"/>
          </w:tcPr>
          <w:p w14:paraId="0FA5AA34" w14:textId="77777777" w:rsidR="00DD29AF" w:rsidRPr="00D429B4" w:rsidRDefault="0069275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10.5.6.43 </w:t>
            </w:r>
            <w:r w:rsidRPr="00D429B4">
              <w:rPr>
                <w:rFonts w:ascii="Verdana" w:hAnsi="Verdana"/>
                <w:sz w:val="16"/>
                <w:szCs w:val="16"/>
                <w:lang w:val="en-US"/>
              </w:rPr>
              <w:t xml:space="preserve">The manufacturer establishment of the hemoderivative must implement quality controls that guarantee the safe use of these materials. </w:t>
            </w:r>
          </w:p>
        </w:tc>
      </w:tr>
      <w:tr w:rsidR="00DD29AF" w:rsidRPr="00F70181" w14:paraId="53E75FBD" w14:textId="77777777" w:rsidTr="00335F65">
        <w:tc>
          <w:tcPr>
            <w:tcW w:w="4421" w:type="dxa"/>
          </w:tcPr>
          <w:p w14:paraId="6D811D87"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10.5.6.44</w:t>
            </w:r>
            <w:r w:rsidRPr="00D429B4">
              <w:rPr>
                <w:rFonts w:ascii="Verdana" w:hAnsi="Verdana"/>
                <w:sz w:val="16"/>
                <w:szCs w:val="16"/>
                <w:lang w:val="es-MX"/>
              </w:rPr>
              <w:t xml:space="preserve"> Se deberá validar el proceso de fraccionamiento y purificación, mediante el cual se demuestre que los contaminantes residuales se reducen sistemáticamente.</w:t>
            </w:r>
          </w:p>
        </w:tc>
        <w:tc>
          <w:tcPr>
            <w:tcW w:w="4421" w:type="dxa"/>
          </w:tcPr>
          <w:p w14:paraId="0D56BEEE" w14:textId="77777777" w:rsidR="00DD29AF" w:rsidRPr="00D429B4" w:rsidRDefault="0069275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10.5.6.44 </w:t>
            </w:r>
            <w:r w:rsidRPr="00D429B4">
              <w:rPr>
                <w:rFonts w:ascii="Verdana" w:hAnsi="Verdana"/>
                <w:sz w:val="16"/>
                <w:szCs w:val="16"/>
                <w:lang w:val="en-US"/>
              </w:rPr>
              <w:t xml:space="preserve">The practice of fractioning and purification must be validated through which it is demonstrated that the residual contaminants are systematically reduced. </w:t>
            </w:r>
          </w:p>
        </w:tc>
      </w:tr>
      <w:tr w:rsidR="00DD29AF" w:rsidRPr="00F70181" w14:paraId="25E42402" w14:textId="77777777" w:rsidTr="00335F65">
        <w:tc>
          <w:tcPr>
            <w:tcW w:w="4421" w:type="dxa"/>
          </w:tcPr>
          <w:p w14:paraId="6E50C719"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10.5.6.45</w:t>
            </w:r>
            <w:r w:rsidRPr="00D429B4">
              <w:rPr>
                <w:rFonts w:ascii="Verdana" w:hAnsi="Verdana"/>
                <w:sz w:val="16"/>
                <w:szCs w:val="16"/>
                <w:lang w:val="es-MX"/>
              </w:rPr>
              <w:t xml:space="preserve"> Los procesos para la fabricación de hemoderivados estarán validados para demostrar su capacidad de inactivación y/o eliminación de los virus conocidos y no bien conocidos potencialmente contaminantes a un nivel máximo de reducción total de la carga infecciosa incluyendo las condiciones del peor caso, de acuerdo a lo establecido en la FEUM.</w:t>
            </w:r>
          </w:p>
        </w:tc>
        <w:tc>
          <w:tcPr>
            <w:tcW w:w="4421" w:type="dxa"/>
          </w:tcPr>
          <w:p w14:paraId="2BF30A70" w14:textId="77777777" w:rsidR="00DD29AF" w:rsidRPr="00D429B4" w:rsidRDefault="00692758" w:rsidP="00692758">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10.5.6.45 </w:t>
            </w:r>
            <w:r w:rsidRPr="00D429B4">
              <w:rPr>
                <w:rFonts w:ascii="Verdana" w:hAnsi="Verdana"/>
                <w:sz w:val="16"/>
                <w:szCs w:val="16"/>
                <w:lang w:val="en-US"/>
              </w:rPr>
              <w:t>The processes for the manufacture of hemoderivatives will be validated to demonstrate their inactivation and/or elimination capacity of the known viruses and not well known potentially contaminant at a maximum level of total reduction of the infectious load including the worst case conditions, according to that established in the FEUM (Pharmacopeia of the United Mexican States).</w:t>
            </w:r>
          </w:p>
        </w:tc>
      </w:tr>
      <w:tr w:rsidR="00DD29AF" w:rsidRPr="00F70181" w14:paraId="2111123D" w14:textId="77777777" w:rsidTr="00335F65">
        <w:tc>
          <w:tcPr>
            <w:tcW w:w="4421" w:type="dxa"/>
          </w:tcPr>
          <w:p w14:paraId="3C4638D8"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10.5.6.45.1 </w:t>
            </w:r>
            <w:r w:rsidRPr="00D429B4">
              <w:rPr>
                <w:rFonts w:ascii="Verdana" w:hAnsi="Verdana"/>
                <w:sz w:val="16"/>
                <w:szCs w:val="16"/>
                <w:lang w:val="es-MX"/>
              </w:rPr>
              <w:t>Los procesos de inactivación y eliminación de patógenos deben ser procesos dedicados e independientes del proceso de purificación.</w:t>
            </w:r>
          </w:p>
        </w:tc>
        <w:tc>
          <w:tcPr>
            <w:tcW w:w="4421" w:type="dxa"/>
          </w:tcPr>
          <w:p w14:paraId="6CFF8152" w14:textId="77777777" w:rsidR="00DD29AF" w:rsidRPr="00D429B4" w:rsidRDefault="0069275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10.5.6.45.1 </w:t>
            </w:r>
            <w:r w:rsidRPr="00D429B4">
              <w:rPr>
                <w:rFonts w:ascii="Verdana" w:hAnsi="Verdana"/>
                <w:sz w:val="16"/>
                <w:szCs w:val="16"/>
                <w:lang w:val="en-US"/>
              </w:rPr>
              <w:t xml:space="preserve">The </w:t>
            </w:r>
            <w:r w:rsidR="005C24C0" w:rsidRPr="00D429B4">
              <w:rPr>
                <w:rFonts w:ascii="Verdana" w:hAnsi="Verdana"/>
                <w:sz w:val="16"/>
                <w:szCs w:val="16"/>
                <w:lang w:val="en-US"/>
              </w:rPr>
              <w:t xml:space="preserve">processes for the inactivation and elimination of pathogens must be dedicated processes and independent of the purification process. </w:t>
            </w:r>
          </w:p>
        </w:tc>
      </w:tr>
      <w:tr w:rsidR="00DD29AF" w:rsidRPr="00F70181" w14:paraId="384D7A2D" w14:textId="77777777" w:rsidTr="00335F65">
        <w:tc>
          <w:tcPr>
            <w:tcW w:w="4421" w:type="dxa"/>
          </w:tcPr>
          <w:p w14:paraId="26F573EC"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10.5.6.45.2</w:t>
            </w:r>
            <w:r w:rsidRPr="00D429B4">
              <w:rPr>
                <w:rFonts w:ascii="Verdana" w:hAnsi="Verdana"/>
                <w:sz w:val="16"/>
                <w:szCs w:val="16"/>
                <w:lang w:val="es-MX"/>
              </w:rPr>
              <w:t xml:space="preserve"> Se debe considerar una combinación de factores para el cálculo e interpretación para determinar la efectividad de la etapa de inactivación/remoción viral.</w:t>
            </w:r>
          </w:p>
        </w:tc>
        <w:tc>
          <w:tcPr>
            <w:tcW w:w="4421" w:type="dxa"/>
          </w:tcPr>
          <w:p w14:paraId="316CDC55" w14:textId="77777777" w:rsidR="00DD29AF" w:rsidRPr="00D429B4" w:rsidRDefault="005C24C0"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10.5.6.45.2 </w:t>
            </w:r>
            <w:r w:rsidRPr="00D429B4">
              <w:rPr>
                <w:rFonts w:ascii="Verdana" w:hAnsi="Verdana"/>
                <w:sz w:val="16"/>
                <w:szCs w:val="16"/>
                <w:lang w:val="en-US"/>
              </w:rPr>
              <w:t xml:space="preserve">A combination of factors must be considered for the calculation and </w:t>
            </w:r>
            <w:r w:rsidR="00B12EE3" w:rsidRPr="00D429B4">
              <w:rPr>
                <w:rFonts w:ascii="Verdana" w:hAnsi="Verdana"/>
                <w:sz w:val="16"/>
                <w:szCs w:val="16"/>
                <w:lang w:val="en-US"/>
              </w:rPr>
              <w:t>interpretation</w:t>
            </w:r>
            <w:r w:rsidRPr="00D429B4">
              <w:rPr>
                <w:rFonts w:ascii="Verdana" w:hAnsi="Verdana"/>
                <w:sz w:val="16"/>
                <w:szCs w:val="16"/>
                <w:lang w:val="en-US"/>
              </w:rPr>
              <w:t xml:space="preserve"> in order to determine the effectiveness of the stage of viral inactivation/removal. </w:t>
            </w:r>
          </w:p>
        </w:tc>
      </w:tr>
      <w:tr w:rsidR="00DD29AF" w:rsidRPr="00F70181" w14:paraId="637CD214" w14:textId="77777777" w:rsidTr="00335F65">
        <w:tc>
          <w:tcPr>
            <w:tcW w:w="4421" w:type="dxa"/>
          </w:tcPr>
          <w:p w14:paraId="0F54ED43"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 xml:space="preserve">La efectividad del proceso debe ser establecida para la reducción total de la carga patogénica mayor </w:t>
            </w:r>
            <w:r w:rsidR="00B12EE3" w:rsidRPr="00D429B4">
              <w:rPr>
                <w:rFonts w:ascii="Verdana" w:hAnsi="Verdana"/>
                <w:sz w:val="16"/>
                <w:szCs w:val="16"/>
                <w:lang w:val="es-MX"/>
              </w:rPr>
              <w:t>de 4</w:t>
            </w:r>
            <w:r w:rsidRPr="00D429B4">
              <w:rPr>
                <w:rFonts w:ascii="Verdana" w:hAnsi="Verdana"/>
                <w:sz w:val="16"/>
                <w:szCs w:val="16"/>
                <w:lang w:val="es-MX"/>
              </w:rPr>
              <w:t xml:space="preserve"> log</w:t>
            </w:r>
            <w:r w:rsidRPr="00D429B4">
              <w:rPr>
                <w:rFonts w:ascii="Verdana" w:hAnsi="Verdana"/>
                <w:position w:val="-2"/>
                <w:sz w:val="16"/>
                <w:szCs w:val="16"/>
                <w:vertAlign w:val="subscript"/>
                <w:lang w:val="es-MX"/>
              </w:rPr>
              <w:t>10</w:t>
            </w:r>
            <w:r w:rsidRPr="00D429B4">
              <w:rPr>
                <w:rFonts w:ascii="Verdana" w:hAnsi="Verdana"/>
                <w:sz w:val="16"/>
                <w:szCs w:val="16"/>
                <w:lang w:val="es-MX"/>
              </w:rPr>
              <w:t>.</w:t>
            </w:r>
          </w:p>
        </w:tc>
        <w:tc>
          <w:tcPr>
            <w:tcW w:w="4421" w:type="dxa"/>
          </w:tcPr>
          <w:p w14:paraId="481EDFCF" w14:textId="77777777" w:rsidR="00DD29AF" w:rsidRPr="00D429B4" w:rsidRDefault="005C24C0" w:rsidP="005C0901">
            <w:pPr>
              <w:pStyle w:val="Texto"/>
              <w:spacing w:line="276" w:lineRule="auto"/>
              <w:ind w:firstLine="0"/>
              <w:rPr>
                <w:rFonts w:ascii="Verdana" w:hAnsi="Verdana"/>
                <w:sz w:val="16"/>
                <w:szCs w:val="16"/>
                <w:lang w:val="en-US"/>
              </w:rPr>
            </w:pPr>
            <w:r w:rsidRPr="00D429B4">
              <w:rPr>
                <w:rFonts w:ascii="Verdana" w:hAnsi="Verdana"/>
                <w:sz w:val="16"/>
                <w:szCs w:val="16"/>
                <w:lang w:val="en-US"/>
              </w:rPr>
              <w:t>The effectiveness of the process must be established for the total reduction of the pathogenic load greater than 4 log</w:t>
            </w:r>
            <w:r w:rsidRPr="00D429B4">
              <w:rPr>
                <w:rFonts w:ascii="Verdana" w:hAnsi="Verdana"/>
                <w:sz w:val="16"/>
                <w:szCs w:val="16"/>
                <w:vertAlign w:val="subscript"/>
                <w:lang w:val="en-US"/>
              </w:rPr>
              <w:t>10</w:t>
            </w:r>
            <w:r w:rsidRPr="00D429B4">
              <w:rPr>
                <w:rFonts w:ascii="Verdana" w:hAnsi="Verdana"/>
                <w:sz w:val="16"/>
                <w:szCs w:val="16"/>
                <w:lang w:val="en-US"/>
              </w:rPr>
              <w:t xml:space="preserve">. </w:t>
            </w:r>
          </w:p>
        </w:tc>
      </w:tr>
      <w:tr w:rsidR="00DD29AF" w:rsidRPr="00F70181" w14:paraId="5FF4BA9B" w14:textId="77777777" w:rsidTr="00335F65">
        <w:tc>
          <w:tcPr>
            <w:tcW w:w="4421" w:type="dxa"/>
          </w:tcPr>
          <w:p w14:paraId="469426DA"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 xml:space="preserve">Sin </w:t>
            </w:r>
            <w:r w:rsidR="00B12EE3" w:rsidRPr="00D429B4">
              <w:rPr>
                <w:rFonts w:ascii="Verdana" w:hAnsi="Verdana"/>
                <w:sz w:val="16"/>
                <w:szCs w:val="16"/>
                <w:lang w:val="es-MX"/>
              </w:rPr>
              <w:t>embargo,</w:t>
            </w:r>
            <w:r w:rsidRPr="00D429B4">
              <w:rPr>
                <w:rFonts w:ascii="Verdana" w:hAnsi="Verdana"/>
                <w:sz w:val="16"/>
                <w:szCs w:val="16"/>
                <w:lang w:val="es-MX"/>
              </w:rPr>
              <w:t xml:space="preserve"> la reducción en el número log</w:t>
            </w:r>
            <w:r w:rsidRPr="00D429B4">
              <w:rPr>
                <w:rFonts w:ascii="Verdana" w:hAnsi="Verdana"/>
                <w:position w:val="-2"/>
                <w:sz w:val="16"/>
                <w:szCs w:val="16"/>
                <w:lang w:val="es-MX"/>
              </w:rPr>
              <w:t>10</w:t>
            </w:r>
            <w:r w:rsidRPr="00D429B4">
              <w:rPr>
                <w:rFonts w:ascii="Verdana" w:hAnsi="Verdana"/>
                <w:sz w:val="16"/>
                <w:szCs w:val="16"/>
                <w:lang w:val="es-MX"/>
              </w:rPr>
              <w:t xml:space="preserve"> no debe ser usado individualmente como una medida absoluta para medir la efectividad de la etapa de inactivación/remoción viral. Por lo que la suma de dichos métodos debe dar un valor final mayor a 10 log</w:t>
            </w:r>
            <w:r w:rsidRPr="00D429B4">
              <w:rPr>
                <w:rFonts w:ascii="Verdana" w:hAnsi="Verdana"/>
                <w:position w:val="-2"/>
                <w:sz w:val="16"/>
                <w:szCs w:val="16"/>
                <w:lang w:val="es-MX"/>
              </w:rPr>
              <w:t>10</w:t>
            </w:r>
            <w:r w:rsidRPr="00D429B4">
              <w:rPr>
                <w:rFonts w:ascii="Verdana" w:hAnsi="Verdana"/>
                <w:sz w:val="16"/>
                <w:szCs w:val="16"/>
                <w:lang w:val="es-MX"/>
              </w:rPr>
              <w:t>.</w:t>
            </w:r>
          </w:p>
        </w:tc>
        <w:tc>
          <w:tcPr>
            <w:tcW w:w="4421" w:type="dxa"/>
          </w:tcPr>
          <w:p w14:paraId="3CA34E04" w14:textId="77777777" w:rsidR="00DD29AF" w:rsidRPr="00D429B4" w:rsidRDefault="005C24C0" w:rsidP="005C24C0">
            <w:pPr>
              <w:pStyle w:val="Texto"/>
              <w:spacing w:line="276" w:lineRule="auto"/>
              <w:ind w:firstLine="0"/>
              <w:rPr>
                <w:rFonts w:ascii="Verdana" w:hAnsi="Verdana"/>
                <w:sz w:val="16"/>
                <w:szCs w:val="16"/>
                <w:lang w:val="en-US"/>
              </w:rPr>
            </w:pPr>
            <w:r w:rsidRPr="00D429B4">
              <w:rPr>
                <w:rFonts w:ascii="Verdana" w:hAnsi="Verdana"/>
                <w:sz w:val="16"/>
                <w:szCs w:val="16"/>
                <w:lang w:val="en-US"/>
              </w:rPr>
              <w:t>Nevertheless, the reduction in the number log</w:t>
            </w:r>
            <w:r w:rsidRPr="00D429B4">
              <w:rPr>
                <w:rFonts w:ascii="Verdana" w:hAnsi="Verdana"/>
                <w:sz w:val="16"/>
                <w:szCs w:val="16"/>
                <w:vertAlign w:val="subscript"/>
                <w:lang w:val="en-US"/>
              </w:rPr>
              <w:t>10</w:t>
            </w:r>
            <w:r w:rsidRPr="00D429B4">
              <w:rPr>
                <w:rFonts w:ascii="Verdana" w:hAnsi="Verdana"/>
                <w:sz w:val="16"/>
                <w:szCs w:val="16"/>
                <w:lang w:val="en-US"/>
              </w:rPr>
              <w:t xml:space="preserve"> must not be used individually as an absolute measure to measure the effectiveness of the viral inactivation/removal stage, because the sum of said methods must give a final value greater than 10 log</w:t>
            </w:r>
            <w:r w:rsidRPr="00D429B4">
              <w:rPr>
                <w:rFonts w:ascii="Verdana" w:hAnsi="Verdana"/>
                <w:sz w:val="16"/>
                <w:szCs w:val="16"/>
                <w:vertAlign w:val="subscript"/>
                <w:lang w:val="en-US"/>
              </w:rPr>
              <w:t>10</w:t>
            </w:r>
            <w:r w:rsidRPr="00D429B4">
              <w:rPr>
                <w:rFonts w:ascii="Verdana" w:hAnsi="Verdana"/>
                <w:sz w:val="16"/>
                <w:szCs w:val="16"/>
                <w:lang w:val="en-US"/>
              </w:rPr>
              <w:t xml:space="preserve">. </w:t>
            </w:r>
          </w:p>
        </w:tc>
      </w:tr>
      <w:tr w:rsidR="00DD29AF" w:rsidRPr="00F70181" w14:paraId="599B5A52" w14:textId="77777777" w:rsidTr="00335F65">
        <w:tc>
          <w:tcPr>
            <w:tcW w:w="4421" w:type="dxa"/>
          </w:tcPr>
          <w:p w14:paraId="4AA7AD44"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10.5.6.45.3</w:t>
            </w:r>
            <w:r w:rsidRPr="00D429B4">
              <w:rPr>
                <w:rFonts w:ascii="Verdana" w:hAnsi="Verdana"/>
                <w:sz w:val="16"/>
                <w:szCs w:val="16"/>
                <w:lang w:val="es-MX"/>
              </w:rPr>
              <w:t xml:space="preserve"> Se realizarán las validaciones de los procesos para demostrar la consistencia y calidad en </w:t>
            </w:r>
            <w:r w:rsidRPr="00D429B4">
              <w:rPr>
                <w:rFonts w:ascii="Verdana" w:hAnsi="Verdana"/>
                <w:sz w:val="16"/>
                <w:szCs w:val="16"/>
                <w:lang w:val="es-MX"/>
              </w:rPr>
              <w:lastRenderedPageBreak/>
              <w:t>la fabricación de los diferentes productos en garantía de la integridad y actividad biológica esperadas.</w:t>
            </w:r>
          </w:p>
        </w:tc>
        <w:tc>
          <w:tcPr>
            <w:tcW w:w="4421" w:type="dxa"/>
          </w:tcPr>
          <w:p w14:paraId="1DAEE531" w14:textId="77777777" w:rsidR="00DD29AF" w:rsidRPr="00D429B4" w:rsidRDefault="005C24C0" w:rsidP="005C24C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10.5.6.45.3 </w:t>
            </w:r>
            <w:r w:rsidRPr="00D429B4">
              <w:rPr>
                <w:rFonts w:ascii="Verdana" w:hAnsi="Verdana"/>
                <w:sz w:val="16"/>
                <w:szCs w:val="16"/>
                <w:lang w:val="en-US"/>
              </w:rPr>
              <w:t xml:space="preserve">The validations of the processes will be made to demonstrate the consistency and quality in </w:t>
            </w:r>
            <w:r w:rsidRPr="00D429B4">
              <w:rPr>
                <w:rFonts w:ascii="Verdana" w:hAnsi="Verdana"/>
                <w:sz w:val="16"/>
                <w:szCs w:val="16"/>
                <w:lang w:val="en-US"/>
              </w:rPr>
              <w:lastRenderedPageBreak/>
              <w:t>the manufacture of the different products in guarantee of the desired integrity and biological activity.</w:t>
            </w:r>
          </w:p>
        </w:tc>
      </w:tr>
      <w:tr w:rsidR="00DD29AF" w:rsidRPr="00F70181" w14:paraId="0A5B824D" w14:textId="77777777" w:rsidTr="00335F65">
        <w:tc>
          <w:tcPr>
            <w:tcW w:w="4421" w:type="dxa"/>
          </w:tcPr>
          <w:p w14:paraId="37E4ED9B"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10.5.6.46</w:t>
            </w:r>
            <w:r w:rsidRPr="00D429B4">
              <w:rPr>
                <w:rFonts w:ascii="Verdana" w:hAnsi="Verdana"/>
                <w:sz w:val="16"/>
                <w:szCs w:val="16"/>
                <w:lang w:val="es-MX"/>
              </w:rPr>
              <w:t xml:space="preserve"> El material que ha sido procesado en una etapa de inactivación o remoción viral, se encontrará separado e identificado adecuadamente del material no tratado, durante todas las etapas de producción con vistas a prevenir la contaminación cruzada.</w:t>
            </w:r>
          </w:p>
        </w:tc>
        <w:tc>
          <w:tcPr>
            <w:tcW w:w="4421" w:type="dxa"/>
          </w:tcPr>
          <w:p w14:paraId="647C29C6" w14:textId="77777777" w:rsidR="00DD29AF" w:rsidRPr="00D429B4" w:rsidRDefault="005C24C0"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10.5.6.46 </w:t>
            </w:r>
            <w:r w:rsidRPr="00D429B4">
              <w:rPr>
                <w:rFonts w:ascii="Verdana" w:hAnsi="Verdana"/>
                <w:sz w:val="16"/>
                <w:szCs w:val="16"/>
                <w:lang w:val="en-US"/>
              </w:rPr>
              <w:t>The material</w:t>
            </w:r>
            <w:r w:rsidR="00BF5A35" w:rsidRPr="00D429B4">
              <w:rPr>
                <w:rFonts w:ascii="Verdana" w:hAnsi="Verdana"/>
                <w:sz w:val="16"/>
                <w:szCs w:val="16"/>
                <w:lang w:val="en-US"/>
              </w:rPr>
              <w:t xml:space="preserve"> that</w:t>
            </w:r>
            <w:r w:rsidRPr="00D429B4">
              <w:rPr>
                <w:rFonts w:ascii="Verdana" w:hAnsi="Verdana"/>
                <w:sz w:val="16"/>
                <w:szCs w:val="16"/>
                <w:lang w:val="en-US"/>
              </w:rPr>
              <w:t xml:space="preserve"> has been processed in a viral inactivation or removal stage</w:t>
            </w:r>
            <w:r w:rsidR="00BF5A35" w:rsidRPr="00D429B4">
              <w:rPr>
                <w:rFonts w:ascii="Verdana" w:hAnsi="Verdana"/>
                <w:sz w:val="16"/>
                <w:szCs w:val="16"/>
                <w:lang w:val="en-US"/>
              </w:rPr>
              <w:t xml:space="preserve"> will be separated and adequately identified from the untreated material, during all the production stages with the view for preventing cross contamination. </w:t>
            </w:r>
          </w:p>
        </w:tc>
      </w:tr>
      <w:tr w:rsidR="00DD29AF" w:rsidRPr="00F70181" w14:paraId="3D599931" w14:textId="77777777" w:rsidTr="00335F65">
        <w:tc>
          <w:tcPr>
            <w:tcW w:w="4421" w:type="dxa"/>
          </w:tcPr>
          <w:p w14:paraId="73A270A1"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10.5.6.47</w:t>
            </w:r>
            <w:r w:rsidRPr="00D429B4">
              <w:rPr>
                <w:rFonts w:ascii="Verdana" w:hAnsi="Verdana"/>
                <w:sz w:val="16"/>
                <w:szCs w:val="16"/>
                <w:lang w:val="es-MX"/>
              </w:rPr>
              <w:t xml:space="preserve"> El fabricante demostrará la consistencia de las condiciones de fabricación y las especificaciones de cada producto, con al menos tres lotes consecutivos que sean representativos de la máxima escala de producción. Los lotes utilizados para el estudio de consistencia serán provenientes de diferentes cargas o mezclas de plasma.</w:t>
            </w:r>
          </w:p>
        </w:tc>
        <w:tc>
          <w:tcPr>
            <w:tcW w:w="4421" w:type="dxa"/>
          </w:tcPr>
          <w:p w14:paraId="39C7B438" w14:textId="77777777" w:rsidR="00DD29AF" w:rsidRPr="00D429B4" w:rsidRDefault="00BF5A35"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10.5.6.47 </w:t>
            </w:r>
            <w:r w:rsidRPr="00D429B4">
              <w:rPr>
                <w:rFonts w:ascii="Verdana" w:hAnsi="Verdana"/>
                <w:sz w:val="16"/>
                <w:szCs w:val="16"/>
                <w:lang w:val="en-US"/>
              </w:rPr>
              <w:t xml:space="preserve">The manufacturer will demonstrate consistency in the manufacturing conditions and the specifications of each product, with at least three consecutive lots that are representative of the maximum scale of production. The lots used for the consistency study will come from different loads or mixtures of plasma. </w:t>
            </w:r>
          </w:p>
        </w:tc>
      </w:tr>
      <w:tr w:rsidR="00DD29AF" w:rsidRPr="00F70181" w14:paraId="6499862F" w14:textId="77777777" w:rsidTr="00335F65">
        <w:tc>
          <w:tcPr>
            <w:tcW w:w="4421" w:type="dxa"/>
          </w:tcPr>
          <w:p w14:paraId="3156C644"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10.5.6.48</w:t>
            </w:r>
            <w:r w:rsidRPr="00D429B4">
              <w:rPr>
                <w:rFonts w:ascii="Verdana" w:hAnsi="Verdana"/>
                <w:sz w:val="16"/>
                <w:szCs w:val="16"/>
                <w:lang w:val="es-MX"/>
              </w:rPr>
              <w:t xml:space="preserve"> Se considerarán en los estudios de consistencia los siguientes indicadores, como mínimo:</w:t>
            </w:r>
          </w:p>
        </w:tc>
        <w:tc>
          <w:tcPr>
            <w:tcW w:w="4421" w:type="dxa"/>
          </w:tcPr>
          <w:p w14:paraId="6900F3E5" w14:textId="77777777" w:rsidR="00DD29AF" w:rsidRPr="00D429B4" w:rsidRDefault="00BF5A35" w:rsidP="00BF5A35">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10.5.6.48 </w:t>
            </w:r>
            <w:r w:rsidRPr="00D429B4">
              <w:rPr>
                <w:rFonts w:ascii="Verdana" w:hAnsi="Verdana"/>
                <w:sz w:val="16"/>
                <w:szCs w:val="16"/>
                <w:lang w:val="en-US"/>
              </w:rPr>
              <w:t xml:space="preserve">In the consistency studies the following indicators will be considered, as a </w:t>
            </w:r>
            <w:r w:rsidR="00B12EE3" w:rsidRPr="00D429B4">
              <w:rPr>
                <w:rFonts w:ascii="Verdana" w:hAnsi="Verdana"/>
                <w:sz w:val="16"/>
                <w:szCs w:val="16"/>
                <w:lang w:val="en-US"/>
              </w:rPr>
              <w:t>minimum</w:t>
            </w:r>
            <w:r w:rsidRPr="00D429B4">
              <w:rPr>
                <w:rFonts w:ascii="Verdana" w:hAnsi="Verdana"/>
                <w:sz w:val="16"/>
                <w:szCs w:val="16"/>
                <w:lang w:val="en-US"/>
              </w:rPr>
              <w:t xml:space="preserve">: </w:t>
            </w:r>
          </w:p>
        </w:tc>
      </w:tr>
      <w:tr w:rsidR="00DD29AF" w:rsidRPr="00F70181" w14:paraId="020AFC74" w14:textId="77777777" w:rsidTr="00335F65">
        <w:tc>
          <w:tcPr>
            <w:tcW w:w="4421" w:type="dxa"/>
          </w:tcPr>
          <w:p w14:paraId="70BDABC9"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10.5.6.48.1</w:t>
            </w:r>
            <w:r w:rsidRPr="00D429B4">
              <w:rPr>
                <w:rFonts w:ascii="Verdana" w:hAnsi="Verdana"/>
                <w:sz w:val="16"/>
                <w:szCs w:val="16"/>
                <w:lang w:val="es-MX"/>
              </w:rPr>
              <w:t xml:space="preserve"> Rendimientos en las diferentes etapas.</w:t>
            </w:r>
          </w:p>
        </w:tc>
        <w:tc>
          <w:tcPr>
            <w:tcW w:w="4421" w:type="dxa"/>
          </w:tcPr>
          <w:p w14:paraId="377441BF" w14:textId="77777777" w:rsidR="00DD29AF" w:rsidRPr="00D429B4" w:rsidRDefault="00BF5A35"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10.5.6.48.1 </w:t>
            </w:r>
            <w:r w:rsidRPr="00D429B4">
              <w:rPr>
                <w:rFonts w:ascii="Verdana" w:hAnsi="Verdana"/>
                <w:sz w:val="16"/>
                <w:szCs w:val="16"/>
                <w:lang w:val="en-US"/>
              </w:rPr>
              <w:t xml:space="preserve">Yields in the different stages. </w:t>
            </w:r>
          </w:p>
        </w:tc>
      </w:tr>
      <w:tr w:rsidR="00DD29AF" w:rsidRPr="00DD29AF" w14:paraId="25044BFC" w14:textId="77777777" w:rsidTr="00335F65">
        <w:tc>
          <w:tcPr>
            <w:tcW w:w="4421" w:type="dxa"/>
          </w:tcPr>
          <w:p w14:paraId="7A83AD3A"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10.5.6.48.2</w:t>
            </w:r>
            <w:r w:rsidRPr="00D429B4">
              <w:rPr>
                <w:rFonts w:ascii="Verdana" w:hAnsi="Verdana"/>
                <w:sz w:val="16"/>
                <w:szCs w:val="16"/>
                <w:lang w:val="es-MX"/>
              </w:rPr>
              <w:t xml:space="preserve"> Eliminación de contaminantes.</w:t>
            </w:r>
          </w:p>
        </w:tc>
        <w:tc>
          <w:tcPr>
            <w:tcW w:w="4421" w:type="dxa"/>
          </w:tcPr>
          <w:p w14:paraId="28998807" w14:textId="77777777" w:rsidR="00DD29AF" w:rsidRPr="00D429B4" w:rsidRDefault="00BF5A35"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10.5.6.48.2 </w:t>
            </w:r>
            <w:r w:rsidRPr="00D429B4">
              <w:rPr>
                <w:rFonts w:ascii="Verdana" w:hAnsi="Verdana"/>
                <w:sz w:val="16"/>
                <w:szCs w:val="16"/>
                <w:lang w:val="en-US"/>
              </w:rPr>
              <w:t>Elimination of contaminants.</w:t>
            </w:r>
          </w:p>
        </w:tc>
      </w:tr>
      <w:tr w:rsidR="00DD29AF" w:rsidRPr="00F70181" w14:paraId="35BB4D07" w14:textId="77777777" w:rsidTr="00335F65">
        <w:tc>
          <w:tcPr>
            <w:tcW w:w="4421" w:type="dxa"/>
          </w:tcPr>
          <w:p w14:paraId="30E3DB6A"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10.5.6.48.3</w:t>
            </w:r>
            <w:r w:rsidRPr="00D429B4">
              <w:rPr>
                <w:rFonts w:ascii="Verdana" w:hAnsi="Verdana"/>
                <w:sz w:val="16"/>
                <w:szCs w:val="16"/>
                <w:lang w:val="es-MX"/>
              </w:rPr>
              <w:t xml:space="preserve"> Cumplimiento con las especificaciones de calidad de productos intermedios y finales.</w:t>
            </w:r>
          </w:p>
        </w:tc>
        <w:tc>
          <w:tcPr>
            <w:tcW w:w="4421" w:type="dxa"/>
          </w:tcPr>
          <w:p w14:paraId="30653552" w14:textId="77777777" w:rsidR="00DD29AF" w:rsidRPr="00D429B4" w:rsidRDefault="00BF5A35"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10.5.6.48.3 </w:t>
            </w:r>
            <w:r w:rsidRPr="00D429B4">
              <w:rPr>
                <w:rFonts w:ascii="Verdana" w:hAnsi="Verdana"/>
                <w:sz w:val="16"/>
                <w:szCs w:val="16"/>
                <w:lang w:val="en-US"/>
              </w:rPr>
              <w:t xml:space="preserve">Compliance with the quality specifications of intermediate and final products. </w:t>
            </w:r>
          </w:p>
        </w:tc>
      </w:tr>
      <w:tr w:rsidR="00DD29AF" w:rsidRPr="00F70181" w14:paraId="37404B06" w14:textId="77777777" w:rsidTr="00335F65">
        <w:tc>
          <w:tcPr>
            <w:tcW w:w="4421" w:type="dxa"/>
          </w:tcPr>
          <w:p w14:paraId="6D86CEE5"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10.5.6.48.4</w:t>
            </w:r>
            <w:r w:rsidRPr="00D429B4">
              <w:rPr>
                <w:rFonts w:ascii="Verdana" w:hAnsi="Verdana"/>
                <w:sz w:val="16"/>
                <w:szCs w:val="16"/>
                <w:lang w:val="es-MX"/>
              </w:rPr>
              <w:t xml:space="preserve"> Evaluación de posibles productos de degradación y/o agregación, que conlleven a pérdida de la actividad biológica del ingrediente activo y/o que afecten la seguridad del producto.</w:t>
            </w:r>
          </w:p>
        </w:tc>
        <w:tc>
          <w:tcPr>
            <w:tcW w:w="4421" w:type="dxa"/>
          </w:tcPr>
          <w:p w14:paraId="67BC20B9" w14:textId="77777777" w:rsidR="00DD29AF" w:rsidRPr="00D429B4" w:rsidRDefault="00BF5A35"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10.5.6.48.4 </w:t>
            </w:r>
            <w:r w:rsidRPr="00D429B4">
              <w:rPr>
                <w:rFonts w:ascii="Verdana" w:hAnsi="Verdana"/>
                <w:sz w:val="16"/>
                <w:szCs w:val="16"/>
                <w:lang w:val="en-US"/>
              </w:rPr>
              <w:t xml:space="preserve">Evaluation of possible products of degradation and/or </w:t>
            </w:r>
            <w:r w:rsidR="00B12EE3" w:rsidRPr="00D429B4">
              <w:rPr>
                <w:rFonts w:ascii="Verdana" w:hAnsi="Verdana"/>
                <w:sz w:val="16"/>
                <w:szCs w:val="16"/>
                <w:lang w:val="en-US"/>
              </w:rPr>
              <w:t>aggregation</w:t>
            </w:r>
            <w:r w:rsidRPr="00D429B4">
              <w:rPr>
                <w:rFonts w:ascii="Verdana" w:hAnsi="Verdana"/>
                <w:sz w:val="16"/>
                <w:szCs w:val="16"/>
                <w:lang w:val="en-US"/>
              </w:rPr>
              <w:t xml:space="preserve"> that lead to a loss of biological activity of the active ingredient and/or that affect the safety of the product. </w:t>
            </w:r>
          </w:p>
        </w:tc>
      </w:tr>
      <w:tr w:rsidR="00DD29AF" w:rsidRPr="00F70181" w14:paraId="5497DBB8" w14:textId="77777777" w:rsidTr="00335F65">
        <w:tc>
          <w:tcPr>
            <w:tcW w:w="4421" w:type="dxa"/>
          </w:tcPr>
          <w:p w14:paraId="388AFBA6" w14:textId="77777777" w:rsidR="00DD29AF" w:rsidRPr="00D429B4" w:rsidRDefault="00DD29AF"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10.5.6.49 </w:t>
            </w:r>
            <w:r w:rsidRPr="00D429B4">
              <w:rPr>
                <w:rFonts w:ascii="Verdana" w:hAnsi="Verdana"/>
                <w:sz w:val="16"/>
                <w:szCs w:val="16"/>
                <w:lang w:val="es-MX"/>
              </w:rPr>
              <w:t>Se deberá contar con el protocolo resumido de fabricación acorde con las disposiciones jurídicas aplicables, hasta la etapa en la que se reciba el hemoderivado.</w:t>
            </w:r>
          </w:p>
        </w:tc>
        <w:tc>
          <w:tcPr>
            <w:tcW w:w="4421" w:type="dxa"/>
          </w:tcPr>
          <w:p w14:paraId="46E4DA4F" w14:textId="77777777" w:rsidR="00DD29AF" w:rsidRPr="00D429B4" w:rsidRDefault="00DD29AF" w:rsidP="00E57D17">
            <w:pPr>
              <w:pStyle w:val="Texto"/>
              <w:spacing w:line="276" w:lineRule="auto"/>
              <w:ind w:firstLine="0"/>
              <w:rPr>
                <w:rFonts w:ascii="Verdana" w:hAnsi="Verdana"/>
                <w:b/>
                <w:sz w:val="16"/>
                <w:szCs w:val="16"/>
                <w:lang w:val="en-US"/>
              </w:rPr>
            </w:pPr>
            <w:r w:rsidRPr="00D429B4">
              <w:rPr>
                <w:rFonts w:ascii="Verdana" w:hAnsi="Verdana"/>
                <w:b/>
                <w:sz w:val="16"/>
                <w:szCs w:val="16"/>
                <w:lang w:val="en-US"/>
              </w:rPr>
              <w:t>10.5.6.49</w:t>
            </w:r>
            <w:r w:rsidRPr="00D429B4">
              <w:rPr>
                <w:rFonts w:ascii="Verdana" w:hAnsi="Verdana"/>
                <w:sz w:val="16"/>
                <w:szCs w:val="16"/>
                <w:lang w:val="en-US"/>
              </w:rPr>
              <w:t xml:space="preserve"> There must be a summarized manufacturing protocol in accordance with the applicable legal provisions, up to the stage </w:t>
            </w:r>
            <w:r w:rsidR="00E57D17" w:rsidRPr="00D429B4">
              <w:rPr>
                <w:rFonts w:ascii="Verdana" w:hAnsi="Verdana"/>
                <w:sz w:val="16"/>
                <w:szCs w:val="16"/>
                <w:lang w:val="en-US"/>
              </w:rPr>
              <w:t xml:space="preserve">at </w:t>
            </w:r>
            <w:r w:rsidRPr="00D429B4">
              <w:rPr>
                <w:rFonts w:ascii="Verdana" w:hAnsi="Verdana"/>
                <w:sz w:val="16"/>
                <w:szCs w:val="16"/>
                <w:lang w:val="en-US"/>
              </w:rPr>
              <w:t>which the blood product is received.</w:t>
            </w:r>
          </w:p>
        </w:tc>
      </w:tr>
      <w:tr w:rsidR="00DD29AF" w:rsidRPr="00DD29AF" w14:paraId="29BDF5D8" w14:textId="77777777" w:rsidTr="00335F65">
        <w:tc>
          <w:tcPr>
            <w:tcW w:w="4421" w:type="dxa"/>
          </w:tcPr>
          <w:p w14:paraId="60D50592"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w:t>
            </w:r>
            <w:r w:rsidRPr="00D429B4">
              <w:rPr>
                <w:rFonts w:ascii="Verdana" w:hAnsi="Verdana"/>
                <w:sz w:val="16"/>
                <w:szCs w:val="16"/>
                <w:lang w:val="es-MX"/>
              </w:rPr>
              <w:t xml:space="preserve"> Productos biotecnológicos.</w:t>
            </w:r>
          </w:p>
        </w:tc>
        <w:tc>
          <w:tcPr>
            <w:tcW w:w="4421" w:type="dxa"/>
            <w:shd w:val="clear" w:color="auto" w:fill="auto"/>
          </w:tcPr>
          <w:p w14:paraId="6743A92C" w14:textId="77777777" w:rsidR="00DD29AF" w:rsidRPr="00D429B4" w:rsidRDefault="00DD29AF"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 </w:t>
            </w:r>
            <w:r w:rsidRPr="00D429B4">
              <w:rPr>
                <w:rFonts w:ascii="Verdana" w:hAnsi="Verdana"/>
                <w:sz w:val="16"/>
                <w:szCs w:val="16"/>
                <w:lang w:val="en-US"/>
              </w:rPr>
              <w:t>Biotechnological products.</w:t>
            </w:r>
          </w:p>
        </w:tc>
      </w:tr>
      <w:tr w:rsidR="00DD29AF" w:rsidRPr="00DD29AF" w14:paraId="4009F9BE" w14:textId="77777777" w:rsidTr="00335F65">
        <w:tc>
          <w:tcPr>
            <w:tcW w:w="4421" w:type="dxa"/>
          </w:tcPr>
          <w:p w14:paraId="778D38C8"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10.5.7.1</w:t>
            </w:r>
            <w:r w:rsidRPr="00D429B4">
              <w:rPr>
                <w:rFonts w:ascii="Verdana" w:hAnsi="Verdana"/>
                <w:sz w:val="16"/>
                <w:szCs w:val="16"/>
                <w:lang w:val="es-MX"/>
              </w:rPr>
              <w:t xml:space="preserve"> Instalaciones y equipos.</w:t>
            </w:r>
          </w:p>
        </w:tc>
        <w:tc>
          <w:tcPr>
            <w:tcW w:w="4421" w:type="dxa"/>
            <w:shd w:val="clear" w:color="auto" w:fill="auto"/>
          </w:tcPr>
          <w:p w14:paraId="7FC83E46" w14:textId="77777777" w:rsidR="00DD29AF" w:rsidRPr="00D429B4" w:rsidRDefault="00DD29AF"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10.5.7.1 </w:t>
            </w:r>
            <w:r w:rsidRPr="00D429B4">
              <w:rPr>
                <w:rFonts w:ascii="Verdana" w:hAnsi="Verdana"/>
                <w:sz w:val="16"/>
                <w:szCs w:val="16"/>
                <w:lang w:val="en-US"/>
              </w:rPr>
              <w:t>Installations and equipment.</w:t>
            </w:r>
          </w:p>
        </w:tc>
      </w:tr>
      <w:tr w:rsidR="00DD29AF" w:rsidRPr="00F70181" w14:paraId="3AA8ECE4" w14:textId="77777777" w:rsidTr="00335F65">
        <w:tc>
          <w:tcPr>
            <w:tcW w:w="4421" w:type="dxa"/>
          </w:tcPr>
          <w:p w14:paraId="59BEC0AB"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10.5.7.1.1</w:t>
            </w:r>
            <w:r w:rsidRPr="00D429B4">
              <w:rPr>
                <w:rFonts w:ascii="Verdana" w:hAnsi="Verdana"/>
                <w:sz w:val="16"/>
                <w:szCs w:val="16"/>
                <w:lang w:val="es-MX"/>
              </w:rPr>
              <w:t xml:space="preserve"> Las instalaciones, equipos y utensilios en las que se fabrica el biofármaco, deberán ser dedicadas para este tipo de productos.</w:t>
            </w:r>
          </w:p>
        </w:tc>
        <w:tc>
          <w:tcPr>
            <w:tcW w:w="4421" w:type="dxa"/>
            <w:shd w:val="clear" w:color="auto" w:fill="auto"/>
          </w:tcPr>
          <w:p w14:paraId="05F24760" w14:textId="77777777" w:rsidR="00DD29AF" w:rsidRPr="00D429B4" w:rsidRDefault="00DD29AF" w:rsidP="00E57D17">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10.5.7.1.1 </w:t>
            </w:r>
            <w:r w:rsidR="00E57D17" w:rsidRPr="00D429B4">
              <w:rPr>
                <w:rFonts w:ascii="Verdana" w:hAnsi="Verdana"/>
                <w:sz w:val="16"/>
                <w:szCs w:val="16"/>
                <w:lang w:val="en-US"/>
              </w:rPr>
              <w:t>The i</w:t>
            </w:r>
            <w:r w:rsidRPr="00D429B4">
              <w:rPr>
                <w:rFonts w:ascii="Verdana" w:hAnsi="Verdana"/>
                <w:sz w:val="16"/>
                <w:szCs w:val="16"/>
                <w:lang w:val="en-US"/>
              </w:rPr>
              <w:t>nstallations, equipment and utensils in which biopharmaceuticals are manufactured, must be dedicated to these types of products.</w:t>
            </w:r>
          </w:p>
        </w:tc>
      </w:tr>
      <w:tr w:rsidR="00DD29AF" w:rsidRPr="00F70181" w14:paraId="5C9E31A8" w14:textId="77777777" w:rsidTr="00335F65">
        <w:tc>
          <w:tcPr>
            <w:tcW w:w="4421" w:type="dxa"/>
          </w:tcPr>
          <w:p w14:paraId="7D94B773"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10.5.7.1.1.1</w:t>
            </w:r>
            <w:r w:rsidRPr="00D429B4">
              <w:rPr>
                <w:rFonts w:ascii="Verdana" w:hAnsi="Verdana"/>
                <w:sz w:val="16"/>
                <w:szCs w:val="16"/>
                <w:lang w:val="es-MX"/>
              </w:rPr>
              <w:t xml:space="preserve"> La fabricación de distintos biofármacos en las mismas instalaciones y equipos podrá realizarse mediante campañas y previa valoración de riesgo.</w:t>
            </w:r>
          </w:p>
        </w:tc>
        <w:tc>
          <w:tcPr>
            <w:tcW w:w="4421" w:type="dxa"/>
            <w:shd w:val="clear" w:color="auto" w:fill="auto"/>
          </w:tcPr>
          <w:p w14:paraId="4D4EA1B3" w14:textId="77777777" w:rsidR="00DD29AF" w:rsidRPr="00D429B4" w:rsidRDefault="00DD29AF"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10.5.7.1.1.1 </w:t>
            </w:r>
            <w:r w:rsidRPr="00D429B4">
              <w:rPr>
                <w:rFonts w:ascii="Verdana" w:hAnsi="Verdana"/>
                <w:sz w:val="16"/>
                <w:szCs w:val="16"/>
                <w:lang w:val="en-US"/>
              </w:rPr>
              <w:t>The manufacture of different biopharmaceuticals in the same installations and equipment may be performed through campaigns</w:t>
            </w:r>
            <w:r w:rsidR="00DE5DA8" w:rsidRPr="00D429B4">
              <w:rPr>
                <w:rFonts w:ascii="Verdana" w:hAnsi="Verdana"/>
                <w:sz w:val="16"/>
                <w:szCs w:val="16"/>
                <w:lang w:val="en-US"/>
              </w:rPr>
              <w:t xml:space="preserve"> and after evaluation of the risk.</w:t>
            </w:r>
          </w:p>
        </w:tc>
      </w:tr>
      <w:tr w:rsidR="00DD29AF" w:rsidRPr="00F70181" w14:paraId="76F41205" w14:textId="77777777" w:rsidTr="00335F65">
        <w:tc>
          <w:tcPr>
            <w:tcW w:w="4421" w:type="dxa"/>
          </w:tcPr>
          <w:p w14:paraId="3BE3EDDF" w14:textId="77777777" w:rsidR="00DD29AF" w:rsidRPr="00D429B4" w:rsidRDefault="00DD29AF"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10.5.7.1.1.2</w:t>
            </w:r>
            <w:r w:rsidRPr="00D429B4">
              <w:rPr>
                <w:rFonts w:ascii="Verdana" w:hAnsi="Verdana"/>
                <w:sz w:val="16"/>
                <w:szCs w:val="16"/>
                <w:lang w:val="es-MX"/>
              </w:rPr>
              <w:t xml:space="preserve"> La clasificación de las áreas de fabricación de los biofármacos serán definidas de acuerdo al proceso, previa valoración de riesgo.</w:t>
            </w:r>
          </w:p>
        </w:tc>
        <w:tc>
          <w:tcPr>
            <w:tcW w:w="4421" w:type="dxa"/>
            <w:shd w:val="clear" w:color="auto" w:fill="auto"/>
          </w:tcPr>
          <w:p w14:paraId="322956CF" w14:textId="77777777" w:rsidR="00DD29AF" w:rsidRPr="00D429B4" w:rsidRDefault="00DD29AF" w:rsidP="00E57D17">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10.5.7.1.1.2 </w:t>
            </w:r>
            <w:r w:rsidR="00E57D17" w:rsidRPr="00D429B4">
              <w:rPr>
                <w:rFonts w:ascii="Verdana" w:hAnsi="Verdana"/>
                <w:sz w:val="16"/>
                <w:szCs w:val="16"/>
                <w:lang w:val="en-US"/>
              </w:rPr>
              <w:t>The c</w:t>
            </w:r>
            <w:r w:rsidRPr="00D429B4">
              <w:rPr>
                <w:rFonts w:ascii="Verdana" w:hAnsi="Verdana"/>
                <w:sz w:val="16"/>
                <w:szCs w:val="16"/>
                <w:lang w:val="en-US"/>
              </w:rPr>
              <w:t>lassification of biopharmaceutical manufacturing areas will be defined in accordance with the process</w:t>
            </w:r>
            <w:r w:rsidR="00DE5DA8" w:rsidRPr="00D429B4">
              <w:rPr>
                <w:rFonts w:ascii="Verdana" w:hAnsi="Verdana"/>
                <w:sz w:val="16"/>
                <w:szCs w:val="16"/>
                <w:lang w:val="en-US"/>
              </w:rPr>
              <w:t>, after a</w:t>
            </w:r>
            <w:r w:rsidRPr="00D429B4">
              <w:rPr>
                <w:rFonts w:ascii="Verdana" w:hAnsi="Verdana"/>
                <w:sz w:val="16"/>
                <w:szCs w:val="16"/>
                <w:lang w:val="en-US"/>
              </w:rPr>
              <w:t xml:space="preserve"> risk analysis.</w:t>
            </w:r>
          </w:p>
        </w:tc>
      </w:tr>
      <w:tr w:rsidR="00DE5DA8" w:rsidRPr="00F70181" w14:paraId="62106EDC" w14:textId="77777777" w:rsidTr="00335F65">
        <w:tc>
          <w:tcPr>
            <w:tcW w:w="4421" w:type="dxa"/>
          </w:tcPr>
          <w:p w14:paraId="0C644D52"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10.5.7.1.2</w:t>
            </w:r>
            <w:r w:rsidRPr="00D429B4">
              <w:rPr>
                <w:rFonts w:ascii="Verdana" w:hAnsi="Verdana"/>
                <w:sz w:val="16"/>
                <w:szCs w:val="16"/>
                <w:lang w:val="es-MX"/>
              </w:rPr>
              <w:t xml:space="preserve"> Los procesos de formulación, llenado y acondicionado podrán llevarse a cabo en instalaciones no dedicadas y clasificadas conforme al Apéndice A Normativo de esta Norma, previa valoración de riesgo.</w:t>
            </w:r>
          </w:p>
        </w:tc>
        <w:tc>
          <w:tcPr>
            <w:tcW w:w="4421" w:type="dxa"/>
            <w:shd w:val="clear" w:color="auto" w:fill="auto"/>
          </w:tcPr>
          <w:p w14:paraId="7EF6EDDF" w14:textId="77777777" w:rsidR="00DE5DA8" w:rsidRPr="00D429B4" w:rsidRDefault="00DE5DA8" w:rsidP="00E57D17">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10.5.7.1.2 </w:t>
            </w:r>
            <w:r w:rsidR="00E57D17" w:rsidRPr="00D429B4">
              <w:rPr>
                <w:rFonts w:ascii="Verdana" w:hAnsi="Verdana"/>
                <w:sz w:val="16"/>
                <w:szCs w:val="16"/>
                <w:lang w:val="en-US"/>
              </w:rPr>
              <w:t>The f</w:t>
            </w:r>
            <w:r w:rsidRPr="00D429B4">
              <w:rPr>
                <w:rFonts w:ascii="Verdana" w:hAnsi="Verdana"/>
                <w:sz w:val="16"/>
                <w:szCs w:val="16"/>
                <w:lang w:val="en-US"/>
              </w:rPr>
              <w:t>ormulation, filling and conditioning processes may be carried out in non-dedicated installations and classified according to Obligatory Appendix A</w:t>
            </w:r>
            <w:r w:rsidR="00E57D17" w:rsidRPr="00D429B4">
              <w:rPr>
                <w:rFonts w:ascii="Verdana" w:hAnsi="Verdana"/>
                <w:sz w:val="16"/>
                <w:szCs w:val="16"/>
                <w:lang w:val="en-US"/>
              </w:rPr>
              <w:t xml:space="preserve"> of this Standard</w:t>
            </w:r>
            <w:r w:rsidRPr="00D429B4">
              <w:rPr>
                <w:rFonts w:ascii="Verdana" w:hAnsi="Verdana"/>
                <w:sz w:val="16"/>
                <w:szCs w:val="16"/>
                <w:lang w:val="en-US"/>
              </w:rPr>
              <w:t>, after a risk analysis.</w:t>
            </w:r>
          </w:p>
        </w:tc>
      </w:tr>
      <w:tr w:rsidR="00DE5DA8" w:rsidRPr="00F70181" w14:paraId="65B752AA" w14:textId="77777777" w:rsidTr="00335F65">
        <w:tc>
          <w:tcPr>
            <w:tcW w:w="4421" w:type="dxa"/>
          </w:tcPr>
          <w:p w14:paraId="2B79C8A9"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10.5.7.1.3</w:t>
            </w:r>
            <w:r w:rsidRPr="00D429B4">
              <w:rPr>
                <w:rFonts w:ascii="Verdana" w:hAnsi="Verdana"/>
                <w:sz w:val="16"/>
                <w:szCs w:val="16"/>
                <w:lang w:val="es-MX"/>
              </w:rPr>
              <w:t xml:space="preserve"> La limpieza y/o esterilización de los accesorios de tanques de fermentación y cultivo que </w:t>
            </w:r>
            <w:r w:rsidRPr="00D429B4">
              <w:rPr>
                <w:rFonts w:ascii="Verdana" w:hAnsi="Verdana"/>
                <w:sz w:val="16"/>
                <w:szCs w:val="16"/>
                <w:lang w:val="es-MX"/>
              </w:rPr>
              <w:lastRenderedPageBreak/>
              <w:t>lo requieran debe hacerse siguiendo un proceso validado.</w:t>
            </w:r>
          </w:p>
        </w:tc>
        <w:tc>
          <w:tcPr>
            <w:tcW w:w="4421" w:type="dxa"/>
            <w:shd w:val="clear" w:color="auto" w:fill="auto"/>
          </w:tcPr>
          <w:p w14:paraId="7A13D3F5" w14:textId="77777777" w:rsidR="00DE5DA8" w:rsidRPr="00D429B4" w:rsidRDefault="00DE5DA8" w:rsidP="00E57D17">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10.5.7.1.3 </w:t>
            </w:r>
            <w:r w:rsidR="00E57D17" w:rsidRPr="00D429B4">
              <w:rPr>
                <w:rFonts w:ascii="Verdana" w:hAnsi="Verdana"/>
                <w:sz w:val="16"/>
                <w:szCs w:val="16"/>
                <w:lang w:val="en-US"/>
              </w:rPr>
              <w:t>The c</w:t>
            </w:r>
            <w:r w:rsidRPr="00D429B4">
              <w:rPr>
                <w:rFonts w:ascii="Verdana" w:hAnsi="Verdana"/>
                <w:sz w:val="16"/>
                <w:szCs w:val="16"/>
                <w:lang w:val="en-US"/>
              </w:rPr>
              <w:t>leaning and/or sterilization of</w:t>
            </w:r>
            <w:r w:rsidR="00E57D17" w:rsidRPr="00D429B4">
              <w:rPr>
                <w:rFonts w:ascii="Verdana" w:hAnsi="Verdana"/>
                <w:sz w:val="16"/>
                <w:szCs w:val="16"/>
                <w:lang w:val="en-US"/>
              </w:rPr>
              <w:t xml:space="preserve"> the</w:t>
            </w:r>
            <w:r w:rsidRPr="00D429B4">
              <w:rPr>
                <w:rFonts w:ascii="Verdana" w:hAnsi="Verdana"/>
                <w:sz w:val="16"/>
                <w:szCs w:val="16"/>
                <w:lang w:val="en-US"/>
              </w:rPr>
              <w:t xml:space="preserve"> accessories of fermentation and culture tanks which </w:t>
            </w:r>
            <w:r w:rsidRPr="00D429B4">
              <w:rPr>
                <w:rFonts w:ascii="Verdana" w:hAnsi="Verdana"/>
                <w:sz w:val="16"/>
                <w:szCs w:val="16"/>
                <w:lang w:val="en-US"/>
              </w:rPr>
              <w:lastRenderedPageBreak/>
              <w:t>require it, must be done following a validated process.</w:t>
            </w:r>
          </w:p>
        </w:tc>
      </w:tr>
      <w:tr w:rsidR="00DE5DA8" w:rsidRPr="00DD29AF" w14:paraId="2868A54D" w14:textId="77777777" w:rsidTr="00335F65">
        <w:tc>
          <w:tcPr>
            <w:tcW w:w="4421" w:type="dxa"/>
          </w:tcPr>
          <w:p w14:paraId="44EB3CEB"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10.5.7.2 </w:t>
            </w:r>
            <w:r w:rsidRPr="00D429B4">
              <w:rPr>
                <w:rFonts w:ascii="Verdana" w:hAnsi="Verdana"/>
                <w:sz w:val="16"/>
                <w:szCs w:val="16"/>
                <w:lang w:val="es-MX"/>
              </w:rPr>
              <w:t>Bioproceso.</w:t>
            </w:r>
          </w:p>
        </w:tc>
        <w:tc>
          <w:tcPr>
            <w:tcW w:w="4421" w:type="dxa"/>
            <w:shd w:val="clear" w:color="auto" w:fill="auto"/>
          </w:tcPr>
          <w:p w14:paraId="0F8CD233"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10.5.7.2 </w:t>
            </w:r>
            <w:r w:rsidRPr="00D429B4">
              <w:rPr>
                <w:rFonts w:ascii="Verdana" w:hAnsi="Verdana"/>
                <w:sz w:val="16"/>
                <w:szCs w:val="16"/>
                <w:lang w:val="en-US"/>
              </w:rPr>
              <w:t>Bioprocess.</w:t>
            </w:r>
          </w:p>
        </w:tc>
      </w:tr>
      <w:tr w:rsidR="00DE5DA8" w:rsidRPr="00F70181" w14:paraId="02B9F68C" w14:textId="77777777" w:rsidTr="00335F65">
        <w:tc>
          <w:tcPr>
            <w:tcW w:w="4421" w:type="dxa"/>
          </w:tcPr>
          <w:p w14:paraId="519A4C58"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10.5.7.2.1</w:t>
            </w:r>
            <w:r w:rsidRPr="00D429B4">
              <w:rPr>
                <w:rFonts w:ascii="Verdana" w:hAnsi="Verdana"/>
                <w:sz w:val="16"/>
                <w:szCs w:val="16"/>
                <w:lang w:val="es-MX"/>
              </w:rPr>
              <w:t xml:space="preserve"> Se deben establecer controles para las siguientes etapas del bioproceso: propagación, fermentación o cultivo celular, cosecha, purificación e inactivación, entre otras.</w:t>
            </w:r>
          </w:p>
        </w:tc>
        <w:tc>
          <w:tcPr>
            <w:tcW w:w="4421" w:type="dxa"/>
            <w:shd w:val="clear" w:color="auto" w:fill="auto"/>
          </w:tcPr>
          <w:p w14:paraId="276FAFDA"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10.5.7.2.1 </w:t>
            </w:r>
            <w:r w:rsidRPr="00D429B4">
              <w:rPr>
                <w:rFonts w:ascii="Verdana" w:hAnsi="Verdana"/>
                <w:sz w:val="16"/>
                <w:szCs w:val="16"/>
                <w:lang w:val="en-US"/>
              </w:rPr>
              <w:t>Controls for the following stages of the bioprocess must be established: propagation, fermentation or cell culture, harvesting, purification and inactivation, among others.</w:t>
            </w:r>
          </w:p>
        </w:tc>
      </w:tr>
      <w:tr w:rsidR="00DE5DA8" w:rsidRPr="00F70181" w14:paraId="3FC1C825" w14:textId="77777777" w:rsidTr="00335F65">
        <w:tc>
          <w:tcPr>
            <w:tcW w:w="4421" w:type="dxa"/>
          </w:tcPr>
          <w:p w14:paraId="3333FCC0"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10.5.7.2.2</w:t>
            </w:r>
            <w:r w:rsidRPr="00D429B4">
              <w:rPr>
                <w:rFonts w:ascii="Verdana" w:hAnsi="Verdana"/>
                <w:sz w:val="16"/>
                <w:szCs w:val="16"/>
                <w:lang w:val="es-MX"/>
              </w:rPr>
              <w:t xml:space="preserve"> Los controles de proceso deben tener en consideración, lo siguiente:</w:t>
            </w:r>
          </w:p>
        </w:tc>
        <w:tc>
          <w:tcPr>
            <w:tcW w:w="4421" w:type="dxa"/>
            <w:shd w:val="clear" w:color="auto" w:fill="auto"/>
          </w:tcPr>
          <w:p w14:paraId="6C742BD0"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10.5.7.2.2 </w:t>
            </w:r>
            <w:r w:rsidRPr="00D429B4">
              <w:rPr>
                <w:rFonts w:ascii="Verdana" w:hAnsi="Verdana"/>
                <w:sz w:val="16"/>
                <w:szCs w:val="16"/>
                <w:lang w:val="en-US"/>
              </w:rPr>
              <w:t>The process controls must consider the following:</w:t>
            </w:r>
          </w:p>
        </w:tc>
      </w:tr>
      <w:tr w:rsidR="00DE5DA8" w:rsidRPr="00F70181" w14:paraId="577C5A55" w14:textId="77777777" w:rsidTr="00335F65">
        <w:tc>
          <w:tcPr>
            <w:tcW w:w="4421" w:type="dxa"/>
          </w:tcPr>
          <w:p w14:paraId="0827F768"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10.5.7.2.2.1</w:t>
            </w:r>
            <w:r w:rsidRPr="00D429B4">
              <w:rPr>
                <w:rFonts w:ascii="Verdana" w:hAnsi="Verdana"/>
                <w:sz w:val="16"/>
                <w:szCs w:val="16"/>
                <w:lang w:val="es-MX"/>
              </w:rPr>
              <w:t xml:space="preserve"> Seguimiento del proceso de crecimiento celular, pureza, viabilidad celular y cuando aplique, niveles de endotoxinas y/o pirógenos.</w:t>
            </w:r>
          </w:p>
        </w:tc>
        <w:tc>
          <w:tcPr>
            <w:tcW w:w="4421" w:type="dxa"/>
            <w:shd w:val="clear" w:color="auto" w:fill="auto"/>
          </w:tcPr>
          <w:p w14:paraId="004AFA98"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10.5.7.2.2.1 </w:t>
            </w:r>
            <w:r w:rsidRPr="00D429B4">
              <w:rPr>
                <w:rFonts w:ascii="Verdana" w:hAnsi="Verdana"/>
                <w:sz w:val="16"/>
                <w:szCs w:val="16"/>
                <w:lang w:val="en-US"/>
              </w:rPr>
              <w:t xml:space="preserve">The follow up of the cellular growth process, microbial purity, cellular viability and when applicable, levels of endotoxins and/or pyrogens. </w:t>
            </w:r>
          </w:p>
        </w:tc>
      </w:tr>
      <w:tr w:rsidR="00DE5DA8" w:rsidRPr="00F70181" w14:paraId="10A4B727" w14:textId="77777777" w:rsidTr="00335F65">
        <w:tc>
          <w:tcPr>
            <w:tcW w:w="4421" w:type="dxa"/>
          </w:tcPr>
          <w:p w14:paraId="58A242CD"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10.5.7.2.2.2</w:t>
            </w:r>
            <w:r w:rsidRPr="00D429B4">
              <w:rPr>
                <w:rFonts w:ascii="Verdana" w:hAnsi="Verdana"/>
                <w:sz w:val="16"/>
                <w:szCs w:val="16"/>
                <w:lang w:val="es-MX"/>
              </w:rPr>
              <w:t xml:space="preserve"> Número de cosechas en cultivo continuo, las cuales deberán cumplir la especificación establecida.</w:t>
            </w:r>
          </w:p>
        </w:tc>
        <w:tc>
          <w:tcPr>
            <w:tcW w:w="4421" w:type="dxa"/>
            <w:shd w:val="clear" w:color="auto" w:fill="auto"/>
          </w:tcPr>
          <w:p w14:paraId="63E9851E"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10.5.7.2.2.2 </w:t>
            </w:r>
            <w:r w:rsidRPr="00D429B4">
              <w:rPr>
                <w:rFonts w:ascii="Verdana" w:hAnsi="Verdana"/>
                <w:sz w:val="16"/>
                <w:szCs w:val="16"/>
                <w:lang w:val="en-US"/>
              </w:rPr>
              <w:t>Number of growths under continuous cultures, which must comply with the established specification.</w:t>
            </w:r>
          </w:p>
        </w:tc>
      </w:tr>
      <w:tr w:rsidR="00DE5DA8" w:rsidRPr="00DD29AF" w14:paraId="5F234896" w14:textId="77777777" w:rsidTr="00335F65">
        <w:tc>
          <w:tcPr>
            <w:tcW w:w="4421" w:type="dxa"/>
          </w:tcPr>
          <w:p w14:paraId="1A13122F"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10.5.7.2.2.3</w:t>
            </w:r>
            <w:r w:rsidRPr="00D429B4">
              <w:rPr>
                <w:rFonts w:ascii="Verdana" w:hAnsi="Verdana"/>
                <w:sz w:val="16"/>
                <w:szCs w:val="16"/>
                <w:lang w:val="es-MX"/>
              </w:rPr>
              <w:t xml:space="preserve"> Cuando aplique, seguridad viral.</w:t>
            </w:r>
          </w:p>
        </w:tc>
        <w:tc>
          <w:tcPr>
            <w:tcW w:w="4421" w:type="dxa"/>
            <w:shd w:val="clear" w:color="auto" w:fill="auto"/>
          </w:tcPr>
          <w:p w14:paraId="68AD65B2"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10.5.7.2.2.3 </w:t>
            </w:r>
            <w:r w:rsidRPr="00D429B4">
              <w:rPr>
                <w:rFonts w:ascii="Verdana" w:hAnsi="Verdana"/>
                <w:sz w:val="16"/>
                <w:szCs w:val="16"/>
                <w:lang w:val="en-US"/>
              </w:rPr>
              <w:t>When applicable, viral safety.</w:t>
            </w:r>
          </w:p>
        </w:tc>
      </w:tr>
      <w:tr w:rsidR="00DE5DA8" w:rsidRPr="00DD29AF" w14:paraId="70848759" w14:textId="77777777" w:rsidTr="00335F65">
        <w:tc>
          <w:tcPr>
            <w:tcW w:w="4421" w:type="dxa"/>
          </w:tcPr>
          <w:p w14:paraId="67A4840C"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10.5.7.2.2.4</w:t>
            </w:r>
            <w:r w:rsidRPr="00D429B4">
              <w:rPr>
                <w:rFonts w:ascii="Verdana" w:hAnsi="Verdana"/>
                <w:sz w:val="16"/>
                <w:szCs w:val="16"/>
                <w:lang w:val="es-MX"/>
              </w:rPr>
              <w:t xml:space="preserve"> Control de impurezas.</w:t>
            </w:r>
          </w:p>
        </w:tc>
        <w:tc>
          <w:tcPr>
            <w:tcW w:w="4421" w:type="dxa"/>
            <w:shd w:val="clear" w:color="auto" w:fill="auto"/>
          </w:tcPr>
          <w:p w14:paraId="2D6AAD3B"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10.5.7.2.2.4 </w:t>
            </w:r>
            <w:r w:rsidRPr="00D429B4">
              <w:rPr>
                <w:rFonts w:ascii="Verdana" w:hAnsi="Verdana"/>
                <w:sz w:val="16"/>
                <w:szCs w:val="16"/>
                <w:lang w:val="en-US"/>
              </w:rPr>
              <w:t>Control of impurities.</w:t>
            </w:r>
          </w:p>
        </w:tc>
      </w:tr>
      <w:tr w:rsidR="00DE5DA8" w:rsidRPr="00F70181" w14:paraId="53DF46EE" w14:textId="77777777" w:rsidTr="00335F65">
        <w:tc>
          <w:tcPr>
            <w:tcW w:w="4421" w:type="dxa"/>
          </w:tcPr>
          <w:p w14:paraId="27495626"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10.5.7.2.3</w:t>
            </w:r>
            <w:r w:rsidRPr="00D429B4">
              <w:rPr>
                <w:rFonts w:ascii="Verdana" w:hAnsi="Verdana"/>
                <w:sz w:val="16"/>
                <w:szCs w:val="16"/>
                <w:lang w:val="es-MX"/>
              </w:rPr>
              <w:t xml:space="preserve"> La evidencia documental de los controles en proceso efectuados debe formar parte del expediente de fabricación.</w:t>
            </w:r>
          </w:p>
        </w:tc>
        <w:tc>
          <w:tcPr>
            <w:tcW w:w="4421" w:type="dxa"/>
            <w:shd w:val="clear" w:color="auto" w:fill="auto"/>
          </w:tcPr>
          <w:p w14:paraId="437AAA2D"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10.5.7.2.3 </w:t>
            </w:r>
            <w:r w:rsidRPr="00D429B4">
              <w:rPr>
                <w:rFonts w:ascii="Verdana" w:hAnsi="Verdana"/>
                <w:sz w:val="16"/>
                <w:szCs w:val="16"/>
                <w:lang w:val="en-US"/>
              </w:rPr>
              <w:t>The documentary evidence of performed process controls must form part of the manufacturing file.</w:t>
            </w:r>
          </w:p>
        </w:tc>
      </w:tr>
      <w:tr w:rsidR="00DE5DA8" w:rsidRPr="00F70181" w14:paraId="3DF2FA6D" w14:textId="77777777" w:rsidTr="00335F65">
        <w:tc>
          <w:tcPr>
            <w:tcW w:w="4421" w:type="dxa"/>
          </w:tcPr>
          <w:p w14:paraId="37B0F659"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10.5.7.2.4 </w:t>
            </w:r>
            <w:r w:rsidRPr="00D429B4">
              <w:rPr>
                <w:rFonts w:ascii="Verdana" w:hAnsi="Verdana"/>
                <w:sz w:val="16"/>
                <w:szCs w:val="16"/>
                <w:lang w:val="es-MX"/>
              </w:rPr>
              <w:t>Se debe tener un procedimiento para detectar contaminantes.</w:t>
            </w:r>
          </w:p>
        </w:tc>
        <w:tc>
          <w:tcPr>
            <w:tcW w:w="4421" w:type="dxa"/>
            <w:shd w:val="clear" w:color="auto" w:fill="auto"/>
          </w:tcPr>
          <w:p w14:paraId="1AE77EAA"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10.5.7.2.4 </w:t>
            </w:r>
            <w:r w:rsidRPr="00D429B4">
              <w:rPr>
                <w:rFonts w:ascii="Verdana" w:hAnsi="Verdana"/>
                <w:sz w:val="16"/>
                <w:szCs w:val="16"/>
                <w:lang w:val="en-US"/>
              </w:rPr>
              <w:t>There must be a procedure to detect contaminants.</w:t>
            </w:r>
          </w:p>
        </w:tc>
      </w:tr>
      <w:tr w:rsidR="00DE5DA8" w:rsidRPr="00F70181" w14:paraId="6104EF3C" w14:textId="77777777" w:rsidTr="00335F65">
        <w:tc>
          <w:tcPr>
            <w:tcW w:w="4421" w:type="dxa"/>
          </w:tcPr>
          <w:p w14:paraId="2D7E0A0E"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10.5.7.2.5</w:t>
            </w:r>
            <w:r w:rsidRPr="00D429B4">
              <w:rPr>
                <w:rFonts w:ascii="Verdana" w:hAnsi="Verdana"/>
                <w:sz w:val="16"/>
                <w:szCs w:val="16"/>
                <w:lang w:val="es-MX"/>
              </w:rPr>
              <w:t xml:space="preserve"> Todos los contaminantes deben identificarse, investigarse, documentarse, determinar la(s) causa(s) y establecer las CAPA.</w:t>
            </w:r>
          </w:p>
        </w:tc>
        <w:tc>
          <w:tcPr>
            <w:tcW w:w="4421" w:type="dxa"/>
            <w:shd w:val="clear" w:color="auto" w:fill="auto"/>
          </w:tcPr>
          <w:p w14:paraId="5754887C"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10.5.7.2.5 </w:t>
            </w:r>
            <w:r w:rsidRPr="00D429B4">
              <w:rPr>
                <w:rFonts w:ascii="Verdana" w:hAnsi="Verdana"/>
                <w:sz w:val="16"/>
                <w:szCs w:val="16"/>
                <w:lang w:val="en-US"/>
              </w:rPr>
              <w:t xml:space="preserve">All contaminants must be identified, investigated, documented, </w:t>
            </w:r>
            <w:r w:rsidR="00E57D17" w:rsidRPr="00D429B4">
              <w:rPr>
                <w:rFonts w:ascii="Verdana" w:hAnsi="Verdana"/>
                <w:sz w:val="16"/>
                <w:szCs w:val="16"/>
                <w:lang w:val="en-US"/>
              </w:rPr>
              <w:t xml:space="preserve">the cause or </w:t>
            </w:r>
            <w:r w:rsidRPr="00D429B4">
              <w:rPr>
                <w:rFonts w:ascii="Verdana" w:hAnsi="Verdana"/>
                <w:sz w:val="16"/>
                <w:szCs w:val="16"/>
                <w:lang w:val="en-US"/>
              </w:rPr>
              <w:t>causes must be determined and</w:t>
            </w:r>
            <w:r w:rsidR="00E57D17" w:rsidRPr="00D429B4">
              <w:rPr>
                <w:rFonts w:ascii="Verdana" w:hAnsi="Verdana"/>
                <w:sz w:val="16"/>
                <w:szCs w:val="16"/>
                <w:lang w:val="en-US"/>
              </w:rPr>
              <w:t xml:space="preserve"> the</w:t>
            </w:r>
            <w:r w:rsidRPr="00D429B4">
              <w:rPr>
                <w:rFonts w:ascii="Verdana" w:hAnsi="Verdana"/>
                <w:sz w:val="16"/>
                <w:szCs w:val="16"/>
                <w:lang w:val="en-US"/>
              </w:rPr>
              <w:t xml:space="preserve"> CAPA must be established.</w:t>
            </w:r>
          </w:p>
        </w:tc>
      </w:tr>
      <w:tr w:rsidR="00DE5DA8" w:rsidRPr="00F70181" w14:paraId="742197EE" w14:textId="77777777" w:rsidTr="00335F65">
        <w:tc>
          <w:tcPr>
            <w:tcW w:w="4421" w:type="dxa"/>
          </w:tcPr>
          <w:p w14:paraId="155ACA1C"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10.5.7.2.6 </w:t>
            </w:r>
            <w:r w:rsidRPr="00D429B4">
              <w:rPr>
                <w:rFonts w:ascii="Verdana" w:hAnsi="Verdana"/>
                <w:sz w:val="16"/>
                <w:szCs w:val="16"/>
                <w:lang w:val="es-MX"/>
              </w:rPr>
              <w:t>Se debe tener un procedimiento para la descontaminación de los equipos o sistemas causantes de la contaminación.</w:t>
            </w:r>
          </w:p>
        </w:tc>
        <w:tc>
          <w:tcPr>
            <w:tcW w:w="4421" w:type="dxa"/>
            <w:shd w:val="clear" w:color="auto" w:fill="auto"/>
          </w:tcPr>
          <w:p w14:paraId="57084A92"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10.5.7.2.6 </w:t>
            </w:r>
            <w:r w:rsidRPr="00D429B4">
              <w:rPr>
                <w:rFonts w:ascii="Verdana" w:hAnsi="Verdana"/>
                <w:sz w:val="16"/>
                <w:szCs w:val="16"/>
                <w:lang w:val="en-US"/>
              </w:rPr>
              <w:t>There must be a decontamination procedure for equipment or systems which cause contamination.</w:t>
            </w:r>
          </w:p>
        </w:tc>
      </w:tr>
      <w:tr w:rsidR="00DE5DA8" w:rsidRPr="00F70181" w14:paraId="5D2B669C" w14:textId="77777777" w:rsidTr="00335F65">
        <w:tc>
          <w:tcPr>
            <w:tcW w:w="4421" w:type="dxa"/>
          </w:tcPr>
          <w:p w14:paraId="47CE7DF2"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10.5.7.3</w:t>
            </w:r>
            <w:r w:rsidRPr="00D429B4">
              <w:rPr>
                <w:rFonts w:ascii="Verdana" w:hAnsi="Verdana"/>
                <w:sz w:val="16"/>
                <w:szCs w:val="16"/>
                <w:lang w:val="es-MX"/>
              </w:rPr>
              <w:t xml:space="preserve"> Cultivo celular y/o microbiano.</w:t>
            </w:r>
          </w:p>
        </w:tc>
        <w:tc>
          <w:tcPr>
            <w:tcW w:w="4421" w:type="dxa"/>
            <w:shd w:val="clear" w:color="auto" w:fill="auto"/>
          </w:tcPr>
          <w:p w14:paraId="57C289C0"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10.5.7.3 </w:t>
            </w:r>
            <w:r w:rsidRPr="00D429B4">
              <w:rPr>
                <w:rFonts w:ascii="Verdana" w:hAnsi="Verdana"/>
                <w:sz w:val="16"/>
                <w:szCs w:val="16"/>
                <w:lang w:val="en-US"/>
              </w:rPr>
              <w:t>Cell and/or microbial culture.</w:t>
            </w:r>
          </w:p>
        </w:tc>
      </w:tr>
      <w:tr w:rsidR="00DE5DA8" w:rsidRPr="00F70181" w14:paraId="641DA006" w14:textId="77777777" w:rsidTr="00335F65">
        <w:tc>
          <w:tcPr>
            <w:tcW w:w="4421" w:type="dxa"/>
          </w:tcPr>
          <w:p w14:paraId="650C6309"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10.5.7.3.1</w:t>
            </w:r>
            <w:r w:rsidRPr="00D429B4">
              <w:rPr>
                <w:rFonts w:ascii="Verdana" w:hAnsi="Verdana"/>
                <w:sz w:val="16"/>
                <w:szCs w:val="16"/>
                <w:lang w:val="es-MX"/>
              </w:rPr>
              <w:t xml:space="preserve"> Las manipulaciones que utilicen recipientes abiertos, deberán ser llevadas a cabo en una campana de bioseguridad o en condiciones ambientales controladas.</w:t>
            </w:r>
          </w:p>
        </w:tc>
        <w:tc>
          <w:tcPr>
            <w:tcW w:w="4421" w:type="dxa"/>
            <w:shd w:val="clear" w:color="auto" w:fill="auto"/>
          </w:tcPr>
          <w:p w14:paraId="27402D7B"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10.5.7.3.1</w:t>
            </w:r>
            <w:r w:rsidR="00E57D17" w:rsidRPr="00D429B4">
              <w:rPr>
                <w:rFonts w:ascii="Verdana" w:hAnsi="Verdana"/>
                <w:b/>
                <w:sz w:val="16"/>
                <w:szCs w:val="16"/>
                <w:lang w:val="en-US"/>
              </w:rPr>
              <w:t xml:space="preserve"> </w:t>
            </w:r>
            <w:r w:rsidRPr="00D429B4">
              <w:rPr>
                <w:rFonts w:ascii="Verdana" w:hAnsi="Verdana"/>
                <w:sz w:val="16"/>
                <w:szCs w:val="16"/>
                <w:lang w:val="en-US"/>
              </w:rPr>
              <w:t>Handling done using open containers, must be carried out in a biosafety bell or in controlled environmental conditions.</w:t>
            </w:r>
          </w:p>
        </w:tc>
      </w:tr>
      <w:tr w:rsidR="00DE5DA8" w:rsidRPr="00F70181" w14:paraId="186DCF2A" w14:textId="77777777" w:rsidTr="00335F65">
        <w:tc>
          <w:tcPr>
            <w:tcW w:w="4421" w:type="dxa"/>
          </w:tcPr>
          <w:p w14:paraId="5F90E5F0"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10.5.7.3.2</w:t>
            </w:r>
            <w:r w:rsidRPr="00D429B4">
              <w:rPr>
                <w:rFonts w:ascii="Verdana" w:hAnsi="Verdana"/>
                <w:sz w:val="16"/>
                <w:szCs w:val="16"/>
                <w:lang w:val="es-MX"/>
              </w:rPr>
              <w:t xml:space="preserve"> Siempre que sea posible, se deben utilizar sistemas cerrados o contenidos para permitir la adición aséptica de sustratos celulares, medios de cultivo, suplementos, soluciones amortiguadoras y gases. Si la inoculación de un recipiente inicial o las transferencias o adiciones subsecuentes (medios, soluciones amortiguadoras) es ejecutada en recipientes abiertos, deberá haber controles y procedimientos establecidos para minimizar los riesgos por contaminación.</w:t>
            </w:r>
          </w:p>
        </w:tc>
        <w:tc>
          <w:tcPr>
            <w:tcW w:w="4421" w:type="dxa"/>
            <w:shd w:val="clear" w:color="auto" w:fill="auto"/>
          </w:tcPr>
          <w:p w14:paraId="54D20745"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10.5.7.3.2 </w:t>
            </w:r>
            <w:r w:rsidRPr="00D429B4">
              <w:rPr>
                <w:rFonts w:ascii="Verdana" w:hAnsi="Verdana"/>
                <w:sz w:val="16"/>
                <w:szCs w:val="16"/>
                <w:lang w:val="en-US"/>
              </w:rPr>
              <w:t>Provided it is possible, closed or contained systems must be used to prevent the aseptic addition of cell substrates, growth media, supplements, buffing solutions and gases. If the inoculation of the initial container or transfers or subsequent additions (media, buffering solutions) is performed in open containers, there should be controls and procedures in place to minimize contamination risks.</w:t>
            </w:r>
          </w:p>
        </w:tc>
      </w:tr>
      <w:tr w:rsidR="00DE5DA8" w:rsidRPr="00F70181" w14:paraId="1AF3AB3F" w14:textId="77777777" w:rsidTr="00335F65">
        <w:tc>
          <w:tcPr>
            <w:tcW w:w="4421" w:type="dxa"/>
          </w:tcPr>
          <w:p w14:paraId="47B143B7"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10.5.7.3.3</w:t>
            </w:r>
            <w:r w:rsidRPr="00D429B4">
              <w:rPr>
                <w:rFonts w:ascii="Verdana" w:hAnsi="Verdana"/>
                <w:sz w:val="16"/>
                <w:szCs w:val="16"/>
                <w:lang w:val="es-MX"/>
              </w:rPr>
              <w:t xml:space="preserve"> El manejo de los cultivos debe llevarse a cabo a través de sistemas de contención, que por diseño sean capaces de mantener la viabilidad, pureza y evitar su dispersión. Ésta debe ser determinada de acuerdo al nivel de bioseguridad que le corresponda.</w:t>
            </w:r>
          </w:p>
        </w:tc>
        <w:tc>
          <w:tcPr>
            <w:tcW w:w="4421" w:type="dxa"/>
            <w:shd w:val="clear" w:color="auto" w:fill="auto"/>
          </w:tcPr>
          <w:p w14:paraId="767FABED"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10.5.7.3.3 </w:t>
            </w:r>
            <w:r w:rsidRPr="00D429B4">
              <w:rPr>
                <w:rFonts w:ascii="Verdana" w:hAnsi="Verdana"/>
                <w:sz w:val="16"/>
                <w:szCs w:val="16"/>
                <w:lang w:val="en-US"/>
              </w:rPr>
              <w:t>The handling of cultures must be done through containment systems, which can be capable of maintaining viability, purity and avoid dispersion due to their design. This must be determined in accordance with the applicable biosafety level.</w:t>
            </w:r>
          </w:p>
        </w:tc>
      </w:tr>
      <w:tr w:rsidR="00DE5DA8" w:rsidRPr="00F70181" w14:paraId="34DA337D" w14:textId="77777777" w:rsidTr="00335F65">
        <w:tc>
          <w:tcPr>
            <w:tcW w:w="4421" w:type="dxa"/>
          </w:tcPr>
          <w:p w14:paraId="10FD4504"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10.5.7.3.4</w:t>
            </w:r>
            <w:r w:rsidRPr="00D429B4">
              <w:rPr>
                <w:rFonts w:ascii="Verdana" w:hAnsi="Verdana"/>
                <w:sz w:val="16"/>
                <w:szCs w:val="16"/>
                <w:lang w:val="es-MX"/>
              </w:rPr>
              <w:t xml:space="preserve"> Se debe monitorear la viabilidad celular, estableciendo los controles.</w:t>
            </w:r>
          </w:p>
        </w:tc>
        <w:tc>
          <w:tcPr>
            <w:tcW w:w="4421" w:type="dxa"/>
            <w:shd w:val="clear" w:color="auto" w:fill="auto"/>
          </w:tcPr>
          <w:p w14:paraId="5F4D559C"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10.5.7.3.4 </w:t>
            </w:r>
            <w:r w:rsidRPr="00D429B4">
              <w:rPr>
                <w:rFonts w:ascii="Verdana" w:hAnsi="Verdana"/>
                <w:sz w:val="16"/>
                <w:szCs w:val="16"/>
                <w:lang w:val="en-US"/>
              </w:rPr>
              <w:t>The cellular viability must be monitored, establishing controls.</w:t>
            </w:r>
          </w:p>
        </w:tc>
      </w:tr>
      <w:tr w:rsidR="00DE5DA8" w:rsidRPr="00F70181" w14:paraId="344B5E0C" w14:textId="77777777" w:rsidTr="00335F65">
        <w:tc>
          <w:tcPr>
            <w:tcW w:w="4421" w:type="dxa"/>
          </w:tcPr>
          <w:p w14:paraId="31F618E1"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10.5.7.3.5</w:t>
            </w:r>
            <w:r w:rsidRPr="00D429B4">
              <w:rPr>
                <w:rFonts w:ascii="Verdana" w:hAnsi="Verdana"/>
                <w:sz w:val="16"/>
                <w:szCs w:val="16"/>
                <w:lang w:val="es-MX"/>
              </w:rPr>
              <w:t xml:space="preserve"> Cuando se utilice un cultivo continuo, se tendrán especialmente en cuenta los requisitos de control de calidad que corresponden a este tipo de método de producción.</w:t>
            </w:r>
          </w:p>
        </w:tc>
        <w:tc>
          <w:tcPr>
            <w:tcW w:w="4421" w:type="dxa"/>
            <w:shd w:val="clear" w:color="auto" w:fill="auto"/>
          </w:tcPr>
          <w:p w14:paraId="49253ABE"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10.5.7.3.5 </w:t>
            </w:r>
            <w:r w:rsidRPr="00D429B4">
              <w:rPr>
                <w:rFonts w:ascii="Verdana" w:hAnsi="Verdana"/>
                <w:sz w:val="16"/>
                <w:szCs w:val="16"/>
                <w:lang w:val="en-US"/>
              </w:rPr>
              <w:t>When a continuous culture is used, the quality control requirements that correspond to this type of production method will be especially taken into account.</w:t>
            </w:r>
          </w:p>
        </w:tc>
      </w:tr>
      <w:tr w:rsidR="00DE5DA8" w:rsidRPr="00F70181" w14:paraId="14795978" w14:textId="77777777" w:rsidTr="00335F65">
        <w:tc>
          <w:tcPr>
            <w:tcW w:w="4421" w:type="dxa"/>
          </w:tcPr>
          <w:p w14:paraId="4A63AFBA"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10.5.7.3.6</w:t>
            </w:r>
            <w:r w:rsidRPr="00D429B4">
              <w:rPr>
                <w:rFonts w:ascii="Verdana" w:hAnsi="Verdana"/>
                <w:sz w:val="16"/>
                <w:szCs w:val="16"/>
                <w:lang w:val="es-MX"/>
              </w:rPr>
              <w:t xml:space="preserve"> Cuando el proceso de fabricación no sea continuo, deben proporcionarse datos de estabilidad que fundamenten las condiciones y tiempo de almacenamiento de los productos intermedios almacenados durante el proceso.</w:t>
            </w:r>
          </w:p>
        </w:tc>
        <w:tc>
          <w:tcPr>
            <w:tcW w:w="4421" w:type="dxa"/>
            <w:shd w:val="clear" w:color="auto" w:fill="auto"/>
          </w:tcPr>
          <w:p w14:paraId="6D594357" w14:textId="77777777" w:rsidR="00DE5DA8" w:rsidRPr="00D429B4" w:rsidRDefault="00DE5DA8" w:rsidP="00E57D17">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10.5.7.3.6 </w:t>
            </w:r>
            <w:r w:rsidRPr="00D429B4">
              <w:rPr>
                <w:rFonts w:ascii="Verdana" w:hAnsi="Verdana"/>
                <w:sz w:val="16"/>
                <w:szCs w:val="16"/>
                <w:lang w:val="en-US"/>
              </w:rPr>
              <w:t>When the manufacturing process i</w:t>
            </w:r>
            <w:r w:rsidR="00E57D17" w:rsidRPr="00D429B4">
              <w:rPr>
                <w:rFonts w:ascii="Verdana" w:hAnsi="Verdana"/>
                <w:sz w:val="16"/>
                <w:szCs w:val="16"/>
                <w:lang w:val="en-US"/>
              </w:rPr>
              <w:t>s</w:t>
            </w:r>
            <w:r w:rsidRPr="00D429B4">
              <w:rPr>
                <w:rFonts w:ascii="Verdana" w:hAnsi="Verdana"/>
                <w:sz w:val="16"/>
                <w:szCs w:val="16"/>
                <w:lang w:val="en-US"/>
              </w:rPr>
              <w:t xml:space="preserve"> not continuous, stability data which substantiate</w:t>
            </w:r>
            <w:r w:rsidR="00E57D17" w:rsidRPr="00D429B4">
              <w:rPr>
                <w:rFonts w:ascii="Verdana" w:hAnsi="Verdana"/>
                <w:sz w:val="16"/>
                <w:szCs w:val="16"/>
                <w:lang w:val="en-US"/>
              </w:rPr>
              <w:t>s</w:t>
            </w:r>
            <w:r w:rsidRPr="00D429B4">
              <w:rPr>
                <w:rFonts w:ascii="Verdana" w:hAnsi="Verdana"/>
                <w:sz w:val="16"/>
                <w:szCs w:val="16"/>
                <w:lang w:val="en-US"/>
              </w:rPr>
              <w:t xml:space="preserve"> the storage time and conditions of intermediate products stored during the process must be provided.</w:t>
            </w:r>
          </w:p>
        </w:tc>
      </w:tr>
      <w:tr w:rsidR="00DE5DA8" w:rsidRPr="00F70181" w14:paraId="39DA8DAA" w14:textId="77777777" w:rsidTr="00335F65">
        <w:tc>
          <w:tcPr>
            <w:tcW w:w="4421" w:type="dxa"/>
          </w:tcPr>
          <w:p w14:paraId="0E6A03A0"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10.5.7.3.7</w:t>
            </w:r>
            <w:r w:rsidRPr="00D429B4">
              <w:rPr>
                <w:rFonts w:ascii="Verdana" w:hAnsi="Verdana"/>
                <w:sz w:val="16"/>
                <w:szCs w:val="16"/>
                <w:lang w:val="es-MX"/>
              </w:rPr>
              <w:t xml:space="preserve"> Se debe dar seguimiento a los parámetros críticos de operación, para garantizar la consistencia del proceso establecido. Deben controlarse también el crecimiento celular, la pureza, rendimiento, así como la renovación de medio de cultivo cuando se trate de cultivos continuos.</w:t>
            </w:r>
          </w:p>
        </w:tc>
        <w:tc>
          <w:tcPr>
            <w:tcW w:w="4421" w:type="dxa"/>
            <w:shd w:val="clear" w:color="auto" w:fill="auto"/>
          </w:tcPr>
          <w:p w14:paraId="1419B8FD" w14:textId="77777777" w:rsidR="00DE5DA8" w:rsidRPr="00D429B4" w:rsidRDefault="00DE5DA8" w:rsidP="00E57D17">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10.5.7.3.7 </w:t>
            </w:r>
            <w:r w:rsidRPr="00D429B4">
              <w:rPr>
                <w:rFonts w:ascii="Verdana" w:hAnsi="Verdana"/>
                <w:sz w:val="16"/>
                <w:szCs w:val="16"/>
                <w:lang w:val="en-US"/>
              </w:rPr>
              <w:t>Follow up must be provided to critical parameters of operation, to guarantee the consistency of the established process. Cellular growth, purity, the yield as well as the renewal of culture medium must also be controlled, with regard to continuous cult</w:t>
            </w:r>
            <w:r w:rsidR="00E57D17" w:rsidRPr="00D429B4">
              <w:rPr>
                <w:rFonts w:ascii="Verdana" w:hAnsi="Verdana"/>
                <w:sz w:val="16"/>
                <w:szCs w:val="16"/>
                <w:lang w:val="en-US"/>
              </w:rPr>
              <w:t>ur</w:t>
            </w:r>
            <w:r w:rsidRPr="00D429B4">
              <w:rPr>
                <w:rFonts w:ascii="Verdana" w:hAnsi="Verdana"/>
                <w:sz w:val="16"/>
                <w:szCs w:val="16"/>
                <w:lang w:val="en-US"/>
              </w:rPr>
              <w:t xml:space="preserve">es. </w:t>
            </w:r>
          </w:p>
        </w:tc>
      </w:tr>
      <w:tr w:rsidR="00DE5DA8" w:rsidRPr="00F70181" w14:paraId="3455603B" w14:textId="77777777" w:rsidTr="00335F65">
        <w:tc>
          <w:tcPr>
            <w:tcW w:w="4421" w:type="dxa"/>
          </w:tcPr>
          <w:p w14:paraId="10797EBD" w14:textId="77777777" w:rsidR="00DE5DA8" w:rsidRPr="00D429B4" w:rsidRDefault="00DE5DA8" w:rsidP="005C0901">
            <w:pPr>
              <w:pStyle w:val="Texto"/>
              <w:spacing w:line="276" w:lineRule="auto"/>
              <w:ind w:firstLine="0"/>
              <w:rPr>
                <w:rFonts w:ascii="Verdana" w:hAnsi="Verdana"/>
                <w:b/>
                <w:sz w:val="16"/>
                <w:szCs w:val="16"/>
                <w:lang w:val="es-MX"/>
              </w:rPr>
            </w:pPr>
            <w:r w:rsidRPr="00D429B4">
              <w:rPr>
                <w:rFonts w:ascii="Verdana" w:hAnsi="Verdana"/>
                <w:sz w:val="16"/>
                <w:szCs w:val="16"/>
                <w:lang w:val="es-MX"/>
              </w:rPr>
              <w:t>Las condiciones de fabricación para la preparación de sub-fragmentos de anticuerpos (por ejemplo, Fab, F(ab')2, scFv) y otras modificaciones (por ejemplo, radiomarcaje, conjugación, unión química) deben estar de acuerdo con los parámetros validados.</w:t>
            </w:r>
          </w:p>
        </w:tc>
        <w:tc>
          <w:tcPr>
            <w:tcW w:w="4421" w:type="dxa"/>
            <w:shd w:val="clear" w:color="auto" w:fill="auto"/>
          </w:tcPr>
          <w:p w14:paraId="1FFFD32E"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sz w:val="16"/>
                <w:szCs w:val="16"/>
                <w:lang w:val="en-US"/>
              </w:rPr>
              <w:t>The manufacturing conditions for the preparation of sub-fragments of antibodies (for example, and other modifications (for example, Fab, F(ab')2, sc</w:t>
            </w:r>
            <w:r w:rsidR="00E57D17" w:rsidRPr="00D429B4">
              <w:rPr>
                <w:rFonts w:ascii="Verdana" w:hAnsi="Verdana"/>
                <w:sz w:val="16"/>
                <w:szCs w:val="16"/>
                <w:lang w:val="en-US"/>
              </w:rPr>
              <w:t xml:space="preserve">Fv)  radiomarking, conjugation, </w:t>
            </w:r>
            <w:r w:rsidRPr="00D429B4">
              <w:rPr>
                <w:rFonts w:ascii="Verdana" w:hAnsi="Verdana"/>
                <w:sz w:val="16"/>
                <w:szCs w:val="16"/>
                <w:lang w:val="en-US"/>
              </w:rPr>
              <w:t xml:space="preserve">chemical union) must be according to the validated parameters. </w:t>
            </w:r>
          </w:p>
        </w:tc>
      </w:tr>
      <w:tr w:rsidR="00DE5DA8" w:rsidRPr="00F70181" w14:paraId="783B20F4" w14:textId="77777777" w:rsidTr="00335F65">
        <w:tc>
          <w:tcPr>
            <w:tcW w:w="4421" w:type="dxa"/>
          </w:tcPr>
          <w:p w14:paraId="4A598D14"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10.5.7.3.8</w:t>
            </w:r>
            <w:r w:rsidRPr="00D429B4">
              <w:rPr>
                <w:rFonts w:ascii="Verdana" w:hAnsi="Verdana"/>
                <w:sz w:val="16"/>
                <w:szCs w:val="16"/>
                <w:lang w:val="es-MX"/>
              </w:rPr>
              <w:t xml:space="preserve"> El medio de cultivo debe esterilizarse antes de su uso. Debe existir un procedimiento que describa las acciones para detectar la posible contaminación y tomar las acciones para evitarla.</w:t>
            </w:r>
          </w:p>
        </w:tc>
        <w:tc>
          <w:tcPr>
            <w:tcW w:w="4421" w:type="dxa"/>
          </w:tcPr>
          <w:p w14:paraId="68860357" w14:textId="77777777" w:rsidR="00DE5DA8" w:rsidRPr="00D429B4" w:rsidRDefault="00DE5DA8" w:rsidP="005C0901">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10.5.7.3.8 </w:t>
            </w:r>
            <w:r w:rsidRPr="00D429B4">
              <w:rPr>
                <w:rFonts w:ascii="Verdana" w:hAnsi="Verdana"/>
                <w:sz w:val="16"/>
                <w:szCs w:val="16"/>
                <w:lang w:val="en-US"/>
              </w:rPr>
              <w:t>The culture medium must be sterilized before its use. There must be a procedure which describes the actions to detect possible contamination and action to be taken in order to avoid it.</w:t>
            </w:r>
          </w:p>
        </w:tc>
      </w:tr>
      <w:tr w:rsidR="00DE5DA8" w:rsidRPr="00DD29AF" w14:paraId="262C380D" w14:textId="77777777" w:rsidTr="00335F65">
        <w:tc>
          <w:tcPr>
            <w:tcW w:w="4421" w:type="dxa"/>
          </w:tcPr>
          <w:p w14:paraId="0F6C369E"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10.5.7.4</w:t>
            </w:r>
            <w:r w:rsidRPr="00D429B4">
              <w:rPr>
                <w:rFonts w:ascii="Verdana" w:hAnsi="Verdana"/>
                <w:sz w:val="16"/>
                <w:szCs w:val="16"/>
                <w:lang w:val="es-MX"/>
              </w:rPr>
              <w:t xml:space="preserve"> Cosecha y purificación.</w:t>
            </w:r>
          </w:p>
        </w:tc>
        <w:tc>
          <w:tcPr>
            <w:tcW w:w="4421" w:type="dxa"/>
            <w:shd w:val="clear" w:color="auto" w:fill="auto"/>
          </w:tcPr>
          <w:p w14:paraId="4577F62F"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10.5.7.4 </w:t>
            </w:r>
            <w:r w:rsidRPr="00D429B4">
              <w:rPr>
                <w:rFonts w:ascii="Verdana" w:hAnsi="Verdana"/>
                <w:sz w:val="16"/>
                <w:szCs w:val="16"/>
                <w:lang w:val="en-US"/>
              </w:rPr>
              <w:t>Harvest and purification.</w:t>
            </w:r>
          </w:p>
        </w:tc>
      </w:tr>
      <w:tr w:rsidR="00DE5DA8" w:rsidRPr="00F70181" w14:paraId="69F5ECC4" w14:textId="77777777" w:rsidTr="00335F65">
        <w:tc>
          <w:tcPr>
            <w:tcW w:w="4421" w:type="dxa"/>
          </w:tcPr>
          <w:p w14:paraId="096F0F70"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10.5.7.4.1</w:t>
            </w:r>
            <w:r w:rsidRPr="00D429B4">
              <w:rPr>
                <w:rFonts w:ascii="Verdana" w:hAnsi="Verdana"/>
                <w:sz w:val="16"/>
                <w:szCs w:val="16"/>
                <w:lang w:val="es-MX"/>
              </w:rPr>
              <w:t xml:space="preserve"> Los procesos de cosecha, inactivación y/o purificación, deben asegurar que el producto intermedio o el biofármaco se obtienen con una calidad consistente.</w:t>
            </w:r>
          </w:p>
        </w:tc>
        <w:tc>
          <w:tcPr>
            <w:tcW w:w="4421" w:type="dxa"/>
            <w:shd w:val="clear" w:color="auto" w:fill="auto"/>
          </w:tcPr>
          <w:p w14:paraId="04AFDE75"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10.5.7.4.1 </w:t>
            </w:r>
            <w:r w:rsidRPr="00D429B4">
              <w:rPr>
                <w:rFonts w:ascii="Verdana" w:hAnsi="Verdana"/>
                <w:sz w:val="16"/>
                <w:szCs w:val="16"/>
                <w:lang w:val="en-US"/>
              </w:rPr>
              <w:t xml:space="preserve">The harvest and purification processes, inactivation and/or purification must assure that the intermediate product or the biopharmaceutical are obtained with consistent quality. </w:t>
            </w:r>
          </w:p>
        </w:tc>
      </w:tr>
      <w:tr w:rsidR="00DE5DA8" w:rsidRPr="00DD29AF" w14:paraId="6154DAB3" w14:textId="77777777" w:rsidTr="00335F65">
        <w:tc>
          <w:tcPr>
            <w:tcW w:w="4421" w:type="dxa"/>
          </w:tcPr>
          <w:p w14:paraId="1A89193C"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10.5.8</w:t>
            </w:r>
            <w:r w:rsidRPr="00D429B4">
              <w:rPr>
                <w:rFonts w:ascii="Verdana" w:hAnsi="Verdana"/>
                <w:sz w:val="16"/>
                <w:szCs w:val="16"/>
                <w:lang w:val="es-MX"/>
              </w:rPr>
              <w:t xml:space="preserve"> Control de calidad.</w:t>
            </w:r>
          </w:p>
        </w:tc>
        <w:tc>
          <w:tcPr>
            <w:tcW w:w="4421" w:type="dxa"/>
            <w:shd w:val="clear" w:color="auto" w:fill="auto"/>
          </w:tcPr>
          <w:p w14:paraId="1899DA35"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10.5.8 </w:t>
            </w:r>
            <w:r w:rsidRPr="00D429B4">
              <w:rPr>
                <w:rFonts w:ascii="Verdana" w:hAnsi="Verdana"/>
                <w:sz w:val="16"/>
                <w:szCs w:val="16"/>
                <w:lang w:val="en-US"/>
              </w:rPr>
              <w:t>Quality control.</w:t>
            </w:r>
          </w:p>
        </w:tc>
      </w:tr>
      <w:tr w:rsidR="00DE5DA8" w:rsidRPr="00F70181" w14:paraId="73851FFF" w14:textId="77777777" w:rsidTr="00335F65">
        <w:tc>
          <w:tcPr>
            <w:tcW w:w="4421" w:type="dxa"/>
          </w:tcPr>
          <w:p w14:paraId="0F56EEC1"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10.5.8.1</w:t>
            </w:r>
            <w:r w:rsidRPr="00D429B4">
              <w:rPr>
                <w:rFonts w:ascii="Verdana" w:hAnsi="Verdana"/>
                <w:sz w:val="16"/>
                <w:szCs w:val="16"/>
                <w:lang w:val="es-MX"/>
              </w:rPr>
              <w:t xml:space="preserve"> Los materiales biológicos de referencia deben ser trazables a un estándar reconocido por la Organización Mundial de la Salud o por un Centro de Referencia Internacional.</w:t>
            </w:r>
          </w:p>
        </w:tc>
        <w:tc>
          <w:tcPr>
            <w:tcW w:w="4421" w:type="dxa"/>
            <w:shd w:val="clear" w:color="auto" w:fill="auto"/>
          </w:tcPr>
          <w:p w14:paraId="151220E8"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10.5.8.1 </w:t>
            </w:r>
            <w:r w:rsidR="001835E1" w:rsidRPr="00D429B4">
              <w:rPr>
                <w:rFonts w:ascii="Verdana" w:hAnsi="Verdana"/>
                <w:sz w:val="16"/>
                <w:szCs w:val="16"/>
                <w:lang w:val="en-US"/>
              </w:rPr>
              <w:t>The biological materials of reference must be traceable to a stan</w:t>
            </w:r>
            <w:r w:rsidRPr="00D429B4">
              <w:rPr>
                <w:rFonts w:ascii="Verdana" w:hAnsi="Verdana"/>
                <w:sz w:val="16"/>
                <w:szCs w:val="16"/>
                <w:lang w:val="en-US"/>
              </w:rPr>
              <w:t>dard recognized by the World Health Organization or by an International Reference Center.</w:t>
            </w:r>
          </w:p>
        </w:tc>
      </w:tr>
      <w:tr w:rsidR="00DE5DA8" w:rsidRPr="00F70181" w14:paraId="2A06B8B2" w14:textId="77777777" w:rsidTr="00335F65">
        <w:tc>
          <w:tcPr>
            <w:tcW w:w="4421" w:type="dxa"/>
          </w:tcPr>
          <w:p w14:paraId="552970EC"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10.5.8.2</w:t>
            </w:r>
            <w:r w:rsidRPr="00D429B4">
              <w:rPr>
                <w:rFonts w:ascii="Verdana" w:hAnsi="Verdana"/>
                <w:sz w:val="16"/>
                <w:szCs w:val="16"/>
                <w:lang w:val="es-MX"/>
              </w:rPr>
              <w:t xml:space="preserve"> Cuando los materiales biológicos de referencia no estén disponibles, podrán emplear materiales de referencia internos debidamente caracterizados.</w:t>
            </w:r>
          </w:p>
        </w:tc>
        <w:tc>
          <w:tcPr>
            <w:tcW w:w="4421" w:type="dxa"/>
            <w:shd w:val="clear" w:color="auto" w:fill="auto"/>
          </w:tcPr>
          <w:p w14:paraId="31DDEE2B"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10.5.8.2 </w:t>
            </w:r>
            <w:r w:rsidRPr="00D429B4">
              <w:rPr>
                <w:rFonts w:ascii="Verdana" w:hAnsi="Verdana"/>
                <w:sz w:val="16"/>
                <w:szCs w:val="16"/>
                <w:lang w:val="en-US"/>
              </w:rPr>
              <w:t>When</w:t>
            </w:r>
            <w:r w:rsidR="00D36354" w:rsidRPr="00D429B4">
              <w:rPr>
                <w:rFonts w:ascii="Verdana" w:hAnsi="Verdana"/>
                <w:sz w:val="16"/>
                <w:szCs w:val="16"/>
                <w:lang w:val="en-US"/>
              </w:rPr>
              <w:t xml:space="preserve"> the</w:t>
            </w:r>
            <w:r w:rsidRPr="00D429B4">
              <w:rPr>
                <w:rFonts w:ascii="Verdana" w:hAnsi="Verdana"/>
                <w:sz w:val="16"/>
                <w:szCs w:val="16"/>
                <w:lang w:val="en-US"/>
              </w:rPr>
              <w:t xml:space="preserve"> biological materials</w:t>
            </w:r>
            <w:r w:rsidR="001835E1" w:rsidRPr="00D429B4">
              <w:rPr>
                <w:rFonts w:ascii="Verdana" w:hAnsi="Verdana"/>
                <w:sz w:val="16"/>
                <w:szCs w:val="16"/>
                <w:lang w:val="en-US"/>
              </w:rPr>
              <w:t xml:space="preserve"> of</w:t>
            </w:r>
            <w:r w:rsidRPr="00D429B4">
              <w:rPr>
                <w:rFonts w:ascii="Verdana" w:hAnsi="Verdana"/>
                <w:sz w:val="16"/>
                <w:szCs w:val="16"/>
                <w:lang w:val="en-US"/>
              </w:rPr>
              <w:t xml:space="preserve"> </w:t>
            </w:r>
            <w:r w:rsidR="001835E1" w:rsidRPr="00D429B4">
              <w:rPr>
                <w:rFonts w:ascii="Verdana" w:hAnsi="Verdana"/>
                <w:sz w:val="16"/>
                <w:szCs w:val="16"/>
                <w:lang w:val="en-US"/>
              </w:rPr>
              <w:t xml:space="preserve">reference </w:t>
            </w:r>
            <w:r w:rsidRPr="00D429B4">
              <w:rPr>
                <w:rFonts w:ascii="Verdana" w:hAnsi="Verdana"/>
                <w:sz w:val="16"/>
                <w:szCs w:val="16"/>
                <w:lang w:val="en-US"/>
              </w:rPr>
              <w:t xml:space="preserve">are not available, </w:t>
            </w:r>
            <w:r w:rsidR="001835E1" w:rsidRPr="00D429B4">
              <w:rPr>
                <w:rFonts w:ascii="Verdana" w:hAnsi="Verdana"/>
                <w:sz w:val="16"/>
                <w:szCs w:val="16"/>
                <w:lang w:val="en-US"/>
              </w:rPr>
              <w:t xml:space="preserve">internal materials of reference duly characterized can be employed. </w:t>
            </w:r>
          </w:p>
        </w:tc>
      </w:tr>
      <w:tr w:rsidR="00DE5DA8" w:rsidRPr="00F70181" w14:paraId="69D48B2E" w14:textId="77777777" w:rsidTr="00335F65">
        <w:tc>
          <w:tcPr>
            <w:tcW w:w="4421" w:type="dxa"/>
          </w:tcPr>
          <w:p w14:paraId="5EE84CAB"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10.5.8.3</w:t>
            </w:r>
            <w:r w:rsidRPr="00D429B4">
              <w:rPr>
                <w:rFonts w:ascii="Verdana" w:hAnsi="Verdana"/>
                <w:sz w:val="16"/>
                <w:szCs w:val="16"/>
                <w:lang w:val="es-MX"/>
              </w:rPr>
              <w:t xml:space="preserve"> Los controles de proceso que no puedan realizarse en el producto terminado, como la ausencia de virus, podrán realizarse en una etapa previa y esto deberá justificarse.</w:t>
            </w:r>
          </w:p>
        </w:tc>
        <w:tc>
          <w:tcPr>
            <w:tcW w:w="4421" w:type="dxa"/>
            <w:shd w:val="clear" w:color="auto" w:fill="auto"/>
          </w:tcPr>
          <w:p w14:paraId="10D22B51"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10.5.8.3 </w:t>
            </w:r>
            <w:r w:rsidR="001835E1" w:rsidRPr="00D429B4">
              <w:rPr>
                <w:rFonts w:ascii="Verdana" w:hAnsi="Verdana"/>
                <w:sz w:val="16"/>
                <w:szCs w:val="16"/>
                <w:lang w:val="en-US"/>
              </w:rPr>
              <w:t>The p</w:t>
            </w:r>
            <w:r w:rsidRPr="00D429B4">
              <w:rPr>
                <w:rFonts w:ascii="Verdana" w:hAnsi="Verdana"/>
                <w:sz w:val="16"/>
                <w:szCs w:val="16"/>
                <w:lang w:val="en-US"/>
              </w:rPr>
              <w:t xml:space="preserve">rocess controls that cannot be performed on the finished product, such as </w:t>
            </w:r>
            <w:r w:rsidR="001835E1" w:rsidRPr="00D429B4">
              <w:rPr>
                <w:rFonts w:ascii="Verdana" w:hAnsi="Verdana"/>
                <w:sz w:val="16"/>
                <w:szCs w:val="16"/>
                <w:lang w:val="en-US"/>
              </w:rPr>
              <w:t xml:space="preserve">the </w:t>
            </w:r>
            <w:r w:rsidRPr="00D429B4">
              <w:rPr>
                <w:rFonts w:ascii="Verdana" w:hAnsi="Verdana"/>
                <w:sz w:val="16"/>
                <w:szCs w:val="16"/>
                <w:lang w:val="en-US"/>
              </w:rPr>
              <w:t>absence of virus, may be performed in a prior stage and this must be justified.</w:t>
            </w:r>
          </w:p>
        </w:tc>
      </w:tr>
      <w:tr w:rsidR="00DE5DA8" w:rsidRPr="00F70181" w14:paraId="0D7DFAB3" w14:textId="77777777" w:rsidTr="00335F65">
        <w:tc>
          <w:tcPr>
            <w:tcW w:w="4421" w:type="dxa"/>
          </w:tcPr>
          <w:p w14:paraId="19EC4BDD"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10.5.8.4</w:t>
            </w:r>
            <w:r w:rsidRPr="00D429B4">
              <w:rPr>
                <w:rFonts w:ascii="Verdana" w:hAnsi="Verdana"/>
                <w:sz w:val="16"/>
                <w:szCs w:val="16"/>
                <w:lang w:val="es-MX"/>
              </w:rPr>
              <w:t xml:space="preserve"> Cuando sea necesario conservar muestras de productos intermedios para confirmar alguna prueba de control de calidad, éstas deberán conservarse en condiciones que aseguren su adecuada integridad.</w:t>
            </w:r>
          </w:p>
        </w:tc>
        <w:tc>
          <w:tcPr>
            <w:tcW w:w="4421" w:type="dxa"/>
            <w:shd w:val="clear" w:color="auto" w:fill="auto"/>
          </w:tcPr>
          <w:p w14:paraId="19272332"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10.5.8.4 </w:t>
            </w:r>
            <w:r w:rsidRPr="00D429B4">
              <w:rPr>
                <w:rFonts w:ascii="Verdana" w:hAnsi="Verdana"/>
                <w:sz w:val="16"/>
                <w:szCs w:val="16"/>
                <w:lang w:val="en-US"/>
              </w:rPr>
              <w:t>When it is necessary to keep samples of intermediate product</w:t>
            </w:r>
            <w:r w:rsidR="00D36354" w:rsidRPr="00D429B4">
              <w:rPr>
                <w:rFonts w:ascii="Verdana" w:hAnsi="Verdana"/>
                <w:sz w:val="16"/>
                <w:szCs w:val="16"/>
                <w:lang w:val="en-US"/>
              </w:rPr>
              <w:t>s</w:t>
            </w:r>
            <w:r w:rsidRPr="00D429B4">
              <w:rPr>
                <w:rFonts w:ascii="Verdana" w:hAnsi="Verdana"/>
                <w:sz w:val="16"/>
                <w:szCs w:val="16"/>
                <w:lang w:val="en-US"/>
              </w:rPr>
              <w:t xml:space="preserve"> in order to confirm a quality </w:t>
            </w:r>
            <w:r w:rsidR="00D36354" w:rsidRPr="00D429B4">
              <w:rPr>
                <w:rFonts w:ascii="Verdana" w:hAnsi="Verdana"/>
                <w:sz w:val="16"/>
                <w:szCs w:val="16"/>
                <w:lang w:val="en-US"/>
              </w:rPr>
              <w:t xml:space="preserve">control </w:t>
            </w:r>
            <w:r w:rsidRPr="00D429B4">
              <w:rPr>
                <w:rFonts w:ascii="Verdana" w:hAnsi="Verdana"/>
                <w:sz w:val="16"/>
                <w:szCs w:val="16"/>
                <w:lang w:val="en-US"/>
              </w:rPr>
              <w:t>test, these must be kept in conditions which assure the</w:t>
            </w:r>
            <w:r w:rsidR="00D36354" w:rsidRPr="00D429B4">
              <w:rPr>
                <w:rFonts w:ascii="Verdana" w:hAnsi="Verdana"/>
                <w:sz w:val="16"/>
                <w:szCs w:val="16"/>
                <w:lang w:val="en-US"/>
              </w:rPr>
              <w:t>ir</w:t>
            </w:r>
            <w:r w:rsidRPr="00D429B4">
              <w:rPr>
                <w:rFonts w:ascii="Verdana" w:hAnsi="Verdana"/>
                <w:sz w:val="16"/>
                <w:szCs w:val="16"/>
                <w:lang w:val="en-US"/>
              </w:rPr>
              <w:t xml:space="preserve"> adequate integrity.</w:t>
            </w:r>
          </w:p>
        </w:tc>
      </w:tr>
      <w:tr w:rsidR="00DE5DA8" w:rsidRPr="00F70181" w14:paraId="016667AD" w14:textId="77777777" w:rsidTr="00335F65">
        <w:tc>
          <w:tcPr>
            <w:tcW w:w="4421" w:type="dxa"/>
          </w:tcPr>
          <w:p w14:paraId="35076E15"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10.5.8.5</w:t>
            </w:r>
            <w:r w:rsidRPr="00D429B4">
              <w:rPr>
                <w:rFonts w:ascii="Verdana" w:hAnsi="Verdana"/>
                <w:sz w:val="16"/>
                <w:szCs w:val="16"/>
                <w:lang w:val="es-MX"/>
              </w:rPr>
              <w:t xml:space="preserve"> Cuando se requiera un monitoreo de los procesos de fabricación como en el caso de las fermentaciones, estos registros deberán anexarse al expediente del producto.</w:t>
            </w:r>
          </w:p>
        </w:tc>
        <w:tc>
          <w:tcPr>
            <w:tcW w:w="4421" w:type="dxa"/>
            <w:shd w:val="clear" w:color="auto" w:fill="auto"/>
          </w:tcPr>
          <w:p w14:paraId="7916F949"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10.5.8.5 </w:t>
            </w:r>
            <w:r w:rsidRPr="00D429B4">
              <w:rPr>
                <w:rFonts w:ascii="Verdana" w:hAnsi="Verdana"/>
                <w:sz w:val="16"/>
                <w:szCs w:val="16"/>
                <w:lang w:val="en-US"/>
              </w:rPr>
              <w:t>When monitoring of manufacturing processes is required, as in the case of fermentations, these records must be added to the file of the product.</w:t>
            </w:r>
          </w:p>
        </w:tc>
      </w:tr>
      <w:tr w:rsidR="00DE5DA8" w:rsidRPr="00DD29AF" w14:paraId="24275AD8" w14:textId="77777777" w:rsidTr="00335F65">
        <w:tc>
          <w:tcPr>
            <w:tcW w:w="4421" w:type="dxa"/>
          </w:tcPr>
          <w:p w14:paraId="50A3F897"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10.5.9</w:t>
            </w:r>
            <w:r w:rsidRPr="00D429B4">
              <w:rPr>
                <w:rFonts w:ascii="Verdana" w:hAnsi="Verdana"/>
                <w:sz w:val="16"/>
                <w:szCs w:val="16"/>
                <w:lang w:val="es-MX"/>
              </w:rPr>
              <w:t xml:space="preserve"> Cadena de frío.</w:t>
            </w:r>
          </w:p>
        </w:tc>
        <w:tc>
          <w:tcPr>
            <w:tcW w:w="4421" w:type="dxa"/>
            <w:shd w:val="clear" w:color="auto" w:fill="auto"/>
          </w:tcPr>
          <w:p w14:paraId="3D84A128"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10.5.9 </w:t>
            </w:r>
            <w:r w:rsidRPr="00D429B4">
              <w:rPr>
                <w:rFonts w:ascii="Verdana" w:hAnsi="Verdana"/>
                <w:sz w:val="16"/>
                <w:szCs w:val="16"/>
                <w:lang w:val="en-US"/>
              </w:rPr>
              <w:t>Cold chain.</w:t>
            </w:r>
          </w:p>
        </w:tc>
      </w:tr>
      <w:tr w:rsidR="00DE5DA8" w:rsidRPr="00F70181" w14:paraId="07B3FD43" w14:textId="77777777" w:rsidTr="00335F65">
        <w:tc>
          <w:tcPr>
            <w:tcW w:w="4421" w:type="dxa"/>
          </w:tcPr>
          <w:p w14:paraId="14D4C5BF"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10.5.9.1</w:t>
            </w:r>
            <w:r w:rsidRPr="00D429B4">
              <w:rPr>
                <w:rFonts w:ascii="Verdana" w:hAnsi="Verdana"/>
                <w:sz w:val="16"/>
                <w:szCs w:val="16"/>
                <w:lang w:val="es-MX"/>
              </w:rPr>
              <w:t xml:space="preserve"> Deben existir procedimientos que describan la recepción, el manejo, el almacenamiento y el transporte de los materiales biológicos, productos intermedios, productos a granel y productos terminados, con la finalidad de mantener la cadena de frío.</w:t>
            </w:r>
          </w:p>
        </w:tc>
        <w:tc>
          <w:tcPr>
            <w:tcW w:w="4421" w:type="dxa"/>
            <w:shd w:val="clear" w:color="auto" w:fill="auto"/>
          </w:tcPr>
          <w:p w14:paraId="41B2E97B"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10.5.9.1 </w:t>
            </w:r>
            <w:r w:rsidRPr="00D429B4">
              <w:rPr>
                <w:rFonts w:ascii="Verdana" w:hAnsi="Verdana"/>
                <w:sz w:val="16"/>
                <w:szCs w:val="16"/>
                <w:lang w:val="en-US"/>
              </w:rPr>
              <w:t>There must be procedures which describe the reception, handling, storage and transportations of biological materials, intermediate products, bulk products and finished products,</w:t>
            </w:r>
            <w:r w:rsidR="001835E1" w:rsidRPr="00D429B4">
              <w:rPr>
                <w:rFonts w:ascii="Verdana" w:hAnsi="Verdana"/>
                <w:sz w:val="16"/>
                <w:szCs w:val="16"/>
                <w:lang w:val="en-US"/>
              </w:rPr>
              <w:t xml:space="preserve"> for</w:t>
            </w:r>
            <w:r w:rsidRPr="00D429B4">
              <w:rPr>
                <w:rFonts w:ascii="Verdana" w:hAnsi="Verdana"/>
                <w:sz w:val="16"/>
                <w:szCs w:val="16"/>
                <w:lang w:val="en-US"/>
              </w:rPr>
              <w:t xml:space="preserve"> the purpose of maintaining the cold chain.</w:t>
            </w:r>
          </w:p>
        </w:tc>
      </w:tr>
      <w:tr w:rsidR="00DE5DA8" w:rsidRPr="00F70181" w14:paraId="504D59CC" w14:textId="77777777" w:rsidTr="00335F65">
        <w:tc>
          <w:tcPr>
            <w:tcW w:w="4421" w:type="dxa"/>
          </w:tcPr>
          <w:p w14:paraId="1F07A432"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10.5.9.2</w:t>
            </w:r>
            <w:r w:rsidRPr="00D429B4">
              <w:rPr>
                <w:rFonts w:ascii="Verdana" w:hAnsi="Verdana"/>
                <w:sz w:val="16"/>
                <w:szCs w:val="16"/>
                <w:lang w:val="es-MX"/>
              </w:rPr>
              <w:t xml:space="preserve"> Todos los equipos para el almacenamiento deben ser calificados.</w:t>
            </w:r>
          </w:p>
        </w:tc>
        <w:tc>
          <w:tcPr>
            <w:tcW w:w="4421" w:type="dxa"/>
            <w:shd w:val="clear" w:color="auto" w:fill="auto"/>
          </w:tcPr>
          <w:p w14:paraId="0332D621"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10.5.9.2 </w:t>
            </w:r>
            <w:r w:rsidRPr="00D429B4">
              <w:rPr>
                <w:rFonts w:ascii="Verdana" w:hAnsi="Verdana"/>
                <w:sz w:val="16"/>
                <w:szCs w:val="16"/>
                <w:lang w:val="en-US"/>
              </w:rPr>
              <w:t xml:space="preserve">All </w:t>
            </w:r>
            <w:r w:rsidR="001835E1" w:rsidRPr="00D429B4">
              <w:rPr>
                <w:rFonts w:ascii="Verdana" w:hAnsi="Verdana"/>
                <w:sz w:val="16"/>
                <w:szCs w:val="16"/>
                <w:lang w:val="en-US"/>
              </w:rPr>
              <w:t>storag</w:t>
            </w:r>
            <w:r w:rsidRPr="00D429B4">
              <w:rPr>
                <w:rFonts w:ascii="Verdana" w:hAnsi="Verdana"/>
                <w:sz w:val="16"/>
                <w:szCs w:val="16"/>
                <w:lang w:val="en-US"/>
              </w:rPr>
              <w:t>e</w:t>
            </w:r>
            <w:r w:rsidR="001835E1" w:rsidRPr="00D429B4">
              <w:rPr>
                <w:rFonts w:ascii="Verdana" w:hAnsi="Verdana"/>
                <w:sz w:val="16"/>
                <w:szCs w:val="16"/>
                <w:lang w:val="en-US"/>
              </w:rPr>
              <w:t xml:space="preserve"> </w:t>
            </w:r>
            <w:r w:rsidR="00B12EE3" w:rsidRPr="00D429B4">
              <w:rPr>
                <w:rFonts w:ascii="Verdana" w:hAnsi="Verdana"/>
                <w:sz w:val="16"/>
                <w:szCs w:val="16"/>
                <w:lang w:val="en-US"/>
              </w:rPr>
              <w:t>equipment</w:t>
            </w:r>
            <w:r w:rsidR="001835E1" w:rsidRPr="00D429B4">
              <w:rPr>
                <w:rFonts w:ascii="Verdana" w:hAnsi="Verdana"/>
                <w:sz w:val="16"/>
                <w:szCs w:val="16"/>
                <w:lang w:val="en-US"/>
              </w:rPr>
              <w:t xml:space="preserve"> m</w:t>
            </w:r>
            <w:r w:rsidRPr="00D429B4">
              <w:rPr>
                <w:rFonts w:ascii="Verdana" w:hAnsi="Verdana"/>
                <w:sz w:val="16"/>
                <w:szCs w:val="16"/>
                <w:lang w:val="en-US"/>
              </w:rPr>
              <w:t>ust be qualified.</w:t>
            </w:r>
          </w:p>
        </w:tc>
      </w:tr>
      <w:tr w:rsidR="00DE5DA8" w:rsidRPr="00F70181" w14:paraId="46783310" w14:textId="77777777" w:rsidTr="00335F65">
        <w:tc>
          <w:tcPr>
            <w:tcW w:w="4421" w:type="dxa"/>
          </w:tcPr>
          <w:p w14:paraId="427ACE96"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10.5.9.3</w:t>
            </w:r>
            <w:r w:rsidRPr="00D429B4">
              <w:rPr>
                <w:rFonts w:ascii="Verdana" w:hAnsi="Verdana"/>
                <w:sz w:val="16"/>
                <w:szCs w:val="16"/>
                <w:lang w:val="es-MX"/>
              </w:rPr>
              <w:t xml:space="preserve"> La cadena de frío debe ser validada.</w:t>
            </w:r>
          </w:p>
        </w:tc>
        <w:tc>
          <w:tcPr>
            <w:tcW w:w="4421" w:type="dxa"/>
            <w:shd w:val="clear" w:color="auto" w:fill="auto"/>
          </w:tcPr>
          <w:p w14:paraId="7C543B69"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10.5.9.3 </w:t>
            </w:r>
            <w:r w:rsidRPr="00D429B4">
              <w:rPr>
                <w:rFonts w:ascii="Verdana" w:hAnsi="Verdana"/>
                <w:sz w:val="16"/>
                <w:szCs w:val="16"/>
                <w:lang w:val="en-US"/>
              </w:rPr>
              <w:t>The cold chain must be validated.</w:t>
            </w:r>
          </w:p>
        </w:tc>
      </w:tr>
      <w:tr w:rsidR="00DE5DA8" w:rsidRPr="00F70181" w14:paraId="2EFFB502" w14:textId="77777777" w:rsidTr="00335F65">
        <w:tc>
          <w:tcPr>
            <w:tcW w:w="4421" w:type="dxa"/>
          </w:tcPr>
          <w:p w14:paraId="0C4BD9D6"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10.5.9.4</w:t>
            </w:r>
            <w:r w:rsidRPr="00D429B4">
              <w:rPr>
                <w:rFonts w:ascii="Verdana" w:hAnsi="Verdana"/>
                <w:sz w:val="16"/>
                <w:szCs w:val="16"/>
                <w:lang w:val="es-MX"/>
              </w:rPr>
              <w:t xml:space="preserve"> Se debe contar con un sistema de monitoreo continuo de temperatura, para demostrar que la cadena de frío se ha mantenido y establecer por escrito las características de los </w:t>
            </w:r>
            <w:r w:rsidR="00B12EE3" w:rsidRPr="00D429B4">
              <w:rPr>
                <w:rFonts w:ascii="Verdana" w:hAnsi="Verdana"/>
                <w:sz w:val="16"/>
                <w:szCs w:val="16"/>
                <w:lang w:val="es-MX"/>
              </w:rPr>
              <w:t>contenedores, la</w:t>
            </w:r>
            <w:r w:rsidRPr="00D429B4">
              <w:rPr>
                <w:rFonts w:ascii="Verdana" w:hAnsi="Verdana"/>
                <w:sz w:val="16"/>
                <w:szCs w:val="16"/>
                <w:lang w:val="es-MX"/>
              </w:rPr>
              <w:t xml:space="preserve"> configuración de los empaques y las responsabilidades de las personas involucradas en este proceso.</w:t>
            </w:r>
          </w:p>
        </w:tc>
        <w:tc>
          <w:tcPr>
            <w:tcW w:w="4421" w:type="dxa"/>
            <w:shd w:val="clear" w:color="auto" w:fill="auto"/>
          </w:tcPr>
          <w:p w14:paraId="54F0A53B"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10.5.9.4 </w:t>
            </w:r>
            <w:r w:rsidRPr="00D429B4">
              <w:rPr>
                <w:rFonts w:ascii="Verdana" w:hAnsi="Verdana"/>
                <w:sz w:val="16"/>
                <w:szCs w:val="16"/>
                <w:lang w:val="en-US"/>
              </w:rPr>
              <w:t xml:space="preserve">There must be a system of continuous monitoring of temperature, to demonstrate that the cold chain has been maintained and the characteristics of containers packaging configuration and responsibilities of those involved in this process must be established in writing. </w:t>
            </w:r>
          </w:p>
        </w:tc>
      </w:tr>
      <w:tr w:rsidR="00DE5DA8" w:rsidRPr="00F70181" w14:paraId="382A69A9" w14:textId="77777777" w:rsidTr="00335F65">
        <w:tc>
          <w:tcPr>
            <w:tcW w:w="4421" w:type="dxa"/>
          </w:tcPr>
          <w:p w14:paraId="22CFC8C6"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10.5.9.5</w:t>
            </w:r>
            <w:r w:rsidRPr="00D429B4">
              <w:rPr>
                <w:rFonts w:ascii="Verdana" w:hAnsi="Verdana"/>
                <w:sz w:val="16"/>
                <w:szCs w:val="16"/>
                <w:lang w:val="es-MX"/>
              </w:rPr>
              <w:t xml:space="preserve"> Se debe establecer el tiempo que el producto puede permanecer fuera de refrigeración con base en estudios de estabilidad que aseguren que se mantiene dentro de especificaciones.</w:t>
            </w:r>
          </w:p>
        </w:tc>
        <w:tc>
          <w:tcPr>
            <w:tcW w:w="4421" w:type="dxa"/>
            <w:shd w:val="clear" w:color="auto" w:fill="auto"/>
          </w:tcPr>
          <w:p w14:paraId="18560C81" w14:textId="77777777" w:rsidR="00DE5DA8" w:rsidRPr="00D429B4" w:rsidRDefault="00DE5DA8"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10.5.9.5 </w:t>
            </w:r>
            <w:r w:rsidRPr="00D429B4">
              <w:rPr>
                <w:rFonts w:ascii="Verdana" w:hAnsi="Verdana"/>
                <w:sz w:val="16"/>
                <w:szCs w:val="16"/>
                <w:lang w:val="en-US"/>
              </w:rPr>
              <w:t>The time</w:t>
            </w:r>
            <w:r w:rsidR="001835E1" w:rsidRPr="00D429B4">
              <w:rPr>
                <w:rFonts w:ascii="Verdana" w:hAnsi="Verdana"/>
                <w:sz w:val="16"/>
                <w:szCs w:val="16"/>
                <w:lang w:val="en-US"/>
              </w:rPr>
              <w:t xml:space="preserve"> must be established</w:t>
            </w:r>
            <w:r w:rsidRPr="00D429B4">
              <w:rPr>
                <w:rFonts w:ascii="Verdana" w:hAnsi="Verdana"/>
                <w:sz w:val="16"/>
                <w:szCs w:val="16"/>
                <w:lang w:val="en-US"/>
              </w:rPr>
              <w:t xml:space="preserve"> that the product can stay out of refrigeration based on stability studies that assure that it is kept within specifications.</w:t>
            </w:r>
          </w:p>
        </w:tc>
      </w:tr>
      <w:tr w:rsidR="00DE5DA8" w:rsidRPr="00F70181" w14:paraId="3F4467B2" w14:textId="77777777" w:rsidTr="00335F65">
        <w:tc>
          <w:tcPr>
            <w:tcW w:w="4421" w:type="dxa"/>
          </w:tcPr>
          <w:p w14:paraId="4E244618" w14:textId="77777777" w:rsidR="00DE5DA8" w:rsidRPr="00D429B4" w:rsidRDefault="00DE5DA8"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10.5.9.6</w:t>
            </w:r>
            <w:r w:rsidRPr="00D429B4">
              <w:rPr>
                <w:rFonts w:ascii="Verdana" w:hAnsi="Verdana"/>
                <w:sz w:val="16"/>
                <w:szCs w:val="16"/>
                <w:lang w:val="es-MX"/>
              </w:rPr>
              <w:t xml:space="preserve"> Las excursiones de temperatura deben ser investigadas y deben establecerse las CAPA correspondientes.</w:t>
            </w:r>
          </w:p>
        </w:tc>
        <w:tc>
          <w:tcPr>
            <w:tcW w:w="4421" w:type="dxa"/>
            <w:shd w:val="clear" w:color="auto" w:fill="auto"/>
          </w:tcPr>
          <w:p w14:paraId="60A1EE6B" w14:textId="77777777" w:rsidR="00DE5DA8" w:rsidRPr="00D429B4" w:rsidRDefault="00DE5DA8" w:rsidP="005C0901">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10.5.9.6 </w:t>
            </w:r>
            <w:r w:rsidRPr="00D429B4">
              <w:rPr>
                <w:rFonts w:ascii="Verdana" w:hAnsi="Verdana"/>
                <w:sz w:val="16"/>
                <w:szCs w:val="16"/>
                <w:lang w:val="en-US"/>
              </w:rPr>
              <w:t>T</w:t>
            </w:r>
            <w:r w:rsidR="001835E1" w:rsidRPr="00D429B4">
              <w:rPr>
                <w:rFonts w:ascii="Verdana" w:hAnsi="Verdana"/>
                <w:sz w:val="16"/>
                <w:szCs w:val="16"/>
                <w:lang w:val="en-US"/>
              </w:rPr>
              <w:t>he t</w:t>
            </w:r>
            <w:r w:rsidRPr="00D429B4">
              <w:rPr>
                <w:rFonts w:ascii="Verdana" w:hAnsi="Verdana"/>
                <w:sz w:val="16"/>
                <w:szCs w:val="16"/>
                <w:lang w:val="en-US"/>
              </w:rPr>
              <w:t xml:space="preserve">emperature excursions must be investigated and </w:t>
            </w:r>
            <w:r w:rsidR="001835E1" w:rsidRPr="00D429B4">
              <w:rPr>
                <w:rFonts w:ascii="Verdana" w:hAnsi="Verdana"/>
                <w:sz w:val="16"/>
                <w:szCs w:val="16"/>
                <w:lang w:val="en-US"/>
              </w:rPr>
              <w:t xml:space="preserve">the </w:t>
            </w:r>
            <w:r w:rsidRPr="00D429B4">
              <w:rPr>
                <w:rFonts w:ascii="Verdana" w:hAnsi="Verdana"/>
                <w:sz w:val="16"/>
                <w:szCs w:val="16"/>
                <w:lang w:val="en-US"/>
              </w:rPr>
              <w:t>corresponding CAPA</w:t>
            </w:r>
            <w:r w:rsidR="001835E1" w:rsidRPr="00D429B4">
              <w:rPr>
                <w:rFonts w:ascii="Verdana" w:hAnsi="Verdana"/>
                <w:sz w:val="16"/>
                <w:szCs w:val="16"/>
                <w:lang w:val="en-US"/>
              </w:rPr>
              <w:t>s</w:t>
            </w:r>
            <w:r w:rsidRPr="00D429B4">
              <w:rPr>
                <w:rFonts w:ascii="Verdana" w:hAnsi="Verdana"/>
                <w:sz w:val="16"/>
                <w:szCs w:val="16"/>
                <w:lang w:val="en-US"/>
              </w:rPr>
              <w:t xml:space="preserve"> must be established.</w:t>
            </w:r>
          </w:p>
        </w:tc>
      </w:tr>
      <w:tr w:rsidR="00DB0C6C" w:rsidRPr="00F70181" w14:paraId="3171CFB6" w14:textId="77777777" w:rsidTr="00335F65">
        <w:tc>
          <w:tcPr>
            <w:tcW w:w="4421" w:type="dxa"/>
          </w:tcPr>
          <w:p w14:paraId="3E4AF5ED" w14:textId="77777777" w:rsidR="00DB0C6C" w:rsidRPr="00D429B4" w:rsidRDefault="00DB0C6C"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10.5.9.7</w:t>
            </w:r>
            <w:r w:rsidRPr="00D429B4">
              <w:rPr>
                <w:rFonts w:ascii="Verdana" w:hAnsi="Verdana"/>
                <w:sz w:val="16"/>
                <w:szCs w:val="16"/>
                <w:lang w:val="es-MX"/>
              </w:rPr>
              <w:t xml:space="preserve"> Debe existir un sistema de respaldo y un plan de contingencia para asegurar que en situaciones de emergencia se mantienen las condiciones de almacenamiento requeridas por el producto.</w:t>
            </w:r>
          </w:p>
        </w:tc>
        <w:tc>
          <w:tcPr>
            <w:tcW w:w="4421" w:type="dxa"/>
            <w:shd w:val="clear" w:color="auto" w:fill="auto"/>
          </w:tcPr>
          <w:p w14:paraId="5CC94BE7" w14:textId="77777777" w:rsidR="00DB0C6C" w:rsidRPr="00D429B4" w:rsidRDefault="00DB0C6C" w:rsidP="00D36354">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10.5.9.7 </w:t>
            </w:r>
            <w:r w:rsidRPr="00D429B4">
              <w:rPr>
                <w:rFonts w:ascii="Verdana" w:hAnsi="Verdana"/>
                <w:sz w:val="16"/>
                <w:szCs w:val="16"/>
                <w:lang w:val="en-US"/>
              </w:rPr>
              <w:t xml:space="preserve">There must be a backup system and a contingency plan to assure that in emergency situations the storage conditions required of the products are </w:t>
            </w:r>
            <w:r w:rsidR="00D36354" w:rsidRPr="00D429B4">
              <w:rPr>
                <w:rFonts w:ascii="Verdana" w:hAnsi="Verdana"/>
                <w:sz w:val="16"/>
                <w:szCs w:val="16"/>
                <w:lang w:val="en-US"/>
              </w:rPr>
              <w:t>maintained</w:t>
            </w:r>
            <w:r w:rsidRPr="00D429B4">
              <w:rPr>
                <w:rFonts w:ascii="Verdana" w:hAnsi="Verdana"/>
                <w:sz w:val="16"/>
                <w:szCs w:val="16"/>
                <w:lang w:val="en-US"/>
              </w:rPr>
              <w:t>.</w:t>
            </w:r>
          </w:p>
        </w:tc>
      </w:tr>
      <w:tr w:rsidR="00DB0C6C" w:rsidRPr="00F70181" w14:paraId="2857B110" w14:textId="77777777" w:rsidTr="00335F65">
        <w:tc>
          <w:tcPr>
            <w:tcW w:w="4421" w:type="dxa"/>
          </w:tcPr>
          <w:p w14:paraId="763A3714" w14:textId="77777777" w:rsidR="00DB0C6C" w:rsidRPr="00D429B4" w:rsidRDefault="00DB0C6C"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10.5.10</w:t>
            </w:r>
            <w:r w:rsidRPr="00D429B4">
              <w:rPr>
                <w:rFonts w:ascii="Verdana" w:hAnsi="Verdana"/>
                <w:sz w:val="16"/>
                <w:szCs w:val="16"/>
                <w:lang w:val="es-MX"/>
              </w:rPr>
              <w:t xml:space="preserve"> Liberación de producto terminado.</w:t>
            </w:r>
          </w:p>
        </w:tc>
        <w:tc>
          <w:tcPr>
            <w:tcW w:w="4421" w:type="dxa"/>
            <w:shd w:val="clear" w:color="auto" w:fill="auto"/>
          </w:tcPr>
          <w:p w14:paraId="326002C9" w14:textId="77777777" w:rsidR="00DB0C6C" w:rsidRPr="00D429B4" w:rsidRDefault="00DB0C6C"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10.5.10 </w:t>
            </w:r>
            <w:r w:rsidRPr="00D429B4">
              <w:rPr>
                <w:rFonts w:ascii="Verdana" w:hAnsi="Verdana"/>
                <w:sz w:val="16"/>
                <w:szCs w:val="16"/>
                <w:lang w:val="en-US"/>
              </w:rPr>
              <w:t>Release of the finished product.</w:t>
            </w:r>
          </w:p>
        </w:tc>
      </w:tr>
      <w:tr w:rsidR="00DB0C6C" w:rsidRPr="00F70181" w14:paraId="0FCC1509" w14:textId="77777777" w:rsidTr="00335F65">
        <w:tc>
          <w:tcPr>
            <w:tcW w:w="4421" w:type="dxa"/>
          </w:tcPr>
          <w:p w14:paraId="473076B3" w14:textId="77777777" w:rsidR="00DB0C6C" w:rsidRPr="00D429B4" w:rsidRDefault="00DB0C6C"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10.5.10.1</w:t>
            </w:r>
            <w:r w:rsidRPr="00D429B4">
              <w:rPr>
                <w:rFonts w:ascii="Verdana" w:hAnsi="Verdana"/>
                <w:sz w:val="16"/>
                <w:szCs w:val="16"/>
                <w:lang w:val="es-MX"/>
              </w:rPr>
              <w:t xml:space="preserve"> La liberación de productos biológicos se sujetará a lo establecido en las disposiciones jurídicas aplicables.</w:t>
            </w:r>
          </w:p>
        </w:tc>
        <w:tc>
          <w:tcPr>
            <w:tcW w:w="4421" w:type="dxa"/>
            <w:shd w:val="clear" w:color="auto" w:fill="auto"/>
          </w:tcPr>
          <w:p w14:paraId="29467A3C" w14:textId="77777777" w:rsidR="00DB0C6C" w:rsidRPr="00D429B4" w:rsidRDefault="00DB0C6C"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10.5.10.1 </w:t>
            </w:r>
            <w:r w:rsidRPr="00D429B4">
              <w:rPr>
                <w:rFonts w:ascii="Verdana" w:hAnsi="Verdana"/>
                <w:sz w:val="16"/>
                <w:szCs w:val="16"/>
                <w:lang w:val="en-US"/>
              </w:rPr>
              <w:t>The release of biological products will be subject to that established in the applicable legal provisions.</w:t>
            </w:r>
          </w:p>
        </w:tc>
      </w:tr>
      <w:tr w:rsidR="00DB0C6C" w:rsidRPr="00F70181" w14:paraId="10103C07" w14:textId="77777777" w:rsidTr="00335F65">
        <w:tc>
          <w:tcPr>
            <w:tcW w:w="4421" w:type="dxa"/>
          </w:tcPr>
          <w:p w14:paraId="234FA774" w14:textId="77777777" w:rsidR="00DB0C6C" w:rsidRPr="00D429B4" w:rsidRDefault="00DB0C6C"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10.5.10.2 </w:t>
            </w:r>
            <w:r w:rsidRPr="00D429B4">
              <w:rPr>
                <w:rFonts w:ascii="Verdana" w:hAnsi="Verdana"/>
                <w:sz w:val="16"/>
                <w:szCs w:val="16"/>
                <w:lang w:val="es-MX"/>
              </w:rPr>
              <w:t>Los medicamentos biotecnológicos de fabricación nacional deben cumplir con lo que se indica en el punto 12 de esta Norma.</w:t>
            </w:r>
          </w:p>
        </w:tc>
        <w:tc>
          <w:tcPr>
            <w:tcW w:w="4421" w:type="dxa"/>
            <w:shd w:val="clear" w:color="auto" w:fill="auto"/>
          </w:tcPr>
          <w:p w14:paraId="41D7D4EC" w14:textId="77777777" w:rsidR="00DB0C6C" w:rsidRPr="00D429B4" w:rsidRDefault="00DB0C6C"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10.5.10.2 </w:t>
            </w:r>
            <w:r w:rsidRPr="00D429B4">
              <w:rPr>
                <w:rFonts w:ascii="Verdana" w:hAnsi="Verdana"/>
                <w:sz w:val="16"/>
                <w:szCs w:val="16"/>
                <w:lang w:val="en-US"/>
              </w:rPr>
              <w:t>The biotechnological drug products of national manufacture must comply with what is indicated in section 12, of this Standard.</w:t>
            </w:r>
          </w:p>
        </w:tc>
      </w:tr>
      <w:tr w:rsidR="00DB0C6C" w:rsidRPr="00F70181" w14:paraId="66FC1EB0" w14:textId="77777777" w:rsidTr="00335F65">
        <w:tc>
          <w:tcPr>
            <w:tcW w:w="4421" w:type="dxa"/>
          </w:tcPr>
          <w:p w14:paraId="59DB874C" w14:textId="77777777" w:rsidR="00DB0C6C" w:rsidRPr="00D429B4" w:rsidRDefault="00DB0C6C"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t>10.5.10.3</w:t>
            </w:r>
            <w:r w:rsidRPr="00D429B4">
              <w:rPr>
                <w:rFonts w:ascii="Verdana" w:hAnsi="Verdana"/>
                <w:sz w:val="16"/>
                <w:szCs w:val="16"/>
                <w:lang w:val="es-MX"/>
              </w:rPr>
              <w:t xml:space="preserve"> Para medicamentos biotecnológicos de importación se deberá cumplir con el punto 12 de esta Norma, con excepción del punto 12.4 de esta Norma, además con lo siguiente:</w:t>
            </w:r>
          </w:p>
        </w:tc>
        <w:tc>
          <w:tcPr>
            <w:tcW w:w="4421" w:type="dxa"/>
            <w:shd w:val="clear" w:color="auto" w:fill="auto"/>
          </w:tcPr>
          <w:p w14:paraId="55E255A2" w14:textId="77777777" w:rsidR="00DB0C6C" w:rsidRPr="00D429B4" w:rsidRDefault="00DB0C6C" w:rsidP="005C0901">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10.5.10.3 </w:t>
            </w:r>
            <w:r w:rsidRPr="00D429B4">
              <w:rPr>
                <w:rFonts w:ascii="Verdana" w:hAnsi="Verdana"/>
                <w:sz w:val="16"/>
                <w:szCs w:val="16"/>
                <w:lang w:val="en-US"/>
              </w:rPr>
              <w:t>For imported biotechnological drug products must comply with section 12 of this Standard, with the exception of section 12.3, of this Standard, besides with the following:</w:t>
            </w:r>
          </w:p>
        </w:tc>
      </w:tr>
      <w:tr w:rsidR="00DB0C6C" w:rsidRPr="00F70181" w14:paraId="67ABCA87" w14:textId="77777777" w:rsidTr="00335F65">
        <w:tc>
          <w:tcPr>
            <w:tcW w:w="4421" w:type="dxa"/>
          </w:tcPr>
          <w:p w14:paraId="713222EC" w14:textId="3A41B497" w:rsidR="00DB0C6C" w:rsidRPr="00AB28EF" w:rsidRDefault="00466A94" w:rsidP="00032CE5">
            <w:pPr>
              <w:pStyle w:val="Texto"/>
              <w:spacing w:line="276" w:lineRule="auto"/>
              <w:ind w:firstLine="0"/>
              <w:rPr>
                <w:rFonts w:ascii="Verdana" w:hAnsi="Verdana"/>
                <w:sz w:val="16"/>
                <w:szCs w:val="16"/>
                <w:lang w:val="es-MX"/>
              </w:rPr>
            </w:pPr>
            <w:r w:rsidRPr="00AB28EF">
              <w:rPr>
                <w:rFonts w:ascii="Verdana" w:hAnsi="Verdana"/>
                <w:b/>
                <w:sz w:val="16"/>
                <w:szCs w:val="16"/>
              </w:rPr>
              <w:t>10.5.10.3.1</w:t>
            </w:r>
            <w:r w:rsidRPr="00AB28EF">
              <w:rPr>
                <w:rFonts w:ascii="Verdana" w:hAnsi="Verdana"/>
                <w:sz w:val="16"/>
                <w:szCs w:val="16"/>
              </w:rPr>
              <w:t xml:space="preserve"> </w:t>
            </w:r>
            <w:r w:rsidR="00032CE5" w:rsidRPr="00AB28EF">
              <w:rPr>
                <w:rFonts w:ascii="Verdana" w:hAnsi="Verdana"/>
                <w:sz w:val="16"/>
                <w:szCs w:val="16"/>
              </w:rPr>
              <w:t>Cada lote debe contar con un certificado analítico del fabricante con los controles necesarios para asegurar la calidad de los medicamentos, de acuerdo con el registro sanitario o autorización de comercialización.</w:t>
            </w:r>
          </w:p>
        </w:tc>
        <w:tc>
          <w:tcPr>
            <w:tcW w:w="4421" w:type="dxa"/>
            <w:shd w:val="clear" w:color="auto" w:fill="auto"/>
          </w:tcPr>
          <w:p w14:paraId="2B72A189" w14:textId="65A2FAA3" w:rsidR="00DB0C6C" w:rsidRPr="00AB28EF" w:rsidRDefault="00032CE5" w:rsidP="00032CE5">
            <w:pPr>
              <w:pStyle w:val="Texto"/>
              <w:spacing w:line="276" w:lineRule="auto"/>
              <w:ind w:firstLine="0"/>
              <w:rPr>
                <w:rFonts w:ascii="Verdana" w:hAnsi="Verdana"/>
                <w:sz w:val="16"/>
                <w:szCs w:val="16"/>
                <w:lang w:val="en-US"/>
              </w:rPr>
            </w:pPr>
            <w:r w:rsidRPr="00AB28EF">
              <w:rPr>
                <w:rFonts w:ascii="Verdana" w:hAnsi="Verdana"/>
                <w:b/>
                <w:sz w:val="16"/>
                <w:szCs w:val="16"/>
                <w:lang w:val="en-US"/>
              </w:rPr>
              <w:t xml:space="preserve">10.5.10.3.1 </w:t>
            </w:r>
            <w:r w:rsidRPr="00AB28EF">
              <w:rPr>
                <w:rFonts w:ascii="Verdana" w:hAnsi="Verdana"/>
                <w:sz w:val="16"/>
                <w:szCs w:val="16"/>
                <w:lang w:val="en-US"/>
              </w:rPr>
              <w:t>Each batch must have an analytical certificate from the manufacturer with the necessary controls to ensure the quality of the drug products, in accordance with the health registration or marketing authorization.</w:t>
            </w:r>
          </w:p>
        </w:tc>
      </w:tr>
      <w:tr w:rsidR="0051215D" w:rsidRPr="00AB28EF" w14:paraId="7D5AC880" w14:textId="77777777" w:rsidTr="00335F65">
        <w:tc>
          <w:tcPr>
            <w:tcW w:w="4421" w:type="dxa"/>
          </w:tcPr>
          <w:p w14:paraId="11EEBA9F" w14:textId="7829D7B9" w:rsidR="0051215D" w:rsidRPr="0051215D" w:rsidRDefault="00B73C0E" w:rsidP="0051215D">
            <w:pPr>
              <w:pStyle w:val="Texto"/>
              <w:spacing w:line="276" w:lineRule="auto"/>
              <w:ind w:firstLine="0"/>
              <w:jc w:val="right"/>
              <w:rPr>
                <w:rFonts w:ascii="Verdana" w:hAnsi="Verdana"/>
                <w:bCs/>
                <w:i/>
                <w:iCs/>
                <w:color w:val="0000FA"/>
                <w:sz w:val="16"/>
                <w:szCs w:val="16"/>
              </w:rPr>
            </w:pPr>
            <w:r>
              <w:rPr>
                <w:rFonts w:ascii="Verdana" w:hAnsi="Verdana"/>
                <w:bCs/>
                <w:i/>
                <w:iCs/>
                <w:color w:val="0000FA"/>
                <w:sz w:val="16"/>
                <w:szCs w:val="16"/>
              </w:rPr>
              <w:t>M</w:t>
            </w:r>
            <w:r w:rsidR="0051215D">
              <w:rPr>
                <w:rFonts w:ascii="Verdana" w:hAnsi="Verdana"/>
                <w:bCs/>
                <w:i/>
                <w:iCs/>
                <w:color w:val="0000FA"/>
                <w:sz w:val="16"/>
                <w:szCs w:val="16"/>
              </w:rPr>
              <w:t xml:space="preserve">odficacion de emergencia DOF </w:t>
            </w:r>
            <w:r>
              <w:rPr>
                <w:rFonts w:ascii="Verdana" w:hAnsi="Verdana"/>
                <w:bCs/>
                <w:i/>
                <w:iCs/>
                <w:color w:val="0000FA"/>
                <w:sz w:val="16"/>
                <w:szCs w:val="16"/>
              </w:rPr>
              <w:t>23-08-2023</w:t>
            </w:r>
            <w:r w:rsidR="00AB28EF">
              <w:rPr>
                <w:rFonts w:ascii="Verdana" w:hAnsi="Verdana"/>
                <w:bCs/>
                <w:i/>
                <w:iCs/>
                <w:color w:val="0000FA"/>
                <w:sz w:val="16"/>
                <w:szCs w:val="16"/>
              </w:rPr>
              <w:t>, Fracción reformada DOF 19-03-2025</w:t>
            </w:r>
          </w:p>
        </w:tc>
        <w:tc>
          <w:tcPr>
            <w:tcW w:w="4421" w:type="dxa"/>
            <w:shd w:val="clear" w:color="auto" w:fill="auto"/>
          </w:tcPr>
          <w:p w14:paraId="0E7A1A97" w14:textId="1545D06D" w:rsidR="0051215D" w:rsidRPr="0051215D" w:rsidRDefault="00B73C0E" w:rsidP="0051215D">
            <w:pPr>
              <w:pStyle w:val="Texto"/>
              <w:spacing w:line="276"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Emergency modification DOF 23-08-2023</w:t>
            </w:r>
            <w:r w:rsidR="00AB28EF">
              <w:rPr>
                <w:rFonts w:ascii="Verdana" w:hAnsi="Verdana"/>
                <w:bCs/>
                <w:i/>
                <w:iCs/>
                <w:color w:val="0000FA"/>
                <w:sz w:val="16"/>
                <w:szCs w:val="16"/>
                <w:lang w:val="en-US"/>
              </w:rPr>
              <w:t>, Section reformed DOF 19-03-2025</w:t>
            </w:r>
          </w:p>
        </w:tc>
      </w:tr>
      <w:tr w:rsidR="00DB0C6C" w:rsidRPr="00F70181" w14:paraId="79227E4D" w14:textId="77777777" w:rsidTr="00335F65">
        <w:tc>
          <w:tcPr>
            <w:tcW w:w="4421" w:type="dxa"/>
          </w:tcPr>
          <w:p w14:paraId="44857B01" w14:textId="77777777" w:rsidR="00DB0C6C" w:rsidRPr="00D429B4" w:rsidRDefault="00DB0C6C" w:rsidP="005C0901">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10.5.10.3.2</w:t>
            </w:r>
            <w:r w:rsidRPr="00D429B4">
              <w:rPr>
                <w:rFonts w:ascii="Verdana" w:hAnsi="Verdana"/>
                <w:sz w:val="16"/>
                <w:szCs w:val="16"/>
                <w:lang w:val="es-MX"/>
              </w:rPr>
              <w:t xml:space="preserve"> Contar con un certificado analítico distinto al del fabricante, mediante el análisis de muestras acorde a la FEUM vigente y sus suplementos o de acuerdo a métodos analíticos validados.</w:t>
            </w:r>
          </w:p>
        </w:tc>
        <w:tc>
          <w:tcPr>
            <w:tcW w:w="4421" w:type="dxa"/>
            <w:shd w:val="clear" w:color="auto" w:fill="auto"/>
          </w:tcPr>
          <w:p w14:paraId="4FCCA6A9" w14:textId="77777777" w:rsidR="00DB0C6C" w:rsidRPr="00D429B4" w:rsidRDefault="00DB0C6C" w:rsidP="00D36354">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10.5.10.3.2 </w:t>
            </w:r>
            <w:r w:rsidRPr="00D429B4">
              <w:rPr>
                <w:rFonts w:ascii="Verdana" w:hAnsi="Verdana"/>
                <w:sz w:val="16"/>
                <w:szCs w:val="16"/>
                <w:lang w:val="en-US"/>
              </w:rPr>
              <w:t xml:space="preserve">Have an analysis certificate different from that of the manufacturer, through analysis of samples in accordance with </w:t>
            </w:r>
            <w:r w:rsidR="00D36354" w:rsidRPr="00D429B4">
              <w:rPr>
                <w:rFonts w:ascii="Verdana" w:hAnsi="Verdana"/>
                <w:sz w:val="16"/>
                <w:szCs w:val="16"/>
                <w:lang w:val="en-US"/>
              </w:rPr>
              <w:t>the current</w:t>
            </w:r>
            <w:r w:rsidRPr="00D429B4">
              <w:rPr>
                <w:rFonts w:ascii="Verdana" w:hAnsi="Verdana"/>
                <w:sz w:val="16"/>
                <w:szCs w:val="16"/>
                <w:lang w:val="en-US"/>
              </w:rPr>
              <w:t xml:space="preserve"> FEUM and its supplements or in accordance with validated analytical methods.</w:t>
            </w:r>
          </w:p>
        </w:tc>
      </w:tr>
      <w:tr w:rsidR="00DB0C6C" w:rsidRPr="00F70181" w14:paraId="0DD03BF6" w14:textId="77777777" w:rsidTr="00335F65">
        <w:tc>
          <w:tcPr>
            <w:tcW w:w="4421" w:type="dxa"/>
          </w:tcPr>
          <w:p w14:paraId="3B54592B" w14:textId="4D7AAB1C" w:rsidR="00DB0C6C" w:rsidRPr="00D429B4" w:rsidRDefault="009859C6" w:rsidP="009859C6">
            <w:pPr>
              <w:pStyle w:val="Texto"/>
              <w:spacing w:line="276" w:lineRule="auto"/>
              <w:ind w:firstLine="0"/>
              <w:rPr>
                <w:rFonts w:ascii="Verdana" w:hAnsi="Verdana"/>
                <w:sz w:val="16"/>
                <w:szCs w:val="16"/>
                <w:lang w:val="es-MX"/>
              </w:rPr>
            </w:pPr>
            <w:r w:rsidRPr="009859C6">
              <w:rPr>
                <w:rFonts w:ascii="Verdana" w:hAnsi="Verdana"/>
                <w:b/>
                <w:sz w:val="16"/>
                <w:szCs w:val="16"/>
                <w:lang w:val="es-MX"/>
              </w:rPr>
              <w:t>10.5.10.3.2.1</w:t>
            </w:r>
            <w:r w:rsidRPr="009859C6">
              <w:rPr>
                <w:rFonts w:ascii="Verdana" w:hAnsi="Verdana"/>
                <w:b/>
                <w:sz w:val="16"/>
                <w:szCs w:val="16"/>
              </w:rPr>
              <w:t xml:space="preserve"> </w:t>
            </w:r>
            <w:r w:rsidRPr="009859C6">
              <w:rPr>
                <w:rFonts w:ascii="Verdana" w:hAnsi="Verdana"/>
                <w:bCs/>
                <w:sz w:val="16"/>
                <w:szCs w:val="16"/>
              </w:rPr>
              <w:t>Los análisis correspondientes podrán ser realizados en el laboratorio de control de calidad del fabricante o por un laboratorio de control de calidad certificado. En ambos casos deberán contar con un certificado de buenas prácticas de fabricación o documento equivalente emitido por la Secretaría o por una Autoridad Regulatoria Nacional miembro de la Pharmaceutical Inspection Convention and Pharmaceutical Inspection Co-operation Scheme (PIC/S) o Autoridad Regulatoria Nacional que conforme la "List of transitional WLAs", con un nivel de reconocimiento B o D (con alcance en medicamentos) publicado en el sitio web de la OMS o que cuenten con un Acuerdo de Equivalencias con la Secretaría.</w:t>
            </w:r>
          </w:p>
        </w:tc>
        <w:tc>
          <w:tcPr>
            <w:tcW w:w="4421" w:type="dxa"/>
            <w:shd w:val="clear" w:color="auto" w:fill="auto"/>
          </w:tcPr>
          <w:p w14:paraId="2DED9094" w14:textId="6A20DD3C" w:rsidR="00DB0C6C" w:rsidRPr="00D429B4" w:rsidRDefault="009859C6" w:rsidP="009859C6">
            <w:pPr>
              <w:pStyle w:val="Texto"/>
              <w:spacing w:line="276" w:lineRule="auto"/>
              <w:ind w:firstLine="0"/>
              <w:rPr>
                <w:rFonts w:ascii="Verdana" w:hAnsi="Verdana"/>
                <w:sz w:val="16"/>
                <w:szCs w:val="16"/>
                <w:lang w:val="en-US"/>
              </w:rPr>
            </w:pPr>
            <w:r w:rsidRPr="009859C6">
              <w:rPr>
                <w:rFonts w:ascii="Verdana" w:hAnsi="Verdana"/>
                <w:b/>
                <w:sz w:val="16"/>
                <w:szCs w:val="16"/>
                <w:lang w:val="en-US"/>
              </w:rPr>
              <w:t xml:space="preserve">10.5.10.3.2.1 </w:t>
            </w:r>
            <w:r w:rsidRPr="009859C6">
              <w:rPr>
                <w:rFonts w:ascii="Verdana" w:hAnsi="Verdana"/>
                <w:sz w:val="16"/>
                <w:szCs w:val="16"/>
                <w:lang w:val="en-US"/>
              </w:rPr>
              <w:t>The corresponding analyses may be performed in the manufacturer's quality control laboratory or by a certified quality control laboratory. In both cases, they must have a certificate of good manufacturing practices or equivalent document issued by the Secretary or by a National Regulatory Authority member of the Pharmaceutical Inspection Convention and Pharmaceutical Inspection Co-operation Scheme (PIC/S) or National Regulatory Authority that conforms to the "List of transitional WLAs, with a recognition level of B or D (with scope for drug products) published on the WHO website or that have an Equivalence Agreement with the Secretary.</w:t>
            </w:r>
          </w:p>
        </w:tc>
      </w:tr>
      <w:tr w:rsidR="003F2831" w:rsidRPr="00AB28EF" w14:paraId="41B2A596" w14:textId="77777777" w:rsidTr="00335F65">
        <w:tc>
          <w:tcPr>
            <w:tcW w:w="4421" w:type="dxa"/>
          </w:tcPr>
          <w:p w14:paraId="0EAE72E2" w14:textId="3E135C55" w:rsidR="003F2831" w:rsidRPr="00AB28EF" w:rsidRDefault="00CD67E0" w:rsidP="003F2831">
            <w:pPr>
              <w:pStyle w:val="Texto"/>
              <w:spacing w:line="276" w:lineRule="auto"/>
              <w:ind w:firstLine="0"/>
              <w:jc w:val="right"/>
              <w:rPr>
                <w:rFonts w:ascii="Verdana" w:hAnsi="Verdana"/>
                <w:bCs/>
                <w:i/>
                <w:iCs/>
                <w:color w:val="0000FA"/>
                <w:sz w:val="16"/>
                <w:szCs w:val="16"/>
              </w:rPr>
            </w:pPr>
            <w:r w:rsidRPr="00AB28EF">
              <w:rPr>
                <w:rFonts w:ascii="Verdana" w:hAnsi="Verdana"/>
                <w:bCs/>
                <w:i/>
                <w:iCs/>
                <w:color w:val="0000FA"/>
                <w:sz w:val="16"/>
                <w:szCs w:val="16"/>
              </w:rPr>
              <w:t>Modificación de emergencia DOF 23-08-2023</w:t>
            </w:r>
            <w:r w:rsidR="00AB28EF">
              <w:rPr>
                <w:rFonts w:ascii="Verdana" w:hAnsi="Verdana"/>
                <w:bCs/>
                <w:i/>
                <w:iCs/>
                <w:color w:val="0000FA"/>
                <w:sz w:val="16"/>
                <w:szCs w:val="16"/>
              </w:rPr>
              <w:t>, Fracción reformada DOF 19-03-2025.</w:t>
            </w:r>
          </w:p>
        </w:tc>
        <w:tc>
          <w:tcPr>
            <w:tcW w:w="4421" w:type="dxa"/>
            <w:shd w:val="clear" w:color="auto" w:fill="auto"/>
          </w:tcPr>
          <w:p w14:paraId="5579EE2A" w14:textId="0F1FCC70" w:rsidR="003F2831" w:rsidRPr="00AB28EF" w:rsidRDefault="00CD67E0" w:rsidP="003F2831">
            <w:pPr>
              <w:pStyle w:val="Texto"/>
              <w:spacing w:line="276" w:lineRule="auto"/>
              <w:ind w:firstLine="0"/>
              <w:jc w:val="right"/>
              <w:rPr>
                <w:rFonts w:ascii="Verdana" w:hAnsi="Verdana"/>
                <w:bCs/>
                <w:i/>
                <w:iCs/>
                <w:color w:val="0000FA"/>
                <w:sz w:val="16"/>
                <w:szCs w:val="16"/>
                <w:lang w:val="en-US"/>
              </w:rPr>
            </w:pPr>
            <w:r w:rsidRPr="00AB28EF">
              <w:rPr>
                <w:rFonts w:ascii="Verdana" w:hAnsi="Verdana"/>
                <w:bCs/>
                <w:i/>
                <w:iCs/>
                <w:color w:val="0000FA"/>
                <w:sz w:val="16"/>
                <w:szCs w:val="16"/>
                <w:lang w:val="en-US"/>
              </w:rPr>
              <w:t>Emergency modification DOF 23-08-2023</w:t>
            </w:r>
            <w:r w:rsidR="00AB28EF">
              <w:rPr>
                <w:rFonts w:ascii="Verdana" w:hAnsi="Verdana"/>
                <w:bCs/>
                <w:i/>
                <w:iCs/>
                <w:color w:val="0000FA"/>
                <w:sz w:val="16"/>
                <w:szCs w:val="16"/>
                <w:lang w:val="en-US"/>
              </w:rPr>
              <w:t>, Section reformed DOF 19-03-2025</w:t>
            </w:r>
          </w:p>
        </w:tc>
      </w:tr>
      <w:tr w:rsidR="00DB0C6C" w:rsidRPr="00F70181" w14:paraId="17716ECF" w14:textId="77777777" w:rsidTr="00335F65">
        <w:tc>
          <w:tcPr>
            <w:tcW w:w="4421" w:type="dxa"/>
          </w:tcPr>
          <w:p w14:paraId="0898F6B5" w14:textId="17AAE48E" w:rsidR="00DB0C6C" w:rsidRPr="00D429B4" w:rsidRDefault="009859C6" w:rsidP="009859C6">
            <w:pPr>
              <w:pStyle w:val="Texto"/>
              <w:spacing w:line="276" w:lineRule="auto"/>
              <w:ind w:firstLine="0"/>
              <w:rPr>
                <w:rFonts w:ascii="Verdana" w:hAnsi="Verdana"/>
                <w:sz w:val="16"/>
                <w:szCs w:val="16"/>
                <w:lang w:val="es-MX"/>
              </w:rPr>
            </w:pPr>
            <w:r w:rsidRPr="009859C6">
              <w:rPr>
                <w:rFonts w:ascii="Verdana" w:hAnsi="Verdana"/>
                <w:b/>
                <w:sz w:val="16"/>
                <w:szCs w:val="16"/>
                <w:lang w:val="es-MX"/>
              </w:rPr>
              <w:t>10.5.10.3.3</w:t>
            </w:r>
            <w:r w:rsidRPr="009859C6">
              <w:rPr>
                <w:rFonts w:ascii="Verdana" w:hAnsi="Verdana"/>
                <w:b/>
                <w:sz w:val="16"/>
                <w:szCs w:val="16"/>
              </w:rPr>
              <w:t xml:space="preserve"> </w:t>
            </w:r>
            <w:r w:rsidRPr="009859C6">
              <w:rPr>
                <w:rFonts w:ascii="Verdana" w:hAnsi="Verdana"/>
                <w:bCs/>
                <w:sz w:val="16"/>
                <w:szCs w:val="16"/>
              </w:rPr>
              <w:t>Cuando el fabricante cuente con un certificado de buenas prácticas de fabricación o documento equivalente del biofármaco y del medicamento, emitido por la Secretaría o por una Autoridad Regulatoria Nacional miembro de la Pharmaceutical Inspection Convention and Pharmaceutical Inspection  Co-operation Scheme (PIC/S) o Autoridad Regulatoria Nacional que conforme la "List of transitional WLAs", con un nivel de reconocimiento B o D (con alcance en medicamentos), publicado en el sitio web de la OMS o que cuenten con un Acuerdo de Equivalencias con la Secretaría, presentará sólo el certificado analítico del fabricante.</w:t>
            </w:r>
          </w:p>
        </w:tc>
        <w:tc>
          <w:tcPr>
            <w:tcW w:w="4421" w:type="dxa"/>
            <w:shd w:val="clear" w:color="auto" w:fill="auto"/>
          </w:tcPr>
          <w:p w14:paraId="6F3D22EA" w14:textId="501E3B94" w:rsidR="00DB0C6C" w:rsidRPr="00D429B4" w:rsidRDefault="009859C6" w:rsidP="009859C6">
            <w:pPr>
              <w:pStyle w:val="Texto"/>
              <w:spacing w:line="276" w:lineRule="auto"/>
              <w:ind w:firstLine="0"/>
              <w:rPr>
                <w:rFonts w:ascii="Verdana" w:hAnsi="Verdana"/>
                <w:sz w:val="16"/>
                <w:szCs w:val="16"/>
                <w:lang w:val="en-US"/>
              </w:rPr>
            </w:pPr>
            <w:r w:rsidRPr="009859C6">
              <w:rPr>
                <w:rFonts w:ascii="Verdana" w:hAnsi="Verdana"/>
                <w:b/>
                <w:sz w:val="16"/>
                <w:szCs w:val="16"/>
                <w:lang w:val="en-US"/>
              </w:rPr>
              <w:t xml:space="preserve">10.5.10.3.3 </w:t>
            </w:r>
            <w:r w:rsidRPr="009859C6">
              <w:rPr>
                <w:rFonts w:ascii="Verdana" w:hAnsi="Verdana"/>
                <w:sz w:val="16"/>
                <w:szCs w:val="16"/>
                <w:lang w:val="en-US"/>
              </w:rPr>
              <w:t>When the manufacturer has a certificate of good manufacturing practices or equivalent document for the biopharmaceutical and the medicine, issued by the Secretary or by a National Regulatory Authority member of the Pharmaceutical Inspection Convention and Pharmaceutical Inspection  Co-operation Scheme (PIC/S) or National Regulatory Authority that conforms to the "List of transitional WLAs, with a recognition level of B or D (with scope for drug products), published on the WHO website or with an Equivalence Agreement with the Secretary, shall present only the manufacturer's analytical certificate.</w:t>
            </w:r>
          </w:p>
        </w:tc>
      </w:tr>
      <w:tr w:rsidR="00CD67E0" w:rsidRPr="00B142E0" w14:paraId="608B8B6A" w14:textId="77777777" w:rsidTr="00335F65">
        <w:tc>
          <w:tcPr>
            <w:tcW w:w="4421" w:type="dxa"/>
          </w:tcPr>
          <w:p w14:paraId="5A368920" w14:textId="535DE7C6" w:rsidR="00CD67E0" w:rsidRPr="00AB28EF" w:rsidRDefault="00CD67E0" w:rsidP="00CD67E0">
            <w:pPr>
              <w:pStyle w:val="Texto"/>
              <w:spacing w:line="276" w:lineRule="auto"/>
              <w:ind w:firstLine="0"/>
              <w:jc w:val="right"/>
              <w:rPr>
                <w:rFonts w:ascii="Verdana" w:hAnsi="Verdana"/>
                <w:bCs/>
                <w:i/>
                <w:iCs/>
                <w:color w:val="0000FA"/>
                <w:sz w:val="16"/>
                <w:szCs w:val="16"/>
              </w:rPr>
            </w:pPr>
            <w:r w:rsidRPr="00AB28EF">
              <w:rPr>
                <w:rFonts w:ascii="Verdana" w:hAnsi="Verdana"/>
                <w:bCs/>
                <w:i/>
                <w:iCs/>
                <w:color w:val="0000FA"/>
                <w:sz w:val="16"/>
                <w:szCs w:val="16"/>
              </w:rPr>
              <w:t>Modificación de emergencia DOF 23-08-2023</w:t>
            </w:r>
            <w:r w:rsidR="00AB28EF">
              <w:rPr>
                <w:rFonts w:ascii="Verdana" w:hAnsi="Verdana"/>
                <w:bCs/>
                <w:i/>
                <w:iCs/>
                <w:color w:val="0000FA"/>
                <w:sz w:val="16"/>
                <w:szCs w:val="16"/>
              </w:rPr>
              <w:t xml:space="preserve">, </w:t>
            </w:r>
            <w:r w:rsidR="00B142E0">
              <w:rPr>
                <w:rFonts w:ascii="Verdana" w:hAnsi="Verdana"/>
                <w:bCs/>
                <w:i/>
                <w:iCs/>
                <w:color w:val="0000FA"/>
                <w:sz w:val="16"/>
                <w:szCs w:val="16"/>
              </w:rPr>
              <w:t>Fracción reformada DOF 19-03-2025</w:t>
            </w:r>
          </w:p>
        </w:tc>
        <w:tc>
          <w:tcPr>
            <w:tcW w:w="4421" w:type="dxa"/>
            <w:shd w:val="clear" w:color="auto" w:fill="auto"/>
          </w:tcPr>
          <w:p w14:paraId="79377B8B" w14:textId="490B469B" w:rsidR="00CD67E0" w:rsidRPr="00AB28EF" w:rsidRDefault="00CD67E0" w:rsidP="00CD67E0">
            <w:pPr>
              <w:pStyle w:val="Texto"/>
              <w:spacing w:line="276" w:lineRule="auto"/>
              <w:ind w:firstLine="0"/>
              <w:jc w:val="right"/>
              <w:rPr>
                <w:rFonts w:ascii="Verdana" w:hAnsi="Verdana"/>
                <w:bCs/>
                <w:i/>
                <w:iCs/>
                <w:color w:val="0000FA"/>
                <w:sz w:val="16"/>
                <w:szCs w:val="16"/>
                <w:lang w:val="en-US"/>
              </w:rPr>
            </w:pPr>
            <w:r w:rsidRPr="00AB28EF">
              <w:rPr>
                <w:rFonts w:ascii="Verdana" w:hAnsi="Verdana"/>
                <w:bCs/>
                <w:i/>
                <w:iCs/>
                <w:color w:val="0000FA"/>
                <w:sz w:val="16"/>
                <w:szCs w:val="16"/>
                <w:lang w:val="en-US"/>
              </w:rPr>
              <w:t>Emergency modification DOF 23-08-2023</w:t>
            </w:r>
            <w:r w:rsidR="00B142E0">
              <w:rPr>
                <w:rFonts w:ascii="Verdana" w:hAnsi="Verdana"/>
                <w:bCs/>
                <w:i/>
                <w:iCs/>
                <w:color w:val="0000FA"/>
                <w:sz w:val="16"/>
                <w:szCs w:val="16"/>
                <w:lang w:val="en-US"/>
              </w:rPr>
              <w:t>, Section reformed DOF 19-03-2025</w:t>
            </w:r>
          </w:p>
        </w:tc>
      </w:tr>
      <w:tr w:rsidR="00CD67E0" w:rsidRPr="00F70181" w14:paraId="593DF76D" w14:textId="77777777" w:rsidTr="00335F65">
        <w:tc>
          <w:tcPr>
            <w:tcW w:w="4421" w:type="dxa"/>
          </w:tcPr>
          <w:p w14:paraId="75B4C22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10.5.10.3.4</w:t>
            </w:r>
            <w:r w:rsidRPr="00D429B4">
              <w:rPr>
                <w:rFonts w:ascii="Verdana" w:hAnsi="Verdana"/>
                <w:sz w:val="16"/>
                <w:szCs w:val="16"/>
                <w:lang w:val="es-MX"/>
              </w:rPr>
              <w:t xml:space="preserve"> Acreditar que el lote y la muestra durante el transporte se mantuvo dentro de las condiciones adecuadas de temperatura y que el sistema contenedor-cierre no se afectó durante la transportación.</w:t>
            </w:r>
          </w:p>
        </w:tc>
        <w:tc>
          <w:tcPr>
            <w:tcW w:w="4421" w:type="dxa"/>
            <w:shd w:val="clear" w:color="auto" w:fill="auto"/>
          </w:tcPr>
          <w:p w14:paraId="328952E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10.5.10.3.4 </w:t>
            </w:r>
            <w:r w:rsidRPr="00D429B4">
              <w:rPr>
                <w:rFonts w:ascii="Verdana" w:hAnsi="Verdana"/>
                <w:sz w:val="16"/>
                <w:szCs w:val="16"/>
                <w:lang w:val="en-US"/>
              </w:rPr>
              <w:t>Verify that the lot and the sample during the transport was maintained within adequate temperature conditions and that the container-closure system was not affected during transportation</w:t>
            </w:r>
          </w:p>
        </w:tc>
      </w:tr>
      <w:tr w:rsidR="00CD67E0" w:rsidRPr="00DD29AF" w14:paraId="3AF34B3F" w14:textId="77777777" w:rsidTr="00335F65">
        <w:tc>
          <w:tcPr>
            <w:tcW w:w="4421" w:type="dxa"/>
          </w:tcPr>
          <w:p w14:paraId="394A017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w:t>
            </w:r>
            <w:r w:rsidRPr="00D429B4">
              <w:rPr>
                <w:rFonts w:ascii="Verdana" w:hAnsi="Verdana"/>
                <w:sz w:val="16"/>
                <w:szCs w:val="16"/>
                <w:lang w:val="es-MX"/>
              </w:rPr>
              <w:t xml:space="preserve"> Gases medicinales.</w:t>
            </w:r>
          </w:p>
        </w:tc>
        <w:tc>
          <w:tcPr>
            <w:tcW w:w="4421" w:type="dxa"/>
            <w:shd w:val="clear" w:color="auto" w:fill="auto"/>
          </w:tcPr>
          <w:p w14:paraId="672614A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 </w:t>
            </w:r>
            <w:r w:rsidRPr="00D429B4">
              <w:rPr>
                <w:rFonts w:ascii="Verdana" w:hAnsi="Verdana"/>
                <w:sz w:val="16"/>
                <w:szCs w:val="16"/>
                <w:lang w:val="en-US"/>
              </w:rPr>
              <w:t>Medicinal gases.</w:t>
            </w:r>
          </w:p>
        </w:tc>
      </w:tr>
      <w:tr w:rsidR="00CD67E0" w:rsidRPr="00DD29AF" w14:paraId="49B67AF8" w14:textId="77777777" w:rsidTr="00335F65">
        <w:tc>
          <w:tcPr>
            <w:tcW w:w="4421" w:type="dxa"/>
          </w:tcPr>
          <w:p w14:paraId="229A7E0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10.6.1</w:t>
            </w:r>
            <w:r w:rsidRPr="00D429B4">
              <w:rPr>
                <w:rFonts w:ascii="Verdana" w:hAnsi="Verdana"/>
                <w:sz w:val="16"/>
                <w:szCs w:val="16"/>
                <w:lang w:val="es-MX"/>
              </w:rPr>
              <w:t xml:space="preserve"> Generalidades.</w:t>
            </w:r>
          </w:p>
        </w:tc>
        <w:tc>
          <w:tcPr>
            <w:tcW w:w="4421" w:type="dxa"/>
            <w:shd w:val="clear" w:color="auto" w:fill="auto"/>
          </w:tcPr>
          <w:p w14:paraId="1BE20A6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10.6.1 </w:t>
            </w:r>
            <w:r w:rsidRPr="00D429B4">
              <w:rPr>
                <w:rFonts w:ascii="Verdana" w:hAnsi="Verdana"/>
                <w:sz w:val="16"/>
                <w:szCs w:val="16"/>
                <w:lang w:val="en-US"/>
              </w:rPr>
              <w:t>General provisions.</w:t>
            </w:r>
          </w:p>
        </w:tc>
      </w:tr>
      <w:tr w:rsidR="00CD67E0" w:rsidRPr="00F70181" w14:paraId="1BAD48DF" w14:textId="77777777" w:rsidTr="00335F65">
        <w:tc>
          <w:tcPr>
            <w:tcW w:w="4421" w:type="dxa"/>
          </w:tcPr>
          <w:p w14:paraId="78985C9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10.6.1.1</w:t>
            </w:r>
            <w:r w:rsidRPr="00D429B4">
              <w:rPr>
                <w:rFonts w:ascii="Verdana" w:hAnsi="Verdana"/>
                <w:sz w:val="16"/>
                <w:szCs w:val="16"/>
                <w:lang w:val="es-MX"/>
              </w:rPr>
              <w:t xml:space="preserve"> Los gases medicinales pueden ser obtenidos a través de fuentes naturales o procesos químicos, seguidos del proceso de purificación y envasado de éstos. En este capítulo se enlistan requisitos específicos en su producción, instalaciones, equipos y servicios.</w:t>
            </w:r>
          </w:p>
        </w:tc>
        <w:tc>
          <w:tcPr>
            <w:tcW w:w="4421" w:type="dxa"/>
            <w:shd w:val="clear" w:color="auto" w:fill="auto"/>
          </w:tcPr>
          <w:p w14:paraId="082557F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10.6.1.1 </w:t>
            </w:r>
            <w:r w:rsidRPr="00D429B4">
              <w:rPr>
                <w:rFonts w:ascii="Verdana" w:hAnsi="Verdana"/>
                <w:sz w:val="16"/>
                <w:szCs w:val="16"/>
                <w:lang w:val="en-US"/>
              </w:rPr>
              <w:t xml:space="preserve">The medicinal gases can be obtained through natural sources or chemical processes, followed by purification processes and packaging of the same. In this chapter specific requirements for their production, installations, equipment and services are listed. </w:t>
            </w:r>
          </w:p>
        </w:tc>
      </w:tr>
      <w:tr w:rsidR="00CD67E0" w:rsidRPr="00F70181" w14:paraId="27CA9A25" w14:textId="77777777" w:rsidTr="00335F65">
        <w:tc>
          <w:tcPr>
            <w:tcW w:w="4421" w:type="dxa"/>
          </w:tcPr>
          <w:p w14:paraId="61D1632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10.6.1.2</w:t>
            </w:r>
            <w:r w:rsidRPr="00D429B4">
              <w:rPr>
                <w:rFonts w:ascii="Verdana" w:hAnsi="Verdana"/>
                <w:sz w:val="16"/>
                <w:szCs w:val="16"/>
                <w:lang w:val="es-MX"/>
              </w:rPr>
              <w:t xml:space="preserve"> Los gases medicinales deben cumplir con lo establecido en el capítulo específico de la FEUM.</w:t>
            </w:r>
          </w:p>
        </w:tc>
        <w:tc>
          <w:tcPr>
            <w:tcW w:w="4421" w:type="dxa"/>
            <w:shd w:val="clear" w:color="auto" w:fill="auto"/>
          </w:tcPr>
          <w:p w14:paraId="38D6E98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10.6.1.2 </w:t>
            </w:r>
            <w:r w:rsidRPr="00D429B4">
              <w:rPr>
                <w:rFonts w:ascii="Verdana" w:hAnsi="Verdana"/>
                <w:sz w:val="16"/>
                <w:szCs w:val="16"/>
                <w:lang w:val="en-US"/>
              </w:rPr>
              <w:t>The medicinal gases must comply with that established in the specific FEUM chapter.</w:t>
            </w:r>
          </w:p>
        </w:tc>
      </w:tr>
      <w:tr w:rsidR="00CD67E0" w:rsidRPr="00DD29AF" w14:paraId="12D21BE6" w14:textId="77777777" w:rsidTr="00335F65">
        <w:tc>
          <w:tcPr>
            <w:tcW w:w="4421" w:type="dxa"/>
          </w:tcPr>
          <w:p w14:paraId="228841B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10.6.2 </w:t>
            </w:r>
            <w:r w:rsidRPr="00D429B4">
              <w:rPr>
                <w:rFonts w:ascii="Verdana" w:hAnsi="Verdana"/>
                <w:sz w:val="16"/>
                <w:szCs w:val="16"/>
                <w:lang w:val="es-MX"/>
              </w:rPr>
              <w:t>Documentación.</w:t>
            </w:r>
          </w:p>
        </w:tc>
        <w:tc>
          <w:tcPr>
            <w:tcW w:w="4421" w:type="dxa"/>
            <w:shd w:val="clear" w:color="auto" w:fill="auto"/>
          </w:tcPr>
          <w:p w14:paraId="604D5C1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 </w:t>
            </w:r>
            <w:r w:rsidRPr="00D429B4">
              <w:rPr>
                <w:rFonts w:ascii="Verdana" w:hAnsi="Verdana"/>
                <w:sz w:val="16"/>
                <w:szCs w:val="16"/>
                <w:lang w:val="en-US"/>
              </w:rPr>
              <w:t>Documentation.</w:t>
            </w:r>
          </w:p>
        </w:tc>
      </w:tr>
      <w:tr w:rsidR="00CD67E0" w:rsidRPr="00861FCE" w14:paraId="1D925D9C" w14:textId="77777777" w:rsidTr="00335F65">
        <w:tc>
          <w:tcPr>
            <w:tcW w:w="4421" w:type="dxa"/>
          </w:tcPr>
          <w:p w14:paraId="2184F59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10.6.2.1 </w:t>
            </w:r>
            <w:r w:rsidRPr="00D429B4">
              <w:rPr>
                <w:rFonts w:ascii="Verdana" w:hAnsi="Verdana"/>
                <w:sz w:val="16"/>
                <w:szCs w:val="16"/>
                <w:lang w:val="es-MX"/>
              </w:rPr>
              <w:t>Se debe asegurar la trazabilidad del llenado de los contenedores de gas medicinal</w:t>
            </w:r>
            <w:r w:rsidRPr="00D429B4">
              <w:rPr>
                <w:rFonts w:ascii="Verdana" w:hAnsi="Verdana"/>
                <w:b/>
                <w:sz w:val="16"/>
                <w:szCs w:val="16"/>
                <w:lang w:val="es-MX"/>
              </w:rPr>
              <w:t xml:space="preserve"> </w:t>
            </w:r>
            <w:r w:rsidRPr="00D429B4">
              <w:rPr>
                <w:rFonts w:ascii="Verdana" w:hAnsi="Verdana"/>
                <w:sz w:val="16"/>
                <w:szCs w:val="16"/>
                <w:lang w:val="es-MX"/>
              </w:rPr>
              <w:t>por cada lote.</w:t>
            </w:r>
          </w:p>
        </w:tc>
        <w:tc>
          <w:tcPr>
            <w:tcW w:w="4421" w:type="dxa"/>
            <w:shd w:val="clear" w:color="auto" w:fill="auto"/>
          </w:tcPr>
          <w:p w14:paraId="04CF3E3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10.6.2.1 </w:t>
            </w:r>
            <w:r w:rsidRPr="00D429B4">
              <w:rPr>
                <w:rFonts w:ascii="Verdana" w:hAnsi="Verdana"/>
                <w:sz w:val="16"/>
                <w:szCs w:val="16"/>
                <w:lang w:val="en-US"/>
              </w:rPr>
              <w:t xml:space="preserve">The traceability of filling of each container for each lot of cryogenic cylinders or containers must be assured. </w:t>
            </w:r>
          </w:p>
        </w:tc>
      </w:tr>
      <w:tr w:rsidR="00CD67E0" w:rsidRPr="00861FCE" w14:paraId="56F3E2EE" w14:textId="77777777" w:rsidTr="00335F65">
        <w:tc>
          <w:tcPr>
            <w:tcW w:w="4421" w:type="dxa"/>
          </w:tcPr>
          <w:p w14:paraId="131DE1C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10.6.2.2</w:t>
            </w:r>
            <w:r w:rsidRPr="00D429B4">
              <w:rPr>
                <w:rFonts w:ascii="Verdana" w:hAnsi="Verdana"/>
                <w:sz w:val="16"/>
                <w:szCs w:val="16"/>
                <w:lang w:val="es-MX"/>
              </w:rPr>
              <w:t xml:space="preserve"> Debe existir un expediente de cada lote de gas destinado a surtir gases a granel, este expediente debe incluir al menos lo siguiente:</w:t>
            </w:r>
          </w:p>
        </w:tc>
        <w:tc>
          <w:tcPr>
            <w:tcW w:w="4421" w:type="dxa"/>
            <w:shd w:val="clear" w:color="auto" w:fill="auto"/>
          </w:tcPr>
          <w:p w14:paraId="7C6C047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10.6.2.2 </w:t>
            </w:r>
            <w:r w:rsidRPr="00D429B4">
              <w:rPr>
                <w:rFonts w:ascii="Verdana" w:hAnsi="Verdana"/>
                <w:sz w:val="16"/>
                <w:szCs w:val="16"/>
                <w:lang w:val="en-US"/>
              </w:rPr>
              <w:t>There must be a file of each lot of gas destined to supply cylinders or cistern tanks to hospitals, this file must at least include the following:</w:t>
            </w:r>
          </w:p>
        </w:tc>
      </w:tr>
      <w:tr w:rsidR="00CD67E0" w:rsidRPr="00DD29AF" w14:paraId="6B483746" w14:textId="77777777" w:rsidTr="00335F65">
        <w:tc>
          <w:tcPr>
            <w:tcW w:w="4421" w:type="dxa"/>
          </w:tcPr>
          <w:p w14:paraId="6555A9F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10.6.2.2.1</w:t>
            </w:r>
            <w:r w:rsidRPr="00D429B4">
              <w:rPr>
                <w:rFonts w:ascii="Verdana" w:hAnsi="Verdana"/>
                <w:sz w:val="16"/>
                <w:szCs w:val="16"/>
                <w:lang w:val="es-MX"/>
              </w:rPr>
              <w:t xml:space="preserve"> Nombre del producto.</w:t>
            </w:r>
          </w:p>
        </w:tc>
        <w:tc>
          <w:tcPr>
            <w:tcW w:w="4421" w:type="dxa"/>
            <w:shd w:val="clear" w:color="auto" w:fill="auto"/>
          </w:tcPr>
          <w:p w14:paraId="22672D7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10.6.2.2.1 </w:t>
            </w:r>
            <w:r w:rsidRPr="00D429B4">
              <w:rPr>
                <w:rFonts w:ascii="Verdana" w:hAnsi="Verdana"/>
                <w:sz w:val="16"/>
                <w:szCs w:val="16"/>
                <w:lang w:val="en-US"/>
              </w:rPr>
              <w:t>Name of the product.</w:t>
            </w:r>
          </w:p>
        </w:tc>
      </w:tr>
      <w:tr w:rsidR="00CD67E0" w:rsidRPr="00DD29AF" w14:paraId="5186D3B2" w14:textId="77777777" w:rsidTr="00335F65">
        <w:tc>
          <w:tcPr>
            <w:tcW w:w="4421" w:type="dxa"/>
          </w:tcPr>
          <w:p w14:paraId="4C7D5AB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10.6.2.2.2</w:t>
            </w:r>
            <w:r w:rsidRPr="00D429B4">
              <w:rPr>
                <w:rFonts w:ascii="Verdana" w:hAnsi="Verdana"/>
                <w:sz w:val="16"/>
                <w:szCs w:val="16"/>
                <w:lang w:val="es-MX"/>
              </w:rPr>
              <w:t xml:space="preserve"> Composición y pureza.</w:t>
            </w:r>
          </w:p>
        </w:tc>
        <w:tc>
          <w:tcPr>
            <w:tcW w:w="4421" w:type="dxa"/>
            <w:shd w:val="clear" w:color="auto" w:fill="auto"/>
          </w:tcPr>
          <w:p w14:paraId="000EC42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10.6.2.2.2 </w:t>
            </w:r>
            <w:r w:rsidRPr="00D429B4">
              <w:rPr>
                <w:rFonts w:ascii="Verdana" w:hAnsi="Verdana"/>
                <w:sz w:val="16"/>
                <w:szCs w:val="16"/>
                <w:lang w:val="en-US"/>
              </w:rPr>
              <w:t>Composition and purity.</w:t>
            </w:r>
          </w:p>
        </w:tc>
      </w:tr>
      <w:tr w:rsidR="00CD67E0" w:rsidRPr="00DD29AF" w14:paraId="1CE07BC7" w14:textId="77777777" w:rsidTr="00335F65">
        <w:tc>
          <w:tcPr>
            <w:tcW w:w="4421" w:type="dxa"/>
          </w:tcPr>
          <w:p w14:paraId="3C7425D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10.6.2.2.3</w:t>
            </w:r>
            <w:r w:rsidRPr="00D429B4">
              <w:rPr>
                <w:rFonts w:ascii="Verdana" w:hAnsi="Verdana"/>
                <w:sz w:val="16"/>
                <w:szCs w:val="16"/>
                <w:lang w:val="es-MX"/>
              </w:rPr>
              <w:t xml:space="preserve"> Número de lote.</w:t>
            </w:r>
          </w:p>
        </w:tc>
        <w:tc>
          <w:tcPr>
            <w:tcW w:w="4421" w:type="dxa"/>
            <w:shd w:val="clear" w:color="auto" w:fill="auto"/>
          </w:tcPr>
          <w:p w14:paraId="4EDD5A5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10.6.2.2.3 </w:t>
            </w:r>
            <w:r w:rsidRPr="00D429B4">
              <w:rPr>
                <w:rFonts w:ascii="Verdana" w:hAnsi="Verdana"/>
                <w:sz w:val="16"/>
                <w:szCs w:val="16"/>
                <w:lang w:val="en-US"/>
              </w:rPr>
              <w:t>Lot number.</w:t>
            </w:r>
          </w:p>
        </w:tc>
      </w:tr>
      <w:tr w:rsidR="00CD67E0" w:rsidRPr="00861FCE" w14:paraId="329D4635" w14:textId="77777777" w:rsidTr="00335F65">
        <w:tc>
          <w:tcPr>
            <w:tcW w:w="4421" w:type="dxa"/>
          </w:tcPr>
          <w:p w14:paraId="6AF93A8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10.6.2.2.4</w:t>
            </w:r>
            <w:r w:rsidRPr="00D429B4">
              <w:rPr>
                <w:rFonts w:ascii="Verdana" w:hAnsi="Verdana"/>
                <w:sz w:val="16"/>
                <w:szCs w:val="16"/>
                <w:lang w:val="es-MX"/>
              </w:rPr>
              <w:t xml:space="preserve"> Identificación de referencia para el tanque cisterna donde se transportó el gas.</w:t>
            </w:r>
          </w:p>
        </w:tc>
        <w:tc>
          <w:tcPr>
            <w:tcW w:w="4421" w:type="dxa"/>
            <w:shd w:val="clear" w:color="auto" w:fill="auto"/>
          </w:tcPr>
          <w:p w14:paraId="7647914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10.6.2.2.4</w:t>
            </w:r>
            <w:r w:rsidRPr="00D429B4">
              <w:rPr>
                <w:rFonts w:ascii="Verdana" w:hAnsi="Verdana"/>
                <w:sz w:val="16"/>
                <w:szCs w:val="16"/>
                <w:lang w:val="en-US"/>
              </w:rPr>
              <w:t xml:space="preserve"> The identification of reference for the cistern tank where the gas was transported.</w:t>
            </w:r>
          </w:p>
        </w:tc>
      </w:tr>
      <w:tr w:rsidR="00CD67E0" w:rsidRPr="00861FCE" w14:paraId="040D5547" w14:textId="77777777" w:rsidTr="00335F65">
        <w:tc>
          <w:tcPr>
            <w:tcW w:w="4421" w:type="dxa"/>
          </w:tcPr>
          <w:p w14:paraId="569B2B01"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10.6.2.2.5</w:t>
            </w:r>
            <w:r w:rsidRPr="00D429B4">
              <w:rPr>
                <w:rFonts w:ascii="Verdana" w:hAnsi="Verdana"/>
                <w:sz w:val="16"/>
                <w:szCs w:val="16"/>
                <w:lang w:val="es-MX"/>
              </w:rPr>
              <w:t xml:space="preserve"> Fecha y hora de la operación de llenado.</w:t>
            </w:r>
          </w:p>
        </w:tc>
        <w:tc>
          <w:tcPr>
            <w:tcW w:w="4421" w:type="dxa"/>
            <w:shd w:val="clear" w:color="auto" w:fill="auto"/>
          </w:tcPr>
          <w:p w14:paraId="19CDB7B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10.6.2.2.5 </w:t>
            </w:r>
            <w:r w:rsidRPr="00D429B4">
              <w:rPr>
                <w:rFonts w:ascii="Verdana" w:hAnsi="Verdana"/>
                <w:sz w:val="16"/>
                <w:szCs w:val="16"/>
                <w:lang w:val="en-US"/>
              </w:rPr>
              <w:t>Date and time of the filling operation.</w:t>
            </w:r>
          </w:p>
        </w:tc>
      </w:tr>
      <w:tr w:rsidR="00CD67E0" w:rsidRPr="00861FCE" w14:paraId="44344DD0" w14:textId="77777777" w:rsidTr="00335F65">
        <w:tc>
          <w:tcPr>
            <w:tcW w:w="4421" w:type="dxa"/>
          </w:tcPr>
          <w:p w14:paraId="0E8D32F4"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10.6.2.2.6</w:t>
            </w:r>
            <w:r w:rsidRPr="00D429B4">
              <w:rPr>
                <w:rFonts w:ascii="Verdana" w:hAnsi="Verdana"/>
                <w:sz w:val="16"/>
                <w:szCs w:val="16"/>
                <w:lang w:val="es-MX"/>
              </w:rPr>
              <w:t xml:space="preserve"> Identificación de la(s) persona(s) que llevan a cabo el llenado del tanque cisterna.</w:t>
            </w:r>
          </w:p>
        </w:tc>
        <w:tc>
          <w:tcPr>
            <w:tcW w:w="4421" w:type="dxa"/>
            <w:shd w:val="clear" w:color="auto" w:fill="auto"/>
          </w:tcPr>
          <w:p w14:paraId="59E869E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10.6.2.2.6 </w:t>
            </w:r>
            <w:r w:rsidRPr="00D429B4">
              <w:rPr>
                <w:rFonts w:ascii="Verdana" w:hAnsi="Verdana"/>
                <w:sz w:val="16"/>
                <w:szCs w:val="16"/>
                <w:lang w:val="en-US"/>
              </w:rPr>
              <w:t>Identification of the person (s) that carries out filling of the tank or cylinders.</w:t>
            </w:r>
          </w:p>
        </w:tc>
      </w:tr>
      <w:tr w:rsidR="00CD67E0" w:rsidRPr="00861FCE" w14:paraId="3AF52A87" w14:textId="77777777" w:rsidTr="00335F65">
        <w:tc>
          <w:tcPr>
            <w:tcW w:w="4421" w:type="dxa"/>
          </w:tcPr>
          <w:p w14:paraId="2599FE8E"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 xml:space="preserve">10.6.2.2.7 </w:t>
            </w:r>
            <w:r w:rsidRPr="00D429B4">
              <w:rPr>
                <w:rFonts w:ascii="Verdana" w:hAnsi="Verdana"/>
                <w:sz w:val="16"/>
                <w:szCs w:val="16"/>
                <w:lang w:val="es-MX"/>
              </w:rPr>
              <w:t>Trazabilidad a tanques cisterna utilizados.</w:t>
            </w:r>
          </w:p>
        </w:tc>
        <w:tc>
          <w:tcPr>
            <w:tcW w:w="4421" w:type="dxa"/>
            <w:shd w:val="clear" w:color="auto" w:fill="auto"/>
          </w:tcPr>
          <w:p w14:paraId="1FC746D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10.6.2.2.7 </w:t>
            </w:r>
            <w:r w:rsidRPr="00D429B4">
              <w:rPr>
                <w:rFonts w:ascii="Verdana" w:hAnsi="Verdana"/>
                <w:sz w:val="16"/>
                <w:szCs w:val="16"/>
                <w:lang w:val="en-US"/>
              </w:rPr>
              <w:t>Traceability of the used storage tanks or cylinders.</w:t>
            </w:r>
          </w:p>
        </w:tc>
      </w:tr>
      <w:tr w:rsidR="00CD67E0" w:rsidRPr="00DD29AF" w14:paraId="658EA42C" w14:textId="77777777" w:rsidTr="00335F65">
        <w:tc>
          <w:tcPr>
            <w:tcW w:w="4421" w:type="dxa"/>
          </w:tcPr>
          <w:p w14:paraId="6A6D4C04"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10.6.2.2.8</w:t>
            </w:r>
            <w:r w:rsidRPr="00D429B4">
              <w:rPr>
                <w:rFonts w:ascii="Verdana" w:hAnsi="Verdana"/>
                <w:sz w:val="16"/>
                <w:szCs w:val="16"/>
                <w:lang w:val="es-MX"/>
              </w:rPr>
              <w:t xml:space="preserve"> Actividades de llenado.</w:t>
            </w:r>
          </w:p>
        </w:tc>
        <w:tc>
          <w:tcPr>
            <w:tcW w:w="4421" w:type="dxa"/>
            <w:shd w:val="clear" w:color="auto" w:fill="auto"/>
          </w:tcPr>
          <w:p w14:paraId="7E0A208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10.6.2.2.8 </w:t>
            </w:r>
            <w:r w:rsidRPr="00D429B4">
              <w:rPr>
                <w:rFonts w:ascii="Verdana" w:hAnsi="Verdana"/>
                <w:sz w:val="16"/>
                <w:szCs w:val="16"/>
                <w:lang w:val="en-US"/>
              </w:rPr>
              <w:t>Filling activity.</w:t>
            </w:r>
          </w:p>
        </w:tc>
      </w:tr>
      <w:tr w:rsidR="00CD67E0" w:rsidRPr="00861FCE" w14:paraId="1E1376CD" w14:textId="77777777" w:rsidTr="00335F65">
        <w:tc>
          <w:tcPr>
            <w:tcW w:w="4421" w:type="dxa"/>
          </w:tcPr>
          <w:p w14:paraId="2C3D109D"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10.6.2.2.9</w:t>
            </w:r>
            <w:r w:rsidRPr="00D429B4">
              <w:rPr>
                <w:rFonts w:ascii="Verdana" w:hAnsi="Verdana"/>
                <w:sz w:val="16"/>
                <w:szCs w:val="16"/>
                <w:lang w:val="es-MX"/>
              </w:rPr>
              <w:t xml:space="preserve"> Certificado de análisis de producto terminado que incluya las especificaciones establecidas en la FEUM, resultados y referencias de los métodos de análisis utilizados.</w:t>
            </w:r>
          </w:p>
        </w:tc>
        <w:tc>
          <w:tcPr>
            <w:tcW w:w="4421" w:type="dxa"/>
            <w:shd w:val="clear" w:color="auto" w:fill="auto"/>
          </w:tcPr>
          <w:p w14:paraId="3DB32EB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10.6.2.2.9 </w:t>
            </w:r>
            <w:r w:rsidRPr="00D429B4">
              <w:rPr>
                <w:rFonts w:ascii="Verdana" w:hAnsi="Verdana"/>
                <w:sz w:val="16"/>
                <w:szCs w:val="16"/>
                <w:lang w:val="en-US"/>
              </w:rPr>
              <w:t>The analysis certificate of the finished product which includes the specifications established by FEUM, results and references of the used analysis methods.</w:t>
            </w:r>
          </w:p>
        </w:tc>
      </w:tr>
      <w:tr w:rsidR="00CD67E0" w:rsidRPr="00861FCE" w14:paraId="6410EFF2" w14:textId="77777777" w:rsidTr="00335F65">
        <w:tc>
          <w:tcPr>
            <w:tcW w:w="4421" w:type="dxa"/>
          </w:tcPr>
          <w:p w14:paraId="6BC14DEB"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10.6.2.2.10</w:t>
            </w:r>
            <w:r w:rsidRPr="00D429B4">
              <w:rPr>
                <w:rFonts w:ascii="Verdana" w:hAnsi="Verdana"/>
                <w:sz w:val="16"/>
                <w:szCs w:val="16"/>
                <w:lang w:val="es-MX"/>
              </w:rPr>
              <w:t xml:space="preserve"> Referencias cruzadas al estado de calibración de los instrumentos utilizados.</w:t>
            </w:r>
          </w:p>
        </w:tc>
        <w:tc>
          <w:tcPr>
            <w:tcW w:w="4421" w:type="dxa"/>
            <w:shd w:val="clear" w:color="auto" w:fill="auto"/>
          </w:tcPr>
          <w:p w14:paraId="71D71A1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10.6.2.2.10 </w:t>
            </w:r>
            <w:r w:rsidRPr="00D429B4">
              <w:rPr>
                <w:rFonts w:ascii="Verdana" w:hAnsi="Verdana"/>
                <w:sz w:val="16"/>
                <w:szCs w:val="16"/>
                <w:lang w:val="en-US"/>
              </w:rPr>
              <w:t>The cross references of the calibration state of the instruments used.</w:t>
            </w:r>
          </w:p>
        </w:tc>
      </w:tr>
      <w:tr w:rsidR="00CD67E0" w:rsidRPr="00861FCE" w14:paraId="76847340" w14:textId="77777777" w:rsidTr="00335F65">
        <w:tc>
          <w:tcPr>
            <w:tcW w:w="4421" w:type="dxa"/>
          </w:tcPr>
          <w:p w14:paraId="78D20009"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10.6.2.2.11</w:t>
            </w:r>
            <w:r w:rsidRPr="00D429B4">
              <w:rPr>
                <w:rFonts w:ascii="Verdana" w:hAnsi="Verdana"/>
                <w:sz w:val="16"/>
                <w:szCs w:val="16"/>
                <w:lang w:val="es-MX"/>
              </w:rPr>
              <w:t xml:space="preserve"> Las desviaciones durante el proceso deben documentarse e investigarse antes de la liberación del lote.</w:t>
            </w:r>
          </w:p>
        </w:tc>
        <w:tc>
          <w:tcPr>
            <w:tcW w:w="4421" w:type="dxa"/>
            <w:shd w:val="clear" w:color="auto" w:fill="auto"/>
          </w:tcPr>
          <w:p w14:paraId="2B58536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10.6.2.2.11 </w:t>
            </w:r>
            <w:r w:rsidRPr="00D429B4">
              <w:rPr>
                <w:rFonts w:ascii="Verdana" w:hAnsi="Verdana"/>
                <w:sz w:val="16"/>
                <w:szCs w:val="16"/>
                <w:lang w:val="en-US"/>
              </w:rPr>
              <w:t>Deviations during the process must be documented and investigated before the release of the lot.</w:t>
            </w:r>
          </w:p>
        </w:tc>
      </w:tr>
      <w:tr w:rsidR="00CD67E0" w:rsidRPr="00861FCE" w14:paraId="40CF44BE" w14:textId="77777777" w:rsidTr="00335F65">
        <w:tc>
          <w:tcPr>
            <w:tcW w:w="4421" w:type="dxa"/>
          </w:tcPr>
          <w:p w14:paraId="52466079"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10.6.2.3</w:t>
            </w:r>
            <w:r w:rsidRPr="00D429B4">
              <w:rPr>
                <w:rFonts w:ascii="Verdana" w:hAnsi="Verdana"/>
                <w:sz w:val="16"/>
                <w:szCs w:val="16"/>
                <w:lang w:val="es-MX"/>
              </w:rPr>
              <w:t xml:space="preserve"> Debe existir un expediente del llenado por cada lote de cilindros o termo (dewar) y éste debe contener al menos lo siguiente:</w:t>
            </w:r>
          </w:p>
        </w:tc>
        <w:tc>
          <w:tcPr>
            <w:tcW w:w="4421" w:type="dxa"/>
            <w:shd w:val="clear" w:color="auto" w:fill="auto"/>
          </w:tcPr>
          <w:p w14:paraId="70EFF67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 </w:t>
            </w:r>
            <w:r w:rsidRPr="00D429B4">
              <w:rPr>
                <w:rFonts w:ascii="Verdana" w:hAnsi="Verdana"/>
                <w:sz w:val="16"/>
                <w:szCs w:val="16"/>
                <w:lang w:val="en-US"/>
              </w:rPr>
              <w:t>There must be a filling file for each lot of cryogenic cylinders or containers and it must at least contain the following:</w:t>
            </w:r>
          </w:p>
        </w:tc>
      </w:tr>
      <w:tr w:rsidR="00CD67E0" w:rsidRPr="00DD29AF" w14:paraId="694E2763" w14:textId="77777777" w:rsidTr="00335F65">
        <w:tc>
          <w:tcPr>
            <w:tcW w:w="4421" w:type="dxa"/>
          </w:tcPr>
          <w:p w14:paraId="6A8CFD45"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10.6.2.3.1</w:t>
            </w:r>
            <w:r w:rsidRPr="00D429B4">
              <w:rPr>
                <w:rFonts w:ascii="Verdana" w:hAnsi="Verdana"/>
                <w:sz w:val="16"/>
                <w:szCs w:val="16"/>
                <w:lang w:val="es-MX"/>
              </w:rPr>
              <w:t xml:space="preserve"> Nombre del producto.</w:t>
            </w:r>
          </w:p>
        </w:tc>
        <w:tc>
          <w:tcPr>
            <w:tcW w:w="4421" w:type="dxa"/>
            <w:shd w:val="clear" w:color="auto" w:fill="auto"/>
          </w:tcPr>
          <w:p w14:paraId="3DDD2E8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10.6.2.3.1 </w:t>
            </w:r>
            <w:r w:rsidRPr="00D429B4">
              <w:rPr>
                <w:rFonts w:ascii="Verdana" w:hAnsi="Verdana"/>
                <w:sz w:val="16"/>
                <w:szCs w:val="16"/>
                <w:lang w:val="en-US"/>
              </w:rPr>
              <w:t>Name of the product.</w:t>
            </w:r>
          </w:p>
        </w:tc>
      </w:tr>
      <w:tr w:rsidR="00CD67E0" w:rsidRPr="00DD29AF" w14:paraId="270A27A8" w14:textId="77777777" w:rsidTr="00335F65">
        <w:tc>
          <w:tcPr>
            <w:tcW w:w="4421" w:type="dxa"/>
          </w:tcPr>
          <w:p w14:paraId="7649EBF6"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10.6.2.3.2</w:t>
            </w:r>
            <w:r w:rsidRPr="00D429B4">
              <w:rPr>
                <w:rFonts w:ascii="Verdana" w:hAnsi="Verdana"/>
                <w:sz w:val="16"/>
                <w:szCs w:val="16"/>
                <w:lang w:val="es-MX"/>
              </w:rPr>
              <w:t xml:space="preserve"> Composición y pureza.</w:t>
            </w:r>
          </w:p>
        </w:tc>
        <w:tc>
          <w:tcPr>
            <w:tcW w:w="4421" w:type="dxa"/>
            <w:shd w:val="clear" w:color="auto" w:fill="auto"/>
          </w:tcPr>
          <w:p w14:paraId="0CEE24E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10.6.2.3.2 </w:t>
            </w:r>
            <w:r w:rsidRPr="00D429B4">
              <w:rPr>
                <w:rFonts w:ascii="Verdana" w:hAnsi="Verdana"/>
                <w:sz w:val="16"/>
                <w:szCs w:val="16"/>
                <w:lang w:val="en-US"/>
              </w:rPr>
              <w:t>Composition and purity.</w:t>
            </w:r>
          </w:p>
        </w:tc>
      </w:tr>
      <w:tr w:rsidR="00CD67E0" w:rsidRPr="00DD29AF" w14:paraId="6934F77E" w14:textId="77777777" w:rsidTr="00335F65">
        <w:tc>
          <w:tcPr>
            <w:tcW w:w="4421" w:type="dxa"/>
          </w:tcPr>
          <w:p w14:paraId="4BA00FED"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10.6.2.3.3</w:t>
            </w:r>
            <w:r w:rsidRPr="00D429B4">
              <w:rPr>
                <w:rFonts w:ascii="Verdana" w:hAnsi="Verdana"/>
                <w:sz w:val="16"/>
                <w:szCs w:val="16"/>
                <w:lang w:val="es-MX"/>
              </w:rPr>
              <w:t xml:space="preserve"> Número de lote.</w:t>
            </w:r>
          </w:p>
        </w:tc>
        <w:tc>
          <w:tcPr>
            <w:tcW w:w="4421" w:type="dxa"/>
            <w:shd w:val="clear" w:color="auto" w:fill="auto"/>
          </w:tcPr>
          <w:p w14:paraId="568FE44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10.6.2.3.3 </w:t>
            </w:r>
            <w:r w:rsidRPr="00D429B4">
              <w:rPr>
                <w:rFonts w:ascii="Verdana" w:hAnsi="Verdana"/>
                <w:sz w:val="16"/>
                <w:szCs w:val="16"/>
                <w:lang w:val="en-US"/>
              </w:rPr>
              <w:t>Lot number.</w:t>
            </w:r>
          </w:p>
        </w:tc>
      </w:tr>
      <w:tr w:rsidR="00CD67E0" w:rsidRPr="00861FCE" w14:paraId="6CE77FD5" w14:textId="77777777" w:rsidTr="00335F65">
        <w:tc>
          <w:tcPr>
            <w:tcW w:w="4421" w:type="dxa"/>
          </w:tcPr>
          <w:p w14:paraId="3007811B"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10.6.2.3.4</w:t>
            </w:r>
            <w:r w:rsidRPr="00D429B4">
              <w:rPr>
                <w:rFonts w:ascii="Verdana" w:hAnsi="Verdana"/>
                <w:sz w:val="16"/>
                <w:szCs w:val="16"/>
                <w:lang w:val="es-MX"/>
              </w:rPr>
              <w:t xml:space="preserve"> Fecha y hora del llenado.</w:t>
            </w:r>
          </w:p>
        </w:tc>
        <w:tc>
          <w:tcPr>
            <w:tcW w:w="4421" w:type="dxa"/>
            <w:shd w:val="clear" w:color="auto" w:fill="auto"/>
          </w:tcPr>
          <w:p w14:paraId="2AF0A49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10.6.2.3.4 </w:t>
            </w:r>
            <w:r w:rsidRPr="00D429B4">
              <w:rPr>
                <w:rFonts w:ascii="Verdana" w:hAnsi="Verdana"/>
                <w:sz w:val="16"/>
                <w:szCs w:val="16"/>
                <w:lang w:val="en-US"/>
              </w:rPr>
              <w:t>Date and time of filling.</w:t>
            </w:r>
          </w:p>
        </w:tc>
      </w:tr>
      <w:tr w:rsidR="00CD67E0" w:rsidRPr="00861FCE" w14:paraId="6302A741" w14:textId="77777777" w:rsidTr="00335F65">
        <w:tc>
          <w:tcPr>
            <w:tcW w:w="4421" w:type="dxa"/>
          </w:tcPr>
          <w:p w14:paraId="0820110F"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10.6.2.3.5</w:t>
            </w:r>
            <w:r w:rsidRPr="00D429B4">
              <w:rPr>
                <w:rFonts w:ascii="Verdana" w:hAnsi="Verdana"/>
                <w:sz w:val="16"/>
                <w:szCs w:val="16"/>
                <w:lang w:val="es-MX"/>
              </w:rPr>
              <w:t xml:space="preserve"> Etapas críticas y parámetros de la operación de llenado, tales como: recepción de materia prima, preparación y limpieza del equipo y línea de llenado, llenado indicando equipo utilizado y quién realizó cada operación.</w:t>
            </w:r>
          </w:p>
        </w:tc>
        <w:tc>
          <w:tcPr>
            <w:tcW w:w="4421" w:type="dxa"/>
            <w:shd w:val="clear" w:color="auto" w:fill="auto"/>
          </w:tcPr>
          <w:p w14:paraId="513B178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10.6.2.3.5 </w:t>
            </w:r>
            <w:r w:rsidRPr="00D429B4">
              <w:rPr>
                <w:rFonts w:ascii="Verdana" w:hAnsi="Verdana"/>
                <w:sz w:val="16"/>
                <w:szCs w:val="16"/>
                <w:lang w:val="en-US"/>
              </w:rPr>
              <w:t>The critical stages and parameters of the filling operation, such as: cleaning or purging of the filling, reception of materials, preparation of filling equipment, filling; indicating the equipment used and the person that performed each operation.</w:t>
            </w:r>
          </w:p>
        </w:tc>
      </w:tr>
      <w:tr w:rsidR="00CD67E0" w:rsidRPr="00861FCE" w14:paraId="013380DD" w14:textId="77777777" w:rsidTr="00335F65">
        <w:tc>
          <w:tcPr>
            <w:tcW w:w="4421" w:type="dxa"/>
          </w:tcPr>
          <w:p w14:paraId="77D74333"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 xml:space="preserve">10.6.2.3.6 </w:t>
            </w:r>
            <w:r w:rsidRPr="00D429B4">
              <w:rPr>
                <w:rFonts w:ascii="Verdana" w:hAnsi="Verdana"/>
                <w:sz w:val="16"/>
                <w:szCs w:val="16"/>
                <w:lang w:val="es-MX"/>
              </w:rPr>
              <w:t>Identificación, capacidad nominal y número de serie de los cilindros o termo (dewar)</w:t>
            </w:r>
            <w:r w:rsidRPr="00D429B4">
              <w:rPr>
                <w:rFonts w:ascii="Verdana" w:hAnsi="Verdana"/>
                <w:b/>
                <w:sz w:val="16"/>
                <w:szCs w:val="16"/>
                <w:lang w:val="es-MX"/>
              </w:rPr>
              <w:t xml:space="preserve"> </w:t>
            </w:r>
            <w:r w:rsidRPr="00D429B4">
              <w:rPr>
                <w:rFonts w:ascii="Verdana" w:hAnsi="Verdana"/>
                <w:sz w:val="16"/>
                <w:szCs w:val="16"/>
                <w:lang w:val="es-MX"/>
              </w:rPr>
              <w:t>antes del llenado.</w:t>
            </w:r>
          </w:p>
        </w:tc>
        <w:tc>
          <w:tcPr>
            <w:tcW w:w="4421" w:type="dxa"/>
            <w:shd w:val="clear" w:color="auto" w:fill="auto"/>
          </w:tcPr>
          <w:p w14:paraId="1839EC8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10.6.2.3.6 </w:t>
            </w:r>
            <w:r w:rsidRPr="00D429B4">
              <w:rPr>
                <w:rFonts w:ascii="Verdana" w:hAnsi="Verdana"/>
                <w:sz w:val="16"/>
                <w:szCs w:val="16"/>
                <w:lang w:val="en-US"/>
              </w:rPr>
              <w:t xml:space="preserve">Identification, nominal capacity and number of cylinders or thermal </w:t>
            </w:r>
            <w:r>
              <w:rPr>
                <w:rFonts w:ascii="Verdana" w:hAnsi="Verdana"/>
                <w:sz w:val="16"/>
                <w:szCs w:val="16"/>
                <w:lang w:val="en-US"/>
              </w:rPr>
              <w:t xml:space="preserve">(Dewar) </w:t>
            </w:r>
            <w:r w:rsidRPr="00D429B4">
              <w:rPr>
                <w:rFonts w:ascii="Verdana" w:hAnsi="Verdana"/>
                <w:sz w:val="16"/>
                <w:szCs w:val="16"/>
                <w:lang w:val="en-US"/>
              </w:rPr>
              <w:t>containers before filling.</w:t>
            </w:r>
          </w:p>
        </w:tc>
      </w:tr>
      <w:tr w:rsidR="00CD67E0" w:rsidRPr="00DD29AF" w14:paraId="574852F6" w14:textId="77777777" w:rsidTr="00335F65">
        <w:tc>
          <w:tcPr>
            <w:tcW w:w="4421" w:type="dxa"/>
          </w:tcPr>
          <w:p w14:paraId="2FE349E5"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10.6.2.3.7</w:t>
            </w:r>
            <w:r w:rsidRPr="00D429B4">
              <w:rPr>
                <w:rFonts w:ascii="Verdana" w:hAnsi="Verdana"/>
                <w:sz w:val="16"/>
                <w:szCs w:val="16"/>
                <w:lang w:val="es-MX"/>
              </w:rPr>
              <w:t xml:space="preserve"> Actividades de pre-llenado.</w:t>
            </w:r>
          </w:p>
        </w:tc>
        <w:tc>
          <w:tcPr>
            <w:tcW w:w="4421" w:type="dxa"/>
            <w:shd w:val="clear" w:color="auto" w:fill="auto"/>
          </w:tcPr>
          <w:p w14:paraId="3D96A51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10.6.2.3.7 </w:t>
            </w:r>
            <w:r w:rsidRPr="00D429B4">
              <w:rPr>
                <w:rFonts w:ascii="Verdana" w:hAnsi="Verdana"/>
                <w:sz w:val="16"/>
                <w:szCs w:val="16"/>
                <w:lang w:val="en-US"/>
              </w:rPr>
              <w:t>Pre-filling activities.</w:t>
            </w:r>
          </w:p>
        </w:tc>
      </w:tr>
      <w:tr w:rsidR="00CD67E0" w:rsidRPr="00DD29AF" w14:paraId="09914B8A" w14:textId="77777777" w:rsidTr="00335F65">
        <w:tc>
          <w:tcPr>
            <w:tcW w:w="4421" w:type="dxa"/>
          </w:tcPr>
          <w:p w14:paraId="0CA3833C"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10.6.2.3.8</w:t>
            </w:r>
            <w:r w:rsidRPr="00D429B4">
              <w:rPr>
                <w:rFonts w:ascii="Verdana" w:hAnsi="Verdana"/>
                <w:sz w:val="16"/>
                <w:szCs w:val="16"/>
                <w:lang w:val="es-MX"/>
              </w:rPr>
              <w:t xml:space="preserve"> Controles de proceso para el llenado.</w:t>
            </w:r>
          </w:p>
        </w:tc>
        <w:tc>
          <w:tcPr>
            <w:tcW w:w="4421" w:type="dxa"/>
            <w:shd w:val="clear" w:color="auto" w:fill="auto"/>
          </w:tcPr>
          <w:p w14:paraId="77EE3C6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10.6.2.3.8 </w:t>
            </w:r>
            <w:r w:rsidRPr="00D429B4">
              <w:rPr>
                <w:rFonts w:ascii="Verdana" w:hAnsi="Verdana"/>
                <w:sz w:val="16"/>
                <w:szCs w:val="16"/>
                <w:lang w:val="en-US"/>
              </w:rPr>
              <w:t>Filling process controls.</w:t>
            </w:r>
          </w:p>
        </w:tc>
      </w:tr>
      <w:tr w:rsidR="00CD67E0" w:rsidRPr="00861FCE" w14:paraId="0D6C8D8C" w14:textId="77777777" w:rsidTr="00335F65">
        <w:tc>
          <w:tcPr>
            <w:tcW w:w="4421" w:type="dxa"/>
          </w:tcPr>
          <w:p w14:paraId="260B9F1D"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 xml:space="preserve">10.6.2.3.9 </w:t>
            </w:r>
            <w:r w:rsidRPr="00D429B4">
              <w:rPr>
                <w:rFonts w:ascii="Verdana" w:hAnsi="Verdana"/>
                <w:sz w:val="16"/>
                <w:szCs w:val="16"/>
                <w:lang w:val="es-MX"/>
              </w:rPr>
              <w:t xml:space="preserve">Una muestra de la etiqueta de identificación del lote conteniendo la descripción del </w:t>
            </w:r>
            <w:r w:rsidRPr="00D429B4">
              <w:rPr>
                <w:rFonts w:ascii="Verdana" w:hAnsi="Verdana"/>
                <w:sz w:val="16"/>
                <w:szCs w:val="16"/>
                <w:lang w:val="es-MX"/>
              </w:rPr>
              <w:lastRenderedPageBreak/>
              <w:t>producto, contenedor cierre, contenido, fecha de producción y fecha de caducidad.</w:t>
            </w:r>
          </w:p>
        </w:tc>
        <w:tc>
          <w:tcPr>
            <w:tcW w:w="4421" w:type="dxa"/>
            <w:shd w:val="clear" w:color="auto" w:fill="auto"/>
          </w:tcPr>
          <w:p w14:paraId="26E3D4E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10.6.2.3.9 </w:t>
            </w:r>
            <w:r w:rsidRPr="00D429B4">
              <w:rPr>
                <w:rFonts w:ascii="Verdana" w:hAnsi="Verdana"/>
                <w:sz w:val="16"/>
                <w:szCs w:val="16"/>
                <w:lang w:val="en-US"/>
              </w:rPr>
              <w:t xml:space="preserve">A sample of the identification label of the identification of the lot containing the description of </w:t>
            </w:r>
            <w:r w:rsidRPr="00D429B4">
              <w:rPr>
                <w:rFonts w:ascii="Verdana" w:hAnsi="Verdana"/>
                <w:sz w:val="16"/>
                <w:szCs w:val="16"/>
                <w:lang w:val="en-US"/>
              </w:rPr>
              <w:lastRenderedPageBreak/>
              <w:t xml:space="preserve">the product, container closure, contents date of production and expiration date. </w:t>
            </w:r>
          </w:p>
        </w:tc>
      </w:tr>
      <w:tr w:rsidR="00CD67E0" w:rsidRPr="00861FCE" w14:paraId="3E1CFB4C" w14:textId="77777777" w:rsidTr="00335F65">
        <w:tc>
          <w:tcPr>
            <w:tcW w:w="4421" w:type="dxa"/>
          </w:tcPr>
          <w:p w14:paraId="187EFA98"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lastRenderedPageBreak/>
              <w:t>10.6.2.3.10</w:t>
            </w:r>
            <w:r w:rsidRPr="00D429B4">
              <w:rPr>
                <w:rFonts w:ascii="Verdana" w:hAnsi="Verdana"/>
                <w:sz w:val="16"/>
                <w:szCs w:val="16"/>
                <w:lang w:val="es-MX"/>
              </w:rPr>
              <w:t xml:space="preserve"> Certificado de análisis de producto terminado que incluya las especificaciones establecidas en la FEUM, resultados y referencias de los métodos de análisis utilizados.</w:t>
            </w:r>
          </w:p>
        </w:tc>
        <w:tc>
          <w:tcPr>
            <w:tcW w:w="4421" w:type="dxa"/>
            <w:shd w:val="clear" w:color="auto" w:fill="auto"/>
          </w:tcPr>
          <w:p w14:paraId="5A605EA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10.6.2.3.10 </w:t>
            </w:r>
            <w:r w:rsidRPr="00D429B4">
              <w:rPr>
                <w:rFonts w:ascii="Verdana" w:hAnsi="Verdana"/>
                <w:sz w:val="16"/>
                <w:szCs w:val="16"/>
                <w:lang w:val="en-US"/>
              </w:rPr>
              <w:t>The analysis certificate of the finished product which includes the specifications established in FEUM, results and references of the analysis methods used.</w:t>
            </w:r>
          </w:p>
        </w:tc>
      </w:tr>
      <w:tr w:rsidR="00CD67E0" w:rsidRPr="00861FCE" w14:paraId="7DD87293" w14:textId="77777777" w:rsidTr="00335F65">
        <w:tc>
          <w:tcPr>
            <w:tcW w:w="4421" w:type="dxa"/>
          </w:tcPr>
          <w:p w14:paraId="78E17463"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10.6.2.3.11</w:t>
            </w:r>
            <w:r w:rsidRPr="00D429B4">
              <w:rPr>
                <w:rFonts w:ascii="Verdana" w:hAnsi="Verdana"/>
                <w:sz w:val="16"/>
                <w:szCs w:val="16"/>
                <w:lang w:val="es-MX"/>
              </w:rPr>
              <w:t xml:space="preserve"> Referencias cruzadas al estado de calibración de los instrumentos utilizados.</w:t>
            </w:r>
          </w:p>
        </w:tc>
        <w:tc>
          <w:tcPr>
            <w:tcW w:w="4421" w:type="dxa"/>
            <w:shd w:val="clear" w:color="auto" w:fill="auto"/>
          </w:tcPr>
          <w:p w14:paraId="7C3AFBB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10.6.2.3.11 </w:t>
            </w:r>
            <w:r w:rsidRPr="00D429B4">
              <w:rPr>
                <w:rFonts w:ascii="Verdana" w:hAnsi="Verdana"/>
                <w:sz w:val="16"/>
                <w:szCs w:val="16"/>
                <w:lang w:val="en-US"/>
              </w:rPr>
              <w:t>The cross references of the calibration state of the instruments used.</w:t>
            </w:r>
          </w:p>
        </w:tc>
      </w:tr>
      <w:tr w:rsidR="00CD67E0" w:rsidRPr="00861FCE" w14:paraId="237CCD64" w14:textId="77777777" w:rsidTr="00335F65">
        <w:tc>
          <w:tcPr>
            <w:tcW w:w="4421" w:type="dxa"/>
          </w:tcPr>
          <w:p w14:paraId="73B06769"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 xml:space="preserve">10.6.2.3.12 </w:t>
            </w:r>
            <w:r w:rsidRPr="00D429B4">
              <w:rPr>
                <w:rFonts w:ascii="Verdana" w:hAnsi="Verdana"/>
                <w:sz w:val="16"/>
                <w:szCs w:val="16"/>
                <w:lang w:val="es-MX"/>
              </w:rPr>
              <w:t>Número de cilindros o</w:t>
            </w:r>
            <w:r w:rsidRPr="00D429B4">
              <w:rPr>
                <w:rFonts w:ascii="Verdana" w:hAnsi="Verdana"/>
                <w:b/>
                <w:sz w:val="16"/>
                <w:szCs w:val="16"/>
                <w:lang w:val="es-MX"/>
              </w:rPr>
              <w:t xml:space="preserve"> </w:t>
            </w:r>
            <w:r w:rsidRPr="00D429B4">
              <w:rPr>
                <w:rFonts w:ascii="Verdana" w:hAnsi="Verdana"/>
                <w:sz w:val="16"/>
                <w:szCs w:val="16"/>
                <w:lang w:val="es-MX"/>
              </w:rPr>
              <w:t>termo (dewar) rechazados y motivo del rechazo.</w:t>
            </w:r>
          </w:p>
        </w:tc>
        <w:tc>
          <w:tcPr>
            <w:tcW w:w="4421" w:type="dxa"/>
            <w:shd w:val="clear" w:color="auto" w:fill="auto"/>
          </w:tcPr>
          <w:p w14:paraId="517C2AA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10.6.2.3.12 </w:t>
            </w:r>
            <w:r w:rsidRPr="00D429B4">
              <w:rPr>
                <w:rFonts w:ascii="Verdana" w:hAnsi="Verdana"/>
                <w:sz w:val="16"/>
                <w:szCs w:val="16"/>
                <w:lang w:val="en-US"/>
              </w:rPr>
              <w:t xml:space="preserve">The number of rejected cylinders or </w:t>
            </w:r>
            <w:r>
              <w:rPr>
                <w:rFonts w:ascii="Verdana" w:hAnsi="Verdana"/>
                <w:sz w:val="16"/>
                <w:szCs w:val="16"/>
                <w:lang w:val="en-US"/>
              </w:rPr>
              <w:t xml:space="preserve">(Dewar) </w:t>
            </w:r>
            <w:r w:rsidRPr="00D429B4">
              <w:rPr>
                <w:rFonts w:ascii="Verdana" w:hAnsi="Verdana"/>
                <w:sz w:val="16"/>
                <w:szCs w:val="16"/>
                <w:lang w:val="en-US"/>
              </w:rPr>
              <w:t>containers and the reason for the rejection.</w:t>
            </w:r>
          </w:p>
        </w:tc>
      </w:tr>
      <w:tr w:rsidR="00CD67E0" w:rsidRPr="00861FCE" w14:paraId="311691CC" w14:textId="77777777" w:rsidTr="00335F65">
        <w:tc>
          <w:tcPr>
            <w:tcW w:w="4421" w:type="dxa"/>
          </w:tcPr>
          <w:p w14:paraId="05E039D1"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 xml:space="preserve">10.6.2.3.12.1 </w:t>
            </w:r>
            <w:r w:rsidRPr="00D429B4">
              <w:rPr>
                <w:rFonts w:ascii="Verdana" w:hAnsi="Verdana"/>
                <w:sz w:val="16"/>
                <w:szCs w:val="16"/>
                <w:lang w:val="es-MX"/>
              </w:rPr>
              <w:t>Se debe contar con un reporte de inspección de los cilindros o termo (dewar) que indique que cumple con las especificaciones y requisitos establecidos en la FEUM.</w:t>
            </w:r>
          </w:p>
        </w:tc>
        <w:tc>
          <w:tcPr>
            <w:tcW w:w="4421" w:type="dxa"/>
            <w:shd w:val="clear" w:color="auto" w:fill="auto"/>
          </w:tcPr>
          <w:p w14:paraId="0616BB2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10.6.2.3.12.1 </w:t>
            </w:r>
            <w:r w:rsidRPr="00D429B4">
              <w:rPr>
                <w:rFonts w:ascii="Verdana" w:hAnsi="Verdana"/>
                <w:sz w:val="16"/>
                <w:szCs w:val="16"/>
                <w:lang w:val="en-US"/>
              </w:rPr>
              <w:t>There must be an inspection report of the container which indicates that it complies with the specifications and requirements established in the applicable legal provisions.</w:t>
            </w:r>
          </w:p>
        </w:tc>
      </w:tr>
      <w:tr w:rsidR="00CD67E0" w:rsidRPr="00861FCE" w14:paraId="288A577B" w14:textId="77777777" w:rsidTr="00335F65">
        <w:tc>
          <w:tcPr>
            <w:tcW w:w="4421" w:type="dxa"/>
          </w:tcPr>
          <w:p w14:paraId="49E415A7"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 xml:space="preserve">10.6.2.3.13 </w:t>
            </w:r>
            <w:r w:rsidRPr="00D429B4">
              <w:rPr>
                <w:rFonts w:ascii="Verdana" w:hAnsi="Verdana"/>
                <w:sz w:val="16"/>
                <w:szCs w:val="16"/>
                <w:lang w:val="es-MX"/>
              </w:rPr>
              <w:t>Conciliación de cilindros o termo (dewar) llenos aprobados y rechazados.</w:t>
            </w:r>
          </w:p>
        </w:tc>
        <w:tc>
          <w:tcPr>
            <w:tcW w:w="4421" w:type="dxa"/>
            <w:shd w:val="clear" w:color="auto" w:fill="auto"/>
          </w:tcPr>
          <w:p w14:paraId="4E1F79A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10.6.2.3.13 </w:t>
            </w:r>
            <w:r w:rsidRPr="00D429B4">
              <w:rPr>
                <w:rFonts w:ascii="Verdana" w:hAnsi="Verdana"/>
                <w:sz w:val="16"/>
                <w:szCs w:val="16"/>
                <w:lang w:val="en-US"/>
              </w:rPr>
              <w:t xml:space="preserve">The conciliation of full cylinders or containers approved and rejected. </w:t>
            </w:r>
          </w:p>
        </w:tc>
      </w:tr>
      <w:tr w:rsidR="00CD67E0" w:rsidRPr="00861FCE" w14:paraId="7E700215" w14:textId="77777777" w:rsidTr="00335F65">
        <w:tc>
          <w:tcPr>
            <w:tcW w:w="4421" w:type="dxa"/>
          </w:tcPr>
          <w:p w14:paraId="5E4AC76C"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10.6.2.3.14</w:t>
            </w:r>
            <w:r w:rsidRPr="00D429B4">
              <w:rPr>
                <w:rFonts w:ascii="Verdana" w:hAnsi="Verdana"/>
                <w:sz w:val="16"/>
                <w:szCs w:val="16"/>
                <w:lang w:val="es-MX"/>
              </w:rPr>
              <w:t xml:space="preserve"> Las desviaciones durante el proceso de llenado deben documentarse e investigarse antes de la liberación del lote.</w:t>
            </w:r>
          </w:p>
        </w:tc>
        <w:tc>
          <w:tcPr>
            <w:tcW w:w="4421" w:type="dxa"/>
            <w:shd w:val="clear" w:color="auto" w:fill="auto"/>
          </w:tcPr>
          <w:p w14:paraId="75D16DD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10.6.2.3.14 </w:t>
            </w:r>
            <w:r w:rsidRPr="00D429B4">
              <w:rPr>
                <w:rFonts w:ascii="Verdana" w:hAnsi="Verdana"/>
                <w:sz w:val="16"/>
                <w:szCs w:val="16"/>
                <w:lang w:val="en-US"/>
              </w:rPr>
              <w:t>The deviations during the filling process must be documented and investigated before the release of the lot.</w:t>
            </w:r>
          </w:p>
        </w:tc>
      </w:tr>
      <w:tr w:rsidR="00CD67E0" w:rsidRPr="00DD29AF" w14:paraId="219EB1CC" w14:textId="77777777" w:rsidTr="00335F65">
        <w:tc>
          <w:tcPr>
            <w:tcW w:w="4421" w:type="dxa"/>
          </w:tcPr>
          <w:p w14:paraId="2A0CE155"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10.6.3</w:t>
            </w:r>
            <w:r w:rsidRPr="00D429B4">
              <w:rPr>
                <w:rFonts w:ascii="Verdana" w:hAnsi="Verdana"/>
                <w:sz w:val="16"/>
                <w:szCs w:val="16"/>
                <w:lang w:val="es-MX"/>
              </w:rPr>
              <w:t xml:space="preserve"> Personal.</w:t>
            </w:r>
          </w:p>
        </w:tc>
        <w:tc>
          <w:tcPr>
            <w:tcW w:w="4421" w:type="dxa"/>
            <w:shd w:val="clear" w:color="auto" w:fill="auto"/>
          </w:tcPr>
          <w:p w14:paraId="4B2D3D8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10.6.3 </w:t>
            </w:r>
            <w:r w:rsidRPr="00D429B4">
              <w:rPr>
                <w:rFonts w:ascii="Verdana" w:hAnsi="Verdana"/>
                <w:sz w:val="16"/>
                <w:szCs w:val="16"/>
                <w:lang w:val="en-US"/>
              </w:rPr>
              <w:t>Personnel.</w:t>
            </w:r>
          </w:p>
        </w:tc>
      </w:tr>
      <w:tr w:rsidR="00CD67E0" w:rsidRPr="00861FCE" w14:paraId="260BAAB2" w14:textId="77777777" w:rsidTr="00335F65">
        <w:tc>
          <w:tcPr>
            <w:tcW w:w="4421" w:type="dxa"/>
          </w:tcPr>
          <w:p w14:paraId="6017B0B4"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 xml:space="preserve">10.6.3.1 </w:t>
            </w:r>
            <w:r w:rsidRPr="00D429B4">
              <w:rPr>
                <w:rFonts w:ascii="Verdana" w:hAnsi="Verdana"/>
                <w:sz w:val="16"/>
                <w:szCs w:val="16"/>
                <w:lang w:val="es-MX"/>
              </w:rPr>
              <w:t>Todo el personal relacionado con la fabricación de gases medicinales deberá recibir entrenamiento en normas de seguridad, manejo de cilindros sujetos a presión y específico a las propiedades de los gases y tipo de productos en los que interviene incluyendo aquel personal que no participa directamente en la producción del gas medicinal como mantenimiento, mantenimiento a envases, control de calidad y los conductores de los camiones que transportan el gas.</w:t>
            </w:r>
          </w:p>
        </w:tc>
        <w:tc>
          <w:tcPr>
            <w:tcW w:w="4421" w:type="dxa"/>
            <w:shd w:val="clear" w:color="auto" w:fill="auto"/>
          </w:tcPr>
          <w:p w14:paraId="07E2E22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10.6.3.1 </w:t>
            </w:r>
            <w:r w:rsidRPr="00D429B4">
              <w:rPr>
                <w:rFonts w:ascii="Verdana" w:hAnsi="Verdana"/>
                <w:sz w:val="16"/>
                <w:szCs w:val="16"/>
                <w:lang w:val="en-US"/>
              </w:rPr>
              <w:t>All the personnel related with the manufacture of medicinal gases must receive training on safety standards, handling of cylinders subjected to pressure, and that specific to the type of products in which they intervene, including personnel that does not directly participate in the production of medicinal gas, such as maintenance, quality control, and the drivers of the trucks that transport the gas.</w:t>
            </w:r>
          </w:p>
        </w:tc>
      </w:tr>
      <w:tr w:rsidR="00CD67E0" w:rsidRPr="00861FCE" w14:paraId="0B5DE244" w14:textId="77777777" w:rsidTr="00335F65">
        <w:tc>
          <w:tcPr>
            <w:tcW w:w="4421" w:type="dxa"/>
          </w:tcPr>
          <w:p w14:paraId="28A03A0B"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10.6.3.2</w:t>
            </w:r>
            <w:r w:rsidRPr="00D429B4">
              <w:rPr>
                <w:rFonts w:ascii="Verdana" w:hAnsi="Verdana"/>
                <w:sz w:val="16"/>
                <w:szCs w:val="16"/>
                <w:lang w:val="es-MX"/>
              </w:rPr>
              <w:t xml:space="preserve"> Todo el personal subcontratado que interviene en actividades que puedan afectar la calidad del producto debe ser entrenado.</w:t>
            </w:r>
          </w:p>
        </w:tc>
        <w:tc>
          <w:tcPr>
            <w:tcW w:w="4421" w:type="dxa"/>
            <w:shd w:val="clear" w:color="auto" w:fill="auto"/>
          </w:tcPr>
          <w:p w14:paraId="25DF877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10.6.3.2 </w:t>
            </w:r>
            <w:r w:rsidRPr="00D429B4">
              <w:rPr>
                <w:rFonts w:ascii="Verdana" w:hAnsi="Verdana"/>
                <w:sz w:val="16"/>
                <w:szCs w:val="16"/>
                <w:lang w:val="en-US"/>
              </w:rPr>
              <w:t>All the subcontracted personnel that is involved in activities that can affect the quality of the product must be trained.</w:t>
            </w:r>
          </w:p>
        </w:tc>
      </w:tr>
      <w:tr w:rsidR="00CD67E0" w:rsidRPr="00DD29AF" w14:paraId="22935F7D" w14:textId="77777777" w:rsidTr="00335F65">
        <w:tc>
          <w:tcPr>
            <w:tcW w:w="4421" w:type="dxa"/>
          </w:tcPr>
          <w:p w14:paraId="2BBDF6FD"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10.6.4</w:t>
            </w:r>
            <w:r w:rsidRPr="00D429B4">
              <w:rPr>
                <w:rFonts w:ascii="Verdana" w:hAnsi="Verdana"/>
                <w:sz w:val="16"/>
                <w:szCs w:val="16"/>
                <w:lang w:val="es-MX"/>
              </w:rPr>
              <w:t xml:space="preserve"> Instalaciones y equipos.</w:t>
            </w:r>
          </w:p>
        </w:tc>
        <w:tc>
          <w:tcPr>
            <w:tcW w:w="4421" w:type="dxa"/>
            <w:shd w:val="clear" w:color="auto" w:fill="auto"/>
          </w:tcPr>
          <w:p w14:paraId="31B908C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 </w:t>
            </w:r>
            <w:r w:rsidRPr="00D429B4">
              <w:rPr>
                <w:rFonts w:ascii="Verdana" w:hAnsi="Verdana"/>
                <w:sz w:val="16"/>
                <w:szCs w:val="16"/>
                <w:lang w:val="en-US"/>
              </w:rPr>
              <w:t>Installations and equipment.</w:t>
            </w:r>
          </w:p>
        </w:tc>
      </w:tr>
      <w:tr w:rsidR="00CD67E0" w:rsidRPr="00861FCE" w14:paraId="2DD4F693" w14:textId="77777777" w:rsidTr="00335F65">
        <w:tc>
          <w:tcPr>
            <w:tcW w:w="4421" w:type="dxa"/>
          </w:tcPr>
          <w:p w14:paraId="0AC30F09"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10.6.4.1</w:t>
            </w:r>
            <w:r w:rsidRPr="00D429B4">
              <w:rPr>
                <w:rFonts w:ascii="Verdana" w:hAnsi="Verdana"/>
                <w:sz w:val="16"/>
                <w:szCs w:val="16"/>
                <w:lang w:val="es-MX"/>
              </w:rPr>
              <w:t xml:space="preserve"> La fabricación de gases medicinales se realiza en circuito cerrado, por lo que las instalaciones para su fabricación deberán estar diseñadas acorde a los requisitos del proceso, sus requisitos no están contemplados en el Apéndice A (Normativo).</w:t>
            </w:r>
          </w:p>
        </w:tc>
        <w:tc>
          <w:tcPr>
            <w:tcW w:w="4421" w:type="dxa"/>
            <w:shd w:val="clear" w:color="auto" w:fill="auto"/>
          </w:tcPr>
          <w:p w14:paraId="782490D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10.6.4.1</w:t>
            </w:r>
            <w:r w:rsidRPr="00D429B4">
              <w:rPr>
                <w:rFonts w:ascii="Verdana" w:hAnsi="Verdana"/>
                <w:sz w:val="16"/>
                <w:szCs w:val="16"/>
                <w:lang w:val="en-US"/>
              </w:rPr>
              <w:t xml:space="preserve"> The manufacture of medicinal gases is performed in a closed circuit, for such reason the installations for its manufacture must be designed in accordance with the requirements of the process, its requirements are not foreseen in Obligatory Appendix A.</w:t>
            </w:r>
          </w:p>
        </w:tc>
      </w:tr>
      <w:tr w:rsidR="00CD67E0" w:rsidRPr="00861FCE" w14:paraId="68B3168B" w14:textId="77777777" w:rsidTr="00335F65">
        <w:tc>
          <w:tcPr>
            <w:tcW w:w="4421" w:type="dxa"/>
          </w:tcPr>
          <w:p w14:paraId="5E042C0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10.6.4.2 </w:t>
            </w:r>
            <w:r w:rsidRPr="00D429B4">
              <w:rPr>
                <w:rFonts w:ascii="Verdana" w:hAnsi="Verdana"/>
                <w:sz w:val="16"/>
                <w:szCs w:val="16"/>
                <w:lang w:val="es-MX"/>
              </w:rPr>
              <w:t>Las áreas donde se realice la revisión, preparación, llenado y almacenamiento de cilindros y termos (dewar) deben ser independientes y específicas para la fabricación y/o acondicionamiento de gases medicinales. El uso compartido de instalaciones con la producción de mismos gases con otro grado es posible, siempre y cuando se sigan los mismos estándares de calidad y cumplimiento de BPF y previa valoración del riesgo. Durante el llenado no debe existir mezcla de diferentes grados de producto.</w:t>
            </w:r>
          </w:p>
        </w:tc>
        <w:tc>
          <w:tcPr>
            <w:tcW w:w="4421" w:type="dxa"/>
            <w:shd w:val="clear" w:color="auto" w:fill="auto"/>
          </w:tcPr>
          <w:p w14:paraId="611B204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10.6.4.2 </w:t>
            </w:r>
            <w:r w:rsidRPr="00D429B4">
              <w:rPr>
                <w:rFonts w:ascii="Verdana" w:hAnsi="Verdana"/>
                <w:sz w:val="16"/>
                <w:szCs w:val="16"/>
                <w:lang w:val="en-US"/>
              </w:rPr>
              <w:t xml:space="preserve">The areas where the review, preparation, filling and storage of cylinders and </w:t>
            </w:r>
            <w:r>
              <w:rPr>
                <w:rFonts w:ascii="Verdana" w:hAnsi="Verdana"/>
                <w:sz w:val="16"/>
                <w:szCs w:val="16"/>
                <w:lang w:val="en-US"/>
              </w:rPr>
              <w:t xml:space="preserve">thermal </w:t>
            </w:r>
            <w:r w:rsidRPr="00D429B4">
              <w:rPr>
                <w:rFonts w:ascii="Verdana" w:hAnsi="Verdana"/>
                <w:sz w:val="16"/>
                <w:szCs w:val="16"/>
                <w:lang w:val="en-US"/>
              </w:rPr>
              <w:t xml:space="preserve">containers </w:t>
            </w:r>
            <w:r>
              <w:rPr>
                <w:rFonts w:ascii="Verdana" w:hAnsi="Verdana"/>
                <w:sz w:val="16"/>
                <w:szCs w:val="16"/>
                <w:lang w:val="en-US"/>
              </w:rPr>
              <w:t xml:space="preserve">(Dewar) </w:t>
            </w:r>
            <w:r w:rsidRPr="00D429B4">
              <w:rPr>
                <w:rFonts w:ascii="Verdana" w:hAnsi="Verdana"/>
                <w:sz w:val="16"/>
                <w:szCs w:val="16"/>
                <w:lang w:val="en-US"/>
              </w:rPr>
              <w:t xml:space="preserve">must be independent and specific for the production and/or conditioning of medicinal gases. The shared use of installations with the production of other gases with another grade is possible, provided that they follow the same standards of quality and compliance of the GMP (Good Manufacturing Practices) and after the evaluation of the risk. During the filling there must exist no mixture of different grades of product. </w:t>
            </w:r>
          </w:p>
        </w:tc>
      </w:tr>
      <w:tr w:rsidR="00CD67E0" w:rsidRPr="00861FCE" w14:paraId="599D215A" w14:textId="77777777" w:rsidTr="00335F65">
        <w:tc>
          <w:tcPr>
            <w:tcW w:w="4421" w:type="dxa"/>
          </w:tcPr>
          <w:p w14:paraId="3974B3E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10.6.4.3 </w:t>
            </w:r>
            <w:r w:rsidRPr="00D429B4">
              <w:rPr>
                <w:rFonts w:ascii="Verdana" w:hAnsi="Verdana"/>
                <w:sz w:val="16"/>
                <w:szCs w:val="16"/>
                <w:lang w:val="es-MX"/>
              </w:rPr>
              <w:t>El uso de cilindros y termos (dewar) deben ser dedicados a la fabricación y/o acondicionamiento de gases medicinales.</w:t>
            </w:r>
          </w:p>
        </w:tc>
        <w:tc>
          <w:tcPr>
            <w:tcW w:w="4421" w:type="dxa"/>
            <w:shd w:val="clear" w:color="auto" w:fill="auto"/>
          </w:tcPr>
          <w:p w14:paraId="4D2683D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10.6.4.3 </w:t>
            </w:r>
            <w:r w:rsidRPr="00D429B4">
              <w:rPr>
                <w:rFonts w:ascii="Verdana" w:hAnsi="Verdana"/>
                <w:sz w:val="16"/>
                <w:szCs w:val="16"/>
                <w:lang w:val="en-US"/>
              </w:rPr>
              <w:t>The use of cryogenic cylinders and containers must be dedicated to the manufacture and/or conditioning of medicinal gases.</w:t>
            </w:r>
          </w:p>
        </w:tc>
      </w:tr>
      <w:tr w:rsidR="00CD67E0" w:rsidRPr="00861FCE" w14:paraId="45BB0E2C" w14:textId="77777777" w:rsidTr="00335F65">
        <w:tc>
          <w:tcPr>
            <w:tcW w:w="4421" w:type="dxa"/>
          </w:tcPr>
          <w:p w14:paraId="7C156DC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10.6.4.4</w:t>
            </w:r>
            <w:r w:rsidRPr="00D429B4">
              <w:rPr>
                <w:rFonts w:ascii="Verdana" w:hAnsi="Verdana"/>
                <w:sz w:val="16"/>
                <w:szCs w:val="16"/>
                <w:lang w:val="es-MX"/>
              </w:rPr>
              <w:t xml:space="preserve"> Las instalaciones deben ser diseñadas de tal manera que exista el suficiente espacio para llevar a cabo las operaciones de fabricación, análisis y almacenamiento que eviten posibles riesgos de contaminación cruzada.</w:t>
            </w:r>
          </w:p>
        </w:tc>
        <w:tc>
          <w:tcPr>
            <w:tcW w:w="4421" w:type="dxa"/>
            <w:shd w:val="clear" w:color="auto" w:fill="auto"/>
          </w:tcPr>
          <w:p w14:paraId="5D20932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10.6.4.4 </w:t>
            </w:r>
            <w:r w:rsidRPr="00D429B4">
              <w:rPr>
                <w:rFonts w:ascii="Verdana" w:hAnsi="Verdana"/>
                <w:sz w:val="16"/>
                <w:szCs w:val="16"/>
                <w:lang w:val="en-US"/>
              </w:rPr>
              <w:t>The</w:t>
            </w:r>
            <w:r w:rsidRPr="00D429B4">
              <w:rPr>
                <w:rFonts w:ascii="Verdana" w:hAnsi="Verdana"/>
                <w:b/>
                <w:sz w:val="16"/>
                <w:szCs w:val="16"/>
                <w:lang w:val="en-US"/>
              </w:rPr>
              <w:t xml:space="preserve"> </w:t>
            </w:r>
            <w:r w:rsidRPr="00D429B4">
              <w:rPr>
                <w:rFonts w:ascii="Verdana" w:hAnsi="Verdana"/>
                <w:sz w:val="16"/>
                <w:szCs w:val="16"/>
                <w:lang w:val="en-US"/>
              </w:rPr>
              <w:t xml:space="preserve">installations must be designed in such a way that there enough space exists to carry out the manufacturing operations, analysis and storage in order to avoid possible risks of cross contamination. </w:t>
            </w:r>
          </w:p>
        </w:tc>
      </w:tr>
      <w:tr w:rsidR="00CD67E0" w:rsidRPr="00861FCE" w14:paraId="72606017" w14:textId="77777777" w:rsidTr="00335F65">
        <w:tc>
          <w:tcPr>
            <w:tcW w:w="4421" w:type="dxa"/>
          </w:tcPr>
          <w:p w14:paraId="341B8C3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10.6.4.5 </w:t>
            </w:r>
            <w:r w:rsidRPr="00D429B4">
              <w:rPr>
                <w:rFonts w:ascii="Verdana" w:hAnsi="Verdana"/>
                <w:sz w:val="16"/>
                <w:szCs w:val="16"/>
                <w:lang w:val="es-MX"/>
              </w:rPr>
              <w:t>Deben existir áreas delimitadas para los diferentes gases que se producen y almacenen.</w:t>
            </w:r>
          </w:p>
        </w:tc>
        <w:tc>
          <w:tcPr>
            <w:tcW w:w="4421" w:type="dxa"/>
            <w:shd w:val="clear" w:color="auto" w:fill="auto"/>
          </w:tcPr>
          <w:p w14:paraId="1FE013B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10.6.4.5 </w:t>
            </w:r>
            <w:r w:rsidRPr="00D429B4">
              <w:rPr>
                <w:rFonts w:ascii="Verdana" w:hAnsi="Verdana"/>
                <w:sz w:val="16"/>
                <w:szCs w:val="16"/>
                <w:lang w:val="en-US"/>
              </w:rPr>
              <w:t xml:space="preserve">Delimited areas must exist of the different gases that are produced and stored. </w:t>
            </w:r>
          </w:p>
        </w:tc>
      </w:tr>
      <w:tr w:rsidR="00CD67E0" w:rsidRPr="00861FCE" w14:paraId="6695F2C5" w14:textId="77777777" w:rsidTr="00335F65">
        <w:tc>
          <w:tcPr>
            <w:tcW w:w="4421" w:type="dxa"/>
          </w:tcPr>
          <w:p w14:paraId="765336A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10.6.4.6 </w:t>
            </w:r>
            <w:r w:rsidRPr="00D429B4">
              <w:rPr>
                <w:rFonts w:ascii="Verdana" w:hAnsi="Verdana"/>
                <w:sz w:val="16"/>
                <w:szCs w:val="16"/>
                <w:lang w:val="es-MX"/>
              </w:rPr>
              <w:t>Debe existir una clara identificación, segregación y sistema de control de contenedores de gases medicinales incluyendo tanques cisterna en las diferentes etapas del proceso como pueden ser: revisión, llenado, cuarentena, aprobado, rechazado.</w:t>
            </w:r>
          </w:p>
        </w:tc>
        <w:tc>
          <w:tcPr>
            <w:tcW w:w="4421" w:type="dxa"/>
            <w:shd w:val="clear" w:color="auto" w:fill="auto"/>
          </w:tcPr>
          <w:p w14:paraId="7165B9C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10.6.4.6 </w:t>
            </w:r>
            <w:r w:rsidRPr="00D429B4">
              <w:rPr>
                <w:rFonts w:ascii="Verdana" w:hAnsi="Verdana"/>
                <w:sz w:val="16"/>
                <w:szCs w:val="16"/>
                <w:lang w:val="en-US"/>
              </w:rPr>
              <w:t xml:space="preserve">There must exist a clear identification, segregation and system of control of containers of medicinal gases, including cistern tanks in the different stages of the process, such as: inspection, filling, quarantine, approved, rejected. </w:t>
            </w:r>
          </w:p>
        </w:tc>
      </w:tr>
      <w:tr w:rsidR="00CD67E0" w:rsidRPr="00861FCE" w14:paraId="48ECBFA8" w14:textId="77777777" w:rsidTr="00335F65">
        <w:tc>
          <w:tcPr>
            <w:tcW w:w="4421" w:type="dxa"/>
          </w:tcPr>
          <w:p w14:paraId="218F4EC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10.6.4.7 </w:t>
            </w:r>
            <w:r w:rsidRPr="00D429B4">
              <w:rPr>
                <w:rFonts w:ascii="Verdana" w:hAnsi="Verdana"/>
                <w:sz w:val="16"/>
                <w:szCs w:val="16"/>
                <w:lang w:val="es-MX"/>
              </w:rPr>
              <w:t>Se debe establecer un sistema de control en los cilindros y termos (dewar) para identificar las diferentes etapas del proceso.</w:t>
            </w:r>
          </w:p>
        </w:tc>
        <w:tc>
          <w:tcPr>
            <w:tcW w:w="4421" w:type="dxa"/>
            <w:shd w:val="clear" w:color="auto" w:fill="auto"/>
          </w:tcPr>
          <w:p w14:paraId="11CEE32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10.6.4.7 </w:t>
            </w:r>
            <w:r w:rsidRPr="00D429B4">
              <w:rPr>
                <w:rFonts w:ascii="Verdana" w:hAnsi="Verdana"/>
                <w:sz w:val="16"/>
                <w:szCs w:val="16"/>
                <w:lang w:val="en-US"/>
              </w:rPr>
              <w:t xml:space="preserve">A control system to identify the different stages of the process must be established in cylinders and containers to identify the different stages of the process. </w:t>
            </w:r>
          </w:p>
        </w:tc>
      </w:tr>
      <w:tr w:rsidR="00CD67E0" w:rsidRPr="00861FCE" w14:paraId="525E1B8C" w14:textId="77777777" w:rsidTr="00335F65">
        <w:tc>
          <w:tcPr>
            <w:tcW w:w="4421" w:type="dxa"/>
          </w:tcPr>
          <w:p w14:paraId="3D81793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10.6.4.8 </w:t>
            </w:r>
            <w:r w:rsidRPr="00D429B4">
              <w:rPr>
                <w:rFonts w:ascii="Verdana" w:hAnsi="Verdana"/>
                <w:sz w:val="16"/>
                <w:szCs w:val="16"/>
                <w:lang w:val="es-MX"/>
              </w:rPr>
              <w:t>Los cilindros y termos (dewar) vacíos deben clasificarse, revisarse, darles mantenimiento en áreas techadas si requieren y mantenerse en un nivel de limpieza acorde al área donde se van a utilizar.</w:t>
            </w:r>
          </w:p>
        </w:tc>
        <w:tc>
          <w:tcPr>
            <w:tcW w:w="4421" w:type="dxa"/>
            <w:shd w:val="clear" w:color="auto" w:fill="auto"/>
          </w:tcPr>
          <w:p w14:paraId="2B14A72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10.6.4.8 </w:t>
            </w:r>
            <w:r w:rsidRPr="00D429B4">
              <w:rPr>
                <w:rFonts w:ascii="Verdana" w:hAnsi="Verdana"/>
                <w:sz w:val="16"/>
                <w:szCs w:val="16"/>
                <w:lang w:val="en-US"/>
              </w:rPr>
              <w:t>The empty cylinders and containers must be classified, inspected, given maintenance if required, safeguarded in roofed areas protected from the environment and maintained at a cleanness level in accordance with the area where they will be used.</w:t>
            </w:r>
          </w:p>
        </w:tc>
      </w:tr>
      <w:tr w:rsidR="00CD67E0" w:rsidRPr="00861FCE" w14:paraId="66605046" w14:textId="77777777" w:rsidTr="00335F65">
        <w:tc>
          <w:tcPr>
            <w:tcW w:w="4421" w:type="dxa"/>
          </w:tcPr>
          <w:p w14:paraId="7F53BE85"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10.6.4.9</w:t>
            </w:r>
            <w:r w:rsidRPr="00D429B4">
              <w:rPr>
                <w:rFonts w:ascii="Verdana" w:hAnsi="Verdana"/>
                <w:sz w:val="16"/>
                <w:szCs w:val="16"/>
                <w:lang w:val="es-MX"/>
              </w:rPr>
              <w:t xml:space="preserve"> Los equipos deben ser diseñados de tal manera que eviten el riesgo de contaminación cruzada entre distintos gases, las tuberías utilizadas deben evitar conexiones entre distintos gases y contar con dispositivos anti-retorno de flujo de gas.</w:t>
            </w:r>
          </w:p>
        </w:tc>
        <w:tc>
          <w:tcPr>
            <w:tcW w:w="4421" w:type="dxa"/>
            <w:shd w:val="clear" w:color="auto" w:fill="auto"/>
          </w:tcPr>
          <w:p w14:paraId="4AC0ED6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10.6.4.9 </w:t>
            </w:r>
            <w:r w:rsidRPr="00D429B4">
              <w:rPr>
                <w:rFonts w:ascii="Verdana" w:hAnsi="Verdana"/>
                <w:sz w:val="16"/>
                <w:szCs w:val="16"/>
                <w:lang w:val="en-US"/>
              </w:rPr>
              <w:t xml:space="preserve">The equipment must be designed in such a way that they avoid the risk of cross contamination between different gases, the pipes used must avoid connections between gases between gases and have the anti-return gas flow devices. </w:t>
            </w:r>
          </w:p>
        </w:tc>
      </w:tr>
      <w:tr w:rsidR="00CD67E0" w:rsidRPr="00861FCE" w14:paraId="1FAD863A" w14:textId="77777777" w:rsidTr="00335F65">
        <w:tc>
          <w:tcPr>
            <w:tcW w:w="4421" w:type="dxa"/>
          </w:tcPr>
          <w:p w14:paraId="17F46EB0"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10.6.4.10</w:t>
            </w:r>
            <w:r w:rsidRPr="00D429B4">
              <w:rPr>
                <w:rFonts w:ascii="Verdana" w:hAnsi="Verdana"/>
                <w:sz w:val="16"/>
                <w:szCs w:val="16"/>
                <w:lang w:val="es-MX"/>
              </w:rPr>
              <w:t xml:space="preserve"> Las conexiones de los cabezales múltiples deben ser específicas para cada tipo de gas, acorde con lo establecido en la FEUM.</w:t>
            </w:r>
          </w:p>
        </w:tc>
        <w:tc>
          <w:tcPr>
            <w:tcW w:w="4421" w:type="dxa"/>
            <w:shd w:val="clear" w:color="auto" w:fill="auto"/>
          </w:tcPr>
          <w:p w14:paraId="174726F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10.6.4.10 </w:t>
            </w:r>
            <w:r w:rsidRPr="00D429B4">
              <w:rPr>
                <w:rFonts w:ascii="Verdana" w:hAnsi="Verdana"/>
                <w:sz w:val="16"/>
                <w:szCs w:val="16"/>
                <w:lang w:val="en-US"/>
              </w:rPr>
              <w:t>The manifolds or valve blocks must have specific coupling connections for each type of gas, these connections must be in accordance with that established in FEUM and other applicable provisions.</w:t>
            </w:r>
          </w:p>
        </w:tc>
      </w:tr>
      <w:tr w:rsidR="00CD67E0" w:rsidRPr="00861FCE" w14:paraId="3BE81B9F" w14:textId="77777777" w:rsidTr="00335F65">
        <w:tc>
          <w:tcPr>
            <w:tcW w:w="4421" w:type="dxa"/>
          </w:tcPr>
          <w:p w14:paraId="5F032C05"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10.6.4.11</w:t>
            </w:r>
            <w:r w:rsidRPr="00D429B4">
              <w:rPr>
                <w:rFonts w:ascii="Verdana" w:hAnsi="Verdana"/>
                <w:sz w:val="16"/>
                <w:szCs w:val="16"/>
                <w:lang w:val="es-MX"/>
              </w:rPr>
              <w:t xml:space="preserve"> Debe establecerse un sistema para el control y uso de adaptadores para sistemas baipás en las distintas etapas de producción de los gases medicinales.</w:t>
            </w:r>
          </w:p>
        </w:tc>
        <w:tc>
          <w:tcPr>
            <w:tcW w:w="4421" w:type="dxa"/>
            <w:shd w:val="clear" w:color="auto" w:fill="auto"/>
          </w:tcPr>
          <w:p w14:paraId="17BCAA9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10.6.4.11 </w:t>
            </w:r>
            <w:r w:rsidRPr="00D429B4">
              <w:rPr>
                <w:rFonts w:ascii="Verdana" w:hAnsi="Verdana"/>
                <w:sz w:val="16"/>
                <w:szCs w:val="16"/>
                <w:lang w:val="en-US"/>
              </w:rPr>
              <w:t>A system for the control and use of adapters for bypass systems at various stages of production of medical gases should be established.</w:t>
            </w:r>
          </w:p>
        </w:tc>
      </w:tr>
      <w:tr w:rsidR="00CD67E0" w:rsidRPr="00861FCE" w14:paraId="63CBCCCD" w14:textId="77777777" w:rsidTr="00335F65">
        <w:tc>
          <w:tcPr>
            <w:tcW w:w="4421" w:type="dxa"/>
          </w:tcPr>
          <w:p w14:paraId="52787D46"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10.6.4.12</w:t>
            </w:r>
            <w:r w:rsidRPr="00D429B4">
              <w:rPr>
                <w:rFonts w:ascii="Verdana" w:hAnsi="Verdana"/>
                <w:sz w:val="16"/>
                <w:szCs w:val="16"/>
                <w:lang w:val="es-MX"/>
              </w:rPr>
              <w:t xml:space="preserve"> Los tanques cisterna deben ser dedicados a un tipo de gas y podrá transportarse o almacenarse gas de otro grado, siempre y cuando cumpla como mínimo con la misma calidad del gas medicinal, las BPF y lo establecido en la FEUM.</w:t>
            </w:r>
          </w:p>
        </w:tc>
        <w:tc>
          <w:tcPr>
            <w:tcW w:w="4421" w:type="dxa"/>
            <w:shd w:val="clear" w:color="auto" w:fill="auto"/>
          </w:tcPr>
          <w:p w14:paraId="736AD07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10.6.4.12 </w:t>
            </w:r>
            <w:r w:rsidRPr="00D429B4">
              <w:rPr>
                <w:rFonts w:ascii="Verdana" w:hAnsi="Verdana"/>
                <w:sz w:val="16"/>
                <w:szCs w:val="16"/>
                <w:lang w:val="en-US"/>
              </w:rPr>
              <w:t>The cistern tanks must be dedicated to a type of gas and can be transported or stored gas of another grade provided it complies as a minimum with the same quality of the medicinal gas, the GMP and that established by FEUM.</w:t>
            </w:r>
          </w:p>
        </w:tc>
      </w:tr>
      <w:tr w:rsidR="00CD67E0" w:rsidRPr="00861FCE" w14:paraId="65399583" w14:textId="77777777" w:rsidTr="00335F65">
        <w:tc>
          <w:tcPr>
            <w:tcW w:w="4421" w:type="dxa"/>
          </w:tcPr>
          <w:p w14:paraId="1C7CCC96" w14:textId="77777777" w:rsidR="00CD67E0" w:rsidRPr="00D429B4" w:rsidRDefault="00CD67E0" w:rsidP="00CD67E0">
            <w:pPr>
              <w:pStyle w:val="Texto"/>
              <w:spacing w:after="84" w:line="276" w:lineRule="auto"/>
              <w:ind w:firstLine="0"/>
              <w:rPr>
                <w:rFonts w:ascii="Verdana" w:hAnsi="Verdana"/>
                <w:sz w:val="16"/>
                <w:szCs w:val="16"/>
                <w:lang w:val="es-MX"/>
              </w:rPr>
            </w:pPr>
            <w:r w:rsidRPr="00D429B4">
              <w:rPr>
                <w:rFonts w:ascii="Verdana" w:hAnsi="Verdana"/>
                <w:b/>
                <w:sz w:val="16"/>
                <w:szCs w:val="16"/>
                <w:lang w:val="es-MX"/>
              </w:rPr>
              <w:t xml:space="preserve">10.6.4.12.1 </w:t>
            </w:r>
            <w:r w:rsidRPr="00D429B4">
              <w:rPr>
                <w:rFonts w:ascii="Verdana" w:hAnsi="Verdana"/>
                <w:sz w:val="16"/>
                <w:szCs w:val="16"/>
                <w:lang w:val="es-MX"/>
              </w:rPr>
              <w:t>Los tanques cisterna deben contar con dispositivos para evitar el retorno de producto del tanque de almacenamiento del cliente.</w:t>
            </w:r>
          </w:p>
        </w:tc>
        <w:tc>
          <w:tcPr>
            <w:tcW w:w="4421" w:type="dxa"/>
            <w:shd w:val="clear" w:color="auto" w:fill="auto"/>
          </w:tcPr>
          <w:p w14:paraId="7AC1507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10.6.4.12.1 </w:t>
            </w:r>
            <w:r w:rsidRPr="00D429B4">
              <w:rPr>
                <w:rFonts w:ascii="Verdana" w:hAnsi="Verdana"/>
                <w:sz w:val="16"/>
                <w:szCs w:val="16"/>
                <w:lang w:val="en-US"/>
              </w:rPr>
              <w:t xml:space="preserve">The cistern tanks must have devices to avoid the return of product from the storage tank of the client. </w:t>
            </w:r>
          </w:p>
        </w:tc>
      </w:tr>
      <w:tr w:rsidR="00CD67E0" w:rsidRPr="00861FCE" w14:paraId="46D41529" w14:textId="77777777" w:rsidTr="00335F65">
        <w:tc>
          <w:tcPr>
            <w:tcW w:w="4421" w:type="dxa"/>
          </w:tcPr>
          <w:p w14:paraId="6D29B52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10.6.4.12.2 </w:t>
            </w:r>
            <w:r w:rsidRPr="00D429B4">
              <w:rPr>
                <w:rFonts w:ascii="Verdana" w:hAnsi="Verdana"/>
                <w:sz w:val="16"/>
                <w:szCs w:val="16"/>
                <w:lang w:val="es-MX"/>
              </w:rPr>
              <w:t>Si el tanque cisterna de gases licuados, cuenta con un sistema de llenado de dos mangueras para equilibrar la presión entre el tanque del cliente y el tanque cisterna las primeras entregas deben ser para grado medicinal y las entregas posteriores para otras aplicaciones.</w:t>
            </w:r>
          </w:p>
        </w:tc>
        <w:tc>
          <w:tcPr>
            <w:tcW w:w="4421" w:type="dxa"/>
            <w:shd w:val="clear" w:color="auto" w:fill="auto"/>
          </w:tcPr>
          <w:p w14:paraId="74178EF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10.6.4.12.2</w:t>
            </w:r>
            <w:r w:rsidRPr="00D429B4">
              <w:rPr>
                <w:rFonts w:ascii="Verdana" w:hAnsi="Verdana"/>
                <w:sz w:val="16"/>
                <w:szCs w:val="16"/>
                <w:lang w:val="en-US"/>
              </w:rPr>
              <w:t xml:space="preserve"> If the cistern tank of liquid gases has a filling system with two hoses to equalize the pressure between the tank of the client and the cistern tank, the first deliveries must be for a medicinal grade and the later deliveries for other applications. </w:t>
            </w:r>
          </w:p>
        </w:tc>
      </w:tr>
      <w:tr w:rsidR="00CD67E0" w:rsidRPr="00861FCE" w14:paraId="7E9F37DA" w14:textId="77777777" w:rsidTr="00335F65">
        <w:tc>
          <w:tcPr>
            <w:tcW w:w="4421" w:type="dxa"/>
          </w:tcPr>
          <w:p w14:paraId="513C9CB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10.6.4.13</w:t>
            </w:r>
            <w:r w:rsidRPr="00D429B4">
              <w:rPr>
                <w:rFonts w:ascii="Verdana" w:hAnsi="Verdana"/>
                <w:sz w:val="16"/>
                <w:szCs w:val="16"/>
                <w:lang w:val="es-MX"/>
              </w:rPr>
              <w:t xml:space="preserve"> Se debe validar el uso de sistemas de suministro comunes de gas a través de cabezales múltiples para gases medicinales y gases no medicinales para prevenir contaminación cruzada por retroceso.</w:t>
            </w:r>
          </w:p>
        </w:tc>
        <w:tc>
          <w:tcPr>
            <w:tcW w:w="4421" w:type="dxa"/>
            <w:shd w:val="clear" w:color="auto" w:fill="auto"/>
          </w:tcPr>
          <w:p w14:paraId="1D55C62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10.6.4.13 </w:t>
            </w:r>
            <w:r w:rsidRPr="00D429B4">
              <w:rPr>
                <w:rFonts w:ascii="Verdana" w:hAnsi="Verdana"/>
                <w:sz w:val="16"/>
                <w:szCs w:val="16"/>
                <w:lang w:val="en-US"/>
              </w:rPr>
              <w:t xml:space="preserve">The use of common gas supply systems must be validated through manifolds for medicinal gases and nonmedicinal gases for preventing cross contamination by recoil. </w:t>
            </w:r>
          </w:p>
        </w:tc>
      </w:tr>
      <w:tr w:rsidR="00CD67E0" w:rsidRPr="00861FCE" w14:paraId="159771CC" w14:textId="77777777" w:rsidTr="00335F65">
        <w:tc>
          <w:tcPr>
            <w:tcW w:w="4421" w:type="dxa"/>
          </w:tcPr>
          <w:p w14:paraId="3D2EB22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10.6.4.14</w:t>
            </w:r>
            <w:r w:rsidRPr="00D429B4">
              <w:rPr>
                <w:rFonts w:ascii="Verdana" w:hAnsi="Verdana"/>
                <w:sz w:val="16"/>
                <w:szCs w:val="16"/>
                <w:lang w:val="es-MX"/>
              </w:rPr>
              <w:t xml:space="preserve"> El uso de cabezales múltiples debe ser dedicado a un solo gas medicinal, o a mezclas de gases medicinales en diferentes concentraciones, el uso compartido con otros grados es posible siempre y cuando se sigan los mismos estándares de calidad y cumplimiento de BPF y previa valoración del riesgo.</w:t>
            </w:r>
          </w:p>
        </w:tc>
        <w:tc>
          <w:tcPr>
            <w:tcW w:w="4421" w:type="dxa"/>
            <w:shd w:val="clear" w:color="auto" w:fill="auto"/>
          </w:tcPr>
          <w:p w14:paraId="4375B46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10.6.4.14 </w:t>
            </w:r>
            <w:r w:rsidRPr="00D429B4">
              <w:rPr>
                <w:rFonts w:ascii="Verdana" w:hAnsi="Verdana"/>
                <w:sz w:val="16"/>
                <w:szCs w:val="16"/>
                <w:lang w:val="en-US"/>
              </w:rPr>
              <w:t xml:space="preserve">The use of manifolds must be dedicated to a single medicinal gas, or to mixtures of medicinal gases in different concentrations, the use shared with other grades is possible, provided the same quality standards and compliance to GMP (Good Manufacturing Practices) are followed and after the evaluation of the risk. </w:t>
            </w:r>
          </w:p>
        </w:tc>
      </w:tr>
      <w:tr w:rsidR="00CD67E0" w:rsidRPr="00861FCE" w14:paraId="29C9F1BF" w14:textId="77777777" w:rsidTr="00335F65">
        <w:tc>
          <w:tcPr>
            <w:tcW w:w="4421" w:type="dxa"/>
          </w:tcPr>
          <w:p w14:paraId="6DF55B6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10.6.4.15</w:t>
            </w:r>
            <w:r w:rsidRPr="00D429B4">
              <w:rPr>
                <w:rFonts w:ascii="Verdana" w:hAnsi="Verdana"/>
                <w:sz w:val="16"/>
                <w:szCs w:val="16"/>
                <w:lang w:val="es-MX"/>
              </w:rPr>
              <w:t xml:space="preserve"> Durante el mantenimiento, limpieza y purga de los equipos se deben tomar las medidas para no afectar la calidad de los gases, deben existir procedimientos para realizar estas actividades.</w:t>
            </w:r>
          </w:p>
        </w:tc>
        <w:tc>
          <w:tcPr>
            <w:tcW w:w="4421" w:type="dxa"/>
            <w:shd w:val="clear" w:color="auto" w:fill="auto"/>
          </w:tcPr>
          <w:p w14:paraId="78C146E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10.6.4.15 </w:t>
            </w:r>
            <w:r w:rsidRPr="00D429B4">
              <w:rPr>
                <w:rFonts w:ascii="Verdana" w:hAnsi="Verdana"/>
                <w:sz w:val="16"/>
                <w:szCs w:val="16"/>
                <w:lang w:val="en-US"/>
              </w:rPr>
              <w:t>During the maintenance, cleaning and purging of equipment, the measures must be taken in order to not affect the quality of gases, there must be procedures for performing these activities.</w:t>
            </w:r>
          </w:p>
        </w:tc>
      </w:tr>
      <w:tr w:rsidR="00CD67E0" w:rsidRPr="00861FCE" w14:paraId="577CD2B9" w14:textId="77777777" w:rsidTr="00335F65">
        <w:tc>
          <w:tcPr>
            <w:tcW w:w="4421" w:type="dxa"/>
          </w:tcPr>
          <w:p w14:paraId="434C008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10.6.4.16</w:t>
            </w:r>
            <w:r w:rsidRPr="00D429B4">
              <w:rPr>
                <w:rFonts w:ascii="Verdana" w:hAnsi="Verdana"/>
                <w:sz w:val="16"/>
                <w:szCs w:val="16"/>
                <w:lang w:val="es-MX"/>
              </w:rPr>
              <w:t xml:space="preserve"> Cuando en una operación de mantenimiento de un equipo se rompa la integridad del sistema, esto se debe documentar y se deben tomar las medidas que aseguren que el equipo vuelve a operar en condiciones de sistema cerrado.</w:t>
            </w:r>
          </w:p>
        </w:tc>
        <w:tc>
          <w:tcPr>
            <w:tcW w:w="4421" w:type="dxa"/>
            <w:shd w:val="clear" w:color="auto" w:fill="auto"/>
          </w:tcPr>
          <w:p w14:paraId="55BD3A9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10.6.4.16 </w:t>
            </w:r>
            <w:r w:rsidRPr="00D429B4">
              <w:rPr>
                <w:rFonts w:ascii="Verdana" w:hAnsi="Verdana"/>
                <w:sz w:val="16"/>
                <w:szCs w:val="16"/>
                <w:lang w:val="en-US"/>
              </w:rPr>
              <w:t>When during the maintenance operation of equipment, the integrity of the system gets broken, this must be documented and measures that assure that the equipment operates again in closed system conditions must be taken.</w:t>
            </w:r>
          </w:p>
        </w:tc>
      </w:tr>
      <w:tr w:rsidR="00CD67E0" w:rsidRPr="00861FCE" w14:paraId="766073CF" w14:textId="77777777" w:rsidTr="00335F65">
        <w:trPr>
          <w:trHeight w:val="1097"/>
        </w:trPr>
        <w:tc>
          <w:tcPr>
            <w:tcW w:w="4421" w:type="dxa"/>
          </w:tcPr>
          <w:p w14:paraId="6AACDB5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10.6.4.17</w:t>
            </w:r>
            <w:r w:rsidRPr="00D429B4">
              <w:rPr>
                <w:rFonts w:ascii="Verdana" w:hAnsi="Verdana"/>
                <w:sz w:val="16"/>
                <w:szCs w:val="16"/>
                <w:lang w:val="es-MX"/>
              </w:rPr>
              <w:t xml:space="preserve"> Después del mantenimiento, limpieza y purga de un equipo se debe asegurar que éste quedó libre de cualquier contaminante que pueda afectar la calidad del producto final.</w:t>
            </w:r>
          </w:p>
        </w:tc>
        <w:tc>
          <w:tcPr>
            <w:tcW w:w="4421" w:type="dxa"/>
            <w:shd w:val="clear" w:color="auto" w:fill="auto"/>
          </w:tcPr>
          <w:p w14:paraId="0466CA0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10.6.4.17</w:t>
            </w:r>
            <w:r w:rsidRPr="00D429B4">
              <w:rPr>
                <w:rFonts w:ascii="Verdana" w:hAnsi="Verdana"/>
                <w:sz w:val="16"/>
                <w:szCs w:val="16"/>
                <w:lang w:val="en-US"/>
              </w:rPr>
              <w:t xml:space="preserve"> After the maintenance, cleaning and purging of equipment, it must be assured that it is free from any contaminant that can affect the quality of the product.</w:t>
            </w:r>
          </w:p>
        </w:tc>
      </w:tr>
      <w:tr w:rsidR="00CD67E0" w:rsidRPr="00861FCE" w14:paraId="5AB44636" w14:textId="77777777" w:rsidTr="00335F65">
        <w:tc>
          <w:tcPr>
            <w:tcW w:w="4421" w:type="dxa"/>
          </w:tcPr>
          <w:p w14:paraId="6D47B82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10.6.4.18</w:t>
            </w:r>
            <w:r w:rsidRPr="00D429B4">
              <w:rPr>
                <w:rFonts w:ascii="Verdana" w:hAnsi="Verdana"/>
                <w:sz w:val="16"/>
                <w:szCs w:val="16"/>
                <w:lang w:val="es-MX"/>
              </w:rPr>
              <w:t xml:space="preserve"> Se debe establecer un sistema que describa las acciones a tomar para el control de los tanques cisterna antes de cargarlos nuevamente para prevenir la contaminación cruzada, éstos deben incluir controles analíticos.</w:t>
            </w:r>
          </w:p>
        </w:tc>
        <w:tc>
          <w:tcPr>
            <w:tcW w:w="4421" w:type="dxa"/>
            <w:shd w:val="clear" w:color="auto" w:fill="auto"/>
          </w:tcPr>
          <w:p w14:paraId="7371401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10.6.4.18 </w:t>
            </w:r>
            <w:r w:rsidRPr="00D429B4">
              <w:rPr>
                <w:rFonts w:ascii="Verdana" w:hAnsi="Verdana"/>
                <w:sz w:val="16"/>
                <w:szCs w:val="16"/>
                <w:lang w:val="en-US"/>
              </w:rPr>
              <w:t>A system that describes the action to take for the control of cistern tanks before loading them again to avoid cross contamination must be established, they must include analytical controls.</w:t>
            </w:r>
          </w:p>
        </w:tc>
      </w:tr>
      <w:tr w:rsidR="00CD67E0" w:rsidRPr="00861FCE" w14:paraId="744AD515" w14:textId="77777777" w:rsidTr="00335F65">
        <w:tc>
          <w:tcPr>
            <w:tcW w:w="4421" w:type="dxa"/>
          </w:tcPr>
          <w:p w14:paraId="50F664B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10.6.4.19 </w:t>
            </w:r>
            <w:r w:rsidRPr="00D429B4">
              <w:rPr>
                <w:rFonts w:ascii="Verdana" w:hAnsi="Verdana"/>
                <w:sz w:val="16"/>
                <w:szCs w:val="16"/>
                <w:lang w:val="es-MX"/>
              </w:rPr>
              <w:t>Los equipos utilizados en la fabricación y/o acondicionamiento de gases medicinales como compresores, filtros, intercambiadores de calor, separadores de humedad, tanques de almacenamiento, cabezales múltiples, válvulas, mangueras y conexiones cuando estén en contacto con el gas medicinal deben ser limpiados cuando se rompa la integridad del sistema, usando técnicas validadas.</w:t>
            </w:r>
          </w:p>
        </w:tc>
        <w:tc>
          <w:tcPr>
            <w:tcW w:w="4421" w:type="dxa"/>
            <w:shd w:val="clear" w:color="auto" w:fill="auto"/>
          </w:tcPr>
          <w:p w14:paraId="1782142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10.6.4.19 </w:t>
            </w:r>
            <w:r w:rsidRPr="00D429B4">
              <w:rPr>
                <w:rFonts w:ascii="Verdana" w:hAnsi="Verdana"/>
                <w:sz w:val="16"/>
                <w:szCs w:val="16"/>
                <w:lang w:val="en-US"/>
              </w:rPr>
              <w:t xml:space="preserve">The equipment used in the manufacturing and/or conditioning of medicinal gases such as compressors, filters, heat exchangers, humidity separators, storage tanks, manifolds, valves, hoses and connections when they are in contact with the medicinal gas must be cleaned when the integrity of the system is broken, using validated techniques. </w:t>
            </w:r>
          </w:p>
        </w:tc>
      </w:tr>
      <w:tr w:rsidR="00CD67E0" w:rsidRPr="00861FCE" w14:paraId="220E4B97" w14:textId="77777777" w:rsidTr="00335F65">
        <w:tc>
          <w:tcPr>
            <w:tcW w:w="4421" w:type="dxa"/>
          </w:tcPr>
          <w:p w14:paraId="75DD6F1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10.6.4.20</w:t>
            </w:r>
            <w:r w:rsidRPr="00D429B4">
              <w:rPr>
                <w:rFonts w:ascii="Verdana" w:hAnsi="Verdana"/>
                <w:sz w:val="16"/>
                <w:szCs w:val="16"/>
                <w:lang w:val="es-MX"/>
              </w:rPr>
              <w:t xml:space="preserve"> Se deben instalar dispositivos de medición para determinar la presión del gas llenado en los cilindros.</w:t>
            </w:r>
          </w:p>
        </w:tc>
        <w:tc>
          <w:tcPr>
            <w:tcW w:w="4421" w:type="dxa"/>
            <w:shd w:val="clear" w:color="auto" w:fill="auto"/>
          </w:tcPr>
          <w:p w14:paraId="4AFB343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10.6.4.20</w:t>
            </w:r>
            <w:r w:rsidRPr="00D429B4">
              <w:rPr>
                <w:rFonts w:ascii="Verdana" w:hAnsi="Verdana"/>
                <w:sz w:val="16"/>
                <w:szCs w:val="16"/>
                <w:lang w:val="en-US"/>
              </w:rPr>
              <w:t xml:space="preserve"> A measurement system must be installed to determine the pressure of the gas filling the cylinders.</w:t>
            </w:r>
          </w:p>
        </w:tc>
      </w:tr>
      <w:tr w:rsidR="00CD67E0" w:rsidRPr="00861FCE" w14:paraId="4E2959CB" w14:textId="77777777" w:rsidTr="00335F65">
        <w:tc>
          <w:tcPr>
            <w:tcW w:w="4421" w:type="dxa"/>
          </w:tcPr>
          <w:p w14:paraId="1976A92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10.6.4.21</w:t>
            </w:r>
            <w:r w:rsidRPr="00D429B4">
              <w:rPr>
                <w:rFonts w:ascii="Verdana" w:hAnsi="Verdana"/>
                <w:sz w:val="16"/>
                <w:szCs w:val="16"/>
                <w:lang w:val="es-MX"/>
              </w:rPr>
              <w:t xml:space="preserve"> Se deben instalar dispositivos de medición de vacío de manera que se puedan leer fácilmente, y deberán estar protegidos en contra de presurización excesiva, y deberán retornar a presión atmosférica para poder llevar a cabo una revisión a cero.</w:t>
            </w:r>
          </w:p>
        </w:tc>
        <w:tc>
          <w:tcPr>
            <w:tcW w:w="4421" w:type="dxa"/>
            <w:shd w:val="clear" w:color="auto" w:fill="auto"/>
          </w:tcPr>
          <w:p w14:paraId="78436FE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10.6.4.21 </w:t>
            </w:r>
            <w:r w:rsidRPr="00D429B4">
              <w:rPr>
                <w:rFonts w:ascii="Verdana" w:hAnsi="Verdana"/>
                <w:sz w:val="16"/>
                <w:szCs w:val="16"/>
                <w:lang w:val="en-US"/>
              </w:rPr>
              <w:t>A vacuum measuring device must be installed to determine the level of evacuation of the cylinders in a way that it is easily readable and must be protected against excessive pressurization, and must return to atmospheric pressure to perform a review to zero.</w:t>
            </w:r>
          </w:p>
        </w:tc>
      </w:tr>
      <w:tr w:rsidR="00CD67E0" w:rsidRPr="00861FCE" w14:paraId="0958D479" w14:textId="77777777" w:rsidTr="00335F65">
        <w:tc>
          <w:tcPr>
            <w:tcW w:w="4421" w:type="dxa"/>
          </w:tcPr>
          <w:p w14:paraId="2366AF4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10.6.4.22</w:t>
            </w:r>
            <w:r w:rsidRPr="00D429B4">
              <w:rPr>
                <w:rFonts w:ascii="Verdana" w:hAnsi="Verdana"/>
                <w:sz w:val="16"/>
                <w:szCs w:val="16"/>
                <w:lang w:val="es-MX"/>
              </w:rPr>
              <w:t xml:space="preserve"> Se debe llevar a cabo la revisión a cero de los manómetros antes de cada uso y debe documentarse.</w:t>
            </w:r>
          </w:p>
        </w:tc>
        <w:tc>
          <w:tcPr>
            <w:tcW w:w="4421" w:type="dxa"/>
            <w:shd w:val="clear" w:color="auto" w:fill="auto"/>
          </w:tcPr>
          <w:p w14:paraId="355E9A7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10.6.4.22 </w:t>
            </w:r>
            <w:r w:rsidRPr="00D429B4">
              <w:rPr>
                <w:rFonts w:ascii="Verdana" w:hAnsi="Verdana"/>
                <w:sz w:val="16"/>
                <w:szCs w:val="16"/>
                <w:lang w:val="en-US"/>
              </w:rPr>
              <w:t>A review of the gauges to zero must be performed before each use and must be documented.</w:t>
            </w:r>
          </w:p>
        </w:tc>
      </w:tr>
      <w:tr w:rsidR="00CD67E0" w:rsidRPr="00861FCE" w14:paraId="33135C0D" w14:textId="77777777" w:rsidTr="00335F65">
        <w:tc>
          <w:tcPr>
            <w:tcW w:w="4421" w:type="dxa"/>
          </w:tcPr>
          <w:p w14:paraId="2FDBE87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10.6.4.23</w:t>
            </w:r>
            <w:r w:rsidRPr="00D429B4">
              <w:rPr>
                <w:rFonts w:ascii="Verdana" w:hAnsi="Verdana"/>
                <w:sz w:val="16"/>
                <w:szCs w:val="16"/>
                <w:lang w:val="es-MX"/>
              </w:rPr>
              <w:t xml:space="preserve"> La medición de la temperatura del lote de producción durante el proceso debe ser realizada en la pared de un cilindro por un instrumento calibrado.</w:t>
            </w:r>
          </w:p>
        </w:tc>
        <w:tc>
          <w:tcPr>
            <w:tcW w:w="4421" w:type="dxa"/>
          </w:tcPr>
          <w:p w14:paraId="22730F01"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10.6.4.23 </w:t>
            </w:r>
            <w:r w:rsidRPr="00D429B4">
              <w:rPr>
                <w:rFonts w:ascii="Verdana" w:hAnsi="Verdana"/>
                <w:sz w:val="16"/>
                <w:szCs w:val="16"/>
                <w:lang w:val="en-US"/>
              </w:rPr>
              <w:t>The temperature measuring devices should be placed in the cylinder wall during the filling process.</w:t>
            </w:r>
          </w:p>
        </w:tc>
      </w:tr>
      <w:tr w:rsidR="00CD67E0" w:rsidRPr="00DD29AF" w14:paraId="704E4CF5" w14:textId="77777777" w:rsidTr="00335F65">
        <w:tc>
          <w:tcPr>
            <w:tcW w:w="4421" w:type="dxa"/>
          </w:tcPr>
          <w:p w14:paraId="08BF2B8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w:t>
            </w:r>
            <w:r w:rsidRPr="00D429B4">
              <w:rPr>
                <w:rFonts w:ascii="Verdana" w:hAnsi="Verdana"/>
                <w:sz w:val="16"/>
                <w:szCs w:val="16"/>
                <w:lang w:val="es-MX"/>
              </w:rPr>
              <w:t xml:space="preserve"> Producción.</w:t>
            </w:r>
          </w:p>
        </w:tc>
        <w:tc>
          <w:tcPr>
            <w:tcW w:w="4421" w:type="dxa"/>
            <w:shd w:val="clear" w:color="auto" w:fill="auto"/>
          </w:tcPr>
          <w:p w14:paraId="28F5947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 </w:t>
            </w:r>
            <w:r w:rsidRPr="00D429B4">
              <w:rPr>
                <w:rFonts w:ascii="Verdana" w:hAnsi="Verdana"/>
                <w:sz w:val="16"/>
                <w:szCs w:val="16"/>
                <w:lang w:val="en-US"/>
              </w:rPr>
              <w:t>Production.</w:t>
            </w:r>
          </w:p>
        </w:tc>
      </w:tr>
      <w:tr w:rsidR="00CD67E0" w:rsidRPr="00DD29AF" w14:paraId="30515857" w14:textId="77777777" w:rsidTr="00335F65">
        <w:tc>
          <w:tcPr>
            <w:tcW w:w="4421" w:type="dxa"/>
          </w:tcPr>
          <w:p w14:paraId="06EB532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10.6.5.1</w:t>
            </w:r>
            <w:r w:rsidRPr="00D429B4">
              <w:rPr>
                <w:rFonts w:ascii="Verdana" w:hAnsi="Verdana"/>
                <w:sz w:val="16"/>
                <w:szCs w:val="16"/>
                <w:lang w:val="es-MX"/>
              </w:rPr>
              <w:t xml:space="preserve"> Control de insumos.</w:t>
            </w:r>
          </w:p>
        </w:tc>
        <w:tc>
          <w:tcPr>
            <w:tcW w:w="4421" w:type="dxa"/>
            <w:shd w:val="clear" w:color="auto" w:fill="auto"/>
          </w:tcPr>
          <w:p w14:paraId="0CE10A3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10.6.5.1 </w:t>
            </w:r>
            <w:r w:rsidRPr="00D429B4">
              <w:rPr>
                <w:rFonts w:ascii="Verdana" w:hAnsi="Verdana"/>
                <w:sz w:val="16"/>
                <w:szCs w:val="16"/>
                <w:lang w:val="en-US"/>
              </w:rPr>
              <w:t>Control of materials.</w:t>
            </w:r>
          </w:p>
        </w:tc>
      </w:tr>
      <w:tr w:rsidR="00CD67E0" w:rsidRPr="00861FCE" w14:paraId="5E3454E7" w14:textId="77777777" w:rsidTr="00335F65">
        <w:tc>
          <w:tcPr>
            <w:tcW w:w="4421" w:type="dxa"/>
          </w:tcPr>
          <w:p w14:paraId="3BB6C73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10.6.5.1.1 </w:t>
            </w:r>
            <w:r w:rsidRPr="00D429B4">
              <w:rPr>
                <w:rFonts w:ascii="Verdana" w:hAnsi="Verdana"/>
                <w:sz w:val="16"/>
                <w:szCs w:val="16"/>
                <w:lang w:val="es-MX"/>
              </w:rPr>
              <w:t>Cuando se utilicen gases a granel para la fabricación o llenado de gases medicinales o sus mezclas, éstos deben cumplir con las especificaciones establecidas en la FEUM para la producción, así como aquéllos extraídos por fuentes naturales.</w:t>
            </w:r>
          </w:p>
        </w:tc>
        <w:tc>
          <w:tcPr>
            <w:tcW w:w="4421" w:type="dxa"/>
            <w:shd w:val="clear" w:color="auto" w:fill="auto"/>
          </w:tcPr>
          <w:p w14:paraId="6E05590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10.6.5.1.1 </w:t>
            </w:r>
            <w:r w:rsidRPr="00D429B4">
              <w:rPr>
                <w:rFonts w:ascii="Verdana" w:hAnsi="Verdana"/>
                <w:sz w:val="16"/>
                <w:szCs w:val="16"/>
                <w:lang w:val="en-US"/>
              </w:rPr>
              <w:t>When bulk gases are used for the manufacture or filling of medicinal gases or their mixtures, they must comply with the specifications established in the FEUM (Pharmacopeia of the United Mexican States) for the production, as well as those extracted by natural sources.</w:t>
            </w:r>
          </w:p>
        </w:tc>
      </w:tr>
      <w:tr w:rsidR="00CD67E0" w:rsidRPr="00861FCE" w14:paraId="1AB4AEB3" w14:textId="77777777" w:rsidTr="00335F65">
        <w:tc>
          <w:tcPr>
            <w:tcW w:w="4421" w:type="dxa"/>
          </w:tcPr>
          <w:p w14:paraId="18A9FE2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Cuando se utilice aire atmosférico como materia prima, éste se debe filtrar en el punto de entrada para restringir la admisión de partículas sólidas e impurezas a los gases.</w:t>
            </w:r>
          </w:p>
        </w:tc>
        <w:tc>
          <w:tcPr>
            <w:tcW w:w="4421" w:type="dxa"/>
            <w:shd w:val="clear" w:color="auto" w:fill="auto"/>
          </w:tcPr>
          <w:p w14:paraId="4C880F0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When atmospheric air is used as a raw material, it must be filtered at the point of entry to restrict the admission of solid particles and impurities of the gases. </w:t>
            </w:r>
          </w:p>
        </w:tc>
      </w:tr>
      <w:tr w:rsidR="00CD67E0" w:rsidRPr="00861FCE" w14:paraId="7440DC9C" w14:textId="77777777" w:rsidTr="00335F65">
        <w:tc>
          <w:tcPr>
            <w:tcW w:w="4421" w:type="dxa"/>
          </w:tcPr>
          <w:p w14:paraId="209EBCE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10.6.5.1.2</w:t>
            </w:r>
            <w:r w:rsidRPr="00D429B4">
              <w:rPr>
                <w:rFonts w:ascii="Verdana" w:hAnsi="Verdana"/>
                <w:sz w:val="16"/>
                <w:szCs w:val="16"/>
                <w:lang w:val="es-MX"/>
              </w:rPr>
              <w:t xml:space="preserve"> La conservación de muestras de retención no aplica para insumos utilizados en la fabricación de gases medicinales.</w:t>
            </w:r>
          </w:p>
        </w:tc>
        <w:tc>
          <w:tcPr>
            <w:tcW w:w="4421" w:type="dxa"/>
            <w:shd w:val="clear" w:color="auto" w:fill="auto"/>
          </w:tcPr>
          <w:p w14:paraId="04C0D1E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10.6.5.1.2 </w:t>
            </w:r>
            <w:r w:rsidRPr="00D429B4">
              <w:rPr>
                <w:rFonts w:ascii="Verdana" w:hAnsi="Verdana"/>
                <w:sz w:val="16"/>
                <w:szCs w:val="16"/>
                <w:lang w:val="en-US"/>
              </w:rPr>
              <w:t>The conservation of retention samples does not apply to materials used in the manufacture of medicinal gases.</w:t>
            </w:r>
          </w:p>
        </w:tc>
      </w:tr>
      <w:tr w:rsidR="00CD67E0" w:rsidRPr="00861FCE" w14:paraId="6D6F62E8" w14:textId="77777777" w:rsidTr="00335F65">
        <w:tc>
          <w:tcPr>
            <w:tcW w:w="4421" w:type="dxa"/>
          </w:tcPr>
          <w:p w14:paraId="775C432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10.6.5.1.3</w:t>
            </w:r>
            <w:r w:rsidRPr="00D429B4">
              <w:rPr>
                <w:rFonts w:ascii="Verdana" w:hAnsi="Verdana"/>
                <w:sz w:val="16"/>
                <w:szCs w:val="16"/>
                <w:lang w:val="es-MX"/>
              </w:rPr>
              <w:t xml:space="preserve"> Cuando se reciba un nuevo cargamento de gas y sea trasvasado a un tanque de almacenamiento que contenga el mismo tipo de insumo, la mezcla generada debe ser analizada y cumplir con los requisitos establecidos en la FEUM.</w:t>
            </w:r>
          </w:p>
        </w:tc>
        <w:tc>
          <w:tcPr>
            <w:tcW w:w="4421" w:type="dxa"/>
            <w:shd w:val="clear" w:color="auto" w:fill="auto"/>
          </w:tcPr>
          <w:p w14:paraId="29884FF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10. 6.5.1.3 </w:t>
            </w:r>
            <w:r w:rsidRPr="00D429B4">
              <w:rPr>
                <w:rFonts w:ascii="Verdana" w:hAnsi="Verdana"/>
                <w:sz w:val="16"/>
                <w:szCs w:val="16"/>
                <w:lang w:val="en-US"/>
              </w:rPr>
              <w:t>When a new shipment of gas is received and it is transferred into a storage tank containing the same type of material, the generated mix must be analyzed and must meet the requirements of FEUM.</w:t>
            </w:r>
          </w:p>
        </w:tc>
      </w:tr>
      <w:tr w:rsidR="00CD67E0" w:rsidRPr="00604666" w14:paraId="0C82CE1E" w14:textId="77777777" w:rsidTr="00335F65">
        <w:tc>
          <w:tcPr>
            <w:tcW w:w="4421" w:type="dxa"/>
          </w:tcPr>
          <w:p w14:paraId="65324B6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10.6.5.2 </w:t>
            </w:r>
            <w:r w:rsidRPr="00D429B4">
              <w:rPr>
                <w:rFonts w:ascii="Verdana" w:hAnsi="Verdana"/>
                <w:sz w:val="16"/>
                <w:szCs w:val="16"/>
                <w:lang w:val="es-MX"/>
              </w:rPr>
              <w:t>Control de la producción.</w:t>
            </w:r>
          </w:p>
        </w:tc>
        <w:tc>
          <w:tcPr>
            <w:tcW w:w="4421" w:type="dxa"/>
            <w:shd w:val="clear" w:color="auto" w:fill="auto"/>
          </w:tcPr>
          <w:p w14:paraId="55828DB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 </w:t>
            </w:r>
            <w:r w:rsidRPr="00D429B4">
              <w:rPr>
                <w:rFonts w:ascii="Verdana" w:hAnsi="Verdana"/>
                <w:sz w:val="16"/>
                <w:szCs w:val="16"/>
                <w:lang w:val="en-US"/>
              </w:rPr>
              <w:t>Production control.</w:t>
            </w:r>
          </w:p>
        </w:tc>
      </w:tr>
      <w:tr w:rsidR="00CD67E0" w:rsidRPr="00861FCE" w14:paraId="20CBD8A9" w14:textId="77777777" w:rsidTr="00335F65">
        <w:tc>
          <w:tcPr>
            <w:tcW w:w="4421" w:type="dxa"/>
          </w:tcPr>
          <w:p w14:paraId="112A105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10.6.5.2.1 </w:t>
            </w:r>
            <w:r w:rsidRPr="00D429B4">
              <w:rPr>
                <w:rFonts w:ascii="Verdana" w:hAnsi="Verdana"/>
                <w:sz w:val="16"/>
                <w:szCs w:val="16"/>
                <w:lang w:val="es-MX"/>
              </w:rPr>
              <w:t>Transferencia y entrega de gas medicinal a granel.</w:t>
            </w:r>
          </w:p>
        </w:tc>
        <w:tc>
          <w:tcPr>
            <w:tcW w:w="4421" w:type="dxa"/>
            <w:shd w:val="clear" w:color="auto" w:fill="auto"/>
          </w:tcPr>
          <w:p w14:paraId="15C0CED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10.6.5.2.1 </w:t>
            </w:r>
            <w:r w:rsidRPr="00D429B4">
              <w:rPr>
                <w:rFonts w:ascii="Verdana" w:hAnsi="Verdana"/>
                <w:sz w:val="16"/>
                <w:szCs w:val="16"/>
                <w:lang w:val="en-US"/>
              </w:rPr>
              <w:t>Transfer and delivery of bulk medicinal gas.</w:t>
            </w:r>
          </w:p>
        </w:tc>
      </w:tr>
      <w:tr w:rsidR="00CD67E0" w:rsidRPr="00861FCE" w14:paraId="2B03E9F7" w14:textId="77777777" w:rsidTr="00335F65">
        <w:tc>
          <w:tcPr>
            <w:tcW w:w="4421" w:type="dxa"/>
          </w:tcPr>
          <w:p w14:paraId="47439AF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10.6.5.2.1.1</w:t>
            </w:r>
            <w:r w:rsidRPr="00D429B4">
              <w:rPr>
                <w:rFonts w:ascii="Verdana" w:hAnsi="Verdana"/>
                <w:sz w:val="16"/>
                <w:szCs w:val="16"/>
                <w:lang w:val="es-MX"/>
              </w:rPr>
              <w:t xml:space="preserve"> Se debe validar la transferencia de gas medicinal a granel de los tanques de almacenamiento primario para evitar la contaminación cruzada. Las líneas de transferencia deben estar equipadas con válvulas que eviten el retorno de los gases. Las conexiones flexibles, mangueras y conectores deben tratarse mediante purga o venteo y barrido.</w:t>
            </w:r>
          </w:p>
        </w:tc>
        <w:tc>
          <w:tcPr>
            <w:tcW w:w="4421" w:type="dxa"/>
            <w:shd w:val="clear" w:color="auto" w:fill="auto"/>
          </w:tcPr>
          <w:p w14:paraId="079CF231"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10.6.5.2.1.1 </w:t>
            </w:r>
            <w:r w:rsidRPr="00D429B4">
              <w:rPr>
                <w:rFonts w:ascii="Verdana" w:hAnsi="Verdana"/>
                <w:sz w:val="16"/>
                <w:szCs w:val="16"/>
                <w:lang w:val="en-US"/>
              </w:rPr>
              <w:t xml:space="preserve">The transfer of medicinal bulk gas from the primary storage tanks must be validated in order to avoid cross contamination. The transference lines must be equipped with valves that avoid the return of gases. The flexible connections, hoses and connectors must be treated through purging or venting and clearing. </w:t>
            </w:r>
          </w:p>
        </w:tc>
      </w:tr>
      <w:tr w:rsidR="00CD67E0" w:rsidRPr="00861FCE" w14:paraId="50622F5E" w14:textId="77777777" w:rsidTr="00335F65">
        <w:tc>
          <w:tcPr>
            <w:tcW w:w="4421" w:type="dxa"/>
          </w:tcPr>
          <w:p w14:paraId="503369F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10.6.5.2.1.2</w:t>
            </w:r>
            <w:r w:rsidRPr="00D429B4">
              <w:rPr>
                <w:rFonts w:ascii="Verdana" w:hAnsi="Verdana"/>
                <w:sz w:val="16"/>
                <w:szCs w:val="16"/>
                <w:lang w:val="es-MX"/>
              </w:rPr>
              <w:t xml:space="preserve"> Las mangueras y conexiones utilizadas para la transferencia de gases deben ser específicas por cada tipo de gas y deberán contar con tapa protectora mientras no estén en uso.</w:t>
            </w:r>
          </w:p>
        </w:tc>
        <w:tc>
          <w:tcPr>
            <w:tcW w:w="4421" w:type="dxa"/>
            <w:shd w:val="clear" w:color="auto" w:fill="auto"/>
          </w:tcPr>
          <w:p w14:paraId="5F76172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10.6.5.2.1.2 </w:t>
            </w:r>
            <w:r w:rsidRPr="00D429B4">
              <w:rPr>
                <w:rFonts w:ascii="Verdana" w:hAnsi="Verdana"/>
                <w:sz w:val="16"/>
                <w:szCs w:val="16"/>
                <w:lang w:val="en-US"/>
              </w:rPr>
              <w:t xml:space="preserve">The gases and connections used for the transfer of gases must be must be specific for each type of gas and must have protective covers while not in use. </w:t>
            </w:r>
          </w:p>
        </w:tc>
      </w:tr>
      <w:tr w:rsidR="00CD67E0" w:rsidRPr="00861FCE" w14:paraId="7F2554DA" w14:textId="77777777" w:rsidTr="00335F65">
        <w:tc>
          <w:tcPr>
            <w:tcW w:w="4421" w:type="dxa"/>
          </w:tcPr>
          <w:p w14:paraId="61C015F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10.6.5.2.1.3</w:t>
            </w:r>
            <w:r w:rsidRPr="00D429B4">
              <w:rPr>
                <w:rFonts w:ascii="Verdana" w:hAnsi="Verdana"/>
                <w:sz w:val="16"/>
                <w:szCs w:val="16"/>
                <w:lang w:val="es-MX"/>
              </w:rPr>
              <w:t xml:space="preserve"> Cuando se utilicen adaptadores para la conexión de tanques cisterna, deberán ser dedicados para cada tipo de gas.</w:t>
            </w:r>
          </w:p>
        </w:tc>
        <w:tc>
          <w:tcPr>
            <w:tcW w:w="4421" w:type="dxa"/>
            <w:shd w:val="clear" w:color="auto" w:fill="auto"/>
          </w:tcPr>
          <w:p w14:paraId="2116B4D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10.6.5.2.1.3 </w:t>
            </w:r>
            <w:r w:rsidRPr="00D429B4">
              <w:rPr>
                <w:rFonts w:ascii="Verdana" w:hAnsi="Verdana"/>
                <w:sz w:val="16"/>
                <w:szCs w:val="16"/>
                <w:lang w:val="en-US"/>
              </w:rPr>
              <w:t xml:space="preserve">When adaptors for the connection of cisterns are used, they must be designated for each type of gas. </w:t>
            </w:r>
          </w:p>
        </w:tc>
      </w:tr>
      <w:tr w:rsidR="00CD67E0" w:rsidRPr="00861FCE" w14:paraId="3059846E" w14:textId="77777777" w:rsidTr="00335F65">
        <w:tc>
          <w:tcPr>
            <w:tcW w:w="4421" w:type="dxa"/>
          </w:tcPr>
          <w:p w14:paraId="563535D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10.6.5.2.1.3.1 </w:t>
            </w:r>
            <w:r w:rsidRPr="00D429B4">
              <w:rPr>
                <w:rFonts w:ascii="Verdana" w:hAnsi="Verdana"/>
                <w:sz w:val="16"/>
                <w:szCs w:val="16"/>
                <w:lang w:val="es-MX"/>
              </w:rPr>
              <w:t>Los gases medicinales a granel pueden ser almacenados en el mismo tanque de almacenaje de gases no medicinales siempre y cuando la calidad del gas no medicinal sea por lo menos igual a aquélla de los gases medicinales.</w:t>
            </w:r>
          </w:p>
        </w:tc>
        <w:tc>
          <w:tcPr>
            <w:tcW w:w="4421" w:type="dxa"/>
            <w:shd w:val="clear" w:color="auto" w:fill="auto"/>
          </w:tcPr>
          <w:p w14:paraId="525F62A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10.6.5.2.1.3.1</w:t>
            </w:r>
            <w:r w:rsidRPr="00D429B4">
              <w:rPr>
                <w:rFonts w:ascii="Verdana" w:hAnsi="Verdana"/>
                <w:sz w:val="16"/>
                <w:szCs w:val="16"/>
                <w:lang w:val="en-US"/>
              </w:rPr>
              <w:t xml:space="preserve"> The bulk medicinal gases can be stored in the same storage tank of nonmedicinal gases, provided the quality of the nonmedicinal gas is at least equal to that of the medicinal gases. </w:t>
            </w:r>
          </w:p>
        </w:tc>
      </w:tr>
      <w:tr w:rsidR="00CD67E0" w:rsidRPr="00861FCE" w14:paraId="31B70FE9" w14:textId="77777777" w:rsidTr="00335F65">
        <w:tc>
          <w:tcPr>
            <w:tcW w:w="4421" w:type="dxa"/>
          </w:tcPr>
          <w:p w14:paraId="753A33E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10.6.5.2.2 </w:t>
            </w:r>
            <w:r w:rsidRPr="00D429B4">
              <w:rPr>
                <w:rFonts w:ascii="Verdana" w:hAnsi="Verdana"/>
                <w:sz w:val="16"/>
                <w:szCs w:val="16"/>
                <w:lang w:val="es-MX"/>
              </w:rPr>
              <w:t>Llenado de contenedores de gases medicinales y etiquetado de cilindros y termos (dewar).</w:t>
            </w:r>
          </w:p>
        </w:tc>
        <w:tc>
          <w:tcPr>
            <w:tcW w:w="4421" w:type="dxa"/>
            <w:shd w:val="clear" w:color="auto" w:fill="auto"/>
          </w:tcPr>
          <w:p w14:paraId="54E6B4E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 </w:t>
            </w:r>
            <w:r w:rsidRPr="00D429B4">
              <w:rPr>
                <w:rFonts w:ascii="Verdana" w:hAnsi="Verdana"/>
                <w:sz w:val="16"/>
                <w:szCs w:val="16"/>
                <w:lang w:val="en-US"/>
              </w:rPr>
              <w:t xml:space="preserve">The filling of medicinal gas containers and labeling of cylinders and tanks. </w:t>
            </w:r>
          </w:p>
        </w:tc>
      </w:tr>
      <w:tr w:rsidR="00CD67E0" w:rsidRPr="00861FCE" w14:paraId="5ACF2383" w14:textId="77777777" w:rsidTr="00335F65">
        <w:tc>
          <w:tcPr>
            <w:tcW w:w="4421" w:type="dxa"/>
          </w:tcPr>
          <w:p w14:paraId="56EA192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10.6.5.2.2.1</w:t>
            </w:r>
            <w:r w:rsidRPr="00D429B4">
              <w:rPr>
                <w:rFonts w:ascii="Verdana" w:hAnsi="Verdana"/>
                <w:sz w:val="16"/>
                <w:szCs w:val="16"/>
                <w:lang w:val="es-MX"/>
              </w:rPr>
              <w:t xml:space="preserve"> Se debe determinar el lote o lotes de gas antes del llenado y éste debe estar aprobado </w:t>
            </w:r>
            <w:r w:rsidRPr="00D429B4">
              <w:rPr>
                <w:rFonts w:ascii="Verdana" w:hAnsi="Verdana"/>
                <w:sz w:val="16"/>
                <w:szCs w:val="16"/>
                <w:lang w:val="es-MX"/>
              </w:rPr>
              <w:lastRenderedPageBreak/>
              <w:t>previo a su uso. El número de lote del gas se definirá por la operación de llenado.</w:t>
            </w:r>
          </w:p>
        </w:tc>
        <w:tc>
          <w:tcPr>
            <w:tcW w:w="4421" w:type="dxa"/>
            <w:shd w:val="clear" w:color="auto" w:fill="auto"/>
          </w:tcPr>
          <w:p w14:paraId="6DD3361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10.6.5.2.2.1 </w:t>
            </w:r>
            <w:r w:rsidRPr="00D429B4">
              <w:rPr>
                <w:rFonts w:ascii="Verdana" w:hAnsi="Verdana"/>
                <w:sz w:val="16"/>
                <w:szCs w:val="16"/>
                <w:lang w:val="en-US"/>
              </w:rPr>
              <w:t xml:space="preserve">The lot or gas lots must be determined before filling and it must be approved prior to their </w:t>
            </w:r>
            <w:r w:rsidRPr="00D429B4">
              <w:rPr>
                <w:rFonts w:ascii="Verdana" w:hAnsi="Verdana"/>
                <w:sz w:val="16"/>
                <w:szCs w:val="16"/>
                <w:lang w:val="en-US"/>
              </w:rPr>
              <w:lastRenderedPageBreak/>
              <w:t>use. The number of the gas lot will be defined by the filling operation.</w:t>
            </w:r>
          </w:p>
        </w:tc>
      </w:tr>
      <w:tr w:rsidR="00CD67E0" w:rsidRPr="00861FCE" w14:paraId="7D7089B1" w14:textId="77777777" w:rsidTr="00335F65">
        <w:tc>
          <w:tcPr>
            <w:tcW w:w="4421" w:type="dxa"/>
          </w:tcPr>
          <w:p w14:paraId="57924EE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10.6.5.2.2.2 </w:t>
            </w:r>
            <w:r w:rsidRPr="00D429B4">
              <w:rPr>
                <w:rFonts w:ascii="Verdana" w:hAnsi="Verdana"/>
                <w:sz w:val="16"/>
                <w:szCs w:val="16"/>
                <w:lang w:val="es-MX"/>
              </w:rPr>
              <w:t>Para el proceso de producción continuo se deben instalar controles en proceso que aseguren que el gas cumple las especificaciones durante todo el proceso de llenado.</w:t>
            </w:r>
          </w:p>
        </w:tc>
        <w:tc>
          <w:tcPr>
            <w:tcW w:w="4421" w:type="dxa"/>
            <w:shd w:val="clear" w:color="auto" w:fill="auto"/>
          </w:tcPr>
          <w:p w14:paraId="22E9C67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10.6.5.2.2.2 </w:t>
            </w:r>
            <w:r w:rsidRPr="00D429B4">
              <w:rPr>
                <w:rFonts w:ascii="Verdana" w:hAnsi="Verdana"/>
                <w:sz w:val="16"/>
                <w:szCs w:val="16"/>
                <w:lang w:val="en-US"/>
              </w:rPr>
              <w:t>Controls to assure that the gas complies with the specification throughout the filling process must be installed for the continuous production process.</w:t>
            </w:r>
          </w:p>
        </w:tc>
      </w:tr>
      <w:tr w:rsidR="00CD67E0" w:rsidRPr="00861FCE" w14:paraId="794CBD49" w14:textId="77777777" w:rsidTr="00335F65">
        <w:tc>
          <w:tcPr>
            <w:tcW w:w="4421" w:type="dxa"/>
          </w:tcPr>
          <w:p w14:paraId="615F34C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10.6.5.2.2.3 </w:t>
            </w:r>
            <w:r w:rsidRPr="00D429B4">
              <w:rPr>
                <w:rFonts w:ascii="Verdana" w:hAnsi="Verdana"/>
                <w:sz w:val="16"/>
                <w:szCs w:val="16"/>
                <w:lang w:val="es-MX"/>
              </w:rPr>
              <w:t>Los contenedores de gases medicinales incluyendo tanques cisterna deben ser de materiales de características conforme a las condiciones del Registro sanitario y éstos deben ser dedicados por tipo de gas o mezcla de gases.</w:t>
            </w:r>
          </w:p>
        </w:tc>
        <w:tc>
          <w:tcPr>
            <w:tcW w:w="4421" w:type="dxa"/>
            <w:shd w:val="clear" w:color="auto" w:fill="auto"/>
          </w:tcPr>
          <w:p w14:paraId="1C796CB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10.6.5.2.2.3 </w:t>
            </w:r>
            <w:r w:rsidRPr="00D429B4">
              <w:rPr>
                <w:rFonts w:ascii="Verdana" w:hAnsi="Verdana"/>
                <w:sz w:val="16"/>
                <w:szCs w:val="16"/>
                <w:lang w:val="en-US"/>
              </w:rPr>
              <w:t xml:space="preserve">The containers of medicinal gases including cistern tanks must be of materials with characteristics according to the conditions of Sanitary Registration and they must be designated for the type of gas or mixture of gases. </w:t>
            </w:r>
          </w:p>
        </w:tc>
      </w:tr>
      <w:tr w:rsidR="00CD67E0" w:rsidRPr="00861FCE" w14:paraId="5FAF46A6" w14:textId="77777777" w:rsidTr="00335F65">
        <w:tc>
          <w:tcPr>
            <w:tcW w:w="4421" w:type="dxa"/>
          </w:tcPr>
          <w:p w14:paraId="10068FA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10.6.5.2.2.4 </w:t>
            </w:r>
            <w:r w:rsidRPr="00D429B4">
              <w:rPr>
                <w:rFonts w:ascii="Verdana" w:hAnsi="Verdana"/>
                <w:sz w:val="16"/>
                <w:szCs w:val="16"/>
                <w:lang w:val="es-MX"/>
              </w:rPr>
              <w:t>Para el control de los cilindros y termos (dewar), se debe utilizar un código de colores en concordancia con lo establecido en la FEUM.</w:t>
            </w:r>
          </w:p>
        </w:tc>
        <w:tc>
          <w:tcPr>
            <w:tcW w:w="4421" w:type="dxa"/>
            <w:shd w:val="clear" w:color="auto" w:fill="auto"/>
          </w:tcPr>
          <w:p w14:paraId="66C2F14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10.6.5.2.2.4 </w:t>
            </w:r>
            <w:r w:rsidRPr="00D429B4">
              <w:rPr>
                <w:rFonts w:ascii="Verdana" w:hAnsi="Verdana"/>
                <w:sz w:val="16"/>
                <w:szCs w:val="16"/>
                <w:lang w:val="en-US"/>
              </w:rPr>
              <w:t>For the control of cylinders and containers, a color code in accordance with that established by FEUM must be used.</w:t>
            </w:r>
          </w:p>
        </w:tc>
      </w:tr>
      <w:tr w:rsidR="00CD67E0" w:rsidRPr="00861FCE" w14:paraId="2233F32F" w14:textId="77777777" w:rsidTr="00335F65">
        <w:tc>
          <w:tcPr>
            <w:tcW w:w="4421" w:type="dxa"/>
          </w:tcPr>
          <w:p w14:paraId="623632E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10.6.5.2.2.5 </w:t>
            </w:r>
            <w:r w:rsidRPr="00D429B4">
              <w:rPr>
                <w:rFonts w:ascii="Verdana" w:hAnsi="Verdana"/>
                <w:sz w:val="16"/>
                <w:szCs w:val="16"/>
                <w:lang w:val="es-MX"/>
              </w:rPr>
              <w:t>Los cilindros, termos (dewar)</w:t>
            </w:r>
            <w:r w:rsidRPr="00D429B4">
              <w:rPr>
                <w:rFonts w:ascii="Verdana" w:hAnsi="Verdana"/>
                <w:b/>
                <w:sz w:val="16"/>
                <w:szCs w:val="16"/>
                <w:lang w:val="es-MX"/>
              </w:rPr>
              <w:t xml:space="preserve"> </w:t>
            </w:r>
            <w:r w:rsidRPr="00D429B4">
              <w:rPr>
                <w:rFonts w:ascii="Verdana" w:hAnsi="Verdana"/>
                <w:sz w:val="16"/>
                <w:szCs w:val="16"/>
                <w:lang w:val="es-MX"/>
              </w:rPr>
              <w:t>y válvulas deben ser revisados antes de utilizarlos en producción y previo al llenado para asegurar su correcto funcionamiento y que no cuenten con daños visibles o tengan contaminación de grasas o aceites, en caso de no cumplir con lo establecido, éstos deben ser identificados, separados y enviados a mantenimiento.</w:t>
            </w:r>
          </w:p>
        </w:tc>
        <w:tc>
          <w:tcPr>
            <w:tcW w:w="4421" w:type="dxa"/>
            <w:shd w:val="clear" w:color="auto" w:fill="auto"/>
          </w:tcPr>
          <w:p w14:paraId="544CD27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10.6.5.2.2.5 </w:t>
            </w:r>
            <w:r w:rsidRPr="00D429B4">
              <w:rPr>
                <w:rFonts w:ascii="Verdana" w:hAnsi="Verdana"/>
                <w:sz w:val="16"/>
                <w:szCs w:val="16"/>
                <w:lang w:val="en-US"/>
              </w:rPr>
              <w:t xml:space="preserve">Cylinders, containers and valves must be inspected before using them in production and prior to filling to assure their correct functioning and that do not have visible damages or have contamination of grease or oils in case of not complying with that established, they must be identified, separated and sent to maintenance. </w:t>
            </w:r>
          </w:p>
        </w:tc>
      </w:tr>
      <w:tr w:rsidR="00CD67E0" w:rsidRPr="00861FCE" w14:paraId="76A5EDC8" w14:textId="77777777" w:rsidTr="00335F65">
        <w:tc>
          <w:tcPr>
            <w:tcW w:w="4421" w:type="dxa"/>
          </w:tcPr>
          <w:p w14:paraId="3E05098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10.6.5.2.2.6</w:t>
            </w:r>
            <w:r w:rsidRPr="00D429B4">
              <w:rPr>
                <w:rFonts w:ascii="Verdana" w:hAnsi="Verdana"/>
                <w:sz w:val="16"/>
                <w:szCs w:val="16"/>
                <w:lang w:val="es-MX"/>
              </w:rPr>
              <w:t xml:space="preserve"> Las operaciones de control o de mantenimiento no deben afectar la producción de un gas medicinal o representar un riesgo para la calidad o seguridad de éste.</w:t>
            </w:r>
          </w:p>
        </w:tc>
        <w:tc>
          <w:tcPr>
            <w:tcW w:w="4421" w:type="dxa"/>
            <w:shd w:val="clear" w:color="auto" w:fill="auto"/>
          </w:tcPr>
          <w:p w14:paraId="624B1D0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10.6.5.2.2.6 </w:t>
            </w:r>
            <w:r w:rsidRPr="00D429B4">
              <w:rPr>
                <w:rFonts w:ascii="Verdana" w:hAnsi="Verdana"/>
                <w:sz w:val="16"/>
                <w:szCs w:val="16"/>
                <w:lang w:val="en-US"/>
              </w:rPr>
              <w:t>The control or maintenance operations must not affect the production of a medicinal gas or represent a risk for the quality or safety of the same.</w:t>
            </w:r>
          </w:p>
        </w:tc>
      </w:tr>
      <w:tr w:rsidR="00CD67E0" w:rsidRPr="00861FCE" w14:paraId="081A5E75" w14:textId="77777777" w:rsidTr="00335F65">
        <w:tc>
          <w:tcPr>
            <w:tcW w:w="4421" w:type="dxa"/>
          </w:tcPr>
          <w:p w14:paraId="56A01A1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10.6.5.2.2.7</w:t>
            </w:r>
            <w:r w:rsidRPr="00D429B4">
              <w:rPr>
                <w:rFonts w:ascii="Verdana" w:hAnsi="Verdana"/>
                <w:sz w:val="16"/>
                <w:szCs w:val="16"/>
                <w:lang w:val="es-MX"/>
              </w:rPr>
              <w:t xml:space="preserve"> El agua utilizada para la prueba de presión hidrostática aplicada en cilindros debe ser por lo menos de calidad potable.</w:t>
            </w:r>
          </w:p>
        </w:tc>
        <w:tc>
          <w:tcPr>
            <w:tcW w:w="4421" w:type="dxa"/>
            <w:shd w:val="clear" w:color="auto" w:fill="auto"/>
          </w:tcPr>
          <w:p w14:paraId="5716287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10.6.5.2.2.7 </w:t>
            </w:r>
            <w:r w:rsidRPr="00D429B4">
              <w:rPr>
                <w:rFonts w:ascii="Verdana" w:hAnsi="Verdana"/>
                <w:sz w:val="16"/>
                <w:szCs w:val="16"/>
                <w:lang w:val="en-US"/>
              </w:rPr>
              <w:t xml:space="preserve">The water used for the testing of hydrostatic pressure applied in cylinders must be of potable quality. </w:t>
            </w:r>
          </w:p>
        </w:tc>
      </w:tr>
      <w:tr w:rsidR="00CD67E0" w:rsidRPr="00861FCE" w14:paraId="3EC3A4E7" w14:textId="77777777" w:rsidTr="00335F65">
        <w:tc>
          <w:tcPr>
            <w:tcW w:w="4421" w:type="dxa"/>
          </w:tcPr>
          <w:p w14:paraId="76A6551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10.6.5.2.2.8</w:t>
            </w:r>
            <w:r w:rsidRPr="00D429B4">
              <w:rPr>
                <w:rFonts w:ascii="Verdana" w:hAnsi="Verdana"/>
                <w:sz w:val="16"/>
                <w:szCs w:val="16"/>
                <w:lang w:val="es-MX"/>
              </w:rPr>
              <w:t xml:space="preserve"> Las operaciones de control o mantenimiento de los cilindros deben incluir una inspección visual interna y un proceso de secado antes de colocar la válvula para prevenir la contaminación con agua u otros contaminantes.</w:t>
            </w:r>
          </w:p>
        </w:tc>
        <w:tc>
          <w:tcPr>
            <w:tcW w:w="4421" w:type="dxa"/>
            <w:shd w:val="clear" w:color="auto" w:fill="auto"/>
          </w:tcPr>
          <w:p w14:paraId="661B421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10.6.5.2.2.8 </w:t>
            </w:r>
            <w:r w:rsidRPr="00D429B4">
              <w:rPr>
                <w:rFonts w:ascii="Verdana" w:hAnsi="Verdana"/>
                <w:sz w:val="16"/>
                <w:szCs w:val="16"/>
                <w:lang w:val="en-US"/>
              </w:rPr>
              <w:t>The control or maintenance operations of the cylinders must include an internal visual inspection and a drying process before placing the valve in order to prevent contamination with water or other contaminants.</w:t>
            </w:r>
          </w:p>
        </w:tc>
      </w:tr>
      <w:tr w:rsidR="00CD67E0" w:rsidRPr="00861FCE" w14:paraId="1AD6AAF3" w14:textId="77777777" w:rsidTr="00335F65">
        <w:tc>
          <w:tcPr>
            <w:tcW w:w="4421" w:type="dxa"/>
          </w:tcPr>
          <w:p w14:paraId="729A1A5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10.6.5.2.2.9</w:t>
            </w:r>
            <w:r w:rsidRPr="00D429B4">
              <w:rPr>
                <w:rFonts w:ascii="Verdana" w:hAnsi="Verdana"/>
                <w:sz w:val="16"/>
                <w:szCs w:val="16"/>
                <w:lang w:val="es-MX"/>
              </w:rPr>
              <w:t xml:space="preserve"> Después de la instalación de cada válvula ésta debe mantenerse cerrada para evitar la contaminación del cilindro.</w:t>
            </w:r>
          </w:p>
        </w:tc>
        <w:tc>
          <w:tcPr>
            <w:tcW w:w="4421" w:type="dxa"/>
            <w:shd w:val="clear" w:color="auto" w:fill="auto"/>
          </w:tcPr>
          <w:p w14:paraId="1CF269E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10.6.5.2.2.9 </w:t>
            </w:r>
            <w:r w:rsidRPr="00D429B4">
              <w:rPr>
                <w:rFonts w:ascii="Verdana" w:hAnsi="Verdana"/>
                <w:sz w:val="16"/>
                <w:szCs w:val="16"/>
                <w:lang w:val="en-US"/>
              </w:rPr>
              <w:t>After the installation of each valve, it must be maintained closed to avoid the contamination of the cylinder.</w:t>
            </w:r>
          </w:p>
        </w:tc>
      </w:tr>
      <w:tr w:rsidR="00CD67E0" w:rsidRPr="00861FCE" w14:paraId="7FA89690" w14:textId="77777777" w:rsidTr="00335F65">
        <w:tc>
          <w:tcPr>
            <w:tcW w:w="4421" w:type="dxa"/>
          </w:tcPr>
          <w:p w14:paraId="3868FDC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10.6.5.2.2.10 </w:t>
            </w:r>
            <w:r w:rsidRPr="00D429B4">
              <w:rPr>
                <w:rFonts w:ascii="Verdana" w:hAnsi="Verdana"/>
                <w:sz w:val="16"/>
                <w:szCs w:val="16"/>
                <w:lang w:val="es-MX"/>
              </w:rPr>
              <w:t>Debe establecerse un sistema que asegure la trazabilidad de los contenedores de gases medicinales incluyendo tanques cisterna.</w:t>
            </w:r>
          </w:p>
        </w:tc>
        <w:tc>
          <w:tcPr>
            <w:tcW w:w="4421" w:type="dxa"/>
            <w:shd w:val="clear" w:color="auto" w:fill="auto"/>
          </w:tcPr>
          <w:p w14:paraId="2EDD6CE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10.6.5.2.2.10 </w:t>
            </w:r>
            <w:r w:rsidRPr="00D429B4">
              <w:rPr>
                <w:rFonts w:ascii="Verdana" w:hAnsi="Verdana"/>
                <w:sz w:val="16"/>
                <w:szCs w:val="16"/>
                <w:lang w:val="en-US"/>
              </w:rPr>
              <w:t>A system that assures traceability of the containers of medicinal gases including cistern tanks must be established.</w:t>
            </w:r>
          </w:p>
        </w:tc>
      </w:tr>
      <w:tr w:rsidR="00CD67E0" w:rsidRPr="00861FCE" w14:paraId="1924840A" w14:textId="77777777" w:rsidTr="00335F65">
        <w:tc>
          <w:tcPr>
            <w:tcW w:w="4421" w:type="dxa"/>
          </w:tcPr>
          <w:p w14:paraId="01A503A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10.6.5.2.2.11</w:t>
            </w:r>
            <w:r w:rsidRPr="00D429B4">
              <w:rPr>
                <w:rFonts w:ascii="Verdana" w:hAnsi="Verdana"/>
                <w:sz w:val="16"/>
                <w:szCs w:val="16"/>
                <w:lang w:val="es-MX"/>
              </w:rPr>
              <w:t xml:space="preserve"> Se deben establecer controles en los cilindros previos al llenado:</w:t>
            </w:r>
          </w:p>
        </w:tc>
        <w:tc>
          <w:tcPr>
            <w:tcW w:w="4421" w:type="dxa"/>
            <w:shd w:val="clear" w:color="auto" w:fill="auto"/>
          </w:tcPr>
          <w:p w14:paraId="328AFD4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10.6.5.2.2.11 </w:t>
            </w:r>
            <w:r w:rsidRPr="00D429B4">
              <w:rPr>
                <w:rFonts w:ascii="Verdana" w:hAnsi="Verdana"/>
                <w:sz w:val="16"/>
                <w:szCs w:val="16"/>
                <w:lang w:val="en-US"/>
              </w:rPr>
              <w:t>Controls must be established in cylinders prior to filling:</w:t>
            </w:r>
          </w:p>
        </w:tc>
      </w:tr>
      <w:tr w:rsidR="00CD67E0" w:rsidRPr="00861FCE" w14:paraId="5D409F51" w14:textId="77777777" w:rsidTr="00335F65">
        <w:tc>
          <w:tcPr>
            <w:tcW w:w="4421" w:type="dxa"/>
          </w:tcPr>
          <w:p w14:paraId="28EA256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10.6.5.2.2.12</w:t>
            </w:r>
            <w:r w:rsidRPr="00D429B4">
              <w:rPr>
                <w:rFonts w:ascii="Verdana" w:hAnsi="Verdana"/>
                <w:sz w:val="16"/>
                <w:szCs w:val="16"/>
                <w:lang w:val="es-MX"/>
              </w:rPr>
              <w:t xml:space="preserve"> La limpieza de los cilindros deben incluir métodos de vacío y purga validados.</w:t>
            </w:r>
          </w:p>
        </w:tc>
        <w:tc>
          <w:tcPr>
            <w:tcW w:w="4421" w:type="dxa"/>
            <w:shd w:val="clear" w:color="auto" w:fill="auto"/>
          </w:tcPr>
          <w:p w14:paraId="39AA81C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10.6.5.2.2.12 </w:t>
            </w:r>
            <w:r w:rsidRPr="00D429B4">
              <w:rPr>
                <w:rFonts w:ascii="Verdana" w:hAnsi="Verdana"/>
                <w:sz w:val="16"/>
                <w:szCs w:val="16"/>
                <w:lang w:val="en-US"/>
              </w:rPr>
              <w:t xml:space="preserve">The cleaning of the cylinders must include validated vacuum and purging methods. </w:t>
            </w:r>
          </w:p>
        </w:tc>
      </w:tr>
      <w:tr w:rsidR="00CD67E0" w:rsidRPr="00861FCE" w14:paraId="3E090D7A" w14:textId="77777777" w:rsidTr="00335F65">
        <w:tc>
          <w:tcPr>
            <w:tcW w:w="4421" w:type="dxa"/>
          </w:tcPr>
          <w:p w14:paraId="132CD2A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10.6.5.2.2.13 </w:t>
            </w:r>
            <w:r w:rsidRPr="00D429B4">
              <w:rPr>
                <w:rFonts w:ascii="Verdana" w:hAnsi="Verdana"/>
                <w:sz w:val="16"/>
                <w:szCs w:val="16"/>
                <w:lang w:val="es-MX"/>
              </w:rPr>
              <w:t>Se debe asegurar que las etiquetas de lotes anteriores fueron retiradas.</w:t>
            </w:r>
          </w:p>
        </w:tc>
        <w:tc>
          <w:tcPr>
            <w:tcW w:w="4421" w:type="dxa"/>
            <w:shd w:val="clear" w:color="auto" w:fill="auto"/>
          </w:tcPr>
          <w:p w14:paraId="399902B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10.6.5.2.2.13 </w:t>
            </w:r>
            <w:r w:rsidRPr="00D429B4">
              <w:rPr>
                <w:rFonts w:ascii="Verdana" w:hAnsi="Verdana"/>
                <w:sz w:val="16"/>
                <w:szCs w:val="16"/>
                <w:lang w:val="en-US"/>
              </w:rPr>
              <w:t xml:space="preserve">It must be assured that the labels of the previous lots were withdrawn. </w:t>
            </w:r>
          </w:p>
        </w:tc>
      </w:tr>
      <w:tr w:rsidR="00CD67E0" w:rsidRPr="00861FCE" w14:paraId="3711EC09" w14:textId="77777777" w:rsidTr="00335F65">
        <w:tc>
          <w:tcPr>
            <w:tcW w:w="4421" w:type="dxa"/>
          </w:tcPr>
          <w:p w14:paraId="7C56DE9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10.6.5.2.2.14</w:t>
            </w:r>
            <w:r w:rsidRPr="00D429B4">
              <w:rPr>
                <w:rFonts w:ascii="Verdana" w:hAnsi="Verdana"/>
                <w:sz w:val="16"/>
                <w:szCs w:val="16"/>
                <w:lang w:val="es-MX"/>
              </w:rPr>
              <w:t xml:space="preserve"> Se debe verificar que la conexión de acoplamiento del cilindro o termo (dewar) corresponde al tipo de gas a llenar conforme a la FEUM.</w:t>
            </w:r>
          </w:p>
        </w:tc>
        <w:tc>
          <w:tcPr>
            <w:tcW w:w="4421" w:type="dxa"/>
            <w:shd w:val="clear" w:color="auto" w:fill="auto"/>
          </w:tcPr>
          <w:p w14:paraId="2BA6BF9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10.6.5.2.2.14 </w:t>
            </w:r>
            <w:r w:rsidRPr="00D429B4">
              <w:rPr>
                <w:rFonts w:ascii="Verdana" w:hAnsi="Verdana"/>
                <w:sz w:val="16"/>
                <w:szCs w:val="16"/>
                <w:lang w:val="en-US"/>
              </w:rPr>
              <w:t>It must be verified that the coupling connection of the cylinder or tank corresponds to the type of gas to fill according to the FEUM (Pharmacopeia of the United Mexican States).</w:t>
            </w:r>
          </w:p>
        </w:tc>
      </w:tr>
      <w:tr w:rsidR="00CD67E0" w:rsidRPr="00861FCE" w14:paraId="23F4FBA9" w14:textId="77777777" w:rsidTr="00335F65">
        <w:tc>
          <w:tcPr>
            <w:tcW w:w="4421" w:type="dxa"/>
          </w:tcPr>
          <w:p w14:paraId="4598F4B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10.6.5.2.2.15 </w:t>
            </w:r>
            <w:r w:rsidRPr="00D429B4">
              <w:rPr>
                <w:rFonts w:ascii="Verdana" w:hAnsi="Verdana"/>
                <w:sz w:val="16"/>
                <w:szCs w:val="16"/>
                <w:lang w:val="es-MX"/>
              </w:rPr>
              <w:t>Se debe verificar que las válvulas utilizadas sean inspeccionadas previo y durante el llenado y esta actividad debe registrarse.</w:t>
            </w:r>
          </w:p>
        </w:tc>
        <w:tc>
          <w:tcPr>
            <w:tcW w:w="4421" w:type="dxa"/>
            <w:shd w:val="clear" w:color="auto" w:fill="auto"/>
          </w:tcPr>
          <w:p w14:paraId="17F16D2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10.6.5.2.2.15 </w:t>
            </w:r>
            <w:r w:rsidRPr="00D429B4">
              <w:rPr>
                <w:rFonts w:ascii="Verdana" w:hAnsi="Verdana"/>
                <w:sz w:val="16"/>
                <w:szCs w:val="16"/>
                <w:lang w:val="en-US"/>
              </w:rPr>
              <w:t xml:space="preserve">It must be verified that the valves used are inspected prior to and during the filling and this activity must be recorded. </w:t>
            </w:r>
          </w:p>
        </w:tc>
      </w:tr>
      <w:tr w:rsidR="00CD67E0" w:rsidRPr="00861FCE" w14:paraId="72877BE8" w14:textId="77777777" w:rsidTr="00335F65">
        <w:tc>
          <w:tcPr>
            <w:tcW w:w="4421" w:type="dxa"/>
          </w:tcPr>
          <w:p w14:paraId="0867465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10.6.5.2.2.16</w:t>
            </w:r>
            <w:r w:rsidRPr="00D429B4">
              <w:rPr>
                <w:rFonts w:ascii="Verdana" w:hAnsi="Verdana"/>
                <w:sz w:val="16"/>
                <w:szCs w:val="16"/>
                <w:lang w:val="es-MX"/>
              </w:rPr>
              <w:t xml:space="preserve"> Se debe verificar que los cilindros estén dentro del periodo de vigencia de su revisión periódica y que cumplen con lo establecido en la FEUM.</w:t>
            </w:r>
          </w:p>
        </w:tc>
        <w:tc>
          <w:tcPr>
            <w:tcW w:w="4421" w:type="dxa"/>
          </w:tcPr>
          <w:p w14:paraId="7D02E13A"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10.6.5.2.2.16 </w:t>
            </w:r>
            <w:r w:rsidRPr="00D429B4">
              <w:rPr>
                <w:rFonts w:ascii="Verdana" w:hAnsi="Verdana"/>
                <w:sz w:val="16"/>
                <w:szCs w:val="16"/>
                <w:lang w:val="en-US"/>
              </w:rPr>
              <w:t xml:space="preserve">It must be verified that cylinders are within the valid period of their periodic inspection and that they comply with that established in FEUM (Pharmacopeia of the United Mexican States). </w:t>
            </w:r>
          </w:p>
        </w:tc>
      </w:tr>
      <w:tr w:rsidR="00CD67E0" w:rsidRPr="00861FCE" w14:paraId="533561A2" w14:textId="77777777" w:rsidTr="00335F65">
        <w:tc>
          <w:tcPr>
            <w:tcW w:w="4421" w:type="dxa"/>
          </w:tcPr>
          <w:p w14:paraId="52A96DA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10.6.5.2.2.17</w:t>
            </w:r>
            <w:r w:rsidRPr="00D429B4">
              <w:rPr>
                <w:rFonts w:ascii="Verdana" w:hAnsi="Verdana"/>
                <w:sz w:val="16"/>
                <w:szCs w:val="16"/>
                <w:lang w:val="es-MX"/>
              </w:rPr>
              <w:t xml:space="preserve"> Se debe verificar que el código de color del cilindro corresponde a la especificada para el gas a llenar.</w:t>
            </w:r>
          </w:p>
        </w:tc>
        <w:tc>
          <w:tcPr>
            <w:tcW w:w="4421" w:type="dxa"/>
          </w:tcPr>
          <w:p w14:paraId="48DFF7E1"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10.6.5.2.2.17 </w:t>
            </w:r>
            <w:r w:rsidRPr="00D429B4">
              <w:rPr>
                <w:rFonts w:ascii="Verdana" w:hAnsi="Verdana"/>
                <w:sz w:val="16"/>
                <w:szCs w:val="16"/>
                <w:lang w:val="en-US"/>
              </w:rPr>
              <w:t>It must be verified that the color code of the cylinder corresponds to that specified for the gas to be filled.</w:t>
            </w:r>
          </w:p>
        </w:tc>
      </w:tr>
      <w:tr w:rsidR="00CD67E0" w:rsidRPr="00861FCE" w14:paraId="46CB6378" w14:textId="77777777" w:rsidTr="00335F65">
        <w:tc>
          <w:tcPr>
            <w:tcW w:w="4421" w:type="dxa"/>
          </w:tcPr>
          <w:p w14:paraId="41EF571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10.6.5.2.2.18 </w:t>
            </w:r>
            <w:r w:rsidRPr="00D429B4">
              <w:rPr>
                <w:rFonts w:ascii="Verdana" w:hAnsi="Verdana"/>
                <w:sz w:val="16"/>
                <w:szCs w:val="16"/>
                <w:lang w:val="es-MX"/>
              </w:rPr>
              <w:t>Debe realizarse un barrido o purga de línea antes del proceso de llenado.</w:t>
            </w:r>
          </w:p>
        </w:tc>
        <w:tc>
          <w:tcPr>
            <w:tcW w:w="4421" w:type="dxa"/>
          </w:tcPr>
          <w:p w14:paraId="15ED2C5B"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10.6.5.2.2.18 </w:t>
            </w:r>
            <w:r w:rsidRPr="00D429B4">
              <w:rPr>
                <w:rFonts w:ascii="Verdana" w:hAnsi="Verdana"/>
                <w:sz w:val="16"/>
                <w:szCs w:val="16"/>
                <w:lang w:val="en-US"/>
              </w:rPr>
              <w:t>A clearing or purging of the line must be performed before the filling process.</w:t>
            </w:r>
          </w:p>
        </w:tc>
      </w:tr>
      <w:tr w:rsidR="00CD67E0" w:rsidRPr="009928F7" w14:paraId="6CEAAE19" w14:textId="77777777" w:rsidTr="00335F65">
        <w:tc>
          <w:tcPr>
            <w:tcW w:w="4421" w:type="dxa"/>
          </w:tcPr>
          <w:p w14:paraId="03B3C63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10.6.5.2.2.19</w:t>
            </w:r>
            <w:r w:rsidRPr="00D429B4">
              <w:rPr>
                <w:rFonts w:ascii="Verdana" w:hAnsi="Verdana"/>
                <w:sz w:val="16"/>
                <w:szCs w:val="16"/>
                <w:lang w:val="es-MX"/>
              </w:rPr>
              <w:t xml:space="preserve"> Se debe implementar un sistema para prevenir riesgos de contaminación cruzada en los cilindros vacíos para un nuevo llenado. Este sistema debe validarse.</w:t>
            </w:r>
          </w:p>
        </w:tc>
        <w:tc>
          <w:tcPr>
            <w:tcW w:w="4421" w:type="dxa"/>
          </w:tcPr>
          <w:p w14:paraId="22C7FABB"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10.6.5.2.2.19 </w:t>
            </w:r>
            <w:r w:rsidRPr="00D429B4">
              <w:rPr>
                <w:rFonts w:ascii="Verdana" w:hAnsi="Verdana"/>
                <w:sz w:val="16"/>
                <w:szCs w:val="16"/>
                <w:lang w:val="en-US"/>
              </w:rPr>
              <w:t>A system to prevent risk of cross contamination in empty cylinders for new filling must be implemented. This system must be validated.</w:t>
            </w:r>
          </w:p>
        </w:tc>
      </w:tr>
      <w:tr w:rsidR="00CD67E0" w:rsidRPr="00861FCE" w14:paraId="7E3EEA67" w14:textId="77777777" w:rsidTr="00335F65">
        <w:tc>
          <w:tcPr>
            <w:tcW w:w="4421" w:type="dxa"/>
          </w:tcPr>
          <w:p w14:paraId="0225F0F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10.6.5.2.2.20</w:t>
            </w:r>
            <w:r w:rsidRPr="00D429B4">
              <w:rPr>
                <w:rFonts w:ascii="Verdana" w:hAnsi="Verdana"/>
                <w:sz w:val="16"/>
                <w:szCs w:val="16"/>
                <w:lang w:val="es-MX"/>
              </w:rPr>
              <w:t xml:space="preserve"> Se deben establecer los controles en proceso para asegurar el correcto llenado de los cilindros o envases criogénicos.</w:t>
            </w:r>
          </w:p>
        </w:tc>
        <w:tc>
          <w:tcPr>
            <w:tcW w:w="4421" w:type="dxa"/>
          </w:tcPr>
          <w:p w14:paraId="04990AC5"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10.6.5.2.2.20 </w:t>
            </w:r>
            <w:r w:rsidRPr="00D429B4">
              <w:rPr>
                <w:rFonts w:ascii="Verdana" w:hAnsi="Verdana"/>
                <w:sz w:val="16"/>
                <w:szCs w:val="16"/>
                <w:lang w:val="en-US"/>
              </w:rPr>
              <w:t>Process controls to assure proper filling of the cryogenic cylinders or containers must be established.</w:t>
            </w:r>
          </w:p>
        </w:tc>
      </w:tr>
      <w:tr w:rsidR="00CD67E0" w:rsidRPr="00861FCE" w14:paraId="4B622F5E" w14:textId="77777777" w:rsidTr="00335F65">
        <w:tc>
          <w:tcPr>
            <w:tcW w:w="4421" w:type="dxa"/>
          </w:tcPr>
          <w:p w14:paraId="4EB3632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10.6.5.2.2.21</w:t>
            </w:r>
            <w:r w:rsidRPr="00D429B4">
              <w:rPr>
                <w:rFonts w:ascii="Verdana" w:hAnsi="Verdana"/>
                <w:sz w:val="16"/>
                <w:szCs w:val="16"/>
                <w:lang w:val="es-MX"/>
              </w:rPr>
              <w:t xml:space="preserve"> Se debe realizar la prueba de fuga por un método validado a cada cilindro y termo (dewar) lleno antes de colocar un sello de garantía.</w:t>
            </w:r>
          </w:p>
        </w:tc>
        <w:tc>
          <w:tcPr>
            <w:tcW w:w="4421" w:type="dxa"/>
            <w:shd w:val="clear" w:color="auto" w:fill="auto"/>
          </w:tcPr>
          <w:p w14:paraId="52EF8F8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10.6.5.2.2.21 </w:t>
            </w:r>
            <w:r w:rsidRPr="00D429B4">
              <w:rPr>
                <w:rFonts w:ascii="Verdana" w:hAnsi="Verdana"/>
                <w:sz w:val="16"/>
                <w:szCs w:val="16"/>
                <w:lang w:val="en-US"/>
              </w:rPr>
              <w:t>The leakage test must be performed by a validated method on each cylinder and tank before placing a security seal.</w:t>
            </w:r>
          </w:p>
        </w:tc>
      </w:tr>
      <w:tr w:rsidR="00CD67E0" w:rsidRPr="00861FCE" w14:paraId="469F0DDF" w14:textId="77777777" w:rsidTr="00335F65">
        <w:tc>
          <w:tcPr>
            <w:tcW w:w="4421" w:type="dxa"/>
          </w:tcPr>
          <w:p w14:paraId="10C0169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10.6.5.2.2.22</w:t>
            </w:r>
            <w:r w:rsidRPr="00D429B4">
              <w:rPr>
                <w:rFonts w:ascii="Verdana" w:hAnsi="Verdana"/>
                <w:sz w:val="16"/>
                <w:szCs w:val="16"/>
                <w:lang w:val="es-MX"/>
              </w:rPr>
              <w:t xml:space="preserve"> Se deben proteger las salidas de las válvulas de los cilindros y termos (dewar) y deben estar provistos de un sello de garantía.</w:t>
            </w:r>
          </w:p>
        </w:tc>
        <w:tc>
          <w:tcPr>
            <w:tcW w:w="4421" w:type="dxa"/>
            <w:shd w:val="clear" w:color="auto" w:fill="auto"/>
          </w:tcPr>
          <w:p w14:paraId="343093B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10.6.5.2.2.22 </w:t>
            </w:r>
            <w:r w:rsidRPr="00D429B4">
              <w:rPr>
                <w:rFonts w:ascii="Verdana" w:hAnsi="Verdana"/>
                <w:sz w:val="16"/>
                <w:szCs w:val="16"/>
                <w:lang w:val="en-US"/>
              </w:rPr>
              <w:t>The outputs of cylinder valves and tanks must be protected and must be provided with a security seal.</w:t>
            </w:r>
          </w:p>
        </w:tc>
      </w:tr>
      <w:tr w:rsidR="00CD67E0" w:rsidRPr="00861FCE" w14:paraId="3EEEFEB7" w14:textId="77777777" w:rsidTr="00335F65">
        <w:tc>
          <w:tcPr>
            <w:tcW w:w="4421" w:type="dxa"/>
          </w:tcPr>
          <w:p w14:paraId="5EE407A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10.6.5.2.2.23</w:t>
            </w:r>
            <w:r w:rsidRPr="00D429B4">
              <w:rPr>
                <w:rFonts w:ascii="Verdana" w:hAnsi="Verdana"/>
                <w:sz w:val="16"/>
                <w:szCs w:val="16"/>
                <w:lang w:val="es-MX"/>
              </w:rPr>
              <w:t xml:space="preserve"> Cada cilindro y envase criogénico debe ser etiquetado. El número de lote y la fecha de caducidad pueden estar en una etiqueta por separado.</w:t>
            </w:r>
          </w:p>
        </w:tc>
        <w:tc>
          <w:tcPr>
            <w:tcW w:w="4421" w:type="dxa"/>
            <w:shd w:val="clear" w:color="auto" w:fill="auto"/>
          </w:tcPr>
          <w:p w14:paraId="6D06F4EC"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10.6.5.2.2.23 </w:t>
            </w:r>
            <w:r w:rsidRPr="00D429B4">
              <w:rPr>
                <w:rFonts w:ascii="Verdana" w:hAnsi="Verdana"/>
                <w:sz w:val="16"/>
                <w:szCs w:val="16"/>
                <w:lang w:val="en-US"/>
              </w:rPr>
              <w:t>Each cryogenic cylinder and container must be labeled. The lot number and the expiration date may be on a separate label</w:t>
            </w:r>
            <w:r w:rsidRPr="00D429B4">
              <w:rPr>
                <w:rFonts w:ascii="Verdana" w:hAnsi="Verdana"/>
                <w:b/>
                <w:sz w:val="16"/>
                <w:szCs w:val="16"/>
                <w:lang w:val="en-US"/>
              </w:rPr>
              <w:t xml:space="preserve"> </w:t>
            </w:r>
          </w:p>
        </w:tc>
      </w:tr>
      <w:tr w:rsidR="00CD67E0" w:rsidRPr="00861FCE" w14:paraId="155A4CB9" w14:textId="77777777" w:rsidTr="00335F65">
        <w:tc>
          <w:tcPr>
            <w:tcW w:w="4421" w:type="dxa"/>
          </w:tcPr>
          <w:p w14:paraId="71AE8B6B" w14:textId="77777777" w:rsidR="00CD67E0" w:rsidRPr="00D429B4" w:rsidRDefault="00CD67E0" w:rsidP="00CD67E0">
            <w:pPr>
              <w:pStyle w:val="Texto"/>
              <w:spacing w:line="276" w:lineRule="auto"/>
              <w:ind w:firstLine="0"/>
              <w:rPr>
                <w:rFonts w:ascii="Verdana" w:hAnsi="Verdana"/>
                <w:strike/>
                <w:sz w:val="16"/>
                <w:szCs w:val="16"/>
                <w:lang w:val="es-MX"/>
              </w:rPr>
            </w:pPr>
            <w:r w:rsidRPr="00D429B4">
              <w:rPr>
                <w:rFonts w:ascii="Verdana" w:hAnsi="Verdana"/>
                <w:b/>
                <w:sz w:val="16"/>
                <w:szCs w:val="16"/>
                <w:lang w:val="es-MX"/>
              </w:rPr>
              <w:t>10.6.5.2.2.24</w:t>
            </w:r>
            <w:r w:rsidRPr="00D429B4">
              <w:rPr>
                <w:rFonts w:ascii="Verdana" w:hAnsi="Verdana"/>
                <w:sz w:val="16"/>
                <w:szCs w:val="16"/>
                <w:lang w:val="es-MX"/>
              </w:rPr>
              <w:t xml:space="preserve"> Debe validarse el proceso de mezclado de un gas medicinal producido por la composición de dos o más gases, ya sea en línea, antes del llenado o directamente dentro de los cilindros.</w:t>
            </w:r>
          </w:p>
        </w:tc>
        <w:tc>
          <w:tcPr>
            <w:tcW w:w="4421" w:type="dxa"/>
            <w:shd w:val="clear" w:color="auto" w:fill="auto"/>
          </w:tcPr>
          <w:p w14:paraId="50277903"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10.6.5.2.2.24 </w:t>
            </w:r>
            <w:r w:rsidRPr="00D429B4">
              <w:rPr>
                <w:rFonts w:ascii="Verdana" w:hAnsi="Verdana"/>
                <w:sz w:val="16"/>
                <w:szCs w:val="16"/>
                <w:lang w:val="en-US"/>
              </w:rPr>
              <w:t>The mixing process of a medicinal gas produced by the composition of two or more different gases, whether on the line, before filling into or directly within the cylinders.</w:t>
            </w:r>
          </w:p>
        </w:tc>
      </w:tr>
      <w:tr w:rsidR="00CD67E0" w:rsidRPr="00861FCE" w14:paraId="1E899273" w14:textId="77777777" w:rsidTr="00335F65">
        <w:tc>
          <w:tcPr>
            <w:tcW w:w="4421" w:type="dxa"/>
          </w:tcPr>
          <w:p w14:paraId="443E068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10.6.5.2.2.24.1</w:t>
            </w:r>
            <w:r w:rsidRPr="00D429B4">
              <w:rPr>
                <w:rFonts w:ascii="Verdana" w:hAnsi="Verdana"/>
                <w:sz w:val="16"/>
                <w:szCs w:val="16"/>
                <w:lang w:val="es-MX"/>
              </w:rPr>
              <w:t xml:space="preserve"> Cuando el llenado de mezclas sea de manera individual deberá analizarse cada cilindro.</w:t>
            </w:r>
          </w:p>
        </w:tc>
        <w:tc>
          <w:tcPr>
            <w:tcW w:w="4421" w:type="dxa"/>
            <w:shd w:val="clear" w:color="auto" w:fill="auto"/>
          </w:tcPr>
          <w:p w14:paraId="1A8C9700"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10.6.5.2.2.24.1 </w:t>
            </w:r>
            <w:r w:rsidRPr="00D429B4">
              <w:rPr>
                <w:rFonts w:ascii="Verdana" w:hAnsi="Verdana"/>
                <w:sz w:val="16"/>
                <w:szCs w:val="16"/>
                <w:lang w:val="en-US"/>
              </w:rPr>
              <w:t>When the filling of mixtures is done individually, each cylinder must be analyzed.</w:t>
            </w:r>
          </w:p>
        </w:tc>
      </w:tr>
      <w:tr w:rsidR="00CD67E0" w:rsidRPr="0012418F" w14:paraId="3B86EEBB" w14:textId="77777777" w:rsidTr="00335F65">
        <w:tc>
          <w:tcPr>
            <w:tcW w:w="4421" w:type="dxa"/>
          </w:tcPr>
          <w:p w14:paraId="1EC4092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10.6.5.2.2.25 </w:t>
            </w:r>
            <w:r w:rsidRPr="00D429B4">
              <w:rPr>
                <w:rFonts w:ascii="Verdana" w:hAnsi="Verdana"/>
                <w:sz w:val="16"/>
                <w:szCs w:val="16"/>
                <w:lang w:val="es-MX"/>
              </w:rPr>
              <w:t>Se deben tener especificaciones de diseño de las etiquetas de gases medicinales. Las etiquetas deben ser expedidas por personal autorizado.</w:t>
            </w:r>
          </w:p>
        </w:tc>
        <w:tc>
          <w:tcPr>
            <w:tcW w:w="4421" w:type="dxa"/>
            <w:shd w:val="clear" w:color="auto" w:fill="auto"/>
          </w:tcPr>
          <w:p w14:paraId="619F68D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10.6.5.2.2.25 </w:t>
            </w:r>
            <w:r w:rsidRPr="00D429B4">
              <w:rPr>
                <w:rFonts w:ascii="Verdana" w:hAnsi="Verdana"/>
                <w:sz w:val="16"/>
                <w:szCs w:val="16"/>
                <w:lang w:val="en-US"/>
              </w:rPr>
              <w:t>There must be design specifications for the labels of medicinal gases. Labels must be issued by authorized personnel.</w:t>
            </w:r>
          </w:p>
        </w:tc>
      </w:tr>
      <w:tr w:rsidR="00CD67E0" w:rsidRPr="00861FCE" w14:paraId="23B2DA59" w14:textId="77777777" w:rsidTr="00335F65">
        <w:tc>
          <w:tcPr>
            <w:tcW w:w="4421" w:type="dxa"/>
          </w:tcPr>
          <w:p w14:paraId="42814CD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10.6.5.2.2.26</w:t>
            </w:r>
            <w:r w:rsidRPr="00D429B4">
              <w:rPr>
                <w:rFonts w:ascii="Verdana" w:hAnsi="Verdana"/>
                <w:sz w:val="16"/>
                <w:szCs w:val="16"/>
                <w:lang w:val="es-MX"/>
              </w:rPr>
              <w:t xml:space="preserve"> El fabricante/envasador de gases medicinales, debe garantizar el contenido de los cilindros, cuando estos últimos son propiedad del cliente.</w:t>
            </w:r>
          </w:p>
        </w:tc>
        <w:tc>
          <w:tcPr>
            <w:tcW w:w="4421" w:type="dxa"/>
            <w:shd w:val="clear" w:color="auto" w:fill="auto"/>
          </w:tcPr>
          <w:p w14:paraId="756E4DF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10.6.5.2.2.26 </w:t>
            </w:r>
            <w:r w:rsidRPr="00D429B4">
              <w:rPr>
                <w:rFonts w:ascii="Verdana" w:hAnsi="Verdana"/>
                <w:sz w:val="16"/>
                <w:szCs w:val="16"/>
                <w:lang w:val="en-US"/>
              </w:rPr>
              <w:t>The manufacturer/packager of medicinal gases must assure the contents the cylinders when they are the property of the client.</w:t>
            </w:r>
          </w:p>
        </w:tc>
      </w:tr>
      <w:tr w:rsidR="00CD67E0" w:rsidRPr="00DD29AF" w14:paraId="31AD7F3A" w14:textId="77777777" w:rsidTr="00335F65">
        <w:tc>
          <w:tcPr>
            <w:tcW w:w="4421" w:type="dxa"/>
          </w:tcPr>
          <w:p w14:paraId="1F6F507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10.6.6</w:t>
            </w:r>
            <w:r w:rsidRPr="00D429B4">
              <w:rPr>
                <w:rFonts w:ascii="Verdana" w:hAnsi="Verdana"/>
                <w:sz w:val="16"/>
                <w:szCs w:val="16"/>
                <w:lang w:val="es-MX"/>
              </w:rPr>
              <w:t xml:space="preserve"> Distribución.</w:t>
            </w:r>
          </w:p>
        </w:tc>
        <w:tc>
          <w:tcPr>
            <w:tcW w:w="4421" w:type="dxa"/>
            <w:shd w:val="clear" w:color="auto" w:fill="auto"/>
          </w:tcPr>
          <w:p w14:paraId="0C6FA22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10.6.6 </w:t>
            </w:r>
            <w:r w:rsidRPr="00D429B4">
              <w:rPr>
                <w:rFonts w:ascii="Verdana" w:hAnsi="Verdana"/>
                <w:sz w:val="16"/>
                <w:szCs w:val="16"/>
                <w:lang w:val="en-US"/>
              </w:rPr>
              <w:t>Distribution.</w:t>
            </w:r>
          </w:p>
        </w:tc>
      </w:tr>
      <w:tr w:rsidR="00CD67E0" w:rsidRPr="00861FCE" w14:paraId="6B3479D1" w14:textId="77777777" w:rsidTr="00335F65">
        <w:tc>
          <w:tcPr>
            <w:tcW w:w="4421" w:type="dxa"/>
          </w:tcPr>
          <w:p w14:paraId="67F6969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10.6.6.1</w:t>
            </w:r>
            <w:r w:rsidRPr="00D429B4">
              <w:rPr>
                <w:rFonts w:ascii="Verdana" w:hAnsi="Verdana"/>
                <w:sz w:val="16"/>
                <w:szCs w:val="16"/>
                <w:lang w:val="es-MX"/>
              </w:rPr>
              <w:t xml:space="preserve"> Está permitido transportar gases medicinales en las mismas unidades de reparto en donde se encuentren cilindros o termos (dewar) gases industriales, siempre y cuando éstos se encuentren correctamente identificados.</w:t>
            </w:r>
          </w:p>
        </w:tc>
        <w:tc>
          <w:tcPr>
            <w:tcW w:w="4421" w:type="dxa"/>
            <w:shd w:val="clear" w:color="auto" w:fill="auto"/>
          </w:tcPr>
          <w:p w14:paraId="79FC9D8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10.6.6.1 </w:t>
            </w:r>
            <w:r w:rsidRPr="00D429B4">
              <w:rPr>
                <w:rFonts w:ascii="Verdana" w:hAnsi="Verdana"/>
                <w:sz w:val="16"/>
                <w:szCs w:val="16"/>
                <w:lang w:val="en-US"/>
              </w:rPr>
              <w:t>It is allowed to transport medicinal gases in the same delivery units where cylinders or thermal containers of industrial gases are found, provided they are correctly identified.</w:t>
            </w:r>
          </w:p>
        </w:tc>
      </w:tr>
      <w:tr w:rsidR="00CD67E0" w:rsidRPr="00861FCE" w14:paraId="0A247D77" w14:textId="77777777" w:rsidTr="00335F65">
        <w:tc>
          <w:tcPr>
            <w:tcW w:w="4421" w:type="dxa"/>
          </w:tcPr>
          <w:p w14:paraId="57323A3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10.6.6.2</w:t>
            </w:r>
            <w:r w:rsidRPr="00D429B4">
              <w:rPr>
                <w:rFonts w:ascii="Verdana" w:hAnsi="Verdana"/>
                <w:sz w:val="16"/>
                <w:szCs w:val="16"/>
                <w:lang w:val="es-MX"/>
              </w:rPr>
              <w:t xml:space="preserve"> Los cilindros o termos (dewar) de gas deberán estar protegidos durante el transporte, de modo que sean entregados a los clientes en un estado limpio compatible con el ambiente en el cual serán usados.</w:t>
            </w:r>
          </w:p>
        </w:tc>
        <w:tc>
          <w:tcPr>
            <w:tcW w:w="4421" w:type="dxa"/>
            <w:shd w:val="clear" w:color="auto" w:fill="auto"/>
          </w:tcPr>
          <w:p w14:paraId="3CF124FB"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10.6.6.2. </w:t>
            </w:r>
            <w:r w:rsidRPr="00D429B4">
              <w:rPr>
                <w:rFonts w:ascii="Verdana" w:hAnsi="Verdana"/>
                <w:sz w:val="16"/>
                <w:szCs w:val="16"/>
                <w:lang w:val="en-US"/>
              </w:rPr>
              <w:t>The thermal gas cylinders must be protected during transport, so they are to be delivered to customers in clean conditions compatible with the environment in which they will be used.</w:t>
            </w:r>
          </w:p>
        </w:tc>
      </w:tr>
      <w:tr w:rsidR="00CD67E0" w:rsidRPr="00861FCE" w14:paraId="1E7DEE05" w14:textId="77777777" w:rsidTr="00335F65">
        <w:tc>
          <w:tcPr>
            <w:tcW w:w="4421" w:type="dxa"/>
          </w:tcPr>
          <w:p w14:paraId="34EDEE4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10.6.6.3</w:t>
            </w:r>
            <w:r w:rsidRPr="00D429B4">
              <w:rPr>
                <w:rFonts w:ascii="Verdana" w:hAnsi="Verdana"/>
                <w:sz w:val="16"/>
                <w:szCs w:val="16"/>
                <w:lang w:val="es-MX"/>
              </w:rPr>
              <w:t xml:space="preserve"> Se debe contar con un sistema para el manejo de devoluciones que establezca la recepción, inspección, análisis si aplica, y dictamen para disposición final.</w:t>
            </w:r>
          </w:p>
        </w:tc>
        <w:tc>
          <w:tcPr>
            <w:tcW w:w="4421" w:type="dxa"/>
            <w:shd w:val="clear" w:color="auto" w:fill="auto"/>
          </w:tcPr>
          <w:p w14:paraId="26DA4460"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10.6.6.3 </w:t>
            </w:r>
            <w:r w:rsidRPr="00D429B4">
              <w:rPr>
                <w:rFonts w:ascii="Verdana" w:hAnsi="Verdana"/>
                <w:sz w:val="16"/>
                <w:szCs w:val="16"/>
                <w:lang w:val="en-US"/>
              </w:rPr>
              <w:t>There must be a system for the handling of returns which establishes the reception, inspection, analysis, if applicable, and the report for their final disposal.</w:t>
            </w:r>
          </w:p>
        </w:tc>
      </w:tr>
      <w:tr w:rsidR="00CD67E0" w:rsidRPr="00DD29AF" w14:paraId="56CB9FE0" w14:textId="77777777" w:rsidTr="00335F65">
        <w:tc>
          <w:tcPr>
            <w:tcW w:w="4421" w:type="dxa"/>
          </w:tcPr>
          <w:p w14:paraId="6020F2C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10.6.7</w:t>
            </w:r>
            <w:r w:rsidRPr="00D429B4">
              <w:rPr>
                <w:rFonts w:ascii="Verdana" w:hAnsi="Verdana"/>
                <w:sz w:val="16"/>
                <w:szCs w:val="16"/>
                <w:lang w:val="es-MX"/>
              </w:rPr>
              <w:t xml:space="preserve"> Control de calidad.</w:t>
            </w:r>
          </w:p>
        </w:tc>
        <w:tc>
          <w:tcPr>
            <w:tcW w:w="4421" w:type="dxa"/>
            <w:shd w:val="clear" w:color="auto" w:fill="auto"/>
          </w:tcPr>
          <w:p w14:paraId="6B0FC37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10.6.7 </w:t>
            </w:r>
            <w:r w:rsidRPr="00D429B4">
              <w:rPr>
                <w:rFonts w:ascii="Verdana" w:hAnsi="Verdana"/>
                <w:sz w:val="16"/>
                <w:szCs w:val="16"/>
                <w:lang w:val="en-US"/>
              </w:rPr>
              <w:t>Quality control.</w:t>
            </w:r>
          </w:p>
        </w:tc>
      </w:tr>
      <w:tr w:rsidR="00CD67E0" w:rsidRPr="00861FCE" w14:paraId="0DDC348F" w14:textId="77777777" w:rsidTr="00335F65">
        <w:tc>
          <w:tcPr>
            <w:tcW w:w="4421" w:type="dxa"/>
          </w:tcPr>
          <w:p w14:paraId="5CC12BD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10.6.7.1</w:t>
            </w:r>
            <w:r w:rsidRPr="00D429B4">
              <w:rPr>
                <w:rFonts w:ascii="Verdana" w:hAnsi="Verdana"/>
                <w:sz w:val="16"/>
                <w:szCs w:val="16"/>
                <w:lang w:val="es-MX"/>
              </w:rPr>
              <w:t xml:space="preserve"> Cada lote de gas medicinal debe ser analizado de acuerdo a la FEUM o a métodos validados del fabricante.</w:t>
            </w:r>
          </w:p>
        </w:tc>
        <w:tc>
          <w:tcPr>
            <w:tcW w:w="4421" w:type="dxa"/>
            <w:shd w:val="clear" w:color="auto" w:fill="auto"/>
          </w:tcPr>
          <w:p w14:paraId="79BAC9C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10.6.7.1 </w:t>
            </w:r>
            <w:r w:rsidRPr="00D429B4">
              <w:rPr>
                <w:rFonts w:ascii="Verdana" w:hAnsi="Verdana"/>
                <w:sz w:val="16"/>
                <w:szCs w:val="16"/>
                <w:lang w:val="en-US"/>
              </w:rPr>
              <w:t>Each lot of medicinal gas must be analyzed in accordance with the FEUM or validated methods of the manufacturer.</w:t>
            </w:r>
          </w:p>
        </w:tc>
      </w:tr>
      <w:tr w:rsidR="00CD67E0" w:rsidRPr="00861FCE" w14:paraId="5C042ECE" w14:textId="77777777" w:rsidTr="00335F65">
        <w:tc>
          <w:tcPr>
            <w:tcW w:w="4421" w:type="dxa"/>
          </w:tcPr>
          <w:p w14:paraId="53D9144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10.6.7.2</w:t>
            </w:r>
            <w:r w:rsidRPr="00D429B4">
              <w:rPr>
                <w:rFonts w:ascii="Verdana" w:hAnsi="Verdana"/>
                <w:sz w:val="16"/>
                <w:szCs w:val="16"/>
                <w:lang w:val="es-MX"/>
              </w:rPr>
              <w:t xml:space="preserve"> Cada lote de cilindros de gas medicinal debe ser muestreado y analizado bajo los siguientes criterios:</w:t>
            </w:r>
          </w:p>
        </w:tc>
        <w:tc>
          <w:tcPr>
            <w:tcW w:w="4421" w:type="dxa"/>
            <w:shd w:val="clear" w:color="auto" w:fill="auto"/>
          </w:tcPr>
          <w:p w14:paraId="49EB1EA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10.6.7.2 </w:t>
            </w:r>
            <w:r w:rsidRPr="00D429B4">
              <w:rPr>
                <w:rFonts w:ascii="Verdana" w:hAnsi="Verdana"/>
                <w:sz w:val="16"/>
                <w:szCs w:val="16"/>
                <w:lang w:val="en-US"/>
              </w:rPr>
              <w:t>Each lot of medicinal gas cylinders must be sampled and analyzed under the following criteria:</w:t>
            </w:r>
          </w:p>
        </w:tc>
      </w:tr>
      <w:tr w:rsidR="00CD67E0" w:rsidRPr="00861FCE" w14:paraId="396FC664" w14:textId="77777777" w:rsidTr="00335F65">
        <w:tc>
          <w:tcPr>
            <w:tcW w:w="4421" w:type="dxa"/>
          </w:tcPr>
          <w:p w14:paraId="278486E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10.6.7.2.1 </w:t>
            </w:r>
            <w:r w:rsidRPr="00D429B4">
              <w:rPr>
                <w:rFonts w:ascii="Verdana" w:hAnsi="Verdana"/>
                <w:sz w:val="16"/>
                <w:szCs w:val="16"/>
                <w:lang w:val="es-MX"/>
              </w:rPr>
              <w:t>Al inicio del lote de producción, posterior a un mantenimiento y al arribo de lotes diferentes de materia prima.</w:t>
            </w:r>
          </w:p>
        </w:tc>
        <w:tc>
          <w:tcPr>
            <w:tcW w:w="4421" w:type="dxa"/>
            <w:shd w:val="clear" w:color="auto" w:fill="auto"/>
          </w:tcPr>
          <w:p w14:paraId="22372AC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10.6.7.2.1 </w:t>
            </w:r>
            <w:r w:rsidRPr="00D429B4">
              <w:rPr>
                <w:rFonts w:ascii="Verdana" w:hAnsi="Verdana"/>
                <w:sz w:val="16"/>
                <w:szCs w:val="16"/>
                <w:lang w:val="en-US"/>
              </w:rPr>
              <w:t xml:space="preserve">At the commencement of the production lot, after maintenance and the arrival of different lots of raw materials.   </w:t>
            </w:r>
          </w:p>
        </w:tc>
      </w:tr>
      <w:tr w:rsidR="00CD67E0" w:rsidRPr="00861FCE" w14:paraId="33D9E1F2" w14:textId="77777777" w:rsidTr="00335F65">
        <w:tc>
          <w:tcPr>
            <w:tcW w:w="4421" w:type="dxa"/>
          </w:tcPr>
          <w:p w14:paraId="101ABE7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10.6.7.2.2 </w:t>
            </w:r>
            <w:r w:rsidRPr="00D429B4">
              <w:rPr>
                <w:rFonts w:ascii="Verdana" w:hAnsi="Verdana"/>
                <w:sz w:val="16"/>
                <w:szCs w:val="16"/>
                <w:lang w:val="es-MX"/>
              </w:rPr>
              <w:t>Por cada sistema de bombeo, gasificación y compresión.</w:t>
            </w:r>
          </w:p>
        </w:tc>
        <w:tc>
          <w:tcPr>
            <w:tcW w:w="4421" w:type="dxa"/>
            <w:shd w:val="clear" w:color="auto" w:fill="auto"/>
          </w:tcPr>
          <w:p w14:paraId="6D0A011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10.6.7.2.2 </w:t>
            </w:r>
            <w:r w:rsidRPr="00D429B4">
              <w:rPr>
                <w:rFonts w:ascii="Verdana" w:hAnsi="Verdana"/>
                <w:sz w:val="16"/>
                <w:szCs w:val="16"/>
                <w:lang w:val="en-US"/>
              </w:rPr>
              <w:t xml:space="preserve">For each pumping, gasification and compression system. </w:t>
            </w:r>
          </w:p>
        </w:tc>
      </w:tr>
      <w:tr w:rsidR="00CD67E0" w:rsidRPr="00861FCE" w14:paraId="1E57B1D1" w14:textId="77777777" w:rsidTr="00335F65">
        <w:tc>
          <w:tcPr>
            <w:tcW w:w="4421" w:type="dxa"/>
          </w:tcPr>
          <w:p w14:paraId="48BDD91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10.6.7.2.3</w:t>
            </w:r>
            <w:r w:rsidRPr="00D429B4">
              <w:rPr>
                <w:rFonts w:ascii="Verdana" w:hAnsi="Verdana"/>
                <w:sz w:val="16"/>
                <w:szCs w:val="16"/>
                <w:lang w:val="es-MX"/>
              </w:rPr>
              <w:t xml:space="preserve"> Cuando una mezcla de gases es llenada de manera individual, se debe analizar identidad y ensayo de cada gas en cada cilindro, si la mezcla contiene excipientes se deberá analizar la identidad de al menos un cilindro por ciclo de llenado.</w:t>
            </w:r>
          </w:p>
        </w:tc>
        <w:tc>
          <w:tcPr>
            <w:tcW w:w="4421" w:type="dxa"/>
            <w:shd w:val="clear" w:color="auto" w:fill="auto"/>
          </w:tcPr>
          <w:p w14:paraId="363EB2A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10.6.7.2.3 </w:t>
            </w:r>
            <w:r w:rsidRPr="00D429B4">
              <w:rPr>
                <w:rFonts w:ascii="Verdana" w:hAnsi="Verdana"/>
                <w:sz w:val="16"/>
                <w:szCs w:val="16"/>
                <w:lang w:val="en-US"/>
              </w:rPr>
              <w:t>When a mixture of gases is filled individually, the identity and test of each gas in each cylinder must be analyzed, if the mixture contains excipients, the identity of at least one cylinder by filling cycle must be analyzed.</w:t>
            </w:r>
          </w:p>
        </w:tc>
      </w:tr>
      <w:tr w:rsidR="00CD67E0" w:rsidRPr="00861FCE" w14:paraId="192975BE" w14:textId="77777777" w:rsidTr="00335F65">
        <w:tc>
          <w:tcPr>
            <w:tcW w:w="4421" w:type="dxa"/>
          </w:tcPr>
          <w:p w14:paraId="254D64E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10.6.7.2.4</w:t>
            </w:r>
            <w:r w:rsidRPr="00D429B4">
              <w:rPr>
                <w:rFonts w:ascii="Verdana" w:hAnsi="Verdana"/>
                <w:sz w:val="16"/>
                <w:szCs w:val="16"/>
                <w:lang w:val="es-MX"/>
              </w:rPr>
              <w:t xml:space="preserve"> Cuando una mezcla de gases es llenada de manera simultánea se deben efectuar los mismos controles como se indica en los puntos 10.6.7.2.1 o 10.6.7.2.2, de esta Norma.</w:t>
            </w:r>
          </w:p>
        </w:tc>
        <w:tc>
          <w:tcPr>
            <w:tcW w:w="4421" w:type="dxa"/>
            <w:shd w:val="clear" w:color="auto" w:fill="auto"/>
          </w:tcPr>
          <w:p w14:paraId="25250B2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10.6.7.2.4 </w:t>
            </w:r>
            <w:r w:rsidRPr="00D429B4">
              <w:rPr>
                <w:rFonts w:ascii="Verdana" w:hAnsi="Verdana"/>
                <w:sz w:val="16"/>
                <w:szCs w:val="16"/>
                <w:lang w:val="en-US"/>
              </w:rPr>
              <w:t>When a mixture of gases is filled simultaneously, the same controls as indicated in the points 10.6.7.2.1 or 10.6.7.2.2 of this Standard must be performed.</w:t>
            </w:r>
          </w:p>
        </w:tc>
      </w:tr>
      <w:tr w:rsidR="00CD67E0" w:rsidRPr="00861FCE" w14:paraId="32217041" w14:textId="77777777" w:rsidTr="00335F65">
        <w:tc>
          <w:tcPr>
            <w:tcW w:w="4421" w:type="dxa"/>
          </w:tcPr>
          <w:p w14:paraId="6696B1B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10.6.7.3</w:t>
            </w:r>
            <w:r w:rsidRPr="00D429B4">
              <w:rPr>
                <w:rFonts w:ascii="Verdana" w:hAnsi="Verdana"/>
                <w:sz w:val="16"/>
                <w:szCs w:val="16"/>
                <w:lang w:val="es-MX"/>
              </w:rPr>
              <w:t xml:space="preserve"> Se deben realizar las pruebas de identidad y ensayo de cada tanque cisterna para gases a granel.</w:t>
            </w:r>
          </w:p>
        </w:tc>
        <w:tc>
          <w:tcPr>
            <w:tcW w:w="4421" w:type="dxa"/>
            <w:shd w:val="clear" w:color="auto" w:fill="auto"/>
          </w:tcPr>
          <w:p w14:paraId="3E2BD1E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10.6.7.3 </w:t>
            </w:r>
            <w:r w:rsidRPr="00D429B4">
              <w:rPr>
                <w:rFonts w:ascii="Verdana" w:hAnsi="Verdana"/>
                <w:sz w:val="16"/>
                <w:szCs w:val="16"/>
                <w:lang w:val="en-US"/>
              </w:rPr>
              <w:t>The identity and trial tests of every cistern tank for bulk gases must be performed.</w:t>
            </w:r>
          </w:p>
        </w:tc>
      </w:tr>
      <w:tr w:rsidR="00CD67E0" w:rsidRPr="00861FCE" w14:paraId="41A33744" w14:textId="77777777" w:rsidTr="00335F65">
        <w:tc>
          <w:tcPr>
            <w:tcW w:w="4421" w:type="dxa"/>
          </w:tcPr>
          <w:p w14:paraId="47DC2A7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10.6.7.4</w:t>
            </w:r>
            <w:r w:rsidRPr="00D429B4">
              <w:rPr>
                <w:rFonts w:ascii="Verdana" w:hAnsi="Verdana"/>
                <w:sz w:val="16"/>
                <w:szCs w:val="16"/>
                <w:lang w:val="es-MX"/>
              </w:rPr>
              <w:t xml:space="preserve"> No es necesario conservar muestras de retención de cada lote de gas medicinal.</w:t>
            </w:r>
          </w:p>
        </w:tc>
        <w:tc>
          <w:tcPr>
            <w:tcW w:w="4421" w:type="dxa"/>
            <w:shd w:val="clear" w:color="auto" w:fill="auto"/>
          </w:tcPr>
          <w:p w14:paraId="645590D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10.6.7.4</w:t>
            </w:r>
            <w:r w:rsidRPr="00D429B4">
              <w:rPr>
                <w:rFonts w:ascii="Verdana" w:hAnsi="Verdana"/>
                <w:sz w:val="16"/>
                <w:szCs w:val="16"/>
                <w:lang w:val="en-US"/>
              </w:rPr>
              <w:t xml:space="preserve"> It is not necessary to conserve retention samples from each lot of medicinal gas. </w:t>
            </w:r>
          </w:p>
        </w:tc>
      </w:tr>
      <w:tr w:rsidR="00CD67E0" w:rsidRPr="00C521C6" w14:paraId="3B04269A" w14:textId="77777777" w:rsidTr="00335F65">
        <w:tc>
          <w:tcPr>
            <w:tcW w:w="4421" w:type="dxa"/>
          </w:tcPr>
          <w:p w14:paraId="2D8C0266"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10.7 </w:t>
            </w:r>
            <w:r w:rsidRPr="00D429B4">
              <w:rPr>
                <w:rFonts w:ascii="Verdana" w:hAnsi="Verdana"/>
                <w:sz w:val="16"/>
                <w:szCs w:val="16"/>
                <w:lang w:val="es-MX"/>
              </w:rPr>
              <w:t>Medicamentos en aerosol.</w:t>
            </w:r>
          </w:p>
        </w:tc>
        <w:tc>
          <w:tcPr>
            <w:tcW w:w="4421" w:type="dxa"/>
            <w:shd w:val="clear" w:color="auto" w:fill="auto"/>
          </w:tcPr>
          <w:p w14:paraId="6F44BC9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10.7 </w:t>
            </w:r>
            <w:r w:rsidRPr="00D429B4">
              <w:rPr>
                <w:rFonts w:ascii="Verdana" w:hAnsi="Verdana"/>
                <w:sz w:val="16"/>
                <w:szCs w:val="16"/>
                <w:lang w:val="en-US"/>
              </w:rPr>
              <w:t xml:space="preserve">Drug products in aerosol. </w:t>
            </w:r>
          </w:p>
        </w:tc>
      </w:tr>
      <w:tr w:rsidR="00CD67E0" w:rsidRPr="00DD29AF" w14:paraId="79089A81" w14:textId="77777777" w:rsidTr="00335F65">
        <w:tc>
          <w:tcPr>
            <w:tcW w:w="4421" w:type="dxa"/>
          </w:tcPr>
          <w:p w14:paraId="2949C6E0"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10.7.1 </w:t>
            </w:r>
            <w:r w:rsidRPr="00D429B4">
              <w:rPr>
                <w:rFonts w:ascii="Verdana" w:hAnsi="Verdana"/>
                <w:sz w:val="16"/>
                <w:szCs w:val="16"/>
                <w:lang w:val="es-MX"/>
              </w:rPr>
              <w:t xml:space="preserve">Generalidades </w:t>
            </w:r>
          </w:p>
        </w:tc>
        <w:tc>
          <w:tcPr>
            <w:tcW w:w="4421" w:type="dxa"/>
          </w:tcPr>
          <w:p w14:paraId="0E5F4C8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10.7.1 </w:t>
            </w:r>
            <w:r w:rsidRPr="00D429B4">
              <w:rPr>
                <w:rFonts w:ascii="Verdana" w:hAnsi="Verdana"/>
                <w:sz w:val="16"/>
                <w:szCs w:val="16"/>
                <w:lang w:val="en-US"/>
              </w:rPr>
              <w:t>General provisions</w:t>
            </w:r>
          </w:p>
        </w:tc>
      </w:tr>
      <w:tr w:rsidR="00CD67E0" w:rsidRPr="00861FCE" w14:paraId="4343183D" w14:textId="77777777" w:rsidTr="00335F65">
        <w:tc>
          <w:tcPr>
            <w:tcW w:w="4421" w:type="dxa"/>
          </w:tcPr>
          <w:p w14:paraId="5A1C4C8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La fabricación de medicamentos en aerosoles presurizados para inhalación con válvulas dosificadoras exige algunas disposiciones adicionales debido a la naturaleza particular de esta forma farmacéutica.</w:t>
            </w:r>
          </w:p>
        </w:tc>
        <w:tc>
          <w:tcPr>
            <w:tcW w:w="4421" w:type="dxa"/>
          </w:tcPr>
          <w:p w14:paraId="0AB0FF6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The manufacture of drug products in pressurized aerosols for inhalation with dosifier valves require some additional provisions due to the particular nature of this pharmaceutical form. </w:t>
            </w:r>
          </w:p>
        </w:tc>
      </w:tr>
      <w:tr w:rsidR="00CD67E0" w:rsidRPr="00861FCE" w14:paraId="51714FEA" w14:textId="77777777" w:rsidTr="00335F65">
        <w:tc>
          <w:tcPr>
            <w:tcW w:w="4421" w:type="dxa"/>
          </w:tcPr>
          <w:p w14:paraId="0005C5B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10.7.1.1</w:t>
            </w:r>
            <w:r w:rsidRPr="00D429B4">
              <w:rPr>
                <w:rFonts w:ascii="Verdana" w:hAnsi="Verdana"/>
                <w:sz w:val="16"/>
                <w:szCs w:val="16"/>
                <w:lang w:val="es-MX"/>
              </w:rPr>
              <w:t xml:space="preserve"> Existen dos métodos comunes de fabricación y llenado:</w:t>
            </w:r>
          </w:p>
        </w:tc>
        <w:tc>
          <w:tcPr>
            <w:tcW w:w="4421" w:type="dxa"/>
          </w:tcPr>
          <w:p w14:paraId="787F948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10.7.1.1 </w:t>
            </w:r>
            <w:r w:rsidRPr="00D429B4">
              <w:rPr>
                <w:rFonts w:ascii="Verdana" w:hAnsi="Verdana"/>
                <w:sz w:val="16"/>
                <w:szCs w:val="16"/>
                <w:lang w:val="en-US"/>
              </w:rPr>
              <w:t xml:space="preserve">Two common methods of manufacturing and filling exist: </w:t>
            </w:r>
          </w:p>
        </w:tc>
      </w:tr>
      <w:tr w:rsidR="00CD67E0" w:rsidRPr="00861FCE" w14:paraId="5D12DB21" w14:textId="77777777" w:rsidTr="00335F65">
        <w:tc>
          <w:tcPr>
            <w:tcW w:w="4421" w:type="dxa"/>
          </w:tcPr>
          <w:p w14:paraId="0313A20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10.7.1.1.1</w:t>
            </w:r>
            <w:r w:rsidRPr="00D429B4">
              <w:rPr>
                <w:rFonts w:ascii="Verdana" w:hAnsi="Verdana"/>
                <w:sz w:val="16"/>
                <w:szCs w:val="16"/>
                <w:lang w:val="es-MX"/>
              </w:rPr>
              <w:t xml:space="preserve"> Sistema de dos fases (llenado a presión). Consiste en hacer una suspensión del principio activo en un propelente de elevado punto de ebullición, introducir la dosis en el recipiente, ajustar la válvula e inyectar a través del vástago de la válvula el propelente de menor punto de ebullición para completar el producto terminado. La </w:t>
            </w:r>
            <w:r w:rsidRPr="00D429B4">
              <w:rPr>
                <w:rFonts w:ascii="Verdana" w:hAnsi="Verdana"/>
                <w:sz w:val="16"/>
                <w:szCs w:val="16"/>
                <w:lang w:val="es-MX"/>
              </w:rPr>
              <w:lastRenderedPageBreak/>
              <w:t>suspensión de principio activo en el propelente se mantiene fría para reducir las pérdidas por evaporación.</w:t>
            </w:r>
          </w:p>
        </w:tc>
        <w:tc>
          <w:tcPr>
            <w:tcW w:w="4421" w:type="dxa"/>
          </w:tcPr>
          <w:p w14:paraId="233C584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10.7.1.1.1 </w:t>
            </w:r>
            <w:r w:rsidRPr="00D429B4">
              <w:rPr>
                <w:rFonts w:ascii="Verdana" w:hAnsi="Verdana"/>
                <w:sz w:val="16"/>
                <w:szCs w:val="16"/>
                <w:lang w:val="en-US"/>
              </w:rPr>
              <w:t xml:space="preserve">System of two phases (filling under pressure). It consists in making a suspension of the active principal in a propellant with an elevated boiling point, introducing the dosage in the container, adjust the valve and inject through the nozzle of the valve the propellant of a lower boiling point to complete the finished product. The </w:t>
            </w:r>
            <w:r w:rsidRPr="00D429B4">
              <w:rPr>
                <w:rFonts w:ascii="Verdana" w:hAnsi="Verdana"/>
                <w:sz w:val="16"/>
                <w:szCs w:val="16"/>
                <w:lang w:val="en-US"/>
              </w:rPr>
              <w:lastRenderedPageBreak/>
              <w:t xml:space="preserve">suspension of the active principal in the propellant is maintained cold for reducing losses from evaporation. </w:t>
            </w:r>
          </w:p>
        </w:tc>
      </w:tr>
      <w:tr w:rsidR="00CD67E0" w:rsidRPr="00861FCE" w14:paraId="15BE1219" w14:textId="77777777" w:rsidTr="00335F65">
        <w:tc>
          <w:tcPr>
            <w:tcW w:w="4421" w:type="dxa"/>
          </w:tcPr>
          <w:p w14:paraId="376D7B32"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lastRenderedPageBreak/>
              <w:t>10.7.1.1.2</w:t>
            </w:r>
            <w:r w:rsidRPr="00D429B4">
              <w:rPr>
                <w:rFonts w:ascii="Verdana" w:hAnsi="Verdana"/>
                <w:sz w:val="16"/>
                <w:szCs w:val="16"/>
                <w:lang w:val="es-MX"/>
              </w:rPr>
              <w:t xml:space="preserve"> Proceso en una fase (llenado en frío). Se suspende el principio activo en una mezcla de propelentes y se mantiene a alta presión y/o baja temperatura. Posteriormente se llena directamente el recipiente con la suspensión en un solo paso.</w:t>
            </w:r>
          </w:p>
        </w:tc>
        <w:tc>
          <w:tcPr>
            <w:tcW w:w="4421" w:type="dxa"/>
          </w:tcPr>
          <w:p w14:paraId="7E1C10D1"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10.7.1.1.2</w:t>
            </w:r>
            <w:r w:rsidRPr="00D429B4">
              <w:rPr>
                <w:rFonts w:ascii="Verdana" w:hAnsi="Verdana"/>
                <w:sz w:val="16"/>
                <w:szCs w:val="16"/>
                <w:lang w:val="en-US"/>
              </w:rPr>
              <w:t xml:space="preserve"> Process in a phase (cold filling). The principal active ingredient is suspended in a mixture of propellants and is maintained at high pressure and/or low temperature. Then the container is directly filled with the suspension in a single pass.</w:t>
            </w:r>
          </w:p>
        </w:tc>
      </w:tr>
      <w:tr w:rsidR="00CD67E0" w:rsidRPr="00DD29AF" w14:paraId="273C0CBF" w14:textId="77777777" w:rsidTr="00335F65">
        <w:tc>
          <w:tcPr>
            <w:tcW w:w="4421" w:type="dxa"/>
          </w:tcPr>
          <w:p w14:paraId="37C8F96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10.7.2 </w:t>
            </w:r>
            <w:r w:rsidRPr="00D429B4">
              <w:rPr>
                <w:rFonts w:ascii="Verdana" w:hAnsi="Verdana"/>
                <w:sz w:val="16"/>
                <w:szCs w:val="16"/>
                <w:lang w:val="es-MX"/>
              </w:rPr>
              <w:t>Instalaciones y equipos</w:t>
            </w:r>
          </w:p>
        </w:tc>
        <w:tc>
          <w:tcPr>
            <w:tcW w:w="4421" w:type="dxa"/>
          </w:tcPr>
          <w:p w14:paraId="3415110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10.7.2 </w:t>
            </w:r>
            <w:r w:rsidRPr="00D429B4">
              <w:rPr>
                <w:rFonts w:ascii="Verdana" w:hAnsi="Verdana"/>
                <w:sz w:val="16"/>
                <w:szCs w:val="16"/>
                <w:lang w:val="en-US"/>
              </w:rPr>
              <w:t>Installations and equipment.</w:t>
            </w:r>
          </w:p>
        </w:tc>
      </w:tr>
      <w:tr w:rsidR="00CD67E0" w:rsidRPr="00861FCE" w14:paraId="3351CF52" w14:textId="77777777" w:rsidTr="00335F65">
        <w:tc>
          <w:tcPr>
            <w:tcW w:w="4421" w:type="dxa"/>
          </w:tcPr>
          <w:p w14:paraId="45C1B9E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10.7.2.1</w:t>
            </w:r>
            <w:r w:rsidRPr="00D429B4">
              <w:rPr>
                <w:rFonts w:ascii="Verdana" w:hAnsi="Verdana"/>
                <w:sz w:val="16"/>
                <w:szCs w:val="16"/>
                <w:lang w:val="es-MX"/>
              </w:rPr>
              <w:t xml:space="preserve"> La fabricación debe hacerse en condiciones que reduzcan la contaminación microbiana y por partículas, de acuerdo al Apéndice A Normativo de esta Norma.</w:t>
            </w:r>
          </w:p>
        </w:tc>
        <w:tc>
          <w:tcPr>
            <w:tcW w:w="4421" w:type="dxa"/>
          </w:tcPr>
          <w:p w14:paraId="3404B2F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10.7.2.1</w:t>
            </w:r>
            <w:r w:rsidRPr="00D429B4">
              <w:rPr>
                <w:rFonts w:ascii="Verdana" w:hAnsi="Verdana"/>
                <w:sz w:val="16"/>
                <w:szCs w:val="16"/>
                <w:lang w:val="en-US"/>
              </w:rPr>
              <w:t xml:space="preserve"> The manufacturing must be done under conditions that reduce the microbial contamination and contamination with particulates, according to Obligatory Appendix A of this Standard. </w:t>
            </w:r>
          </w:p>
        </w:tc>
      </w:tr>
      <w:tr w:rsidR="00CD67E0" w:rsidRPr="00861FCE" w14:paraId="38038EDA" w14:textId="77777777" w:rsidTr="00335F65">
        <w:tc>
          <w:tcPr>
            <w:tcW w:w="4421" w:type="dxa"/>
          </w:tcPr>
          <w:p w14:paraId="648B5BB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10.7.2.2</w:t>
            </w:r>
            <w:r w:rsidRPr="00D429B4">
              <w:rPr>
                <w:rFonts w:ascii="Verdana" w:hAnsi="Verdana"/>
                <w:sz w:val="16"/>
                <w:szCs w:val="16"/>
                <w:lang w:val="es-MX"/>
              </w:rPr>
              <w:t xml:space="preserve"> Cuando sea posible la fabricación y el llenado deben realizarse en un sistema cerrado.</w:t>
            </w:r>
          </w:p>
        </w:tc>
        <w:tc>
          <w:tcPr>
            <w:tcW w:w="4421" w:type="dxa"/>
          </w:tcPr>
          <w:p w14:paraId="514AA75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10.7.2.2</w:t>
            </w:r>
            <w:r w:rsidRPr="00D429B4">
              <w:rPr>
                <w:rFonts w:ascii="Verdana" w:hAnsi="Verdana"/>
                <w:sz w:val="16"/>
                <w:szCs w:val="16"/>
                <w:lang w:val="en-US"/>
              </w:rPr>
              <w:t xml:space="preserve"> When possible, the manufacturing and the filling must be done in a closed system.</w:t>
            </w:r>
          </w:p>
        </w:tc>
      </w:tr>
      <w:tr w:rsidR="00CD67E0" w:rsidRPr="00861FCE" w14:paraId="439129C5" w14:textId="77777777" w:rsidTr="00335F65">
        <w:trPr>
          <w:trHeight w:val="1035"/>
        </w:trPr>
        <w:tc>
          <w:tcPr>
            <w:tcW w:w="4421" w:type="dxa"/>
          </w:tcPr>
          <w:p w14:paraId="7B8C0288"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10.7.2.3</w:t>
            </w:r>
            <w:r w:rsidRPr="00D429B4">
              <w:rPr>
                <w:rFonts w:ascii="Verdana" w:hAnsi="Verdana"/>
                <w:sz w:val="16"/>
                <w:szCs w:val="16"/>
                <w:lang w:val="es-MX"/>
              </w:rPr>
              <w:t xml:space="preserve"> Las áreas destinadas al llenado de aerosoles deberán contar con todos los sistemas de prevención de riesgos para el manejo de propelentes.</w:t>
            </w:r>
          </w:p>
        </w:tc>
        <w:tc>
          <w:tcPr>
            <w:tcW w:w="4421" w:type="dxa"/>
          </w:tcPr>
          <w:p w14:paraId="454A043B"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10.7.2.3</w:t>
            </w:r>
            <w:r w:rsidRPr="00D429B4">
              <w:rPr>
                <w:rFonts w:ascii="Verdana" w:hAnsi="Verdana"/>
                <w:sz w:val="16"/>
                <w:szCs w:val="16"/>
                <w:lang w:val="en-US"/>
              </w:rPr>
              <w:t xml:space="preserve"> The areas designated for filling of aerosols must have all the systems of prevention of risks from the handling of propellants. </w:t>
            </w:r>
          </w:p>
        </w:tc>
      </w:tr>
      <w:tr w:rsidR="00CD67E0" w:rsidRPr="00DD29AF" w14:paraId="53B67222" w14:textId="77777777" w:rsidTr="00335F65">
        <w:tc>
          <w:tcPr>
            <w:tcW w:w="4421" w:type="dxa"/>
          </w:tcPr>
          <w:p w14:paraId="32FC385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10.7.3 </w:t>
            </w:r>
            <w:r w:rsidRPr="00D429B4">
              <w:rPr>
                <w:rFonts w:ascii="Verdana" w:hAnsi="Verdana"/>
                <w:sz w:val="16"/>
                <w:szCs w:val="16"/>
                <w:lang w:val="es-MX"/>
              </w:rPr>
              <w:t>Producción y control de calidad</w:t>
            </w:r>
          </w:p>
        </w:tc>
        <w:tc>
          <w:tcPr>
            <w:tcW w:w="4421" w:type="dxa"/>
          </w:tcPr>
          <w:p w14:paraId="110A504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10.7.3 </w:t>
            </w:r>
            <w:r w:rsidRPr="00D429B4">
              <w:rPr>
                <w:rFonts w:ascii="Verdana" w:hAnsi="Verdana"/>
                <w:sz w:val="16"/>
                <w:szCs w:val="16"/>
                <w:lang w:val="en-US"/>
              </w:rPr>
              <w:t>Production and quality control</w:t>
            </w:r>
          </w:p>
        </w:tc>
      </w:tr>
      <w:tr w:rsidR="00CD67E0" w:rsidRPr="00861FCE" w14:paraId="3183955A" w14:textId="77777777" w:rsidTr="00335F65">
        <w:tc>
          <w:tcPr>
            <w:tcW w:w="4421" w:type="dxa"/>
          </w:tcPr>
          <w:p w14:paraId="194560F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10.7.3.1</w:t>
            </w:r>
            <w:r w:rsidRPr="00D429B4">
              <w:rPr>
                <w:rFonts w:ascii="Verdana" w:hAnsi="Verdana"/>
                <w:sz w:val="16"/>
                <w:szCs w:val="16"/>
                <w:lang w:val="es-MX"/>
              </w:rPr>
              <w:t xml:space="preserve"> Las válvulas dosificadoras de los aerosoles son un dispositivo de ingeniería más complejo que la mayoría de los componentes farmacéuticos, por lo que, para las especificaciones, toma de muestras y ensayos se debe tomar esto en cuenta.</w:t>
            </w:r>
          </w:p>
        </w:tc>
        <w:tc>
          <w:tcPr>
            <w:tcW w:w="4421" w:type="dxa"/>
          </w:tcPr>
          <w:p w14:paraId="15A68D3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10.7.3.1</w:t>
            </w:r>
            <w:r w:rsidRPr="00D429B4">
              <w:rPr>
                <w:rFonts w:ascii="Verdana" w:hAnsi="Verdana"/>
                <w:sz w:val="16"/>
                <w:szCs w:val="16"/>
                <w:lang w:val="en-US"/>
              </w:rPr>
              <w:t xml:space="preserve"> The aerosol dispenser valves are more complex engineering devices than the majority of the pharmaceutical components, for which the specifications, the taking of samples and tests must be taken into account. </w:t>
            </w:r>
          </w:p>
        </w:tc>
      </w:tr>
      <w:tr w:rsidR="00CD67E0" w:rsidRPr="00861FCE" w14:paraId="66250461" w14:textId="77777777" w:rsidTr="00335F65">
        <w:tc>
          <w:tcPr>
            <w:tcW w:w="4421" w:type="dxa"/>
          </w:tcPr>
          <w:p w14:paraId="20055D8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10.7.3.1.1</w:t>
            </w:r>
            <w:r w:rsidRPr="00D429B4">
              <w:rPr>
                <w:rFonts w:ascii="Verdana" w:hAnsi="Verdana"/>
                <w:sz w:val="16"/>
                <w:szCs w:val="16"/>
                <w:lang w:val="es-MX"/>
              </w:rPr>
              <w:t xml:space="preserve"> Se debe realizar auditoría del sistema de garantía de Calidad al fabricante de la válvula.</w:t>
            </w:r>
          </w:p>
        </w:tc>
        <w:tc>
          <w:tcPr>
            <w:tcW w:w="4421" w:type="dxa"/>
          </w:tcPr>
          <w:p w14:paraId="08E2215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10.7.3.1.1</w:t>
            </w:r>
            <w:r w:rsidRPr="00D429B4">
              <w:rPr>
                <w:rFonts w:ascii="Verdana" w:hAnsi="Verdana"/>
                <w:sz w:val="16"/>
                <w:szCs w:val="16"/>
                <w:lang w:val="en-US"/>
              </w:rPr>
              <w:t xml:space="preserve"> The audit of the quality guarantee system must be made on the manufacturer of the valve.</w:t>
            </w:r>
          </w:p>
        </w:tc>
      </w:tr>
      <w:tr w:rsidR="00CD67E0" w:rsidRPr="00CF6A64" w14:paraId="6BB58A4D" w14:textId="77777777" w:rsidTr="00335F65">
        <w:tc>
          <w:tcPr>
            <w:tcW w:w="4421" w:type="dxa"/>
          </w:tcPr>
          <w:p w14:paraId="3525E2EB" w14:textId="5D42454E"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10.7.3.2</w:t>
            </w:r>
            <w:r w:rsidRPr="00D429B4">
              <w:rPr>
                <w:rFonts w:ascii="Verdana" w:hAnsi="Verdana"/>
                <w:sz w:val="16"/>
                <w:szCs w:val="16"/>
                <w:lang w:val="es-MX"/>
              </w:rPr>
              <w:t xml:space="preserve"> Todos los propelentes líquidos o gaseosos deben filtrarse para eliminar las partículas de un tamaño superior a 0.2 </w:t>
            </w:r>
            <w:r w:rsidRPr="00D429B4">
              <w:rPr>
                <w:rFonts w:ascii="Verdana" w:hAnsi="Verdana"/>
                <w:sz w:val="16"/>
                <w:szCs w:val="16"/>
                <w:lang w:val="es-MX"/>
              </w:rPr>
              <w:fldChar w:fldCharType="begin"/>
            </w:r>
            <w:r w:rsidRPr="00D429B4">
              <w:rPr>
                <w:rFonts w:ascii="Verdana" w:hAnsi="Verdana"/>
                <w:sz w:val="16"/>
                <w:szCs w:val="16"/>
                <w:lang w:val="es-MX"/>
              </w:rPr>
              <w:instrText>símbolo 109 \f "Symbol" \s 9</w:instrText>
            </w:r>
            <w:r w:rsidRPr="00D429B4">
              <w:rPr>
                <w:rFonts w:ascii="Verdana" w:hAnsi="Verdana"/>
                <w:sz w:val="16"/>
                <w:szCs w:val="16"/>
                <w:lang w:val="es-MX"/>
              </w:rPr>
              <w:fldChar w:fldCharType="separate"/>
            </w:r>
            <w:r w:rsidR="00E743CA" w:rsidRPr="00E743CA">
              <w:rPr>
                <w:rFonts w:ascii="Verdana" w:hAnsi="Verdana"/>
                <w:b/>
                <w:bCs/>
                <w:sz w:val="16"/>
                <w:szCs w:val="16"/>
                <w:lang w:val="es-MX"/>
              </w:rPr>
              <w:t xml:space="preserve">Error! </w:t>
            </w:r>
            <w:r w:rsidR="00E743CA">
              <w:rPr>
                <w:rFonts w:ascii="Verdana" w:hAnsi="Verdana"/>
                <w:b/>
                <w:bCs/>
                <w:sz w:val="16"/>
                <w:szCs w:val="16"/>
                <w:lang w:val="en-US"/>
              </w:rPr>
              <w:t>Bookmark not defined.</w:t>
            </w:r>
            <w:r w:rsidRPr="00D429B4">
              <w:rPr>
                <w:rFonts w:ascii="Verdana" w:hAnsi="Verdana"/>
                <w:sz w:val="16"/>
                <w:szCs w:val="16"/>
                <w:lang w:val="es-MX"/>
              </w:rPr>
              <w:fldChar w:fldCharType="end"/>
            </w:r>
            <w:r w:rsidRPr="00D429B4">
              <w:rPr>
                <w:rFonts w:ascii="Verdana" w:hAnsi="Verdana"/>
                <w:sz w:val="16"/>
                <w:szCs w:val="16"/>
                <w:lang w:val="es-MX"/>
              </w:rPr>
              <w:t>.</w:t>
            </w:r>
          </w:p>
        </w:tc>
        <w:tc>
          <w:tcPr>
            <w:tcW w:w="4421" w:type="dxa"/>
          </w:tcPr>
          <w:p w14:paraId="097F1782" w14:textId="2927ED91"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10.7.3.2</w:t>
            </w:r>
            <w:r w:rsidRPr="00D429B4">
              <w:rPr>
                <w:rFonts w:ascii="Verdana" w:hAnsi="Verdana"/>
                <w:sz w:val="16"/>
                <w:szCs w:val="16"/>
                <w:lang w:val="en-US"/>
              </w:rPr>
              <w:t xml:space="preserve"> All the liquid or gaseous propellants must be filtered to eliminate the particles that are a sixe greater than 0.2.</w:t>
            </w:r>
            <w:r w:rsidRPr="00D429B4">
              <w:rPr>
                <w:rFonts w:ascii="Verdana" w:hAnsi="Verdana"/>
                <w:sz w:val="16"/>
                <w:szCs w:val="16"/>
                <w:lang w:val="en-US"/>
              </w:rPr>
              <w:fldChar w:fldCharType="begin"/>
            </w:r>
            <w:r w:rsidRPr="00D429B4">
              <w:rPr>
                <w:rFonts w:ascii="Verdana" w:hAnsi="Verdana"/>
                <w:sz w:val="16"/>
                <w:szCs w:val="16"/>
                <w:lang w:val="en-US"/>
              </w:rPr>
              <w:instrText>símbolo 109 \f "Symbol" \s 9</w:instrText>
            </w:r>
            <w:r w:rsidRPr="00D429B4">
              <w:rPr>
                <w:rFonts w:ascii="Verdana" w:hAnsi="Verdana"/>
                <w:sz w:val="16"/>
                <w:szCs w:val="16"/>
                <w:lang w:val="en-US"/>
              </w:rPr>
              <w:fldChar w:fldCharType="separate"/>
            </w:r>
            <w:r w:rsidR="00E743CA">
              <w:rPr>
                <w:rFonts w:ascii="Verdana" w:hAnsi="Verdana"/>
                <w:b/>
                <w:bCs/>
                <w:sz w:val="16"/>
                <w:szCs w:val="16"/>
                <w:lang w:val="en-US"/>
              </w:rPr>
              <w:t>Error! Bookmark not defined.</w:t>
            </w:r>
            <w:r w:rsidRPr="00D429B4">
              <w:rPr>
                <w:rFonts w:ascii="Verdana" w:hAnsi="Verdana"/>
                <w:sz w:val="16"/>
                <w:szCs w:val="16"/>
                <w:lang w:val="en-US"/>
              </w:rPr>
              <w:fldChar w:fldCharType="end"/>
            </w:r>
          </w:p>
        </w:tc>
      </w:tr>
      <w:tr w:rsidR="00CD67E0" w:rsidRPr="00B838EC" w14:paraId="4E11CD7B" w14:textId="77777777" w:rsidTr="00335F65">
        <w:tc>
          <w:tcPr>
            <w:tcW w:w="4421" w:type="dxa"/>
          </w:tcPr>
          <w:p w14:paraId="2E878F0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10.7.3.3</w:t>
            </w:r>
            <w:r w:rsidRPr="00D429B4">
              <w:rPr>
                <w:rFonts w:ascii="Verdana" w:hAnsi="Verdana"/>
                <w:sz w:val="16"/>
                <w:szCs w:val="16"/>
                <w:lang w:val="es-MX"/>
              </w:rPr>
              <w:t xml:space="preserve"> Los recipientes y válvulas deben limpiarse utilizando un procedimiento validado adecuado al uso del producto a fin de garantizar la ausencia de cualquier contaminante como los adyuvantes del proceso de fabricación (tales como lubricantes).</w:t>
            </w:r>
          </w:p>
        </w:tc>
        <w:tc>
          <w:tcPr>
            <w:tcW w:w="4421" w:type="dxa"/>
          </w:tcPr>
          <w:p w14:paraId="2186DE7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10.7.3.3</w:t>
            </w:r>
            <w:r w:rsidRPr="00D429B4">
              <w:rPr>
                <w:rFonts w:ascii="Verdana" w:hAnsi="Verdana"/>
                <w:sz w:val="16"/>
                <w:szCs w:val="16"/>
                <w:lang w:val="en-US"/>
              </w:rPr>
              <w:t xml:space="preserve"> The containers and valves must be cleaned using a validated procedure adequate for the use of the product to guarantee the absence of any contaminant such as the manufacturing process aids (such as lubricants). </w:t>
            </w:r>
          </w:p>
        </w:tc>
      </w:tr>
      <w:tr w:rsidR="00CD67E0" w:rsidRPr="00B838EC" w14:paraId="10DB6ACD" w14:textId="77777777" w:rsidTr="00335F65">
        <w:tc>
          <w:tcPr>
            <w:tcW w:w="4421" w:type="dxa"/>
          </w:tcPr>
          <w:p w14:paraId="1C04B56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10.7.3.3.1</w:t>
            </w:r>
            <w:r w:rsidRPr="00D429B4">
              <w:rPr>
                <w:rFonts w:ascii="Verdana" w:hAnsi="Verdana"/>
                <w:sz w:val="16"/>
                <w:szCs w:val="16"/>
                <w:lang w:val="es-MX"/>
              </w:rPr>
              <w:t xml:space="preserve"> Después de la limpieza, las válvulas se mantendrán en recipientes cerrados y limpios, tomando precauciones para no introducir contaminantes durante las siguientes etapas. Se enviarán los recipientes a la línea de llenado en condiciones de limpieza, o se limpiarán en la línea inmediatamente antes del llenado.</w:t>
            </w:r>
          </w:p>
        </w:tc>
        <w:tc>
          <w:tcPr>
            <w:tcW w:w="4421" w:type="dxa"/>
          </w:tcPr>
          <w:p w14:paraId="7BAF584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10.7.3.3.1</w:t>
            </w:r>
            <w:r w:rsidRPr="00D429B4">
              <w:rPr>
                <w:rFonts w:ascii="Verdana" w:hAnsi="Verdana"/>
                <w:sz w:val="16"/>
                <w:szCs w:val="16"/>
                <w:lang w:val="en-US"/>
              </w:rPr>
              <w:t xml:space="preserve"> After cleaning, the valves will be maintained in closed and clean containers, taking precautions to not introduce contaminants during the following stages.  The containers will be sent to the filling line under clean conditions or will be cleaned on the line immediately prior to filling. </w:t>
            </w:r>
          </w:p>
        </w:tc>
      </w:tr>
      <w:tr w:rsidR="00CD67E0" w:rsidRPr="00B838EC" w14:paraId="7885991A" w14:textId="77777777" w:rsidTr="00335F65">
        <w:tc>
          <w:tcPr>
            <w:tcW w:w="4421" w:type="dxa"/>
          </w:tcPr>
          <w:p w14:paraId="4C9CF27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10.7.3.4</w:t>
            </w:r>
            <w:r w:rsidRPr="00D429B4">
              <w:rPr>
                <w:rFonts w:ascii="Verdana" w:hAnsi="Verdana"/>
                <w:sz w:val="16"/>
                <w:szCs w:val="16"/>
                <w:lang w:val="es-MX"/>
              </w:rPr>
              <w:t xml:space="preserve"> Se debe garantizar la uniformidad de las suspensiones en el punto de llenado, durante todo el proceso.</w:t>
            </w:r>
          </w:p>
        </w:tc>
        <w:tc>
          <w:tcPr>
            <w:tcW w:w="4421" w:type="dxa"/>
          </w:tcPr>
          <w:p w14:paraId="3C0DCD3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10.7.3.4</w:t>
            </w:r>
            <w:r w:rsidRPr="00D429B4">
              <w:rPr>
                <w:rFonts w:ascii="Verdana" w:hAnsi="Verdana"/>
                <w:sz w:val="16"/>
                <w:szCs w:val="16"/>
                <w:lang w:val="en-US"/>
              </w:rPr>
              <w:t xml:space="preserve"> The uniformity of the suspensions must be guaranteed at the filling point, during the entire process. </w:t>
            </w:r>
          </w:p>
        </w:tc>
      </w:tr>
      <w:tr w:rsidR="00CD67E0" w:rsidRPr="00B838EC" w14:paraId="6F84615A" w14:textId="77777777" w:rsidTr="00335F65">
        <w:tc>
          <w:tcPr>
            <w:tcW w:w="4421" w:type="dxa"/>
          </w:tcPr>
          <w:p w14:paraId="384F858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10.7.3.5</w:t>
            </w:r>
            <w:r w:rsidRPr="00D429B4">
              <w:rPr>
                <w:rFonts w:ascii="Verdana" w:hAnsi="Verdana"/>
                <w:sz w:val="16"/>
                <w:szCs w:val="16"/>
                <w:lang w:val="es-MX"/>
              </w:rPr>
              <w:t xml:space="preserve"> Cuando se utilice un proceso de llenado en dos fases, se debe garantizar que ambas fases tienen el peso correcto para conseguir la </w:t>
            </w:r>
            <w:r w:rsidRPr="00D429B4">
              <w:rPr>
                <w:rFonts w:ascii="Verdana" w:hAnsi="Verdana"/>
                <w:sz w:val="16"/>
                <w:szCs w:val="16"/>
                <w:lang w:val="es-MX"/>
              </w:rPr>
              <w:lastRenderedPageBreak/>
              <w:t>composición adecuada. Por lo que se debe controlar el 100% del peso en cada etapa.</w:t>
            </w:r>
          </w:p>
        </w:tc>
        <w:tc>
          <w:tcPr>
            <w:tcW w:w="4421" w:type="dxa"/>
          </w:tcPr>
          <w:p w14:paraId="5DC1D13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10.7.3.5</w:t>
            </w:r>
            <w:r w:rsidRPr="00D429B4">
              <w:rPr>
                <w:rFonts w:ascii="Verdana" w:hAnsi="Verdana"/>
                <w:sz w:val="16"/>
                <w:szCs w:val="16"/>
                <w:lang w:val="en-US"/>
              </w:rPr>
              <w:t xml:space="preserve"> When a filling process is used in two phases, it must be guaranteed that both phases have the correct weight to obtain the adequate </w:t>
            </w:r>
            <w:r w:rsidRPr="00D429B4">
              <w:rPr>
                <w:rFonts w:ascii="Verdana" w:hAnsi="Verdana"/>
                <w:sz w:val="16"/>
                <w:szCs w:val="16"/>
                <w:lang w:val="en-US"/>
              </w:rPr>
              <w:lastRenderedPageBreak/>
              <w:t xml:space="preserve">composition. For that reason, 100% of the weight in each stage must be controlled. </w:t>
            </w:r>
          </w:p>
        </w:tc>
      </w:tr>
      <w:tr w:rsidR="00CD67E0" w:rsidRPr="00B838EC" w14:paraId="61C52DFD" w14:textId="77777777" w:rsidTr="00335F65">
        <w:tc>
          <w:tcPr>
            <w:tcW w:w="4421" w:type="dxa"/>
          </w:tcPr>
          <w:p w14:paraId="4497BE3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10.7.3.6</w:t>
            </w:r>
            <w:r w:rsidRPr="00D429B4">
              <w:rPr>
                <w:rFonts w:ascii="Verdana" w:hAnsi="Verdana"/>
                <w:sz w:val="16"/>
                <w:szCs w:val="16"/>
                <w:lang w:val="es-MX"/>
              </w:rPr>
              <w:t xml:space="preserve"> Los controles después del llenado deben garantizar la ausencia de fugas.</w:t>
            </w:r>
          </w:p>
        </w:tc>
        <w:tc>
          <w:tcPr>
            <w:tcW w:w="4421" w:type="dxa"/>
          </w:tcPr>
          <w:p w14:paraId="0C6A36C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10.7.3.6</w:t>
            </w:r>
            <w:r w:rsidRPr="00D429B4">
              <w:rPr>
                <w:rFonts w:ascii="Verdana" w:hAnsi="Verdana"/>
                <w:sz w:val="16"/>
                <w:szCs w:val="16"/>
                <w:lang w:val="en-US"/>
              </w:rPr>
              <w:t xml:space="preserve"> The controls after filling must guarantee the absence of leaks.  </w:t>
            </w:r>
          </w:p>
        </w:tc>
      </w:tr>
      <w:tr w:rsidR="00CD67E0" w:rsidRPr="00B838EC" w14:paraId="7877F6E0" w14:textId="77777777" w:rsidTr="00335F65">
        <w:tc>
          <w:tcPr>
            <w:tcW w:w="4421" w:type="dxa"/>
          </w:tcPr>
          <w:p w14:paraId="648222B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10.7.3.6.1</w:t>
            </w:r>
            <w:r w:rsidRPr="00D429B4">
              <w:rPr>
                <w:rFonts w:ascii="Verdana" w:hAnsi="Verdana"/>
                <w:sz w:val="16"/>
                <w:szCs w:val="16"/>
                <w:lang w:val="es-MX"/>
              </w:rPr>
              <w:t xml:space="preserve"> Todo ensayo de fugas se realizará de forma que se evite la contaminación microbiana o la humedad residual.</w:t>
            </w:r>
          </w:p>
        </w:tc>
        <w:tc>
          <w:tcPr>
            <w:tcW w:w="4421" w:type="dxa"/>
          </w:tcPr>
          <w:p w14:paraId="6F7BB91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10.7.3.6.1</w:t>
            </w:r>
            <w:r w:rsidRPr="00D429B4">
              <w:rPr>
                <w:rFonts w:ascii="Verdana" w:hAnsi="Verdana"/>
                <w:sz w:val="16"/>
                <w:szCs w:val="16"/>
                <w:lang w:val="en-US"/>
              </w:rPr>
              <w:t xml:space="preserve"> All leak tests will be made in a way that microbial contamination or contamination by residual humidity be avoided.</w:t>
            </w:r>
          </w:p>
        </w:tc>
      </w:tr>
      <w:tr w:rsidR="00CD67E0" w:rsidRPr="00DD29AF" w14:paraId="4FABC508" w14:textId="77777777" w:rsidTr="00335F65">
        <w:tc>
          <w:tcPr>
            <w:tcW w:w="4421" w:type="dxa"/>
          </w:tcPr>
          <w:p w14:paraId="2D46DBA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w:t>
            </w:r>
            <w:r w:rsidRPr="00D429B4">
              <w:rPr>
                <w:rFonts w:ascii="Verdana" w:hAnsi="Verdana"/>
                <w:sz w:val="16"/>
                <w:szCs w:val="16"/>
                <w:lang w:val="es-MX"/>
              </w:rPr>
              <w:t xml:space="preserve"> Medicamentos homeopáticos</w:t>
            </w:r>
          </w:p>
        </w:tc>
        <w:tc>
          <w:tcPr>
            <w:tcW w:w="4421" w:type="dxa"/>
          </w:tcPr>
          <w:p w14:paraId="126534E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w:t>
            </w:r>
            <w:r w:rsidRPr="00D429B4">
              <w:rPr>
                <w:rFonts w:ascii="Verdana" w:hAnsi="Verdana"/>
                <w:sz w:val="16"/>
                <w:szCs w:val="16"/>
                <w:lang w:val="en-US"/>
              </w:rPr>
              <w:t xml:space="preserve"> Homeopathic drug products. </w:t>
            </w:r>
          </w:p>
        </w:tc>
      </w:tr>
      <w:tr w:rsidR="00CD67E0" w:rsidRPr="00DD29AF" w14:paraId="16EFC347" w14:textId="77777777" w:rsidTr="00335F65">
        <w:tc>
          <w:tcPr>
            <w:tcW w:w="4421" w:type="dxa"/>
          </w:tcPr>
          <w:p w14:paraId="0BB29D73"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10.8.1 </w:t>
            </w:r>
            <w:r w:rsidRPr="00D429B4">
              <w:rPr>
                <w:rFonts w:ascii="Verdana" w:hAnsi="Verdana"/>
                <w:sz w:val="16"/>
                <w:szCs w:val="16"/>
                <w:lang w:val="es-MX"/>
              </w:rPr>
              <w:t>Generalidades</w:t>
            </w:r>
          </w:p>
        </w:tc>
        <w:tc>
          <w:tcPr>
            <w:tcW w:w="4421" w:type="dxa"/>
          </w:tcPr>
          <w:p w14:paraId="5E4EFA93"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10.8.1 </w:t>
            </w:r>
            <w:r w:rsidRPr="00D429B4">
              <w:rPr>
                <w:rFonts w:ascii="Verdana" w:hAnsi="Verdana"/>
                <w:sz w:val="16"/>
                <w:szCs w:val="16"/>
                <w:lang w:val="en-US"/>
              </w:rPr>
              <w:t>General provisions</w:t>
            </w:r>
          </w:p>
        </w:tc>
      </w:tr>
      <w:tr w:rsidR="00CD67E0" w:rsidRPr="00B838EC" w14:paraId="72C93733" w14:textId="77777777" w:rsidTr="00335F65">
        <w:tc>
          <w:tcPr>
            <w:tcW w:w="4421" w:type="dxa"/>
          </w:tcPr>
          <w:p w14:paraId="0723478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10.8.1.1 </w:t>
            </w:r>
            <w:r w:rsidRPr="00D429B4">
              <w:rPr>
                <w:rFonts w:ascii="Verdana" w:hAnsi="Verdana"/>
                <w:sz w:val="16"/>
                <w:szCs w:val="16"/>
                <w:lang w:val="es-MX"/>
              </w:rPr>
              <w:t>La fabricación de medicamentos homeopáticos exigen algunas disposiciones adicionales debido a la naturaleza particular de estos medicamentos.</w:t>
            </w:r>
          </w:p>
        </w:tc>
        <w:tc>
          <w:tcPr>
            <w:tcW w:w="4421" w:type="dxa"/>
          </w:tcPr>
          <w:p w14:paraId="6F7B932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10.8.1.1 </w:t>
            </w:r>
            <w:r w:rsidRPr="00D429B4">
              <w:rPr>
                <w:rFonts w:ascii="Verdana" w:hAnsi="Verdana"/>
                <w:sz w:val="16"/>
                <w:szCs w:val="16"/>
                <w:lang w:val="en-US"/>
              </w:rPr>
              <w:t xml:space="preserve">The manufacture of homeopathic drug products requires some additional provisions due to the particular nature of these drug products. </w:t>
            </w:r>
          </w:p>
        </w:tc>
      </w:tr>
      <w:tr w:rsidR="00CD67E0" w:rsidRPr="00B838EC" w14:paraId="71FC3E01" w14:textId="77777777" w:rsidTr="00335F65">
        <w:tc>
          <w:tcPr>
            <w:tcW w:w="4421" w:type="dxa"/>
          </w:tcPr>
          <w:p w14:paraId="2C579F6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10.8.1.2 </w:t>
            </w:r>
            <w:r w:rsidRPr="00D429B4">
              <w:rPr>
                <w:rFonts w:ascii="Verdana" w:hAnsi="Verdana"/>
                <w:sz w:val="16"/>
                <w:szCs w:val="16"/>
                <w:lang w:val="es-MX"/>
              </w:rPr>
              <w:t>Los Medicamentos homeopáticos son substancias o mezcla de substancias de origen natural o sintético.</w:t>
            </w:r>
          </w:p>
        </w:tc>
        <w:tc>
          <w:tcPr>
            <w:tcW w:w="4421" w:type="dxa"/>
          </w:tcPr>
          <w:p w14:paraId="388C1B3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10.8.12 </w:t>
            </w:r>
            <w:r w:rsidRPr="00D429B4">
              <w:rPr>
                <w:rFonts w:ascii="Verdana" w:hAnsi="Verdana"/>
                <w:sz w:val="16"/>
                <w:szCs w:val="16"/>
                <w:lang w:val="en-US"/>
              </w:rPr>
              <w:t xml:space="preserve">The homeopathic drug products are substances or a mixture of substances of natural or synthetic origin. </w:t>
            </w:r>
          </w:p>
        </w:tc>
      </w:tr>
      <w:tr w:rsidR="00CD67E0" w:rsidRPr="00B838EC" w14:paraId="34ECD4D1" w14:textId="77777777" w:rsidTr="00335F65">
        <w:tc>
          <w:tcPr>
            <w:tcW w:w="4421" w:type="dxa"/>
          </w:tcPr>
          <w:p w14:paraId="74E39B5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10.8.1.3</w:t>
            </w:r>
            <w:r w:rsidRPr="00D429B4">
              <w:rPr>
                <w:rFonts w:ascii="Verdana" w:hAnsi="Verdana"/>
                <w:sz w:val="16"/>
                <w:szCs w:val="16"/>
                <w:lang w:val="es-MX"/>
              </w:rPr>
              <w:t xml:space="preserve"> Los insumos y principios activos utilizados para los medicamentos homeopáticos deben ser analizados de acuerdo a lo establecido en la FEUM y FHOEUM.</w:t>
            </w:r>
          </w:p>
        </w:tc>
        <w:tc>
          <w:tcPr>
            <w:tcW w:w="4421" w:type="dxa"/>
          </w:tcPr>
          <w:p w14:paraId="5ACAE62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10.8.1.3</w:t>
            </w:r>
            <w:r w:rsidRPr="00D429B4">
              <w:rPr>
                <w:rFonts w:ascii="Verdana" w:hAnsi="Verdana"/>
                <w:sz w:val="16"/>
                <w:szCs w:val="16"/>
                <w:lang w:val="en-US"/>
              </w:rPr>
              <w:t xml:space="preserve"> The materials and principal active ingredients used for homeopathic drug products must be analyzed according to that established in the FEUM and the FHOEUM.</w:t>
            </w:r>
          </w:p>
        </w:tc>
      </w:tr>
      <w:tr w:rsidR="00CD67E0" w:rsidRPr="00DD29AF" w14:paraId="60783E68" w14:textId="77777777" w:rsidTr="00335F65">
        <w:tc>
          <w:tcPr>
            <w:tcW w:w="4421" w:type="dxa"/>
          </w:tcPr>
          <w:p w14:paraId="7CAD1D8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10.8.2</w:t>
            </w:r>
            <w:r w:rsidRPr="00D429B4">
              <w:rPr>
                <w:rFonts w:ascii="Verdana" w:hAnsi="Verdana"/>
                <w:sz w:val="16"/>
                <w:szCs w:val="16"/>
                <w:lang w:val="es-MX"/>
              </w:rPr>
              <w:t xml:space="preserve"> Documentación.</w:t>
            </w:r>
          </w:p>
        </w:tc>
        <w:tc>
          <w:tcPr>
            <w:tcW w:w="4421" w:type="dxa"/>
          </w:tcPr>
          <w:p w14:paraId="1853C34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10.8.2</w:t>
            </w:r>
            <w:r w:rsidRPr="00D429B4">
              <w:rPr>
                <w:rFonts w:ascii="Verdana" w:hAnsi="Verdana"/>
                <w:sz w:val="16"/>
                <w:szCs w:val="16"/>
                <w:lang w:val="en-US"/>
              </w:rPr>
              <w:t xml:space="preserve"> Documentation.</w:t>
            </w:r>
          </w:p>
        </w:tc>
      </w:tr>
      <w:tr w:rsidR="00CD67E0" w:rsidRPr="00B838EC" w14:paraId="7E37EB78" w14:textId="77777777" w:rsidTr="00335F65">
        <w:tc>
          <w:tcPr>
            <w:tcW w:w="4421" w:type="dxa"/>
          </w:tcPr>
          <w:p w14:paraId="7FFF090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10.8.2.1</w:t>
            </w:r>
            <w:r w:rsidRPr="00D429B4">
              <w:rPr>
                <w:rFonts w:ascii="Verdana" w:hAnsi="Verdana"/>
                <w:sz w:val="16"/>
                <w:szCs w:val="16"/>
                <w:lang w:val="es-MX"/>
              </w:rPr>
              <w:t xml:space="preserve"> Se deberá partir de tinturas madres y trituraciones aprobadas, así como diluciones conforme a lo establecido en la FHOEUM.</w:t>
            </w:r>
          </w:p>
        </w:tc>
        <w:tc>
          <w:tcPr>
            <w:tcW w:w="4421" w:type="dxa"/>
          </w:tcPr>
          <w:p w14:paraId="760A24E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10.8.2.1</w:t>
            </w:r>
            <w:r w:rsidRPr="00D429B4">
              <w:rPr>
                <w:rFonts w:ascii="Verdana" w:hAnsi="Verdana"/>
                <w:sz w:val="16"/>
                <w:szCs w:val="16"/>
                <w:lang w:val="en-US"/>
              </w:rPr>
              <w:t xml:space="preserve"> It should be from mother tinctures and approved triturations as well as dilutions according to that established in the FHOEUM.</w:t>
            </w:r>
          </w:p>
        </w:tc>
      </w:tr>
      <w:tr w:rsidR="00CD67E0" w:rsidRPr="00B838EC" w14:paraId="1AE367F0" w14:textId="77777777" w:rsidTr="00335F65">
        <w:tc>
          <w:tcPr>
            <w:tcW w:w="4421" w:type="dxa"/>
          </w:tcPr>
          <w:p w14:paraId="4251442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10.8.2.2</w:t>
            </w:r>
            <w:r w:rsidRPr="00D429B4">
              <w:rPr>
                <w:rFonts w:ascii="Verdana" w:hAnsi="Verdana"/>
                <w:sz w:val="16"/>
                <w:szCs w:val="16"/>
                <w:lang w:val="es-MX"/>
              </w:rPr>
              <w:t xml:space="preserve"> Se debe asegurar la trazabilidad de cada lote de acuerdo a lote de tintura madre y a la dilución o trituración correspondiente.</w:t>
            </w:r>
          </w:p>
        </w:tc>
        <w:tc>
          <w:tcPr>
            <w:tcW w:w="4421" w:type="dxa"/>
          </w:tcPr>
          <w:p w14:paraId="42B0FCE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10.8.2.2</w:t>
            </w:r>
            <w:r w:rsidRPr="00D429B4">
              <w:rPr>
                <w:rFonts w:ascii="Verdana" w:hAnsi="Verdana"/>
                <w:sz w:val="16"/>
                <w:szCs w:val="16"/>
                <w:lang w:val="en-US"/>
              </w:rPr>
              <w:t xml:space="preserve"> The traceability of each lot according to the mother tincture lot and the corresponding dilution or trituration lot. </w:t>
            </w:r>
          </w:p>
        </w:tc>
      </w:tr>
      <w:tr w:rsidR="00CD67E0" w:rsidRPr="00B838EC" w14:paraId="2200BD7D" w14:textId="77777777" w:rsidTr="00335F65">
        <w:tc>
          <w:tcPr>
            <w:tcW w:w="4421" w:type="dxa"/>
          </w:tcPr>
          <w:p w14:paraId="21172E3E"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10.8.2.3</w:t>
            </w:r>
            <w:r w:rsidRPr="00D429B4">
              <w:rPr>
                <w:rFonts w:ascii="Verdana" w:hAnsi="Verdana"/>
                <w:sz w:val="16"/>
                <w:szCs w:val="16"/>
                <w:lang w:val="es-MX"/>
              </w:rPr>
              <w:t xml:space="preserve"> Debe existir un expediente de fabricación de cada dilución o trituración, para las presentaciones de los medicamentos homeopáticos.</w:t>
            </w:r>
          </w:p>
        </w:tc>
        <w:tc>
          <w:tcPr>
            <w:tcW w:w="4421" w:type="dxa"/>
          </w:tcPr>
          <w:p w14:paraId="1155C204"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10.8.2.3</w:t>
            </w:r>
            <w:r w:rsidRPr="00D429B4">
              <w:rPr>
                <w:rFonts w:ascii="Verdana" w:hAnsi="Verdana"/>
                <w:sz w:val="16"/>
                <w:szCs w:val="16"/>
                <w:lang w:val="en-US"/>
              </w:rPr>
              <w:t xml:space="preserve"> A manufacturing file must exist for each dilution or trituration for the presentations of homeopathic drug products. </w:t>
            </w:r>
          </w:p>
        </w:tc>
      </w:tr>
      <w:tr w:rsidR="00CD67E0" w:rsidRPr="00DD29AF" w14:paraId="1A3594B4" w14:textId="77777777" w:rsidTr="00335F65">
        <w:tc>
          <w:tcPr>
            <w:tcW w:w="4421" w:type="dxa"/>
          </w:tcPr>
          <w:p w14:paraId="11723A6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10.8.3</w:t>
            </w:r>
            <w:r w:rsidRPr="00D429B4">
              <w:rPr>
                <w:rFonts w:ascii="Verdana" w:hAnsi="Verdana"/>
                <w:sz w:val="16"/>
                <w:szCs w:val="16"/>
                <w:lang w:val="es-MX"/>
              </w:rPr>
              <w:t xml:space="preserve"> Personal.</w:t>
            </w:r>
          </w:p>
        </w:tc>
        <w:tc>
          <w:tcPr>
            <w:tcW w:w="4421" w:type="dxa"/>
          </w:tcPr>
          <w:p w14:paraId="6638558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10.8.3</w:t>
            </w:r>
            <w:r w:rsidRPr="00D429B4">
              <w:rPr>
                <w:rFonts w:ascii="Verdana" w:hAnsi="Verdana"/>
                <w:sz w:val="16"/>
                <w:szCs w:val="16"/>
                <w:lang w:val="en-US"/>
              </w:rPr>
              <w:t xml:space="preserve"> Personnel.</w:t>
            </w:r>
          </w:p>
        </w:tc>
      </w:tr>
      <w:tr w:rsidR="00CD67E0" w:rsidRPr="00B838EC" w14:paraId="0CF74208" w14:textId="77777777" w:rsidTr="00335F65">
        <w:tc>
          <w:tcPr>
            <w:tcW w:w="4421" w:type="dxa"/>
          </w:tcPr>
          <w:p w14:paraId="14967883"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10.8.3.1</w:t>
            </w:r>
            <w:r w:rsidRPr="00D429B4">
              <w:rPr>
                <w:rFonts w:ascii="Verdana" w:hAnsi="Verdana"/>
                <w:sz w:val="16"/>
                <w:szCs w:val="16"/>
                <w:lang w:val="es-MX"/>
              </w:rPr>
              <w:t xml:space="preserve"> El personal relacionado con la fabricación de medicamentos homeopáticos deberá recibir entrenamiento en manejo de diluciones y trituraciones.</w:t>
            </w:r>
          </w:p>
        </w:tc>
        <w:tc>
          <w:tcPr>
            <w:tcW w:w="4421" w:type="dxa"/>
          </w:tcPr>
          <w:p w14:paraId="6B99F92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10.8.3.1 </w:t>
            </w:r>
            <w:r w:rsidRPr="00D429B4">
              <w:rPr>
                <w:rFonts w:ascii="Verdana" w:hAnsi="Verdana"/>
                <w:sz w:val="16"/>
                <w:szCs w:val="16"/>
                <w:lang w:val="en-US"/>
              </w:rPr>
              <w:t>The personnel related to the manufacturing of homeopathic drug products must receive training in the handling of dilutions and triturations.</w:t>
            </w:r>
          </w:p>
        </w:tc>
      </w:tr>
      <w:tr w:rsidR="00CD67E0" w:rsidRPr="00DD29AF" w14:paraId="436E8CE0" w14:textId="77777777" w:rsidTr="00335F65">
        <w:tc>
          <w:tcPr>
            <w:tcW w:w="4421" w:type="dxa"/>
          </w:tcPr>
          <w:p w14:paraId="04ACD4B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10.8.4 </w:t>
            </w:r>
            <w:r w:rsidRPr="00D429B4">
              <w:rPr>
                <w:rFonts w:ascii="Verdana" w:hAnsi="Verdana"/>
                <w:sz w:val="16"/>
                <w:szCs w:val="16"/>
                <w:lang w:val="es-MX"/>
              </w:rPr>
              <w:t>Producción</w:t>
            </w:r>
          </w:p>
        </w:tc>
        <w:tc>
          <w:tcPr>
            <w:tcW w:w="4421" w:type="dxa"/>
          </w:tcPr>
          <w:p w14:paraId="7568757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10.8.4. </w:t>
            </w:r>
            <w:r w:rsidRPr="00D429B4">
              <w:rPr>
                <w:rFonts w:ascii="Verdana" w:hAnsi="Verdana"/>
                <w:sz w:val="16"/>
                <w:szCs w:val="16"/>
                <w:lang w:val="en-US"/>
              </w:rPr>
              <w:t>Production.</w:t>
            </w:r>
          </w:p>
        </w:tc>
      </w:tr>
      <w:tr w:rsidR="00CD67E0" w:rsidRPr="00B838EC" w14:paraId="5AC14C38" w14:textId="77777777" w:rsidTr="00335F65">
        <w:tc>
          <w:tcPr>
            <w:tcW w:w="4421" w:type="dxa"/>
          </w:tcPr>
          <w:p w14:paraId="031F4DF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10.8.4.1</w:t>
            </w:r>
            <w:r w:rsidRPr="00D429B4">
              <w:rPr>
                <w:rFonts w:ascii="Verdana" w:hAnsi="Verdana"/>
                <w:sz w:val="16"/>
                <w:szCs w:val="16"/>
                <w:lang w:val="es-MX"/>
              </w:rPr>
              <w:t xml:space="preserve"> Los medicamentos homeopáticos se preparan a través de dinamizaciones, que es el procedimiento específico de la homeopatía que se emplea para la preparación de principios activos a partir de tinturas, soluciones acuosas o trituraciones.</w:t>
            </w:r>
          </w:p>
        </w:tc>
        <w:tc>
          <w:tcPr>
            <w:tcW w:w="4421" w:type="dxa"/>
          </w:tcPr>
          <w:p w14:paraId="62FE8F0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10.8.4.1 </w:t>
            </w:r>
            <w:r w:rsidRPr="00D429B4">
              <w:rPr>
                <w:rFonts w:ascii="Verdana" w:hAnsi="Verdana"/>
                <w:sz w:val="16"/>
                <w:szCs w:val="16"/>
                <w:lang w:val="en-US"/>
              </w:rPr>
              <w:t xml:space="preserve">The homeopathic drug products are prepared through dynamizations, that is the specific homeopathic procedure that is employed for the preparation of the principal active ingredients from tinctures, aqueous solutions or triturations. </w:t>
            </w:r>
          </w:p>
        </w:tc>
      </w:tr>
      <w:tr w:rsidR="00CD67E0" w:rsidRPr="00B838EC" w14:paraId="4A63C8EF" w14:textId="77777777" w:rsidTr="00335F65">
        <w:tc>
          <w:tcPr>
            <w:tcW w:w="4421" w:type="dxa"/>
          </w:tcPr>
          <w:p w14:paraId="4495E0E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10.8.4.2</w:t>
            </w:r>
            <w:r w:rsidRPr="00D429B4">
              <w:rPr>
                <w:rFonts w:ascii="Verdana" w:hAnsi="Verdana"/>
                <w:sz w:val="16"/>
                <w:szCs w:val="16"/>
                <w:lang w:val="es-MX"/>
              </w:rPr>
              <w:t xml:space="preserve"> La preparación de dinamizaciones deben seguir las reglas establecidas en la FHOEUM.</w:t>
            </w:r>
          </w:p>
        </w:tc>
        <w:tc>
          <w:tcPr>
            <w:tcW w:w="4421" w:type="dxa"/>
          </w:tcPr>
          <w:p w14:paraId="44E2C31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10.8.4.2 </w:t>
            </w:r>
            <w:r w:rsidRPr="00D429B4">
              <w:rPr>
                <w:rFonts w:ascii="Verdana" w:hAnsi="Verdana"/>
                <w:sz w:val="16"/>
                <w:szCs w:val="16"/>
                <w:lang w:val="en-US"/>
              </w:rPr>
              <w:t xml:space="preserve">The preparation of dynamizations must follow the rules established in the FHOEUM. </w:t>
            </w:r>
          </w:p>
        </w:tc>
      </w:tr>
      <w:tr w:rsidR="00CD67E0" w:rsidRPr="00B838EC" w14:paraId="1736FC2C" w14:textId="77777777" w:rsidTr="00335F65">
        <w:tc>
          <w:tcPr>
            <w:tcW w:w="4421" w:type="dxa"/>
          </w:tcPr>
          <w:p w14:paraId="712068C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10.8.4.3</w:t>
            </w:r>
            <w:r w:rsidRPr="00D429B4">
              <w:rPr>
                <w:rFonts w:ascii="Verdana" w:hAnsi="Verdana"/>
                <w:sz w:val="16"/>
                <w:szCs w:val="16"/>
                <w:lang w:val="es-MX"/>
              </w:rPr>
              <w:t xml:space="preserve"> La trituración consiste en dinamizar un principio activo con lactosa u otro vehículo sólido de tal manera que pueda ser comprimido o encapsulado.</w:t>
            </w:r>
          </w:p>
        </w:tc>
        <w:tc>
          <w:tcPr>
            <w:tcW w:w="4421" w:type="dxa"/>
          </w:tcPr>
          <w:p w14:paraId="03600F4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10.8.4.3</w:t>
            </w:r>
            <w:r w:rsidRPr="00D429B4">
              <w:rPr>
                <w:rFonts w:ascii="Verdana" w:hAnsi="Verdana"/>
                <w:sz w:val="16"/>
                <w:szCs w:val="16"/>
                <w:lang w:val="en-US"/>
              </w:rPr>
              <w:t xml:space="preserve"> The trituration consists in dynamizing a principal active ingredient with lactose or another solid vehicle in a way that it can be compressed or encapsulated. </w:t>
            </w:r>
          </w:p>
        </w:tc>
      </w:tr>
      <w:tr w:rsidR="00CD67E0" w:rsidRPr="00B838EC" w14:paraId="1FACBDFE" w14:textId="77777777" w:rsidTr="00335F65">
        <w:tc>
          <w:tcPr>
            <w:tcW w:w="4421" w:type="dxa"/>
          </w:tcPr>
          <w:p w14:paraId="3374F49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10.8.4.4</w:t>
            </w:r>
            <w:r w:rsidRPr="00D429B4">
              <w:rPr>
                <w:rFonts w:ascii="Verdana" w:hAnsi="Verdana"/>
                <w:sz w:val="16"/>
                <w:szCs w:val="16"/>
                <w:lang w:val="es-MX"/>
              </w:rPr>
              <w:t xml:space="preserve"> Medicamentos homeopáticos sólidos. Se preparan a través de la impregnación de vehículos inertes y/o de trituraciones. Para las impregnaciones </w:t>
            </w:r>
            <w:r w:rsidRPr="00D429B4">
              <w:rPr>
                <w:rFonts w:ascii="Verdana" w:hAnsi="Verdana"/>
                <w:sz w:val="16"/>
                <w:szCs w:val="16"/>
                <w:lang w:val="es-MX"/>
              </w:rPr>
              <w:lastRenderedPageBreak/>
              <w:t>de vehículos inertes se utilizan diversas formas farmacéuticas como: glóbulos, pastillas, granulados, polvos, jabones medicinales y tabletas a las cuales, a través de soluciones dinamizadas, se les agrega el principio activo.</w:t>
            </w:r>
          </w:p>
        </w:tc>
        <w:tc>
          <w:tcPr>
            <w:tcW w:w="4421" w:type="dxa"/>
          </w:tcPr>
          <w:p w14:paraId="28D8C93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10.8.4.4</w:t>
            </w:r>
            <w:r w:rsidRPr="00D429B4">
              <w:rPr>
                <w:rFonts w:ascii="Verdana" w:hAnsi="Verdana"/>
                <w:sz w:val="16"/>
                <w:szCs w:val="16"/>
                <w:lang w:val="en-US"/>
              </w:rPr>
              <w:t xml:space="preserve"> Solid homeopathic drug products are prepared through the impregnation of inert vehicles and/or triturations. For the impregnations of inert </w:t>
            </w:r>
            <w:r w:rsidRPr="00D429B4">
              <w:rPr>
                <w:rFonts w:ascii="Verdana" w:hAnsi="Verdana"/>
                <w:sz w:val="16"/>
                <w:szCs w:val="16"/>
                <w:lang w:val="en-US"/>
              </w:rPr>
              <w:lastRenderedPageBreak/>
              <w:t xml:space="preserve">vehicles, various pharmaceutical forms are used such as: globules, pills, granulated, powders, medicinal soaps and tablets to which, through dynamized solutions, the principal active ingredient are added. </w:t>
            </w:r>
          </w:p>
        </w:tc>
      </w:tr>
      <w:tr w:rsidR="00CD67E0" w:rsidRPr="00B838EC" w14:paraId="3A59BFDA" w14:textId="77777777" w:rsidTr="00A26B9F">
        <w:trPr>
          <w:trHeight w:val="1521"/>
        </w:trPr>
        <w:tc>
          <w:tcPr>
            <w:tcW w:w="4421" w:type="dxa"/>
          </w:tcPr>
          <w:p w14:paraId="41017FC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10.8.4.5</w:t>
            </w:r>
            <w:r w:rsidRPr="00D429B4">
              <w:rPr>
                <w:rFonts w:ascii="Verdana" w:hAnsi="Verdana"/>
                <w:sz w:val="16"/>
                <w:szCs w:val="16"/>
                <w:lang w:val="es-MX"/>
              </w:rPr>
              <w:t xml:space="preserve"> Los medicamentos homeopáticos líquidos se preparan a través de la dinamización de principios activos en soluciones acuosas, hidroalcohólicas u oleosas para las formas farmacéuticas, elíxir, jarabe, loción, linimento o solución homeopática.</w:t>
            </w:r>
          </w:p>
        </w:tc>
        <w:tc>
          <w:tcPr>
            <w:tcW w:w="4421" w:type="dxa"/>
          </w:tcPr>
          <w:p w14:paraId="718FF29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10.8.4.5</w:t>
            </w:r>
            <w:r w:rsidRPr="00D429B4">
              <w:rPr>
                <w:rFonts w:ascii="Verdana" w:hAnsi="Verdana"/>
                <w:sz w:val="16"/>
                <w:szCs w:val="16"/>
                <w:lang w:val="en-US"/>
              </w:rPr>
              <w:t xml:space="preserve"> The liquid homeopathic drug products are prepared through the dynamization of principal active ingredients in aqueous solutions, hydroalcoholic or oily solutions for pharmaceutical forms, elixirs, syrups, lotions, linament or homeopathic solution. </w:t>
            </w:r>
          </w:p>
        </w:tc>
      </w:tr>
      <w:tr w:rsidR="00CD67E0" w:rsidRPr="00B838EC" w14:paraId="05C76EE3" w14:textId="77777777" w:rsidTr="00335F65">
        <w:tc>
          <w:tcPr>
            <w:tcW w:w="4421" w:type="dxa"/>
          </w:tcPr>
          <w:p w14:paraId="2021EEE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10.8.4.6</w:t>
            </w:r>
            <w:r w:rsidRPr="00D429B4">
              <w:rPr>
                <w:rFonts w:ascii="Verdana" w:hAnsi="Verdana"/>
                <w:sz w:val="16"/>
                <w:szCs w:val="16"/>
                <w:lang w:val="es-MX"/>
              </w:rPr>
              <w:t xml:space="preserve"> Los medicamentos homeopáticos Semisólidos, se preparan a través de la mezcla del principio activo con el vehículo correspondiente para las formas farmacéuticas pomadas, supositorios, ungüentos, geles y cremas.</w:t>
            </w:r>
          </w:p>
        </w:tc>
        <w:tc>
          <w:tcPr>
            <w:tcW w:w="4421" w:type="dxa"/>
          </w:tcPr>
          <w:p w14:paraId="50D7E70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10.8.4.6</w:t>
            </w:r>
            <w:r w:rsidRPr="00D429B4">
              <w:rPr>
                <w:rFonts w:ascii="Verdana" w:hAnsi="Verdana"/>
                <w:sz w:val="16"/>
                <w:szCs w:val="16"/>
                <w:lang w:val="en-US"/>
              </w:rPr>
              <w:t xml:space="preserve"> The semi-solid homeopathic drug products are prepared through the mixture of the active principal ingredient with the corresponding vehicle for the pharmaceutical forms salves, suppositories, unguents, gels and creams. </w:t>
            </w:r>
          </w:p>
        </w:tc>
      </w:tr>
      <w:tr w:rsidR="00CD67E0" w:rsidRPr="00B838EC" w14:paraId="07046CBC" w14:textId="77777777" w:rsidTr="00335F65">
        <w:tc>
          <w:tcPr>
            <w:tcW w:w="4421" w:type="dxa"/>
          </w:tcPr>
          <w:p w14:paraId="4EF59E6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10.8.4.7</w:t>
            </w:r>
            <w:r w:rsidRPr="00D429B4">
              <w:rPr>
                <w:rFonts w:ascii="Verdana" w:hAnsi="Verdana"/>
                <w:sz w:val="16"/>
                <w:szCs w:val="16"/>
                <w:lang w:val="es-MX"/>
              </w:rPr>
              <w:t xml:space="preserve"> Para la preparación de los medicamentos homeopáticos estériles se debe de cumplir lo indicado en el punto 10.4 de productos estériles en esta Norma y lo establecido en la FEUM.</w:t>
            </w:r>
          </w:p>
        </w:tc>
        <w:tc>
          <w:tcPr>
            <w:tcW w:w="4421" w:type="dxa"/>
          </w:tcPr>
          <w:p w14:paraId="3FCBC2F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10.8.4.7</w:t>
            </w:r>
            <w:r w:rsidRPr="00D429B4">
              <w:rPr>
                <w:rFonts w:ascii="Verdana" w:hAnsi="Verdana"/>
                <w:sz w:val="16"/>
                <w:szCs w:val="16"/>
                <w:lang w:val="en-US"/>
              </w:rPr>
              <w:t xml:space="preserve"> For the preparation of the sterile homeopathic drug products, that indicated in point 10.4 for sterile products in this Standard must be complied and that established in the FEUM (Pharmacopeia of the United Mexican States).</w:t>
            </w:r>
          </w:p>
        </w:tc>
      </w:tr>
      <w:tr w:rsidR="00CD67E0" w:rsidRPr="00DD29AF" w14:paraId="42A8DF7C" w14:textId="77777777" w:rsidTr="00335F65">
        <w:tc>
          <w:tcPr>
            <w:tcW w:w="4421" w:type="dxa"/>
          </w:tcPr>
          <w:p w14:paraId="4FCC0F5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10.8.5</w:t>
            </w:r>
            <w:r w:rsidRPr="00D429B4">
              <w:rPr>
                <w:rFonts w:ascii="Verdana" w:hAnsi="Verdana"/>
                <w:sz w:val="16"/>
                <w:szCs w:val="16"/>
                <w:lang w:val="es-MX"/>
              </w:rPr>
              <w:t xml:space="preserve"> Instalaciones y Equipos.</w:t>
            </w:r>
          </w:p>
        </w:tc>
        <w:tc>
          <w:tcPr>
            <w:tcW w:w="4421" w:type="dxa"/>
          </w:tcPr>
          <w:p w14:paraId="6275221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10.8.5</w:t>
            </w:r>
            <w:r w:rsidRPr="00D429B4">
              <w:rPr>
                <w:rFonts w:ascii="Verdana" w:hAnsi="Verdana"/>
                <w:sz w:val="16"/>
                <w:szCs w:val="16"/>
                <w:lang w:val="en-US"/>
              </w:rPr>
              <w:t xml:space="preserve"> Installations and Equipment. </w:t>
            </w:r>
          </w:p>
        </w:tc>
      </w:tr>
      <w:tr w:rsidR="00CD67E0" w:rsidRPr="00B838EC" w14:paraId="55FBB0D7" w14:textId="77777777" w:rsidTr="00335F65">
        <w:tc>
          <w:tcPr>
            <w:tcW w:w="4421" w:type="dxa"/>
          </w:tcPr>
          <w:p w14:paraId="639274C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10.8.5.1</w:t>
            </w:r>
            <w:r w:rsidRPr="00D429B4">
              <w:rPr>
                <w:rFonts w:ascii="Verdana" w:hAnsi="Verdana"/>
                <w:sz w:val="16"/>
                <w:szCs w:val="16"/>
                <w:lang w:val="es-MX"/>
              </w:rPr>
              <w:t xml:space="preserve"> Las áreas y equipos de fabricación deben ser utilizados únicamente para medicamentos Homeopáticos.</w:t>
            </w:r>
          </w:p>
        </w:tc>
        <w:tc>
          <w:tcPr>
            <w:tcW w:w="4421" w:type="dxa"/>
          </w:tcPr>
          <w:p w14:paraId="0497FE1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10.8.5.1</w:t>
            </w:r>
            <w:r w:rsidRPr="00D429B4">
              <w:rPr>
                <w:rFonts w:ascii="Verdana" w:hAnsi="Verdana"/>
                <w:sz w:val="16"/>
                <w:szCs w:val="16"/>
                <w:lang w:val="en-US"/>
              </w:rPr>
              <w:t xml:space="preserve"> The manufacturing areas and equipment must be used only for homeopathic drug products. </w:t>
            </w:r>
          </w:p>
        </w:tc>
      </w:tr>
      <w:tr w:rsidR="00CD67E0" w:rsidRPr="00B838EC" w14:paraId="2A704983" w14:textId="77777777" w:rsidTr="00335F65">
        <w:tc>
          <w:tcPr>
            <w:tcW w:w="4421" w:type="dxa"/>
          </w:tcPr>
          <w:p w14:paraId="33BC04F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10.8.5.2</w:t>
            </w:r>
            <w:r w:rsidRPr="00D429B4">
              <w:rPr>
                <w:rFonts w:ascii="Verdana" w:hAnsi="Verdana"/>
                <w:sz w:val="16"/>
                <w:szCs w:val="16"/>
                <w:lang w:val="es-MX"/>
              </w:rPr>
              <w:t xml:space="preserve"> En el caso de preparación de tinturas, desde la recepción de la planta, elaboración y almacenamiento, deberán tenerse áreas segregadas y su documentación correspondiente, para cumplir con trazabilidad y BPF.</w:t>
            </w:r>
          </w:p>
        </w:tc>
        <w:tc>
          <w:tcPr>
            <w:tcW w:w="4421" w:type="dxa"/>
          </w:tcPr>
          <w:p w14:paraId="4F166D6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10.8.5.2</w:t>
            </w:r>
            <w:r w:rsidRPr="00D429B4">
              <w:rPr>
                <w:rFonts w:ascii="Verdana" w:hAnsi="Verdana"/>
                <w:sz w:val="16"/>
                <w:szCs w:val="16"/>
                <w:lang w:val="en-US"/>
              </w:rPr>
              <w:t xml:space="preserve"> In the case of the preparation of tinctures, from the reception of the plant, preparation and storage, there must be segregated areas and their corresponding documentation, in order to comply with traceability and GMP (Good Manufacturing Practices).</w:t>
            </w:r>
          </w:p>
        </w:tc>
      </w:tr>
      <w:tr w:rsidR="00CD67E0" w:rsidRPr="00B838EC" w14:paraId="684DEE4D" w14:textId="77777777" w:rsidTr="00335F65">
        <w:tc>
          <w:tcPr>
            <w:tcW w:w="4421" w:type="dxa"/>
          </w:tcPr>
          <w:p w14:paraId="30C0DD7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10.8.6</w:t>
            </w:r>
            <w:r w:rsidRPr="00D429B4">
              <w:rPr>
                <w:rFonts w:ascii="Verdana" w:hAnsi="Verdana"/>
                <w:sz w:val="16"/>
                <w:szCs w:val="16"/>
                <w:lang w:val="es-MX"/>
              </w:rPr>
              <w:t xml:space="preserve"> Impacto de la validación. Para Medicamentos Homeopáticos se debe determinar el impacto de los elementos de la fabricación en la calidad del producto, utilizando la valoración de riesgos como una herramienta para establecer el alcance de la calificación y validación.</w:t>
            </w:r>
          </w:p>
        </w:tc>
        <w:tc>
          <w:tcPr>
            <w:tcW w:w="4421" w:type="dxa"/>
          </w:tcPr>
          <w:p w14:paraId="71FBEA0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10.8.6</w:t>
            </w:r>
            <w:r w:rsidRPr="00D429B4">
              <w:rPr>
                <w:rFonts w:ascii="Verdana" w:hAnsi="Verdana"/>
                <w:sz w:val="16"/>
                <w:szCs w:val="16"/>
                <w:lang w:val="en-US"/>
              </w:rPr>
              <w:t xml:space="preserve"> Impact of the validation. For homeopathic drug products, the impact of the manufacturing elements on the quality of the product must be determined, using the evaluation of risks as a tool to establishe the scope of the qualification and validation. </w:t>
            </w:r>
          </w:p>
        </w:tc>
      </w:tr>
      <w:tr w:rsidR="00CD67E0" w:rsidRPr="00B838EC" w14:paraId="3F1EE951" w14:textId="77777777" w:rsidTr="00335F65">
        <w:tc>
          <w:tcPr>
            <w:tcW w:w="4421" w:type="dxa"/>
          </w:tcPr>
          <w:p w14:paraId="10BBDF3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10.9 </w:t>
            </w:r>
            <w:r w:rsidRPr="00D429B4">
              <w:rPr>
                <w:rFonts w:ascii="Verdana" w:hAnsi="Verdana"/>
                <w:sz w:val="16"/>
                <w:szCs w:val="16"/>
                <w:lang w:val="es-MX"/>
              </w:rPr>
              <w:t>Medicamentos para uso en estudios clínicos</w:t>
            </w:r>
          </w:p>
        </w:tc>
        <w:tc>
          <w:tcPr>
            <w:tcW w:w="4421" w:type="dxa"/>
            <w:shd w:val="clear" w:color="auto" w:fill="auto"/>
          </w:tcPr>
          <w:p w14:paraId="126EC8E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 </w:t>
            </w:r>
            <w:r w:rsidRPr="00D429B4">
              <w:rPr>
                <w:rFonts w:ascii="Verdana" w:hAnsi="Verdana"/>
                <w:sz w:val="16"/>
                <w:szCs w:val="16"/>
                <w:lang w:val="en-US"/>
              </w:rPr>
              <w:t>Drug products for use in clinical studies.</w:t>
            </w:r>
          </w:p>
        </w:tc>
      </w:tr>
      <w:tr w:rsidR="00CD67E0" w:rsidRPr="00DD29AF" w14:paraId="075C2BD6" w14:textId="77777777" w:rsidTr="00335F65">
        <w:tc>
          <w:tcPr>
            <w:tcW w:w="4421" w:type="dxa"/>
          </w:tcPr>
          <w:p w14:paraId="1FE98B4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10.9.1 </w:t>
            </w:r>
            <w:r w:rsidRPr="00D429B4">
              <w:rPr>
                <w:rFonts w:ascii="Verdana" w:hAnsi="Verdana"/>
                <w:sz w:val="16"/>
                <w:szCs w:val="16"/>
                <w:lang w:val="es-MX"/>
              </w:rPr>
              <w:t>Generalidades.</w:t>
            </w:r>
          </w:p>
        </w:tc>
        <w:tc>
          <w:tcPr>
            <w:tcW w:w="4421" w:type="dxa"/>
            <w:shd w:val="clear" w:color="auto" w:fill="auto"/>
          </w:tcPr>
          <w:p w14:paraId="5D90641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10.9.1 </w:t>
            </w:r>
            <w:r w:rsidRPr="00D429B4">
              <w:rPr>
                <w:rFonts w:ascii="Verdana" w:hAnsi="Verdana"/>
                <w:sz w:val="16"/>
                <w:szCs w:val="16"/>
                <w:lang w:val="en-US"/>
              </w:rPr>
              <w:t>General provisions.</w:t>
            </w:r>
          </w:p>
        </w:tc>
      </w:tr>
      <w:tr w:rsidR="00CD67E0" w:rsidRPr="00B838EC" w14:paraId="3766E1AE" w14:textId="77777777" w:rsidTr="00335F65">
        <w:tc>
          <w:tcPr>
            <w:tcW w:w="4421" w:type="dxa"/>
          </w:tcPr>
          <w:p w14:paraId="760A58A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10.9.1.1 </w:t>
            </w:r>
            <w:r w:rsidRPr="00D429B4">
              <w:rPr>
                <w:rFonts w:ascii="Verdana" w:hAnsi="Verdana"/>
                <w:sz w:val="16"/>
                <w:szCs w:val="16"/>
                <w:lang w:val="es-MX"/>
              </w:rPr>
              <w:t>La fabricación de medicamentos en investigación para uso en estudios clínicos presenta una mayor complejidad que la de los productos comercializados debido a la falta de procedimientos sistemáticos, a la variedad de diseños de ensayos clínicos y, en consecuencia, de acondicionamiento (necesidad de aleatorización y enmascaramiento).</w:t>
            </w:r>
          </w:p>
        </w:tc>
        <w:tc>
          <w:tcPr>
            <w:tcW w:w="4421" w:type="dxa"/>
            <w:shd w:val="clear" w:color="auto" w:fill="auto"/>
          </w:tcPr>
          <w:p w14:paraId="05F8DDF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10.9.1.1 </w:t>
            </w:r>
            <w:r w:rsidRPr="00D429B4">
              <w:rPr>
                <w:rFonts w:ascii="Verdana" w:hAnsi="Verdana"/>
                <w:sz w:val="16"/>
                <w:szCs w:val="16"/>
                <w:lang w:val="en-US"/>
              </w:rPr>
              <w:t xml:space="preserve">The manufacture of drug products under investigation for use in clinical studies presents a greater complexity than that of the products commercially distributed due to the lack of systematic procedures, due to the variety of designs of clinical tests and, consequently, of the conditioning (necessity of random selection and blind testing).  </w:t>
            </w:r>
          </w:p>
        </w:tc>
      </w:tr>
      <w:tr w:rsidR="00CD67E0" w:rsidRPr="00B838EC" w14:paraId="0F1F9D43" w14:textId="77777777" w:rsidTr="00335F65">
        <w:tc>
          <w:tcPr>
            <w:tcW w:w="4421" w:type="dxa"/>
          </w:tcPr>
          <w:p w14:paraId="00ECB17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Lo anterior se debe a diversos factores vinculados con el cumplimiento de sistemas típicamente caracterizados por la producción a escala comercial, repetible, validable que en el caso de medicamentos en investigación es limitada.</w:t>
            </w:r>
          </w:p>
        </w:tc>
        <w:tc>
          <w:tcPr>
            <w:tcW w:w="4421" w:type="dxa"/>
            <w:shd w:val="clear" w:color="auto" w:fill="auto"/>
          </w:tcPr>
          <w:p w14:paraId="1361199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The latter is due to various factors related to the compliance of the systems typically characterized by production on a commercial scale, repeatable, and validatable that in the case of drug products under research is limited</w:t>
            </w:r>
          </w:p>
        </w:tc>
      </w:tr>
      <w:tr w:rsidR="00CD67E0" w:rsidRPr="00B838EC" w14:paraId="05F14CF6" w14:textId="77777777" w:rsidTr="00335F65">
        <w:tc>
          <w:tcPr>
            <w:tcW w:w="4421" w:type="dxa"/>
          </w:tcPr>
          <w:p w14:paraId="4AE0C56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10.9.1.2 </w:t>
            </w:r>
            <w:r w:rsidRPr="00D429B4">
              <w:rPr>
                <w:rFonts w:ascii="Verdana" w:hAnsi="Verdana"/>
                <w:sz w:val="16"/>
                <w:szCs w:val="16"/>
                <w:lang w:val="es-MX"/>
              </w:rPr>
              <w:t>El patrocinador debe garantizar que los medicamentos de referencia o placebos figuran en la notificación/solicitud de autorización para realizar el estudio clínico y que son de la calidad apropiada para los fines del estudio clínico, teniendo en cuenta el origen de los materiales, si tienen o no autorización de comercialización y si han sido re-acondicionados.</w:t>
            </w:r>
          </w:p>
        </w:tc>
        <w:tc>
          <w:tcPr>
            <w:tcW w:w="4421" w:type="dxa"/>
            <w:shd w:val="clear" w:color="auto" w:fill="auto"/>
          </w:tcPr>
          <w:p w14:paraId="2C02E3F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10.9.1.2 </w:t>
            </w:r>
            <w:r w:rsidRPr="00D429B4">
              <w:rPr>
                <w:rFonts w:ascii="Verdana" w:hAnsi="Verdana"/>
                <w:sz w:val="16"/>
                <w:szCs w:val="16"/>
                <w:lang w:val="en-US"/>
              </w:rPr>
              <w:t xml:space="preserve">The sponsor must guarantee that the drug products of reference or placebos figure in the notification/request for authorization to perform the clinical study and that are of the appropriate quality for the purposes of the clinical study, taking into account the origin of the materials, whether they have or do not have commercial distribution and if they have been reconditioned. </w:t>
            </w:r>
          </w:p>
        </w:tc>
      </w:tr>
      <w:tr w:rsidR="00CD67E0" w:rsidRPr="00B838EC" w14:paraId="7779829F" w14:textId="77777777" w:rsidTr="00335F65">
        <w:tc>
          <w:tcPr>
            <w:tcW w:w="4421" w:type="dxa"/>
          </w:tcPr>
          <w:p w14:paraId="15222A0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10.9.1.3</w:t>
            </w:r>
            <w:r w:rsidRPr="00D429B4">
              <w:rPr>
                <w:rFonts w:ascii="Verdana" w:hAnsi="Verdana"/>
                <w:sz w:val="16"/>
                <w:szCs w:val="16"/>
                <w:lang w:val="es-MX"/>
              </w:rPr>
              <w:t xml:space="preserve"> Los medicamentos para uso en investigación en México deben ser liberados conforme a las Buenas Prácticas Clínicas y los procedimientos establecidos por el patrocinador.</w:t>
            </w:r>
          </w:p>
        </w:tc>
        <w:tc>
          <w:tcPr>
            <w:tcW w:w="4421" w:type="dxa"/>
            <w:shd w:val="clear" w:color="auto" w:fill="auto"/>
          </w:tcPr>
          <w:p w14:paraId="5AB1F10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10.7.1.4 </w:t>
            </w:r>
            <w:r w:rsidRPr="00D429B4">
              <w:rPr>
                <w:rFonts w:ascii="Verdana" w:hAnsi="Verdana"/>
                <w:sz w:val="16"/>
                <w:szCs w:val="16"/>
                <w:lang w:val="en-US"/>
              </w:rPr>
              <w:t xml:space="preserve">The drug products for use in research in Mexico must be released according to the Good Clinical Practices and the procedures established by the sponsor. </w:t>
            </w:r>
          </w:p>
        </w:tc>
      </w:tr>
      <w:tr w:rsidR="00CD67E0" w:rsidRPr="00DD29AF" w14:paraId="1A95EA46" w14:textId="77777777" w:rsidTr="00335F65">
        <w:tc>
          <w:tcPr>
            <w:tcW w:w="4421" w:type="dxa"/>
          </w:tcPr>
          <w:p w14:paraId="0B94F41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10.9.2 </w:t>
            </w:r>
            <w:r w:rsidRPr="00D429B4">
              <w:rPr>
                <w:rFonts w:ascii="Verdana" w:hAnsi="Verdana"/>
                <w:sz w:val="16"/>
                <w:szCs w:val="16"/>
                <w:lang w:val="es-MX"/>
              </w:rPr>
              <w:t>Documentación.</w:t>
            </w:r>
          </w:p>
        </w:tc>
        <w:tc>
          <w:tcPr>
            <w:tcW w:w="4421" w:type="dxa"/>
            <w:shd w:val="clear" w:color="auto" w:fill="auto"/>
          </w:tcPr>
          <w:p w14:paraId="6C65DB2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10.9.2 </w:t>
            </w:r>
            <w:r w:rsidRPr="00D429B4">
              <w:rPr>
                <w:rFonts w:ascii="Verdana" w:hAnsi="Verdana"/>
                <w:sz w:val="16"/>
                <w:szCs w:val="16"/>
                <w:lang w:val="en-US"/>
              </w:rPr>
              <w:t>Documentation.</w:t>
            </w:r>
          </w:p>
        </w:tc>
      </w:tr>
      <w:tr w:rsidR="00CD67E0" w:rsidRPr="00B838EC" w14:paraId="197B9E79" w14:textId="77777777" w:rsidTr="00335F65">
        <w:tc>
          <w:tcPr>
            <w:tcW w:w="4421" w:type="dxa"/>
          </w:tcPr>
          <w:p w14:paraId="0449376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10.9.2.1</w:t>
            </w:r>
            <w:r w:rsidRPr="00D429B4">
              <w:rPr>
                <w:rFonts w:ascii="Verdana" w:hAnsi="Verdana"/>
                <w:sz w:val="16"/>
                <w:szCs w:val="16"/>
                <w:lang w:val="es-MX"/>
              </w:rPr>
              <w:t xml:space="preserve"> Dentro del Sistema de Gestión de Calidad establecido deben ser consideradas las políticas y directrices que apliquen a los medicamentos para uso en estudios clínicos, con la finalidad de que les apliquen los principios básicos de BPF y de distribución.</w:t>
            </w:r>
          </w:p>
        </w:tc>
        <w:tc>
          <w:tcPr>
            <w:tcW w:w="4421" w:type="dxa"/>
            <w:shd w:val="clear" w:color="auto" w:fill="auto"/>
          </w:tcPr>
          <w:p w14:paraId="07DF383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10.9.2.1 </w:t>
            </w:r>
            <w:r w:rsidRPr="00D429B4">
              <w:rPr>
                <w:rFonts w:ascii="Verdana" w:hAnsi="Verdana"/>
                <w:sz w:val="16"/>
                <w:szCs w:val="16"/>
                <w:lang w:val="en-US"/>
              </w:rPr>
              <w:t xml:space="preserve">Within the established Quality Management System the policies and guidelines applicable to investigational drug products for use in clinical studies, must be considered, in order to apply the basic principles of GMP (Good Manufacturing Practices) and distribution. </w:t>
            </w:r>
          </w:p>
        </w:tc>
      </w:tr>
      <w:tr w:rsidR="00CD67E0" w:rsidRPr="00B838EC" w14:paraId="102A242D" w14:textId="77777777" w:rsidTr="00335F65">
        <w:tc>
          <w:tcPr>
            <w:tcW w:w="4421" w:type="dxa"/>
          </w:tcPr>
          <w:p w14:paraId="367B464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Dicho sistema debe describirse en el protocolo clínico o formar parte de la monografía del producto para el Investigador.</w:t>
            </w:r>
          </w:p>
        </w:tc>
        <w:tc>
          <w:tcPr>
            <w:tcW w:w="4421" w:type="dxa"/>
            <w:shd w:val="clear" w:color="auto" w:fill="auto"/>
          </w:tcPr>
          <w:p w14:paraId="3244B03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Said system must be described in the clinical protocol or form part of the monograph of the product for the Investigator. </w:t>
            </w:r>
          </w:p>
        </w:tc>
      </w:tr>
      <w:tr w:rsidR="00CD67E0" w:rsidRPr="00B838EC" w14:paraId="63756433" w14:textId="77777777" w:rsidTr="00335F65">
        <w:tc>
          <w:tcPr>
            <w:tcW w:w="4421" w:type="dxa"/>
          </w:tcPr>
          <w:p w14:paraId="3BBA8A2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10.9.2.2</w:t>
            </w:r>
            <w:r w:rsidRPr="00D429B4">
              <w:rPr>
                <w:rFonts w:ascii="Verdana" w:hAnsi="Verdana"/>
                <w:sz w:val="16"/>
                <w:szCs w:val="16"/>
                <w:lang w:val="es-MX"/>
              </w:rPr>
              <w:t xml:space="preserve"> Se deben establecer especificaciones para los insumos y producto e instrucciones y orden de fabricación, sin embargo, éstas pueden cambiar durante el desarrollo del producto por lo que se debe asegurar que estos cambios se documentan y están disponibles en el historial del producto.</w:t>
            </w:r>
          </w:p>
        </w:tc>
        <w:tc>
          <w:tcPr>
            <w:tcW w:w="4421" w:type="dxa"/>
            <w:shd w:val="clear" w:color="auto" w:fill="auto"/>
          </w:tcPr>
          <w:p w14:paraId="7E5379D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10.7.2.2 </w:t>
            </w:r>
            <w:r w:rsidRPr="00D429B4">
              <w:rPr>
                <w:rFonts w:ascii="Verdana" w:hAnsi="Verdana"/>
                <w:sz w:val="16"/>
                <w:szCs w:val="16"/>
                <w:lang w:val="en-US"/>
              </w:rPr>
              <w:t>The specifications for the materials, products, instructions and manufacturing order must be established, however, these may change during product development which is why it must be assured that these changes are documented and available in the product history.</w:t>
            </w:r>
          </w:p>
        </w:tc>
      </w:tr>
      <w:tr w:rsidR="00CD67E0" w:rsidRPr="00B838EC" w14:paraId="012C5FD0" w14:textId="77777777" w:rsidTr="00335F65">
        <w:tc>
          <w:tcPr>
            <w:tcW w:w="4421" w:type="dxa"/>
          </w:tcPr>
          <w:p w14:paraId="2991DC8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10.9.2.2.1</w:t>
            </w:r>
            <w:r w:rsidRPr="00D429B4">
              <w:rPr>
                <w:rFonts w:ascii="Verdana" w:hAnsi="Verdana"/>
                <w:sz w:val="16"/>
                <w:szCs w:val="16"/>
                <w:lang w:val="es-MX"/>
              </w:rPr>
              <w:t xml:space="preserve"> Se deben tener instrucciones claras de cada etapa de fabricación.</w:t>
            </w:r>
          </w:p>
        </w:tc>
        <w:tc>
          <w:tcPr>
            <w:tcW w:w="4421" w:type="dxa"/>
            <w:shd w:val="clear" w:color="auto" w:fill="auto"/>
          </w:tcPr>
          <w:p w14:paraId="5BC7203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10.7.2.2.1 </w:t>
            </w:r>
            <w:r w:rsidRPr="00D429B4">
              <w:rPr>
                <w:rFonts w:ascii="Verdana" w:hAnsi="Verdana"/>
                <w:sz w:val="16"/>
                <w:szCs w:val="16"/>
                <w:lang w:val="en-US"/>
              </w:rPr>
              <w:t>There must be clear instructions for every production and conditioning stage.</w:t>
            </w:r>
          </w:p>
        </w:tc>
      </w:tr>
      <w:tr w:rsidR="00CD67E0" w:rsidRPr="00B838EC" w14:paraId="401054CE" w14:textId="77777777" w:rsidTr="00335F65">
        <w:tc>
          <w:tcPr>
            <w:tcW w:w="4421" w:type="dxa"/>
          </w:tcPr>
          <w:p w14:paraId="1E64630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10.9.2.2.2</w:t>
            </w:r>
            <w:r w:rsidRPr="00D429B4">
              <w:rPr>
                <w:rFonts w:ascii="Verdana" w:hAnsi="Verdana"/>
                <w:sz w:val="16"/>
                <w:szCs w:val="16"/>
                <w:lang w:val="es-MX"/>
              </w:rPr>
              <w:t xml:space="preserve"> Se debe contar con un expediente del producto que deberá permanecer actualizado, asegurando la trazabilidad de los registros anteriores.</w:t>
            </w:r>
          </w:p>
        </w:tc>
        <w:tc>
          <w:tcPr>
            <w:tcW w:w="4421" w:type="dxa"/>
            <w:shd w:val="clear" w:color="auto" w:fill="auto"/>
          </w:tcPr>
          <w:p w14:paraId="0C3749A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10.7.2.2.2 </w:t>
            </w:r>
            <w:r w:rsidRPr="00D429B4">
              <w:rPr>
                <w:rFonts w:ascii="Verdana" w:hAnsi="Verdana"/>
                <w:sz w:val="16"/>
                <w:szCs w:val="16"/>
                <w:lang w:val="en-US"/>
              </w:rPr>
              <w:t>There must be a file of the product which must remain updated, ensuring the traceability of the previous records.</w:t>
            </w:r>
          </w:p>
        </w:tc>
      </w:tr>
      <w:tr w:rsidR="00CD67E0" w:rsidRPr="00B838EC" w14:paraId="4C8AFD1B" w14:textId="77777777" w:rsidTr="00335F65">
        <w:tc>
          <w:tcPr>
            <w:tcW w:w="4421" w:type="dxa"/>
          </w:tcPr>
          <w:p w14:paraId="4D92449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10.9.2.2.3</w:t>
            </w:r>
            <w:r w:rsidRPr="00D429B4">
              <w:rPr>
                <w:rFonts w:ascii="Verdana" w:hAnsi="Verdana"/>
                <w:sz w:val="16"/>
                <w:szCs w:val="16"/>
                <w:lang w:val="es-MX"/>
              </w:rPr>
              <w:t xml:space="preserve"> El expediente del producto debe incluir especificaciones, referencia a los métodos analíticos utilizados, instrucciones de producción y acondicionamiento, control en proceso, etiquetas aprobadas, referencia a los protocolos autorizados en el ensayo clínico, acuerdos técnicos de los servicios contratados, resultados de estabilidad, condiciones de almacenamiento y registros de distribución.</w:t>
            </w:r>
          </w:p>
        </w:tc>
        <w:tc>
          <w:tcPr>
            <w:tcW w:w="4421" w:type="dxa"/>
          </w:tcPr>
          <w:p w14:paraId="7F5DCCE9"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10.7.2.2.3 </w:t>
            </w:r>
            <w:r w:rsidRPr="00D429B4">
              <w:rPr>
                <w:rFonts w:ascii="Verdana" w:hAnsi="Verdana"/>
                <w:sz w:val="16"/>
                <w:szCs w:val="16"/>
                <w:lang w:val="en-US"/>
              </w:rPr>
              <w:t xml:space="preserve">The file of the product must include specifications, reference to the analytical methods used, production and conditioning instructions, in-process control, approved labels, reference to the protocols authorized in the clinic trial, technical agreements of the contracted services, stability results, storage conditions and distribution records. </w:t>
            </w:r>
          </w:p>
        </w:tc>
      </w:tr>
      <w:tr w:rsidR="00CD67E0" w:rsidRPr="00B838EC" w14:paraId="049E9560" w14:textId="77777777" w:rsidTr="00335F65">
        <w:tc>
          <w:tcPr>
            <w:tcW w:w="4421" w:type="dxa"/>
          </w:tcPr>
          <w:p w14:paraId="0B1CD56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10.9.2.2.4</w:t>
            </w:r>
            <w:r w:rsidRPr="00D429B4">
              <w:rPr>
                <w:rFonts w:ascii="Verdana" w:hAnsi="Verdana"/>
                <w:sz w:val="16"/>
                <w:szCs w:val="16"/>
                <w:lang w:val="es-MX"/>
              </w:rPr>
              <w:t xml:space="preserve"> El patrocinador del estudio es responsable de almacenar el expediente con la información relacionada con la fabricación y el control del medicamento en Investigación al menos 5 años después de que se otorgue el registro del producto.</w:t>
            </w:r>
          </w:p>
        </w:tc>
        <w:tc>
          <w:tcPr>
            <w:tcW w:w="4421" w:type="dxa"/>
          </w:tcPr>
          <w:p w14:paraId="6C333C5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10.9.2.2.4 </w:t>
            </w:r>
            <w:r w:rsidRPr="00D429B4">
              <w:rPr>
                <w:rFonts w:ascii="Verdana" w:hAnsi="Verdana"/>
                <w:sz w:val="16"/>
                <w:szCs w:val="16"/>
                <w:lang w:val="en-US"/>
              </w:rPr>
              <w:t xml:space="preserve">The sponsor of the study is responsible for storing the file with the information related to the manufacturing and the control of the drug product under investigation at least 5 years after the registration of the product is granted. </w:t>
            </w:r>
          </w:p>
        </w:tc>
      </w:tr>
      <w:tr w:rsidR="00CD67E0" w:rsidRPr="00B838EC" w14:paraId="4BD71C27" w14:textId="77777777" w:rsidTr="00335F65">
        <w:tc>
          <w:tcPr>
            <w:tcW w:w="4421" w:type="dxa"/>
          </w:tcPr>
          <w:p w14:paraId="52D5272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10.9.2.2.5 </w:t>
            </w:r>
            <w:r w:rsidRPr="00D429B4">
              <w:rPr>
                <w:rFonts w:ascii="Verdana" w:hAnsi="Verdana"/>
                <w:sz w:val="16"/>
                <w:szCs w:val="16"/>
                <w:lang w:val="es-MX"/>
              </w:rPr>
              <w:t xml:space="preserve">El resguardo de la documentación relacionada con la fabricación y el control del medicamento en investigación puede realizarse en </w:t>
            </w:r>
            <w:r w:rsidRPr="00D429B4">
              <w:rPr>
                <w:rFonts w:ascii="Verdana" w:hAnsi="Verdana"/>
                <w:sz w:val="16"/>
                <w:szCs w:val="16"/>
                <w:lang w:val="es-MX"/>
              </w:rPr>
              <w:lastRenderedPageBreak/>
              <w:t>las instalaciones del patrocinador o en instalaciones específicamente contratadas para este fin.</w:t>
            </w:r>
          </w:p>
        </w:tc>
        <w:tc>
          <w:tcPr>
            <w:tcW w:w="4421" w:type="dxa"/>
          </w:tcPr>
          <w:p w14:paraId="564C654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10.9.2.2.5 </w:t>
            </w:r>
            <w:r w:rsidRPr="00D429B4">
              <w:rPr>
                <w:rFonts w:ascii="Verdana" w:hAnsi="Verdana"/>
                <w:sz w:val="16"/>
                <w:szCs w:val="16"/>
                <w:lang w:val="en-US"/>
              </w:rPr>
              <w:t xml:space="preserve">The conservation of the documentation related to the manufacturing and the control of the drug product under investigation can be made in the </w:t>
            </w:r>
            <w:r w:rsidRPr="00D429B4">
              <w:rPr>
                <w:rFonts w:ascii="Verdana" w:hAnsi="Verdana"/>
                <w:sz w:val="16"/>
                <w:szCs w:val="16"/>
                <w:lang w:val="en-US"/>
              </w:rPr>
              <w:lastRenderedPageBreak/>
              <w:t xml:space="preserve">installations of the sponsor or in installations specifically contracted for this purpose. </w:t>
            </w:r>
          </w:p>
        </w:tc>
      </w:tr>
      <w:tr w:rsidR="00CD67E0" w:rsidRPr="000E7E3A" w14:paraId="0449D78A" w14:textId="77777777" w:rsidTr="00335F65">
        <w:tc>
          <w:tcPr>
            <w:tcW w:w="4421" w:type="dxa"/>
          </w:tcPr>
          <w:p w14:paraId="165FF49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10.9.3 </w:t>
            </w:r>
            <w:r w:rsidRPr="00D429B4">
              <w:rPr>
                <w:rFonts w:ascii="Verdana" w:hAnsi="Verdana"/>
                <w:sz w:val="16"/>
                <w:szCs w:val="16"/>
                <w:lang w:val="es-MX"/>
              </w:rPr>
              <w:t>Personal.</w:t>
            </w:r>
          </w:p>
        </w:tc>
        <w:tc>
          <w:tcPr>
            <w:tcW w:w="4421" w:type="dxa"/>
            <w:shd w:val="clear" w:color="auto" w:fill="auto"/>
          </w:tcPr>
          <w:p w14:paraId="7A35FD7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10.9.3 </w:t>
            </w:r>
            <w:r w:rsidRPr="00D429B4">
              <w:rPr>
                <w:rFonts w:ascii="Verdana" w:hAnsi="Verdana"/>
                <w:sz w:val="16"/>
                <w:szCs w:val="16"/>
                <w:lang w:val="en-US"/>
              </w:rPr>
              <w:t>Personnel.</w:t>
            </w:r>
          </w:p>
        </w:tc>
      </w:tr>
      <w:tr w:rsidR="00CD67E0" w:rsidRPr="00B838EC" w14:paraId="5F4B7379" w14:textId="77777777" w:rsidTr="00335F65">
        <w:tc>
          <w:tcPr>
            <w:tcW w:w="4421" w:type="dxa"/>
          </w:tcPr>
          <w:p w14:paraId="1FDE6ED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10.9.3.1</w:t>
            </w:r>
            <w:r w:rsidRPr="00D429B4">
              <w:rPr>
                <w:rFonts w:ascii="Verdana" w:hAnsi="Verdana"/>
                <w:sz w:val="16"/>
                <w:szCs w:val="16"/>
                <w:lang w:val="es-MX"/>
              </w:rPr>
              <w:t xml:space="preserve"> Debe existir un responsable de producción y un responsable de calidad que no dependan uno del otro.</w:t>
            </w:r>
          </w:p>
        </w:tc>
        <w:tc>
          <w:tcPr>
            <w:tcW w:w="4421" w:type="dxa"/>
            <w:shd w:val="clear" w:color="auto" w:fill="auto"/>
          </w:tcPr>
          <w:p w14:paraId="334E562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10.9.3.1 </w:t>
            </w:r>
            <w:r w:rsidRPr="00D429B4">
              <w:rPr>
                <w:rFonts w:ascii="Verdana" w:hAnsi="Verdana"/>
                <w:sz w:val="16"/>
                <w:szCs w:val="16"/>
                <w:lang w:val="en-US"/>
              </w:rPr>
              <w:t>There must be a person responsible for production and another for quality that do not depend on each other.</w:t>
            </w:r>
          </w:p>
        </w:tc>
      </w:tr>
      <w:tr w:rsidR="00CD67E0" w:rsidRPr="00B838EC" w14:paraId="065FCAB8" w14:textId="77777777" w:rsidTr="00335F65">
        <w:tc>
          <w:tcPr>
            <w:tcW w:w="4421" w:type="dxa"/>
          </w:tcPr>
          <w:p w14:paraId="6C99E55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10.9.3.2</w:t>
            </w:r>
            <w:r w:rsidRPr="00D429B4">
              <w:rPr>
                <w:rFonts w:ascii="Verdana" w:hAnsi="Verdana"/>
                <w:sz w:val="16"/>
                <w:szCs w:val="16"/>
                <w:lang w:val="es-MX"/>
              </w:rPr>
              <w:t xml:space="preserve"> El personal que participa en la producción y control de los medicamentos en investigación debe tener la experiencia necesaria para el manejo del medicamento en fase de investigación clínica y estar familiarizado con los principios de las BPF.</w:t>
            </w:r>
          </w:p>
        </w:tc>
        <w:tc>
          <w:tcPr>
            <w:tcW w:w="4421" w:type="dxa"/>
            <w:shd w:val="clear" w:color="auto" w:fill="auto"/>
          </w:tcPr>
          <w:p w14:paraId="6700022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10.9.3.2 </w:t>
            </w:r>
            <w:r w:rsidRPr="00D429B4">
              <w:rPr>
                <w:rFonts w:ascii="Verdana" w:hAnsi="Verdana"/>
                <w:sz w:val="16"/>
                <w:szCs w:val="16"/>
                <w:lang w:val="en-US"/>
              </w:rPr>
              <w:t>The personnel that participate in the production and control of drug products under investigation must have the necessary experience for the handling of the drug product in the investigation phase and must be familiar with GMP principles.</w:t>
            </w:r>
          </w:p>
        </w:tc>
      </w:tr>
      <w:tr w:rsidR="00CD67E0" w:rsidRPr="00DD29AF" w14:paraId="68DDE7EF" w14:textId="77777777" w:rsidTr="00335F65">
        <w:tc>
          <w:tcPr>
            <w:tcW w:w="4421" w:type="dxa"/>
          </w:tcPr>
          <w:p w14:paraId="23F0B6E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10.9.4</w:t>
            </w:r>
            <w:r w:rsidRPr="00D429B4">
              <w:rPr>
                <w:rFonts w:ascii="Verdana" w:hAnsi="Verdana"/>
                <w:sz w:val="16"/>
                <w:szCs w:val="16"/>
                <w:lang w:val="es-MX"/>
              </w:rPr>
              <w:t xml:space="preserve"> Instalaciones y equipo.</w:t>
            </w:r>
          </w:p>
        </w:tc>
        <w:tc>
          <w:tcPr>
            <w:tcW w:w="4421" w:type="dxa"/>
            <w:shd w:val="clear" w:color="auto" w:fill="auto"/>
          </w:tcPr>
          <w:p w14:paraId="64A6AA3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10.9.4 </w:t>
            </w:r>
            <w:r w:rsidRPr="00D429B4">
              <w:rPr>
                <w:rFonts w:ascii="Verdana" w:hAnsi="Verdana"/>
                <w:sz w:val="16"/>
                <w:szCs w:val="16"/>
                <w:lang w:val="en-US"/>
              </w:rPr>
              <w:t>Installations and equipment.</w:t>
            </w:r>
          </w:p>
        </w:tc>
      </w:tr>
      <w:tr w:rsidR="00CD67E0" w:rsidRPr="00B838EC" w14:paraId="3E64F7AD" w14:textId="77777777" w:rsidTr="00335F65">
        <w:tc>
          <w:tcPr>
            <w:tcW w:w="4421" w:type="dxa"/>
          </w:tcPr>
          <w:p w14:paraId="2417ACB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10.9.4.1</w:t>
            </w:r>
            <w:r w:rsidRPr="00D429B4">
              <w:rPr>
                <w:rFonts w:ascii="Verdana" w:hAnsi="Verdana"/>
                <w:sz w:val="16"/>
                <w:szCs w:val="16"/>
                <w:lang w:val="es-MX"/>
              </w:rPr>
              <w:t xml:space="preserve"> Cuando se utilicen las mismas instalaciones y equipos para fabricar lotes comerciales, se debe tener la validación de limpieza que incluya al producto en investigación.</w:t>
            </w:r>
          </w:p>
        </w:tc>
        <w:tc>
          <w:tcPr>
            <w:tcW w:w="4421" w:type="dxa"/>
            <w:shd w:val="clear" w:color="auto" w:fill="auto"/>
          </w:tcPr>
          <w:p w14:paraId="3B4AC49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10.9.4.1 </w:t>
            </w:r>
            <w:r w:rsidRPr="00D429B4">
              <w:rPr>
                <w:rFonts w:ascii="Verdana" w:hAnsi="Verdana"/>
                <w:sz w:val="16"/>
                <w:szCs w:val="16"/>
                <w:lang w:val="en-US"/>
              </w:rPr>
              <w:t>When the same installations and equipment to manufacture commercial lots are used, there must be cleaning validation that includes the product under investigation.</w:t>
            </w:r>
          </w:p>
        </w:tc>
      </w:tr>
      <w:tr w:rsidR="00CD67E0" w:rsidRPr="00B838EC" w14:paraId="17AEDA93" w14:textId="77777777" w:rsidTr="00335F65">
        <w:tc>
          <w:tcPr>
            <w:tcW w:w="4421" w:type="dxa"/>
          </w:tcPr>
          <w:p w14:paraId="427E765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10.9.4.1.1</w:t>
            </w:r>
            <w:r w:rsidRPr="00D429B4">
              <w:rPr>
                <w:rFonts w:ascii="Verdana" w:hAnsi="Verdana"/>
                <w:sz w:val="16"/>
                <w:szCs w:val="16"/>
                <w:lang w:val="es-MX"/>
              </w:rPr>
              <w:t xml:space="preserve"> La fabricación de productos de alto riesgo en investigación estará sujeta a las condiciones autorizadas en la Licencia Sanitaria.</w:t>
            </w:r>
          </w:p>
        </w:tc>
        <w:tc>
          <w:tcPr>
            <w:tcW w:w="4421" w:type="dxa"/>
            <w:shd w:val="clear" w:color="auto" w:fill="auto"/>
          </w:tcPr>
          <w:p w14:paraId="0890022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10.9.4.1 </w:t>
            </w:r>
            <w:r w:rsidRPr="00D429B4">
              <w:rPr>
                <w:rFonts w:ascii="Verdana" w:hAnsi="Verdana"/>
                <w:sz w:val="16"/>
                <w:szCs w:val="16"/>
                <w:lang w:val="en-US"/>
              </w:rPr>
              <w:t>The manufacture of high risk products under investigation will be subject to the conditions authorized in the Sanitary license.</w:t>
            </w:r>
          </w:p>
        </w:tc>
      </w:tr>
      <w:tr w:rsidR="00CD67E0" w:rsidRPr="00B838EC" w14:paraId="7505CE11" w14:textId="77777777" w:rsidTr="00335F65">
        <w:tc>
          <w:tcPr>
            <w:tcW w:w="4421" w:type="dxa"/>
          </w:tcPr>
          <w:p w14:paraId="2A03F56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10.9.4.2</w:t>
            </w:r>
            <w:r w:rsidRPr="00D429B4">
              <w:rPr>
                <w:rFonts w:ascii="Verdana" w:hAnsi="Verdana"/>
                <w:sz w:val="16"/>
                <w:szCs w:val="16"/>
                <w:lang w:val="es-MX"/>
              </w:rPr>
              <w:t xml:space="preserve"> Cuando se tengan instalaciones y equipos dedicados para fabricar productos en investigación se deberán tomar medidas que prevengan la contaminación cruzada de acuerdo al nivel de riesgo del producto en investigación y la seguridad del personal; la fabricación en campañas podrá utilizarse cuando se trabaje con varios productos en las mismas instalaciones y equipos.</w:t>
            </w:r>
          </w:p>
        </w:tc>
        <w:tc>
          <w:tcPr>
            <w:tcW w:w="4421" w:type="dxa"/>
            <w:shd w:val="clear" w:color="auto" w:fill="auto"/>
          </w:tcPr>
          <w:p w14:paraId="74EAF6A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10.9.4.2 </w:t>
            </w:r>
            <w:r w:rsidRPr="00D429B4">
              <w:rPr>
                <w:rFonts w:ascii="Verdana" w:hAnsi="Verdana"/>
                <w:sz w:val="16"/>
                <w:szCs w:val="16"/>
                <w:lang w:val="en-US"/>
              </w:rPr>
              <w:t>When there are installations and equipment dedicated to manufacturing products under investigation, measures must be taken that prevent cross contamination in accordance with the level of risk of the product under investigation and safety of personnel; manufacturing campaigns may be used when working with various products in the same installations and equipment.</w:t>
            </w:r>
          </w:p>
        </w:tc>
      </w:tr>
      <w:tr w:rsidR="00CD67E0" w:rsidRPr="00B838EC" w14:paraId="72B49279" w14:textId="77777777" w:rsidTr="00335F65">
        <w:tc>
          <w:tcPr>
            <w:tcW w:w="4421" w:type="dxa"/>
          </w:tcPr>
          <w:p w14:paraId="7ABF5B2F"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10.9.4.2.1</w:t>
            </w:r>
            <w:r w:rsidRPr="00D429B4">
              <w:rPr>
                <w:rFonts w:ascii="Verdana" w:hAnsi="Verdana"/>
                <w:sz w:val="16"/>
                <w:szCs w:val="16"/>
                <w:lang w:val="es-MX"/>
              </w:rPr>
              <w:t xml:space="preserve"> Los equipos e instrumentos deberán ser incluidos en programas de mantenimiento, calibración y calificación.</w:t>
            </w:r>
          </w:p>
        </w:tc>
        <w:tc>
          <w:tcPr>
            <w:tcW w:w="4421" w:type="dxa"/>
            <w:shd w:val="clear" w:color="auto" w:fill="auto"/>
          </w:tcPr>
          <w:p w14:paraId="1A1A016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10.9.4.2.1 </w:t>
            </w:r>
            <w:r w:rsidRPr="00D429B4">
              <w:rPr>
                <w:rFonts w:ascii="Verdana" w:hAnsi="Verdana"/>
                <w:sz w:val="16"/>
                <w:szCs w:val="16"/>
                <w:lang w:val="en-US"/>
              </w:rPr>
              <w:t>The equipment and instruments must be included in maintenance, calibration and qualification programs.</w:t>
            </w:r>
          </w:p>
        </w:tc>
      </w:tr>
      <w:tr w:rsidR="00CD67E0" w:rsidRPr="00B838EC" w14:paraId="6F511519" w14:textId="77777777" w:rsidTr="00335F65">
        <w:tc>
          <w:tcPr>
            <w:tcW w:w="4421" w:type="dxa"/>
          </w:tcPr>
          <w:p w14:paraId="146425CB"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 xml:space="preserve">10.9.4.2.2 </w:t>
            </w:r>
            <w:r w:rsidRPr="00D429B4">
              <w:rPr>
                <w:rFonts w:ascii="Verdana" w:hAnsi="Verdana"/>
                <w:sz w:val="16"/>
                <w:szCs w:val="16"/>
                <w:lang w:val="es-MX"/>
              </w:rPr>
              <w:t>Las áreas de fabricación deben clasificarse de acuerdo al Apéndice A Normativo de esta Norma y calificarse.</w:t>
            </w:r>
          </w:p>
        </w:tc>
        <w:tc>
          <w:tcPr>
            <w:tcW w:w="4421" w:type="dxa"/>
            <w:shd w:val="clear" w:color="auto" w:fill="auto"/>
          </w:tcPr>
          <w:p w14:paraId="610A9DB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10.9.4.2.2 </w:t>
            </w:r>
            <w:r w:rsidRPr="00D429B4">
              <w:rPr>
                <w:rFonts w:ascii="Verdana" w:hAnsi="Verdana"/>
                <w:sz w:val="16"/>
                <w:szCs w:val="16"/>
                <w:lang w:val="en-US"/>
              </w:rPr>
              <w:t>The manufacturing areas must be classified in accordance with Obligatory Appendix A of this Standard and be qualified.</w:t>
            </w:r>
          </w:p>
        </w:tc>
      </w:tr>
      <w:tr w:rsidR="00CD67E0" w:rsidRPr="00DD29AF" w14:paraId="3EB54A86" w14:textId="77777777" w:rsidTr="00335F65">
        <w:tc>
          <w:tcPr>
            <w:tcW w:w="4421" w:type="dxa"/>
          </w:tcPr>
          <w:p w14:paraId="14A352F3"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 xml:space="preserve">10.9.5 </w:t>
            </w:r>
            <w:r w:rsidRPr="00D429B4">
              <w:rPr>
                <w:rFonts w:ascii="Verdana" w:hAnsi="Verdana"/>
                <w:sz w:val="16"/>
                <w:szCs w:val="16"/>
                <w:lang w:val="es-MX"/>
              </w:rPr>
              <w:t>Control de calidad.</w:t>
            </w:r>
          </w:p>
        </w:tc>
        <w:tc>
          <w:tcPr>
            <w:tcW w:w="4421" w:type="dxa"/>
            <w:shd w:val="clear" w:color="auto" w:fill="auto"/>
          </w:tcPr>
          <w:p w14:paraId="58B1F94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10.9.5 </w:t>
            </w:r>
            <w:r w:rsidRPr="00D429B4">
              <w:rPr>
                <w:rFonts w:ascii="Verdana" w:hAnsi="Verdana"/>
                <w:sz w:val="16"/>
                <w:szCs w:val="16"/>
                <w:lang w:val="en-US"/>
              </w:rPr>
              <w:t>Quality control.</w:t>
            </w:r>
          </w:p>
        </w:tc>
      </w:tr>
      <w:tr w:rsidR="00CD67E0" w:rsidRPr="00B838EC" w14:paraId="1D76069D" w14:textId="77777777" w:rsidTr="00335F65">
        <w:tc>
          <w:tcPr>
            <w:tcW w:w="4421" w:type="dxa"/>
          </w:tcPr>
          <w:p w14:paraId="4BF8CAD3"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10.9.5.1</w:t>
            </w:r>
            <w:r w:rsidRPr="00D429B4">
              <w:rPr>
                <w:rFonts w:ascii="Verdana" w:hAnsi="Verdana"/>
                <w:sz w:val="16"/>
                <w:szCs w:val="16"/>
                <w:lang w:val="es-MX"/>
              </w:rPr>
              <w:t xml:space="preserve"> Debido a que el proceso de fabricación puede no estar validado, el control de calidad es relevante para asegurar que cada lote de producto en investigación cumple con las especificaciones establecidas.</w:t>
            </w:r>
          </w:p>
        </w:tc>
        <w:tc>
          <w:tcPr>
            <w:tcW w:w="4421" w:type="dxa"/>
            <w:shd w:val="clear" w:color="auto" w:fill="auto"/>
          </w:tcPr>
          <w:p w14:paraId="2289D9D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10.9.5.1 </w:t>
            </w:r>
            <w:r w:rsidRPr="00D429B4">
              <w:rPr>
                <w:rFonts w:ascii="Verdana" w:hAnsi="Verdana"/>
                <w:sz w:val="16"/>
                <w:szCs w:val="16"/>
                <w:lang w:val="en-US"/>
              </w:rPr>
              <w:t>Since the manufacturing process may not be validated, quality control is relevant in order to assure that each lot of product under research complies with the established specifications.</w:t>
            </w:r>
          </w:p>
        </w:tc>
      </w:tr>
      <w:tr w:rsidR="00CD67E0" w:rsidRPr="00B838EC" w14:paraId="6CE0CF3E" w14:textId="77777777" w:rsidTr="00335F65">
        <w:tc>
          <w:tcPr>
            <w:tcW w:w="4421" w:type="dxa"/>
          </w:tcPr>
          <w:p w14:paraId="53E866C9"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10.9.5.2</w:t>
            </w:r>
            <w:r w:rsidRPr="00D429B4">
              <w:rPr>
                <w:rFonts w:ascii="Verdana" w:hAnsi="Verdana"/>
                <w:sz w:val="16"/>
                <w:szCs w:val="16"/>
                <w:lang w:val="es-MX"/>
              </w:rPr>
              <w:t xml:space="preserve"> Se deben establecer las responsabilidades de control de calidad para evaluar los insumos utilizados en la fabricación de un medicamento en fase de investigación, para asegurar que son adecuados y cumplen con las características de calidad esperadas.</w:t>
            </w:r>
          </w:p>
        </w:tc>
        <w:tc>
          <w:tcPr>
            <w:tcW w:w="4421" w:type="dxa"/>
            <w:shd w:val="clear" w:color="auto" w:fill="auto"/>
          </w:tcPr>
          <w:p w14:paraId="15BC1E3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10.9.5.2 </w:t>
            </w:r>
            <w:r w:rsidRPr="00D429B4">
              <w:rPr>
                <w:rFonts w:ascii="Verdana" w:hAnsi="Verdana"/>
                <w:sz w:val="16"/>
                <w:szCs w:val="16"/>
                <w:lang w:val="en-US"/>
              </w:rPr>
              <w:t>Quality control responsibilities must be established to evaluate the materials used in the manufacture of a drug product in the investigation phase, to assure that they are adequate and that they comply with the expected quality characteristics.</w:t>
            </w:r>
          </w:p>
        </w:tc>
      </w:tr>
      <w:tr w:rsidR="00CD67E0" w:rsidRPr="00B838EC" w14:paraId="0321C74F" w14:textId="77777777" w:rsidTr="00335F65">
        <w:tc>
          <w:tcPr>
            <w:tcW w:w="4421" w:type="dxa"/>
          </w:tcPr>
          <w:p w14:paraId="077B6980"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10.9.5.2.1</w:t>
            </w:r>
            <w:r w:rsidRPr="00D429B4">
              <w:rPr>
                <w:rFonts w:ascii="Verdana" w:hAnsi="Verdana"/>
                <w:sz w:val="16"/>
                <w:szCs w:val="16"/>
                <w:lang w:val="es-MX"/>
              </w:rPr>
              <w:t xml:space="preserve"> Podrá existir una Unidad de Calidad específica para los productos en investigación.</w:t>
            </w:r>
          </w:p>
        </w:tc>
        <w:tc>
          <w:tcPr>
            <w:tcW w:w="4421" w:type="dxa"/>
            <w:shd w:val="clear" w:color="auto" w:fill="auto"/>
          </w:tcPr>
          <w:p w14:paraId="248AFD3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10.9.5.2.1 </w:t>
            </w:r>
            <w:r w:rsidRPr="00D429B4">
              <w:rPr>
                <w:rFonts w:ascii="Verdana" w:hAnsi="Verdana"/>
                <w:sz w:val="16"/>
                <w:szCs w:val="16"/>
                <w:lang w:val="en-US"/>
              </w:rPr>
              <w:t>There must be a Quality Unit for products under research.</w:t>
            </w:r>
          </w:p>
        </w:tc>
      </w:tr>
      <w:tr w:rsidR="00CD67E0" w:rsidRPr="00B838EC" w14:paraId="54364FD5" w14:textId="77777777" w:rsidTr="00335F65">
        <w:tc>
          <w:tcPr>
            <w:tcW w:w="4421" w:type="dxa"/>
          </w:tcPr>
          <w:p w14:paraId="41E7D360"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 xml:space="preserve">10.9.5.3 </w:t>
            </w:r>
            <w:r w:rsidRPr="00D429B4">
              <w:rPr>
                <w:rFonts w:ascii="Verdana" w:hAnsi="Verdana"/>
                <w:sz w:val="16"/>
                <w:szCs w:val="16"/>
                <w:lang w:val="es-MX"/>
              </w:rPr>
              <w:t xml:space="preserve">Se deben conservar muestras de retención de los productos en investigación fabricados en </w:t>
            </w:r>
            <w:r w:rsidRPr="00D429B4">
              <w:rPr>
                <w:rFonts w:ascii="Verdana" w:hAnsi="Verdana"/>
                <w:sz w:val="16"/>
                <w:szCs w:val="16"/>
                <w:lang w:val="es-MX"/>
              </w:rPr>
              <w:lastRenderedPageBreak/>
              <w:t>cantidad tal que pueda comprobarse la identidad y calidad del mismo.</w:t>
            </w:r>
          </w:p>
        </w:tc>
        <w:tc>
          <w:tcPr>
            <w:tcW w:w="4421" w:type="dxa"/>
            <w:shd w:val="clear" w:color="auto" w:fill="auto"/>
          </w:tcPr>
          <w:p w14:paraId="75A4F41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10.9.5.3 </w:t>
            </w:r>
            <w:r w:rsidRPr="00D429B4">
              <w:rPr>
                <w:rFonts w:ascii="Verdana" w:hAnsi="Verdana"/>
                <w:sz w:val="16"/>
                <w:szCs w:val="16"/>
                <w:lang w:val="en-US"/>
              </w:rPr>
              <w:t>Retention samples of products under investigation manufactured in an amount in which the identity and quality can be proven must be kept.</w:t>
            </w:r>
          </w:p>
        </w:tc>
      </w:tr>
      <w:tr w:rsidR="00CD67E0" w:rsidRPr="00B838EC" w14:paraId="1E0D4429" w14:textId="77777777" w:rsidTr="00335F65">
        <w:tc>
          <w:tcPr>
            <w:tcW w:w="4421" w:type="dxa"/>
          </w:tcPr>
          <w:p w14:paraId="42A180E9"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10.9.5.3.1</w:t>
            </w:r>
            <w:r w:rsidRPr="00D429B4">
              <w:rPr>
                <w:rFonts w:ascii="Verdana" w:hAnsi="Verdana"/>
                <w:sz w:val="16"/>
                <w:szCs w:val="16"/>
                <w:lang w:val="es-MX"/>
              </w:rPr>
              <w:t xml:space="preserve"> Estas muestras deben conservarse en condiciones que aseguren su integridad por al menos dos años después de que se concluyó el estudio clínico en el que fue utilizado o hasta la fecha de caducidad del medicamento en investigación.</w:t>
            </w:r>
          </w:p>
        </w:tc>
        <w:tc>
          <w:tcPr>
            <w:tcW w:w="4421" w:type="dxa"/>
            <w:shd w:val="clear" w:color="auto" w:fill="auto"/>
          </w:tcPr>
          <w:p w14:paraId="48DB3F0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10.9.5.3.1 </w:t>
            </w:r>
            <w:r w:rsidRPr="00D429B4">
              <w:rPr>
                <w:rFonts w:ascii="Verdana" w:hAnsi="Verdana"/>
                <w:sz w:val="16"/>
                <w:szCs w:val="16"/>
                <w:lang w:val="en-US"/>
              </w:rPr>
              <w:t>These samples must be kept in conditions which assure their integrity and for at least two years after the clinical study in which it was used is concluded or until the expiration date of the drug production under investigation.</w:t>
            </w:r>
          </w:p>
        </w:tc>
      </w:tr>
      <w:tr w:rsidR="00CD67E0" w:rsidRPr="00B838EC" w14:paraId="5D87B212" w14:textId="77777777" w:rsidTr="00335F65">
        <w:tc>
          <w:tcPr>
            <w:tcW w:w="4421" w:type="dxa"/>
          </w:tcPr>
          <w:p w14:paraId="7DFCAC36"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10.9.6</w:t>
            </w:r>
            <w:r w:rsidRPr="00D429B4">
              <w:rPr>
                <w:rFonts w:ascii="Verdana" w:hAnsi="Verdana"/>
                <w:sz w:val="16"/>
                <w:szCs w:val="16"/>
                <w:lang w:val="es-MX"/>
              </w:rPr>
              <w:t xml:space="preserve"> Liberación de productos en investigación.</w:t>
            </w:r>
          </w:p>
        </w:tc>
        <w:tc>
          <w:tcPr>
            <w:tcW w:w="4421" w:type="dxa"/>
            <w:shd w:val="clear" w:color="auto" w:fill="auto"/>
          </w:tcPr>
          <w:p w14:paraId="6167933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10.9.6 </w:t>
            </w:r>
            <w:r w:rsidRPr="00D429B4">
              <w:rPr>
                <w:rFonts w:ascii="Verdana" w:hAnsi="Verdana"/>
                <w:sz w:val="16"/>
                <w:szCs w:val="16"/>
                <w:lang w:val="en-US"/>
              </w:rPr>
              <w:t>Release of products under investigation.</w:t>
            </w:r>
          </w:p>
        </w:tc>
      </w:tr>
      <w:tr w:rsidR="00CD67E0" w:rsidRPr="00B838EC" w14:paraId="33E31065" w14:textId="77777777" w:rsidTr="00335F65">
        <w:tc>
          <w:tcPr>
            <w:tcW w:w="4421" w:type="dxa"/>
          </w:tcPr>
          <w:p w14:paraId="39C73781"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10.9.6.1</w:t>
            </w:r>
            <w:r w:rsidRPr="00D429B4">
              <w:rPr>
                <w:rFonts w:ascii="Verdana" w:hAnsi="Verdana"/>
                <w:sz w:val="16"/>
                <w:szCs w:val="16"/>
                <w:lang w:val="es-MX"/>
              </w:rPr>
              <w:t xml:space="preserve"> Debe existir un sistema para la liberación de cada lote de medicamento de investigación. El sistema de liberación puede basarse y no limitarse a la revisión del expediente de fabricación, controles en proceso, pruebas de control de calidad, desviaciones o no conformidades.</w:t>
            </w:r>
          </w:p>
        </w:tc>
        <w:tc>
          <w:tcPr>
            <w:tcW w:w="4421" w:type="dxa"/>
            <w:shd w:val="clear" w:color="auto" w:fill="auto"/>
          </w:tcPr>
          <w:p w14:paraId="2AA916F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10.9.6.1 </w:t>
            </w:r>
            <w:r w:rsidRPr="00D429B4">
              <w:rPr>
                <w:rFonts w:ascii="Verdana" w:hAnsi="Verdana"/>
                <w:sz w:val="16"/>
                <w:szCs w:val="16"/>
                <w:lang w:val="en-US"/>
              </w:rPr>
              <w:t>There must be a system for the release of each lot manufactured from a drug product under investigation based on the review of the manufacturing file, process controls, deviations and non-conformities.</w:t>
            </w:r>
          </w:p>
        </w:tc>
      </w:tr>
      <w:tr w:rsidR="00CD67E0" w:rsidRPr="00B838EC" w14:paraId="7BA47466" w14:textId="77777777" w:rsidTr="00335F65">
        <w:tc>
          <w:tcPr>
            <w:tcW w:w="4421" w:type="dxa"/>
          </w:tcPr>
          <w:p w14:paraId="28F8C68A"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sz w:val="16"/>
                <w:szCs w:val="16"/>
                <w:lang w:val="es-MX"/>
              </w:rPr>
              <w:t>Para el caso de medicamentos de referencia o placebos la liberación para su uso en estudios clínicos también debe considerarse y documentarse.</w:t>
            </w:r>
          </w:p>
        </w:tc>
        <w:tc>
          <w:tcPr>
            <w:tcW w:w="4421" w:type="dxa"/>
          </w:tcPr>
          <w:p w14:paraId="6AE5596C" w14:textId="77777777" w:rsidR="00CD67E0" w:rsidRPr="00D429B4" w:rsidRDefault="00CD67E0" w:rsidP="00CD67E0">
            <w:pPr>
              <w:pStyle w:val="Texto"/>
              <w:spacing w:after="92" w:line="276" w:lineRule="auto"/>
              <w:ind w:firstLine="0"/>
              <w:rPr>
                <w:rFonts w:ascii="Verdana" w:hAnsi="Verdana"/>
                <w:sz w:val="16"/>
                <w:szCs w:val="16"/>
                <w:lang w:val="en-US"/>
              </w:rPr>
            </w:pPr>
            <w:r w:rsidRPr="00D429B4">
              <w:rPr>
                <w:rFonts w:ascii="Verdana" w:hAnsi="Verdana"/>
                <w:sz w:val="16"/>
                <w:szCs w:val="16"/>
                <w:lang w:val="en-US"/>
              </w:rPr>
              <w:t xml:space="preserve">For the case of drug products of reference or placebos, the release for their use in clinical studies also must be considered and documented. </w:t>
            </w:r>
          </w:p>
        </w:tc>
      </w:tr>
      <w:tr w:rsidR="00CD67E0" w:rsidRPr="00B838EC" w14:paraId="5CA9903B" w14:textId="77777777" w:rsidTr="00335F65">
        <w:tc>
          <w:tcPr>
            <w:tcW w:w="4421" w:type="dxa"/>
          </w:tcPr>
          <w:p w14:paraId="6F126A1C"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10.9.6.2</w:t>
            </w:r>
            <w:r w:rsidRPr="00D429B4">
              <w:rPr>
                <w:rFonts w:ascii="Verdana" w:hAnsi="Verdana"/>
                <w:sz w:val="16"/>
                <w:szCs w:val="16"/>
                <w:lang w:val="es-MX"/>
              </w:rPr>
              <w:t xml:space="preserve"> El dictamen de liberación debe ser avalado por una persona calificada.</w:t>
            </w:r>
          </w:p>
        </w:tc>
        <w:tc>
          <w:tcPr>
            <w:tcW w:w="4421" w:type="dxa"/>
          </w:tcPr>
          <w:p w14:paraId="307D9428" w14:textId="77777777" w:rsidR="00CD67E0" w:rsidRPr="00D429B4" w:rsidRDefault="00CD67E0" w:rsidP="00CD67E0">
            <w:pPr>
              <w:pStyle w:val="Texto"/>
              <w:spacing w:after="92" w:line="276" w:lineRule="auto"/>
              <w:ind w:firstLine="0"/>
              <w:rPr>
                <w:rFonts w:ascii="Verdana" w:hAnsi="Verdana"/>
                <w:sz w:val="16"/>
                <w:szCs w:val="16"/>
                <w:lang w:val="en-US"/>
              </w:rPr>
            </w:pPr>
            <w:r w:rsidRPr="00D429B4">
              <w:rPr>
                <w:rFonts w:ascii="Verdana" w:hAnsi="Verdana"/>
                <w:b/>
                <w:sz w:val="16"/>
                <w:szCs w:val="16"/>
                <w:lang w:val="en-US"/>
              </w:rPr>
              <w:t xml:space="preserve">10.9.6.2 </w:t>
            </w:r>
            <w:r w:rsidRPr="00D429B4">
              <w:rPr>
                <w:rFonts w:ascii="Verdana" w:hAnsi="Verdana"/>
                <w:sz w:val="16"/>
                <w:szCs w:val="16"/>
                <w:lang w:val="en-US"/>
              </w:rPr>
              <w:t>The release report must be supported by a qualified person.</w:t>
            </w:r>
          </w:p>
        </w:tc>
      </w:tr>
      <w:tr w:rsidR="00CD67E0" w:rsidRPr="00B838EC" w14:paraId="67A9C0AE" w14:textId="77777777" w:rsidTr="00335F65">
        <w:tc>
          <w:tcPr>
            <w:tcW w:w="4421" w:type="dxa"/>
          </w:tcPr>
          <w:p w14:paraId="700F0F22"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10.9.6.3</w:t>
            </w:r>
            <w:r w:rsidRPr="00D429B4">
              <w:rPr>
                <w:rFonts w:ascii="Verdana" w:hAnsi="Verdana"/>
                <w:sz w:val="16"/>
                <w:szCs w:val="16"/>
                <w:lang w:val="es-MX"/>
              </w:rPr>
              <w:t xml:space="preserve"> Los resultados fuera de especificaciones y desviaciones o no conformidades durante la fabricación deben ser investigados.</w:t>
            </w:r>
          </w:p>
        </w:tc>
        <w:tc>
          <w:tcPr>
            <w:tcW w:w="4421" w:type="dxa"/>
          </w:tcPr>
          <w:p w14:paraId="0CC4742E" w14:textId="77777777" w:rsidR="00CD67E0" w:rsidRPr="00D429B4" w:rsidRDefault="00CD67E0" w:rsidP="00CD67E0">
            <w:pPr>
              <w:pStyle w:val="Texto"/>
              <w:spacing w:after="92" w:line="276" w:lineRule="auto"/>
              <w:ind w:firstLine="0"/>
              <w:rPr>
                <w:rFonts w:ascii="Verdana" w:hAnsi="Verdana"/>
                <w:sz w:val="16"/>
                <w:szCs w:val="16"/>
                <w:lang w:val="en-US"/>
              </w:rPr>
            </w:pPr>
            <w:r w:rsidRPr="00D429B4">
              <w:rPr>
                <w:rFonts w:ascii="Verdana" w:hAnsi="Verdana"/>
                <w:b/>
                <w:sz w:val="16"/>
                <w:szCs w:val="16"/>
                <w:lang w:val="en-US"/>
              </w:rPr>
              <w:t xml:space="preserve">10.9.6.3 </w:t>
            </w:r>
            <w:r w:rsidRPr="00D429B4">
              <w:rPr>
                <w:rFonts w:ascii="Verdana" w:hAnsi="Verdana"/>
                <w:sz w:val="16"/>
                <w:szCs w:val="16"/>
                <w:lang w:val="en-US"/>
              </w:rPr>
              <w:t xml:space="preserve">The results outside of specifications and deviations or nonconformities during the manufacture must be investigated. </w:t>
            </w:r>
          </w:p>
        </w:tc>
      </w:tr>
      <w:tr w:rsidR="00CD67E0" w:rsidRPr="00DD29AF" w14:paraId="18F634C8" w14:textId="77777777" w:rsidTr="00335F65">
        <w:tc>
          <w:tcPr>
            <w:tcW w:w="4421" w:type="dxa"/>
          </w:tcPr>
          <w:p w14:paraId="7651C759"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10.9.7</w:t>
            </w:r>
            <w:r w:rsidRPr="00D429B4">
              <w:rPr>
                <w:rFonts w:ascii="Verdana" w:hAnsi="Verdana"/>
                <w:sz w:val="16"/>
                <w:szCs w:val="16"/>
                <w:lang w:val="es-MX"/>
              </w:rPr>
              <w:t xml:space="preserve"> Estabilidad.</w:t>
            </w:r>
          </w:p>
        </w:tc>
        <w:tc>
          <w:tcPr>
            <w:tcW w:w="4421" w:type="dxa"/>
          </w:tcPr>
          <w:p w14:paraId="3A599000" w14:textId="77777777" w:rsidR="00CD67E0" w:rsidRPr="00D429B4" w:rsidRDefault="00CD67E0" w:rsidP="00CD67E0">
            <w:pPr>
              <w:pStyle w:val="Texto"/>
              <w:spacing w:after="92" w:line="276" w:lineRule="auto"/>
              <w:ind w:firstLine="0"/>
              <w:rPr>
                <w:rFonts w:ascii="Verdana" w:hAnsi="Verdana"/>
                <w:b/>
                <w:sz w:val="16"/>
                <w:szCs w:val="16"/>
                <w:lang w:val="en-US"/>
              </w:rPr>
            </w:pPr>
            <w:r w:rsidRPr="00D429B4">
              <w:rPr>
                <w:rFonts w:ascii="Verdana" w:hAnsi="Verdana"/>
                <w:b/>
                <w:sz w:val="16"/>
                <w:szCs w:val="16"/>
                <w:lang w:val="en-US"/>
              </w:rPr>
              <w:t xml:space="preserve">10.9.7 </w:t>
            </w:r>
            <w:r w:rsidRPr="00D429B4">
              <w:rPr>
                <w:rFonts w:ascii="Verdana" w:hAnsi="Verdana"/>
                <w:sz w:val="16"/>
                <w:szCs w:val="16"/>
                <w:lang w:val="en-US"/>
              </w:rPr>
              <w:t>Stability.</w:t>
            </w:r>
          </w:p>
        </w:tc>
      </w:tr>
      <w:tr w:rsidR="00CD67E0" w:rsidRPr="00B838EC" w14:paraId="1566C268" w14:textId="77777777" w:rsidTr="00335F65">
        <w:tc>
          <w:tcPr>
            <w:tcW w:w="4421" w:type="dxa"/>
          </w:tcPr>
          <w:p w14:paraId="38539BE6"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 xml:space="preserve">10.9.7.1 </w:t>
            </w:r>
            <w:r w:rsidRPr="00D429B4">
              <w:rPr>
                <w:rFonts w:ascii="Verdana" w:hAnsi="Verdana"/>
                <w:sz w:val="16"/>
                <w:szCs w:val="16"/>
                <w:lang w:val="es-MX"/>
              </w:rPr>
              <w:t>Si no se cuenta con estudios de estabilidad previos, se deben llevar a cabo estudios de estabilidad con muestras representativas en la fase del medicamento en investigación, para vigilar la calidad del mismo durante el ensayo clínico y para amparar su vida útil desde la fecha de fabricación hasta la fecha de la última administración.</w:t>
            </w:r>
          </w:p>
        </w:tc>
        <w:tc>
          <w:tcPr>
            <w:tcW w:w="4421" w:type="dxa"/>
          </w:tcPr>
          <w:p w14:paraId="7A9085B7" w14:textId="77777777" w:rsidR="00CD67E0" w:rsidRPr="00D429B4" w:rsidRDefault="00CD67E0" w:rsidP="00CD67E0">
            <w:pPr>
              <w:pStyle w:val="Texto"/>
              <w:spacing w:after="92" w:line="276" w:lineRule="auto"/>
              <w:ind w:firstLine="0"/>
              <w:rPr>
                <w:rFonts w:ascii="Verdana" w:hAnsi="Verdana"/>
                <w:b/>
                <w:sz w:val="16"/>
                <w:szCs w:val="16"/>
                <w:lang w:val="en-US"/>
              </w:rPr>
            </w:pPr>
            <w:r w:rsidRPr="00D429B4">
              <w:rPr>
                <w:rFonts w:ascii="Verdana" w:hAnsi="Verdana"/>
                <w:b/>
                <w:sz w:val="16"/>
                <w:szCs w:val="16"/>
                <w:lang w:val="en-US"/>
              </w:rPr>
              <w:t xml:space="preserve">10.9.7.1 </w:t>
            </w:r>
            <w:r w:rsidRPr="00D429B4">
              <w:rPr>
                <w:rFonts w:ascii="Verdana" w:hAnsi="Verdana"/>
                <w:sz w:val="16"/>
                <w:szCs w:val="16"/>
                <w:lang w:val="en-US"/>
              </w:rPr>
              <w:t xml:space="preserve">If there are no stability studies, they must be carried out with representative samples in the stage of the drug product under investigation, in order the quality of the same during the clinical trial and corroborate its useful life from date of manufacturing to the date of its last administration. </w:t>
            </w:r>
          </w:p>
        </w:tc>
      </w:tr>
      <w:tr w:rsidR="00CD67E0" w:rsidRPr="00DD29AF" w14:paraId="3CF13893" w14:textId="77777777" w:rsidTr="00335F65">
        <w:tc>
          <w:tcPr>
            <w:tcW w:w="4421" w:type="dxa"/>
          </w:tcPr>
          <w:p w14:paraId="223CCC40" w14:textId="77777777" w:rsidR="00CD67E0" w:rsidRPr="00D429B4" w:rsidRDefault="00CD67E0" w:rsidP="00CD67E0">
            <w:pPr>
              <w:pStyle w:val="Texto"/>
              <w:spacing w:after="92" w:line="276" w:lineRule="auto"/>
              <w:ind w:firstLine="0"/>
              <w:rPr>
                <w:rFonts w:ascii="Verdana" w:hAnsi="Verdana"/>
                <w:sz w:val="16"/>
                <w:szCs w:val="16"/>
                <w:lang w:val="es-MX"/>
              </w:rPr>
            </w:pPr>
            <w:r w:rsidRPr="00D429B4">
              <w:rPr>
                <w:rFonts w:ascii="Verdana" w:hAnsi="Verdana"/>
                <w:b/>
                <w:sz w:val="16"/>
                <w:szCs w:val="16"/>
                <w:lang w:val="es-MX"/>
              </w:rPr>
              <w:t xml:space="preserve">10.9.8 </w:t>
            </w:r>
            <w:r w:rsidRPr="00D429B4">
              <w:rPr>
                <w:rFonts w:ascii="Verdana" w:hAnsi="Verdana"/>
                <w:sz w:val="16"/>
                <w:szCs w:val="16"/>
                <w:lang w:val="es-MX"/>
              </w:rPr>
              <w:t>Envasado, etiquetado y distribución.</w:t>
            </w:r>
          </w:p>
        </w:tc>
        <w:tc>
          <w:tcPr>
            <w:tcW w:w="4421" w:type="dxa"/>
          </w:tcPr>
          <w:p w14:paraId="11747D22" w14:textId="77777777" w:rsidR="00CD67E0" w:rsidRPr="00D429B4" w:rsidRDefault="00CD67E0" w:rsidP="00CD67E0">
            <w:pPr>
              <w:pStyle w:val="Texto"/>
              <w:spacing w:after="92" w:line="276" w:lineRule="auto"/>
              <w:ind w:firstLine="0"/>
              <w:rPr>
                <w:rFonts w:ascii="Verdana" w:hAnsi="Verdana"/>
                <w:b/>
                <w:sz w:val="16"/>
                <w:szCs w:val="16"/>
                <w:lang w:val="en-US"/>
              </w:rPr>
            </w:pPr>
            <w:r w:rsidRPr="00D429B4">
              <w:rPr>
                <w:rFonts w:ascii="Verdana" w:hAnsi="Verdana"/>
                <w:b/>
                <w:sz w:val="16"/>
                <w:szCs w:val="16"/>
                <w:lang w:val="en-US"/>
              </w:rPr>
              <w:t xml:space="preserve">10.9.8 </w:t>
            </w:r>
            <w:r w:rsidRPr="00D429B4">
              <w:rPr>
                <w:rFonts w:ascii="Verdana" w:hAnsi="Verdana"/>
                <w:sz w:val="16"/>
                <w:szCs w:val="16"/>
                <w:lang w:val="en-US"/>
              </w:rPr>
              <w:t>Packaging,</w:t>
            </w:r>
            <w:r w:rsidRPr="00D429B4">
              <w:rPr>
                <w:rFonts w:ascii="Verdana" w:hAnsi="Verdana"/>
                <w:b/>
                <w:sz w:val="16"/>
                <w:szCs w:val="16"/>
                <w:lang w:val="en-US"/>
              </w:rPr>
              <w:t xml:space="preserve"> </w:t>
            </w:r>
            <w:r w:rsidRPr="00D429B4">
              <w:rPr>
                <w:rFonts w:ascii="Verdana" w:hAnsi="Verdana"/>
                <w:sz w:val="16"/>
                <w:szCs w:val="16"/>
                <w:lang w:val="en-US"/>
              </w:rPr>
              <w:t>labeling and distribution</w:t>
            </w:r>
            <w:r w:rsidRPr="00D429B4">
              <w:rPr>
                <w:rFonts w:ascii="Verdana" w:hAnsi="Verdana"/>
                <w:b/>
                <w:sz w:val="16"/>
                <w:szCs w:val="16"/>
                <w:lang w:val="en-US"/>
              </w:rPr>
              <w:t>.</w:t>
            </w:r>
          </w:p>
        </w:tc>
      </w:tr>
      <w:tr w:rsidR="00CD67E0" w:rsidRPr="00B838EC" w14:paraId="17CC8DE2" w14:textId="77777777" w:rsidTr="00335F65">
        <w:tc>
          <w:tcPr>
            <w:tcW w:w="4421" w:type="dxa"/>
          </w:tcPr>
          <w:p w14:paraId="0D14343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10.9.8.1</w:t>
            </w:r>
            <w:r w:rsidRPr="00D429B4">
              <w:rPr>
                <w:rFonts w:ascii="Verdana" w:hAnsi="Verdana"/>
                <w:sz w:val="16"/>
                <w:szCs w:val="16"/>
                <w:lang w:val="es-MX"/>
              </w:rPr>
              <w:t xml:space="preserve"> Los medicamentos en investigación deben ser envasados para protegerlos de la alteración, contaminación y daños durante el almacenamiento y envío.</w:t>
            </w:r>
          </w:p>
        </w:tc>
        <w:tc>
          <w:tcPr>
            <w:tcW w:w="4421" w:type="dxa"/>
            <w:shd w:val="clear" w:color="auto" w:fill="auto"/>
          </w:tcPr>
          <w:p w14:paraId="5B2439D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10.9.8.1 </w:t>
            </w:r>
            <w:r w:rsidRPr="00D429B4">
              <w:rPr>
                <w:rFonts w:ascii="Verdana" w:hAnsi="Verdana"/>
                <w:sz w:val="16"/>
                <w:szCs w:val="16"/>
                <w:lang w:val="en-US"/>
              </w:rPr>
              <w:t>The drug products under investigation must be packaged for protection from tampering, contamination and damages during storage and shipment.</w:t>
            </w:r>
          </w:p>
        </w:tc>
      </w:tr>
      <w:tr w:rsidR="00CD67E0" w:rsidRPr="00B838EC" w14:paraId="067EF8AD" w14:textId="77777777" w:rsidTr="00335F65">
        <w:tc>
          <w:tcPr>
            <w:tcW w:w="4421" w:type="dxa"/>
          </w:tcPr>
          <w:p w14:paraId="1D6BCC3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10.9.8.2</w:t>
            </w:r>
            <w:r w:rsidRPr="00D429B4">
              <w:rPr>
                <w:rFonts w:ascii="Verdana" w:hAnsi="Verdana"/>
                <w:sz w:val="16"/>
                <w:szCs w:val="16"/>
                <w:lang w:val="es-MX"/>
              </w:rPr>
              <w:t xml:space="preserve"> Deben tener procedimientos o instrucciones para el control del envasado, del etiquetado y de las operaciones de distribución.</w:t>
            </w:r>
          </w:p>
        </w:tc>
        <w:tc>
          <w:tcPr>
            <w:tcW w:w="4421" w:type="dxa"/>
            <w:shd w:val="clear" w:color="auto" w:fill="auto"/>
          </w:tcPr>
          <w:p w14:paraId="4B869E9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10.9.8.2. </w:t>
            </w:r>
            <w:r w:rsidRPr="00D429B4">
              <w:rPr>
                <w:rFonts w:ascii="Verdana" w:hAnsi="Verdana"/>
                <w:sz w:val="16"/>
                <w:szCs w:val="16"/>
                <w:lang w:val="en-US"/>
              </w:rPr>
              <w:t>There must be procedures or instructions for the control of packaging, labeling and distribution operations.</w:t>
            </w:r>
          </w:p>
        </w:tc>
      </w:tr>
      <w:tr w:rsidR="00CD67E0" w:rsidRPr="00B838EC" w14:paraId="404CEFF6" w14:textId="77777777" w:rsidTr="00335F65">
        <w:tc>
          <w:tcPr>
            <w:tcW w:w="4421" w:type="dxa"/>
          </w:tcPr>
          <w:p w14:paraId="5016B4F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10.9.8.3</w:t>
            </w:r>
            <w:r w:rsidRPr="00D429B4">
              <w:rPr>
                <w:rFonts w:ascii="Verdana" w:hAnsi="Verdana"/>
                <w:sz w:val="16"/>
                <w:szCs w:val="16"/>
                <w:lang w:val="es-MX"/>
              </w:rPr>
              <w:t xml:space="preserve"> En el envasado de productos para estudios clínicos cegados se debe asegurar que la conciliación de productos e insumos se realiza al 100%.</w:t>
            </w:r>
          </w:p>
        </w:tc>
        <w:tc>
          <w:tcPr>
            <w:tcW w:w="4421" w:type="dxa"/>
            <w:shd w:val="clear" w:color="auto" w:fill="auto"/>
          </w:tcPr>
          <w:p w14:paraId="1228BFA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10.9.8.3 </w:t>
            </w:r>
            <w:r w:rsidRPr="00D429B4">
              <w:rPr>
                <w:rFonts w:ascii="Verdana" w:hAnsi="Verdana"/>
                <w:sz w:val="16"/>
                <w:szCs w:val="16"/>
                <w:lang w:val="en-US"/>
              </w:rPr>
              <w:t>In the packaging of products for blind clinical studies, it must be assured that the conciliation of product and materials is performed at 100%.</w:t>
            </w:r>
          </w:p>
        </w:tc>
      </w:tr>
      <w:tr w:rsidR="00CD67E0" w:rsidRPr="00B838EC" w14:paraId="5331CB0E" w14:textId="77777777" w:rsidTr="00335F65">
        <w:tc>
          <w:tcPr>
            <w:tcW w:w="4421" w:type="dxa"/>
          </w:tcPr>
          <w:p w14:paraId="629E941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10.9.8.4 </w:t>
            </w:r>
            <w:r w:rsidRPr="00D429B4">
              <w:rPr>
                <w:rFonts w:ascii="Verdana" w:hAnsi="Verdana"/>
                <w:sz w:val="16"/>
                <w:szCs w:val="16"/>
                <w:lang w:val="es-MX"/>
              </w:rPr>
              <w:t>El etiquetado de medicamentos para uso clínico se sujetará a las disposiciones jurídicas aplicables.</w:t>
            </w:r>
          </w:p>
        </w:tc>
        <w:tc>
          <w:tcPr>
            <w:tcW w:w="4421" w:type="dxa"/>
            <w:shd w:val="clear" w:color="auto" w:fill="auto"/>
          </w:tcPr>
          <w:p w14:paraId="78A453D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10.9.8.4 </w:t>
            </w:r>
            <w:r w:rsidRPr="00D429B4">
              <w:rPr>
                <w:rFonts w:ascii="Verdana" w:hAnsi="Verdana"/>
                <w:sz w:val="16"/>
                <w:szCs w:val="16"/>
                <w:lang w:val="en-US"/>
              </w:rPr>
              <w:t>The labeling of drug products for clinical use will be subject to the applicable legal provisions</w:t>
            </w:r>
          </w:p>
        </w:tc>
      </w:tr>
      <w:tr w:rsidR="00CD67E0" w:rsidRPr="00B838EC" w14:paraId="3FA7BD9D" w14:textId="77777777" w:rsidTr="00335F65">
        <w:tc>
          <w:tcPr>
            <w:tcW w:w="4421" w:type="dxa"/>
          </w:tcPr>
          <w:p w14:paraId="3847B17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10.9.8.5</w:t>
            </w:r>
            <w:r w:rsidRPr="00D429B4">
              <w:rPr>
                <w:rFonts w:ascii="Verdana" w:hAnsi="Verdana"/>
                <w:sz w:val="16"/>
                <w:szCs w:val="16"/>
                <w:lang w:val="es-MX"/>
              </w:rPr>
              <w:t xml:space="preserve"> La información mínima que debe contener la etiqueta del medicamento en investigación es:</w:t>
            </w:r>
          </w:p>
        </w:tc>
        <w:tc>
          <w:tcPr>
            <w:tcW w:w="4421" w:type="dxa"/>
          </w:tcPr>
          <w:p w14:paraId="3170638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10.9.8.5</w:t>
            </w:r>
            <w:r w:rsidRPr="00D429B4">
              <w:rPr>
                <w:rFonts w:ascii="Verdana" w:hAnsi="Verdana"/>
                <w:sz w:val="16"/>
                <w:szCs w:val="16"/>
                <w:lang w:val="en-US"/>
              </w:rPr>
              <w:t xml:space="preserve"> The minimum information that the label of the drug product under investigation must contain is: </w:t>
            </w:r>
          </w:p>
        </w:tc>
      </w:tr>
      <w:tr w:rsidR="00CD67E0" w:rsidRPr="00B838EC" w14:paraId="081627FB" w14:textId="77777777" w:rsidTr="00335F65">
        <w:tc>
          <w:tcPr>
            <w:tcW w:w="4421" w:type="dxa"/>
          </w:tcPr>
          <w:p w14:paraId="2121FC0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10.9.8.5.1</w:t>
            </w:r>
            <w:r w:rsidRPr="00D429B4">
              <w:rPr>
                <w:rFonts w:ascii="Verdana" w:hAnsi="Verdana"/>
                <w:sz w:val="16"/>
                <w:szCs w:val="16"/>
                <w:lang w:val="es-MX"/>
              </w:rPr>
              <w:t xml:space="preserve"> Nombre, dirección y teléfono del patrocinador o del principal contacto.</w:t>
            </w:r>
          </w:p>
        </w:tc>
        <w:tc>
          <w:tcPr>
            <w:tcW w:w="4421" w:type="dxa"/>
          </w:tcPr>
          <w:p w14:paraId="2FCDDFF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10.9.8.5.1</w:t>
            </w:r>
            <w:r w:rsidRPr="00D429B4">
              <w:rPr>
                <w:rFonts w:ascii="Verdana" w:hAnsi="Verdana"/>
                <w:sz w:val="16"/>
                <w:szCs w:val="16"/>
                <w:lang w:val="en-US"/>
              </w:rPr>
              <w:t xml:space="preserve"> The name, address and telephone number of the sponsor or the principal contact.</w:t>
            </w:r>
          </w:p>
        </w:tc>
      </w:tr>
      <w:tr w:rsidR="00CD67E0" w:rsidRPr="00B838EC" w14:paraId="4D793FB0" w14:textId="77777777" w:rsidTr="00335F65">
        <w:tc>
          <w:tcPr>
            <w:tcW w:w="4421" w:type="dxa"/>
          </w:tcPr>
          <w:p w14:paraId="5508777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10.9.8.5.2</w:t>
            </w:r>
            <w:r w:rsidRPr="00D429B4">
              <w:rPr>
                <w:rFonts w:ascii="Verdana" w:hAnsi="Verdana"/>
                <w:sz w:val="16"/>
                <w:szCs w:val="16"/>
                <w:lang w:val="es-MX"/>
              </w:rPr>
              <w:t xml:space="preserve"> Forma farmacéutica y vía de administración.</w:t>
            </w:r>
          </w:p>
        </w:tc>
        <w:tc>
          <w:tcPr>
            <w:tcW w:w="4421" w:type="dxa"/>
          </w:tcPr>
          <w:p w14:paraId="40DBDB4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10.9.8.5.2</w:t>
            </w:r>
            <w:r w:rsidRPr="00D429B4">
              <w:rPr>
                <w:rFonts w:ascii="Verdana" w:hAnsi="Verdana"/>
                <w:sz w:val="16"/>
                <w:szCs w:val="16"/>
                <w:lang w:val="en-US"/>
              </w:rPr>
              <w:t xml:space="preserve"> Pharmaceutical form and route of administration. </w:t>
            </w:r>
          </w:p>
        </w:tc>
      </w:tr>
      <w:tr w:rsidR="00CD67E0" w:rsidRPr="00DD29AF" w14:paraId="7085E9B3" w14:textId="77777777" w:rsidTr="00335F65">
        <w:tc>
          <w:tcPr>
            <w:tcW w:w="4421" w:type="dxa"/>
          </w:tcPr>
          <w:p w14:paraId="3F8D228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10.9.8.5.3</w:t>
            </w:r>
            <w:r w:rsidRPr="00D429B4">
              <w:rPr>
                <w:rFonts w:ascii="Verdana" w:hAnsi="Verdana"/>
                <w:sz w:val="16"/>
                <w:szCs w:val="16"/>
                <w:lang w:val="es-MX"/>
              </w:rPr>
              <w:t xml:space="preserve"> No. de lote.</w:t>
            </w:r>
          </w:p>
        </w:tc>
        <w:tc>
          <w:tcPr>
            <w:tcW w:w="4421" w:type="dxa"/>
          </w:tcPr>
          <w:p w14:paraId="2473260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10.9.8.5.3</w:t>
            </w:r>
            <w:r w:rsidRPr="00D429B4">
              <w:rPr>
                <w:rFonts w:ascii="Verdana" w:hAnsi="Verdana"/>
                <w:sz w:val="16"/>
                <w:szCs w:val="16"/>
                <w:lang w:val="en-US"/>
              </w:rPr>
              <w:t xml:space="preserve"> Number of the lot. </w:t>
            </w:r>
          </w:p>
        </w:tc>
      </w:tr>
      <w:tr w:rsidR="00CD67E0" w:rsidRPr="00B838EC" w14:paraId="3128BCE7" w14:textId="77777777" w:rsidTr="00335F65">
        <w:tc>
          <w:tcPr>
            <w:tcW w:w="4421" w:type="dxa"/>
          </w:tcPr>
          <w:p w14:paraId="5C63631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10.9.8.5.4</w:t>
            </w:r>
            <w:r w:rsidRPr="00D429B4">
              <w:rPr>
                <w:rFonts w:ascii="Verdana" w:hAnsi="Verdana"/>
                <w:sz w:val="16"/>
                <w:szCs w:val="16"/>
                <w:lang w:val="es-MX"/>
              </w:rPr>
              <w:t xml:space="preserve"> Leyenda “Exclusivamente para estudios clínicos”.</w:t>
            </w:r>
          </w:p>
        </w:tc>
        <w:tc>
          <w:tcPr>
            <w:tcW w:w="4421" w:type="dxa"/>
          </w:tcPr>
          <w:p w14:paraId="6BDDA5A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10.9.8.5.4</w:t>
            </w:r>
            <w:r w:rsidRPr="00D429B4">
              <w:rPr>
                <w:rFonts w:ascii="Verdana" w:hAnsi="Verdana"/>
                <w:sz w:val="16"/>
                <w:szCs w:val="16"/>
                <w:lang w:val="en-US"/>
              </w:rPr>
              <w:t xml:space="preserve"> Legend “Exclusively for clinical studies.” </w:t>
            </w:r>
          </w:p>
        </w:tc>
      </w:tr>
      <w:tr w:rsidR="00CD67E0" w:rsidRPr="00DD29AF" w14:paraId="6AD2BB61" w14:textId="77777777" w:rsidTr="00335F65">
        <w:tc>
          <w:tcPr>
            <w:tcW w:w="4421" w:type="dxa"/>
          </w:tcPr>
          <w:p w14:paraId="02E3BD7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10.9.8.5.5 </w:t>
            </w:r>
            <w:r w:rsidRPr="00D429B4">
              <w:rPr>
                <w:rFonts w:ascii="Verdana" w:hAnsi="Verdana"/>
                <w:sz w:val="16"/>
                <w:szCs w:val="16"/>
                <w:lang w:val="es-MX"/>
              </w:rPr>
              <w:t>Fecha de caducidad.</w:t>
            </w:r>
          </w:p>
        </w:tc>
        <w:tc>
          <w:tcPr>
            <w:tcW w:w="4421" w:type="dxa"/>
          </w:tcPr>
          <w:p w14:paraId="75E8460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10.9.8.5.5 </w:t>
            </w:r>
            <w:r w:rsidRPr="00D429B4">
              <w:rPr>
                <w:rFonts w:ascii="Verdana" w:hAnsi="Verdana"/>
                <w:sz w:val="16"/>
                <w:szCs w:val="16"/>
                <w:lang w:val="en-US"/>
              </w:rPr>
              <w:t xml:space="preserve">Expiration date. </w:t>
            </w:r>
          </w:p>
        </w:tc>
      </w:tr>
      <w:tr w:rsidR="00CD67E0" w:rsidRPr="00DD29AF" w14:paraId="1ABC8FC6" w14:textId="77777777" w:rsidTr="00335F65">
        <w:tc>
          <w:tcPr>
            <w:tcW w:w="4421" w:type="dxa"/>
          </w:tcPr>
          <w:p w14:paraId="316B645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10.9.9</w:t>
            </w:r>
            <w:r w:rsidRPr="00D429B4">
              <w:rPr>
                <w:rFonts w:ascii="Verdana" w:hAnsi="Verdana"/>
                <w:sz w:val="16"/>
                <w:szCs w:val="16"/>
                <w:lang w:val="es-MX"/>
              </w:rPr>
              <w:t xml:space="preserve"> Retiro de producto.</w:t>
            </w:r>
          </w:p>
        </w:tc>
        <w:tc>
          <w:tcPr>
            <w:tcW w:w="4421" w:type="dxa"/>
          </w:tcPr>
          <w:p w14:paraId="7FF5FB7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10.9.9</w:t>
            </w:r>
            <w:r w:rsidRPr="00D429B4">
              <w:rPr>
                <w:rFonts w:ascii="Verdana" w:hAnsi="Verdana"/>
                <w:sz w:val="16"/>
                <w:szCs w:val="16"/>
                <w:lang w:val="en-US"/>
              </w:rPr>
              <w:t xml:space="preserve"> Withdrawal of product. </w:t>
            </w:r>
          </w:p>
        </w:tc>
      </w:tr>
      <w:tr w:rsidR="00CD67E0" w:rsidRPr="00B838EC" w14:paraId="303B11D8" w14:textId="77777777" w:rsidTr="00335F65">
        <w:tc>
          <w:tcPr>
            <w:tcW w:w="4421" w:type="dxa"/>
          </w:tcPr>
          <w:p w14:paraId="4EE4518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10.9.9.1</w:t>
            </w:r>
            <w:r w:rsidRPr="00D429B4">
              <w:rPr>
                <w:rFonts w:ascii="Verdana" w:hAnsi="Verdana"/>
                <w:sz w:val="16"/>
                <w:szCs w:val="16"/>
                <w:lang w:val="es-MX"/>
              </w:rPr>
              <w:t xml:space="preserve"> Debe existir un procedimiento para el retiro de producto en investigación para uso clínico que describa las responsabilidades de todos los integrantes de la cadena de suministro hasta llegar a la unidad que está utilizando el medicamento, éste debe incluir al fabricante, al patrocinador, al investigador, al monitor clínico y al responsable de la unidad de investigación.</w:t>
            </w:r>
          </w:p>
        </w:tc>
        <w:tc>
          <w:tcPr>
            <w:tcW w:w="4421" w:type="dxa"/>
            <w:shd w:val="clear" w:color="auto" w:fill="auto"/>
          </w:tcPr>
          <w:p w14:paraId="2817B30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10.9.9.1 </w:t>
            </w:r>
            <w:r w:rsidRPr="00D429B4">
              <w:rPr>
                <w:rFonts w:ascii="Verdana" w:hAnsi="Verdana"/>
                <w:sz w:val="16"/>
                <w:szCs w:val="16"/>
                <w:lang w:val="en-US"/>
              </w:rPr>
              <w:t xml:space="preserve">There must be a procedure for the withdrawal of a product under investigation for clinical use which describes the responsibilities of all the members of the supply chain until reaching the unit using the drug product, this must include the manufacturer, the sponsor, the investigator, the clinical monitor and the person responsible for the investigation unit.  </w:t>
            </w:r>
          </w:p>
        </w:tc>
      </w:tr>
      <w:tr w:rsidR="00CD67E0" w:rsidRPr="00B838EC" w14:paraId="19257C69" w14:textId="77777777" w:rsidTr="00335F65">
        <w:tc>
          <w:tcPr>
            <w:tcW w:w="4421" w:type="dxa"/>
          </w:tcPr>
          <w:p w14:paraId="6528553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10.9.9.1.1</w:t>
            </w:r>
            <w:r w:rsidRPr="00D429B4">
              <w:rPr>
                <w:rFonts w:ascii="Verdana" w:hAnsi="Verdana"/>
                <w:sz w:val="16"/>
                <w:szCs w:val="16"/>
                <w:lang w:val="es-MX"/>
              </w:rPr>
              <w:t xml:space="preserve"> El fabricante y el patrocinador deben asegurar que todos los involucrados estén capacitados en este procedimiento.</w:t>
            </w:r>
          </w:p>
        </w:tc>
        <w:tc>
          <w:tcPr>
            <w:tcW w:w="4421" w:type="dxa"/>
            <w:shd w:val="clear" w:color="auto" w:fill="auto"/>
          </w:tcPr>
          <w:p w14:paraId="5759552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10.9.9.1.1 </w:t>
            </w:r>
            <w:r w:rsidRPr="00D429B4">
              <w:rPr>
                <w:rFonts w:ascii="Verdana" w:hAnsi="Verdana"/>
                <w:sz w:val="16"/>
                <w:szCs w:val="16"/>
                <w:lang w:val="en-US"/>
              </w:rPr>
              <w:t>The manufacturer and the sponsor must assure that all those involved are trained for this procedure.</w:t>
            </w:r>
          </w:p>
        </w:tc>
      </w:tr>
      <w:tr w:rsidR="00CD67E0" w:rsidRPr="00DD29AF" w14:paraId="4AF79242" w14:textId="77777777" w:rsidTr="00335F65">
        <w:tc>
          <w:tcPr>
            <w:tcW w:w="4421" w:type="dxa"/>
          </w:tcPr>
          <w:p w14:paraId="4E22928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10.10 </w:t>
            </w:r>
            <w:r w:rsidRPr="00D429B4">
              <w:rPr>
                <w:rFonts w:ascii="Verdana" w:hAnsi="Verdana"/>
                <w:sz w:val="16"/>
                <w:szCs w:val="16"/>
                <w:lang w:val="es-MX"/>
              </w:rPr>
              <w:t>Compatibilidad de giros.</w:t>
            </w:r>
          </w:p>
        </w:tc>
        <w:tc>
          <w:tcPr>
            <w:tcW w:w="4421" w:type="dxa"/>
          </w:tcPr>
          <w:p w14:paraId="1F5CECD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10.10 </w:t>
            </w:r>
            <w:r w:rsidRPr="00D429B4">
              <w:rPr>
                <w:rFonts w:ascii="Verdana" w:hAnsi="Verdana"/>
                <w:sz w:val="16"/>
                <w:szCs w:val="16"/>
                <w:lang w:val="en-US"/>
              </w:rPr>
              <w:t>Compatibility of orders.</w:t>
            </w:r>
          </w:p>
        </w:tc>
      </w:tr>
      <w:tr w:rsidR="00CD67E0" w:rsidRPr="00B838EC" w14:paraId="755F2492" w14:textId="77777777" w:rsidTr="00335F65">
        <w:tc>
          <w:tcPr>
            <w:tcW w:w="4421" w:type="dxa"/>
          </w:tcPr>
          <w:p w14:paraId="16B2BBC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10.10.1 </w:t>
            </w:r>
            <w:r w:rsidRPr="00D429B4">
              <w:rPr>
                <w:rFonts w:ascii="Verdana" w:hAnsi="Verdana"/>
                <w:sz w:val="16"/>
                <w:szCs w:val="16"/>
                <w:lang w:val="es-MX"/>
              </w:rPr>
              <w:t>Se debe solicitar la autorización a la Secretaría del uso compartido de las instalaciones y equipos para la fabricación de dispositivos médicos, siguiendo los requisitos establecidos en esta Norma.</w:t>
            </w:r>
          </w:p>
        </w:tc>
        <w:tc>
          <w:tcPr>
            <w:tcW w:w="4421" w:type="dxa"/>
          </w:tcPr>
          <w:p w14:paraId="61D9A36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10.10.1 </w:t>
            </w:r>
            <w:r w:rsidRPr="00D429B4">
              <w:rPr>
                <w:rFonts w:ascii="Verdana" w:hAnsi="Verdana"/>
                <w:sz w:val="16"/>
                <w:szCs w:val="16"/>
                <w:lang w:val="en-US"/>
              </w:rPr>
              <w:t xml:space="preserve">The authorization must be requested from the Secretary for the shared use of the installations and equipment for the manufacture of medical devices, following the requirements established in this Standard. </w:t>
            </w:r>
          </w:p>
        </w:tc>
      </w:tr>
      <w:tr w:rsidR="00CD67E0" w:rsidRPr="00B838EC" w14:paraId="045D396E" w14:textId="77777777" w:rsidTr="00335F65">
        <w:tc>
          <w:tcPr>
            <w:tcW w:w="4421" w:type="dxa"/>
          </w:tcPr>
          <w:p w14:paraId="5E0AFA0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10.10.2 </w:t>
            </w:r>
            <w:r w:rsidRPr="00D429B4">
              <w:rPr>
                <w:rFonts w:ascii="Verdana" w:hAnsi="Verdana"/>
                <w:sz w:val="16"/>
                <w:szCs w:val="16"/>
                <w:lang w:val="es-MX"/>
              </w:rPr>
              <w:t>El uso compartido de las instalaciones y equipos para la fabricación de productos clasificados con otros giros, la Secretaría evaluará caso por caso, a solicitud del interesado.</w:t>
            </w:r>
          </w:p>
        </w:tc>
        <w:tc>
          <w:tcPr>
            <w:tcW w:w="4421" w:type="dxa"/>
          </w:tcPr>
          <w:p w14:paraId="662714F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10.10.2 </w:t>
            </w:r>
            <w:r w:rsidRPr="00D429B4">
              <w:rPr>
                <w:rFonts w:ascii="Verdana" w:hAnsi="Verdana"/>
                <w:sz w:val="16"/>
                <w:szCs w:val="16"/>
                <w:lang w:val="en-US"/>
              </w:rPr>
              <w:t xml:space="preserve">The shared use of the installations and equipment for the manufacturer of products classified in different classes, the Secretary will evaluate, case by case, at the request of the interested party. </w:t>
            </w:r>
          </w:p>
        </w:tc>
      </w:tr>
      <w:tr w:rsidR="00CD67E0" w:rsidRPr="00C87E15" w14:paraId="07F018CA" w14:textId="77777777" w:rsidTr="00335F65">
        <w:tc>
          <w:tcPr>
            <w:tcW w:w="4421" w:type="dxa"/>
          </w:tcPr>
          <w:p w14:paraId="0770ECAF"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11. Laboratorio de Control de Calidad</w:t>
            </w:r>
          </w:p>
        </w:tc>
        <w:tc>
          <w:tcPr>
            <w:tcW w:w="4421" w:type="dxa"/>
          </w:tcPr>
          <w:p w14:paraId="1234A023"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11. The Quality Control Laboratory</w:t>
            </w:r>
          </w:p>
        </w:tc>
      </w:tr>
      <w:tr w:rsidR="00CD67E0" w:rsidRPr="00DD29AF" w14:paraId="78B27066" w14:textId="77777777" w:rsidTr="00335F65">
        <w:tc>
          <w:tcPr>
            <w:tcW w:w="4421" w:type="dxa"/>
          </w:tcPr>
          <w:p w14:paraId="20F3A818"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11.1 </w:t>
            </w:r>
            <w:r w:rsidRPr="00D429B4">
              <w:rPr>
                <w:rFonts w:ascii="Verdana" w:hAnsi="Verdana"/>
                <w:sz w:val="16"/>
                <w:szCs w:val="16"/>
                <w:lang w:val="es-MX"/>
              </w:rPr>
              <w:t>Generalidades.</w:t>
            </w:r>
          </w:p>
        </w:tc>
        <w:tc>
          <w:tcPr>
            <w:tcW w:w="4421" w:type="dxa"/>
          </w:tcPr>
          <w:p w14:paraId="3E8468B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 </w:t>
            </w:r>
            <w:r w:rsidRPr="00D429B4">
              <w:rPr>
                <w:rFonts w:ascii="Verdana" w:hAnsi="Verdana"/>
                <w:sz w:val="16"/>
                <w:szCs w:val="16"/>
                <w:lang w:val="en-US"/>
              </w:rPr>
              <w:t xml:space="preserve">General provisions. </w:t>
            </w:r>
          </w:p>
        </w:tc>
      </w:tr>
      <w:tr w:rsidR="00CD67E0" w:rsidRPr="00B838EC" w14:paraId="4FA68C91" w14:textId="77777777" w:rsidTr="00335F65">
        <w:tc>
          <w:tcPr>
            <w:tcW w:w="4421" w:type="dxa"/>
          </w:tcPr>
          <w:p w14:paraId="708EE82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Las actividades de Control de Calidad comprenden la organización, documentación y procedimientos que garanticen que se lleven a cabo las pruebas cumpliendo las BPL, de acuerdo a los métodos y especificaciones vigentes, para que los insumos y productos no sean liberados para su uso o venta hasta que su calidad haya sido evaluada.</w:t>
            </w:r>
          </w:p>
        </w:tc>
        <w:tc>
          <w:tcPr>
            <w:tcW w:w="4421" w:type="dxa"/>
          </w:tcPr>
          <w:p w14:paraId="356DC83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The Quality Control activities include the organization, documentation and procedures that guarantee that the tests complying with the GLP (Good Laboratory Practices) are carried out according to the current methods and specifications, so that the materials and products are not released for their use or sale until their quality has been evaluated. </w:t>
            </w:r>
          </w:p>
        </w:tc>
      </w:tr>
      <w:tr w:rsidR="00CD67E0" w:rsidRPr="00B838EC" w14:paraId="4C7AC002" w14:textId="77777777" w:rsidTr="00335F65">
        <w:tc>
          <w:tcPr>
            <w:tcW w:w="4421" w:type="dxa"/>
          </w:tcPr>
          <w:p w14:paraId="436B856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w:t>
            </w:r>
            <w:r w:rsidRPr="00D429B4">
              <w:rPr>
                <w:rFonts w:ascii="Verdana" w:hAnsi="Verdana"/>
                <w:sz w:val="16"/>
                <w:szCs w:val="16"/>
                <w:lang w:val="es-MX"/>
              </w:rPr>
              <w:t xml:space="preserve"> Cada titular de un Registro Sanitario debe tener un laboratorio de control de calidad independiente y bajo la autoridad de una persona calificada, con la formación académica y experiencia requerida.</w:t>
            </w:r>
          </w:p>
        </w:tc>
        <w:tc>
          <w:tcPr>
            <w:tcW w:w="4421" w:type="dxa"/>
            <w:shd w:val="clear" w:color="auto" w:fill="auto"/>
          </w:tcPr>
          <w:p w14:paraId="0EEA458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 </w:t>
            </w:r>
            <w:r w:rsidRPr="00D429B4">
              <w:rPr>
                <w:rFonts w:ascii="Verdana" w:hAnsi="Verdana"/>
                <w:sz w:val="16"/>
                <w:szCs w:val="16"/>
                <w:lang w:val="en-US"/>
              </w:rPr>
              <w:t xml:space="preserve">Each holder of a Sanitary Registration must have a quality control laboratory, independent and under the authority of a qualified person, with the required academic formation and experience. </w:t>
            </w:r>
          </w:p>
        </w:tc>
      </w:tr>
      <w:tr w:rsidR="00CD67E0" w:rsidRPr="00B838EC" w14:paraId="139EFA1C" w14:textId="77777777" w:rsidTr="00335F65">
        <w:tc>
          <w:tcPr>
            <w:tcW w:w="4421" w:type="dxa"/>
          </w:tcPr>
          <w:p w14:paraId="1C24F6C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11.3 </w:t>
            </w:r>
            <w:r w:rsidRPr="00D429B4">
              <w:rPr>
                <w:rFonts w:ascii="Verdana" w:hAnsi="Verdana"/>
                <w:sz w:val="16"/>
                <w:szCs w:val="16"/>
                <w:lang w:val="es-MX"/>
              </w:rPr>
              <w:t>Las áreas de laboratorio de control deben reunir los requisitos establecidos en el punto 8.2.4 de esta Norma.</w:t>
            </w:r>
          </w:p>
        </w:tc>
        <w:tc>
          <w:tcPr>
            <w:tcW w:w="4421" w:type="dxa"/>
            <w:shd w:val="clear" w:color="auto" w:fill="auto"/>
          </w:tcPr>
          <w:p w14:paraId="511AFE6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11.3 </w:t>
            </w:r>
            <w:r w:rsidRPr="00D429B4">
              <w:rPr>
                <w:rFonts w:ascii="Verdana" w:hAnsi="Verdana"/>
                <w:sz w:val="16"/>
                <w:szCs w:val="16"/>
                <w:lang w:val="en-US"/>
              </w:rPr>
              <w:t xml:space="preserve">The Control Laboratory areas must have all the requirements established in point 8.2.4 of this Standard. </w:t>
            </w:r>
          </w:p>
        </w:tc>
      </w:tr>
      <w:tr w:rsidR="00CD67E0" w:rsidRPr="00B838EC" w14:paraId="22AE5909" w14:textId="77777777" w:rsidTr="00335F65">
        <w:tc>
          <w:tcPr>
            <w:tcW w:w="4421" w:type="dxa"/>
          </w:tcPr>
          <w:p w14:paraId="54EDB03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11.4</w:t>
            </w:r>
            <w:r w:rsidRPr="00D429B4">
              <w:rPr>
                <w:rFonts w:ascii="Verdana" w:hAnsi="Verdana"/>
                <w:sz w:val="16"/>
                <w:szCs w:val="16"/>
                <w:lang w:val="es-MX"/>
              </w:rPr>
              <w:t xml:space="preserve"> El personal, las áreas y equipos empleados en el laboratorio de control deben ser calificados.</w:t>
            </w:r>
          </w:p>
        </w:tc>
        <w:tc>
          <w:tcPr>
            <w:tcW w:w="4421" w:type="dxa"/>
          </w:tcPr>
          <w:p w14:paraId="3D8E99C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11.4 </w:t>
            </w:r>
            <w:r w:rsidRPr="00D429B4">
              <w:rPr>
                <w:rFonts w:ascii="Verdana" w:hAnsi="Verdana"/>
                <w:sz w:val="16"/>
                <w:szCs w:val="16"/>
                <w:lang w:val="en-US"/>
              </w:rPr>
              <w:t xml:space="preserve">The personnel, the areas and equipment employed in the control laboratory must be qualified. </w:t>
            </w:r>
          </w:p>
        </w:tc>
      </w:tr>
      <w:tr w:rsidR="00CD67E0" w:rsidRPr="00B838EC" w14:paraId="099501F3" w14:textId="77777777" w:rsidTr="00335F65">
        <w:tc>
          <w:tcPr>
            <w:tcW w:w="4421" w:type="dxa"/>
          </w:tcPr>
          <w:p w14:paraId="159A7DC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11.5</w:t>
            </w:r>
            <w:r w:rsidRPr="00D429B4">
              <w:rPr>
                <w:rFonts w:ascii="Verdana" w:hAnsi="Verdana"/>
                <w:sz w:val="16"/>
                <w:szCs w:val="16"/>
                <w:lang w:val="es-MX"/>
              </w:rPr>
              <w:t xml:space="preserve"> Deben existir procedimientos para la limpieza, mantenimiento y operación de áreas, instrumentos de medición y equipos del laboratorio con los registros correspondientes.</w:t>
            </w:r>
          </w:p>
        </w:tc>
        <w:tc>
          <w:tcPr>
            <w:tcW w:w="4421" w:type="dxa"/>
            <w:shd w:val="clear" w:color="auto" w:fill="auto"/>
          </w:tcPr>
          <w:p w14:paraId="62D7BDB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11.5 </w:t>
            </w:r>
            <w:r w:rsidRPr="00D429B4">
              <w:rPr>
                <w:rFonts w:ascii="Verdana" w:hAnsi="Verdana"/>
                <w:sz w:val="16"/>
                <w:szCs w:val="16"/>
                <w:lang w:val="en-US"/>
              </w:rPr>
              <w:t>There must be procedures for the cleaning, maintenance and operation of areas, measuring instruments and laboratory equipment with the corresponding registrations.</w:t>
            </w:r>
          </w:p>
        </w:tc>
      </w:tr>
      <w:tr w:rsidR="00CD67E0" w:rsidRPr="00B838EC" w14:paraId="714875D6" w14:textId="77777777" w:rsidTr="00335F65">
        <w:tc>
          <w:tcPr>
            <w:tcW w:w="4421" w:type="dxa"/>
          </w:tcPr>
          <w:p w14:paraId="3478882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11.6</w:t>
            </w:r>
            <w:r w:rsidRPr="00D429B4">
              <w:rPr>
                <w:rFonts w:ascii="Verdana" w:hAnsi="Verdana"/>
                <w:sz w:val="16"/>
                <w:szCs w:val="16"/>
                <w:lang w:val="es-MX"/>
              </w:rPr>
              <w:t xml:space="preserve"> Deben contar con un programa de calibración de instrumentos de medición empleados en el laboratorio.</w:t>
            </w:r>
          </w:p>
        </w:tc>
        <w:tc>
          <w:tcPr>
            <w:tcW w:w="4421" w:type="dxa"/>
            <w:shd w:val="clear" w:color="auto" w:fill="auto"/>
          </w:tcPr>
          <w:p w14:paraId="0F0C98A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11.6 </w:t>
            </w:r>
            <w:r w:rsidRPr="00D429B4">
              <w:rPr>
                <w:rFonts w:ascii="Verdana" w:hAnsi="Verdana"/>
                <w:sz w:val="16"/>
                <w:szCs w:val="16"/>
                <w:lang w:val="en-US"/>
              </w:rPr>
              <w:t>There must be a calibration program of the measuring instruments used in the laboratory.</w:t>
            </w:r>
          </w:p>
        </w:tc>
      </w:tr>
      <w:tr w:rsidR="00CD67E0" w:rsidRPr="00B838EC" w14:paraId="7ABCFDCD" w14:textId="77777777" w:rsidTr="00335F65">
        <w:tc>
          <w:tcPr>
            <w:tcW w:w="4421" w:type="dxa"/>
          </w:tcPr>
          <w:p w14:paraId="03DD7DA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11.7</w:t>
            </w:r>
            <w:r w:rsidRPr="00D429B4">
              <w:rPr>
                <w:rFonts w:ascii="Verdana" w:hAnsi="Verdana"/>
                <w:sz w:val="16"/>
                <w:szCs w:val="16"/>
                <w:lang w:val="es-MX"/>
              </w:rPr>
              <w:t xml:space="preserve"> Los métodos analíticos deben estar validados, cuando se realicen cambios en la metodología se debe realizar una nueva validación.</w:t>
            </w:r>
          </w:p>
        </w:tc>
        <w:tc>
          <w:tcPr>
            <w:tcW w:w="4421" w:type="dxa"/>
            <w:shd w:val="clear" w:color="auto" w:fill="auto"/>
          </w:tcPr>
          <w:p w14:paraId="632AC46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11.7 </w:t>
            </w:r>
            <w:r w:rsidRPr="00D429B4">
              <w:rPr>
                <w:rFonts w:ascii="Verdana" w:hAnsi="Verdana"/>
                <w:sz w:val="16"/>
                <w:szCs w:val="16"/>
                <w:lang w:val="en-US"/>
              </w:rPr>
              <w:t>The analytical methods must be validated, when changes in the methodology are made a new validation must be performed.</w:t>
            </w:r>
          </w:p>
        </w:tc>
      </w:tr>
      <w:tr w:rsidR="00CD67E0" w:rsidRPr="00B838EC" w14:paraId="311434DB" w14:textId="77777777" w:rsidTr="00335F65">
        <w:tc>
          <w:tcPr>
            <w:tcW w:w="4421" w:type="dxa"/>
          </w:tcPr>
          <w:p w14:paraId="3F619AA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11.8 </w:t>
            </w:r>
            <w:r w:rsidRPr="00D429B4">
              <w:rPr>
                <w:rFonts w:ascii="Verdana" w:hAnsi="Verdana"/>
                <w:sz w:val="16"/>
                <w:szCs w:val="16"/>
                <w:lang w:val="es-MX"/>
              </w:rPr>
              <w:t>Deben contar con especificaciones, procedimientos de muestreo, procedimientos de prueba y registros, certificados analíticos y cuando aplique registros de los monitoreos ambientales.</w:t>
            </w:r>
          </w:p>
        </w:tc>
        <w:tc>
          <w:tcPr>
            <w:tcW w:w="4421" w:type="dxa"/>
            <w:shd w:val="clear" w:color="auto" w:fill="auto"/>
          </w:tcPr>
          <w:p w14:paraId="1E7607C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11.8 </w:t>
            </w:r>
            <w:r w:rsidRPr="00D429B4">
              <w:rPr>
                <w:rFonts w:ascii="Verdana" w:hAnsi="Verdana"/>
                <w:sz w:val="16"/>
                <w:szCs w:val="16"/>
                <w:lang w:val="en-US"/>
              </w:rPr>
              <w:t>There must be specifications, sampling procedures, test procedures and records, analytical certificates and when applicable environmental monitoring records.</w:t>
            </w:r>
          </w:p>
        </w:tc>
      </w:tr>
      <w:tr w:rsidR="00CD67E0" w:rsidRPr="00B838EC" w14:paraId="7F23F47A" w14:textId="77777777" w:rsidTr="00335F65">
        <w:tc>
          <w:tcPr>
            <w:tcW w:w="4421" w:type="dxa"/>
          </w:tcPr>
          <w:p w14:paraId="6F3C82C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11.9</w:t>
            </w:r>
            <w:r w:rsidRPr="00D429B4">
              <w:rPr>
                <w:rFonts w:ascii="Verdana" w:hAnsi="Verdana"/>
                <w:sz w:val="16"/>
                <w:szCs w:val="16"/>
                <w:lang w:val="es-MX"/>
              </w:rPr>
              <w:t xml:space="preserve"> La documentación del laboratorio debe cumplir con lo establecido en el punto 5.2 de esta Norma.</w:t>
            </w:r>
          </w:p>
        </w:tc>
        <w:tc>
          <w:tcPr>
            <w:tcW w:w="4421" w:type="dxa"/>
            <w:shd w:val="clear" w:color="auto" w:fill="auto"/>
          </w:tcPr>
          <w:p w14:paraId="7F73237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11.9 </w:t>
            </w:r>
            <w:r w:rsidRPr="00D429B4">
              <w:rPr>
                <w:rFonts w:ascii="Verdana" w:hAnsi="Verdana"/>
                <w:sz w:val="16"/>
                <w:szCs w:val="16"/>
                <w:lang w:val="en-US"/>
              </w:rPr>
              <w:t>The laboratory documentation must comply with that established in point 5.2 of this Standard.</w:t>
            </w:r>
          </w:p>
        </w:tc>
      </w:tr>
      <w:tr w:rsidR="00CD67E0" w:rsidRPr="00B838EC" w14:paraId="20D5A052" w14:textId="77777777" w:rsidTr="00335F65">
        <w:tc>
          <w:tcPr>
            <w:tcW w:w="4421" w:type="dxa"/>
          </w:tcPr>
          <w:p w14:paraId="2166D65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11.10 </w:t>
            </w:r>
            <w:r w:rsidRPr="00D429B4">
              <w:rPr>
                <w:rFonts w:ascii="Verdana" w:hAnsi="Verdana"/>
                <w:sz w:val="16"/>
                <w:szCs w:val="16"/>
                <w:lang w:val="es-MX"/>
              </w:rPr>
              <w:t>Los contenedores de las muestras deben tener una identificación que indique por lo menos: el nombre, el número de lote, la fecha de muestreo, las condiciones de almacenamiento y los contenedores de los cuales han sido tomadas las muestras.</w:t>
            </w:r>
          </w:p>
        </w:tc>
        <w:tc>
          <w:tcPr>
            <w:tcW w:w="4421" w:type="dxa"/>
            <w:shd w:val="clear" w:color="auto" w:fill="auto"/>
          </w:tcPr>
          <w:p w14:paraId="0139C8B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11.10 </w:t>
            </w:r>
            <w:r w:rsidRPr="00D429B4">
              <w:rPr>
                <w:rFonts w:ascii="Verdana" w:hAnsi="Verdana"/>
                <w:sz w:val="16"/>
                <w:szCs w:val="16"/>
                <w:lang w:val="en-US"/>
              </w:rPr>
              <w:t>The containers of the samples must have an identification that indicates as a minimum: the name, lot number, date of sampling, storage conditions and the containers from which the samples have been taken.</w:t>
            </w:r>
          </w:p>
        </w:tc>
      </w:tr>
      <w:tr w:rsidR="00CD67E0" w:rsidRPr="00B838EC" w14:paraId="7A880C3B" w14:textId="77777777" w:rsidTr="00335F65">
        <w:tc>
          <w:tcPr>
            <w:tcW w:w="4421" w:type="dxa"/>
          </w:tcPr>
          <w:p w14:paraId="3E74381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11.11</w:t>
            </w:r>
            <w:r w:rsidRPr="00D429B4">
              <w:rPr>
                <w:rFonts w:ascii="Verdana" w:hAnsi="Verdana"/>
                <w:sz w:val="16"/>
                <w:szCs w:val="16"/>
                <w:lang w:val="es-MX"/>
              </w:rPr>
              <w:t xml:space="preserve"> Las muestras de retención de cada lote de producto terminado deberán conservarse cuando menos un año después de la fecha de caducidad del medicamento en su empaque final y almacenados en las condiciones indicadas en la etiqueta.</w:t>
            </w:r>
          </w:p>
        </w:tc>
        <w:tc>
          <w:tcPr>
            <w:tcW w:w="4421" w:type="dxa"/>
            <w:shd w:val="clear" w:color="auto" w:fill="auto"/>
          </w:tcPr>
          <w:p w14:paraId="0B98A89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11.11 </w:t>
            </w:r>
            <w:r w:rsidRPr="00D429B4">
              <w:rPr>
                <w:rFonts w:ascii="Verdana" w:hAnsi="Verdana"/>
                <w:sz w:val="16"/>
                <w:szCs w:val="16"/>
                <w:lang w:val="en-US"/>
              </w:rPr>
              <w:t xml:space="preserve">The retention samples of each lot of finished product must be conserved for at least one year after the expiration date of the drug product in its final packaging and stored in the conditions indicated on the label. </w:t>
            </w:r>
          </w:p>
        </w:tc>
      </w:tr>
      <w:tr w:rsidR="00CD67E0" w:rsidRPr="00B838EC" w14:paraId="13606860" w14:textId="77777777" w:rsidTr="00335F65">
        <w:tc>
          <w:tcPr>
            <w:tcW w:w="4421" w:type="dxa"/>
          </w:tcPr>
          <w:p w14:paraId="504A24CD" w14:textId="77777777" w:rsidR="00CD67E0" w:rsidRPr="00D429B4" w:rsidRDefault="00CD67E0" w:rsidP="00CD67E0">
            <w:pPr>
              <w:pStyle w:val="Texto"/>
              <w:spacing w:line="276" w:lineRule="auto"/>
              <w:ind w:firstLine="0"/>
              <w:rPr>
                <w:rFonts w:ascii="Verdana" w:hAnsi="Verdana"/>
                <w:strike/>
                <w:sz w:val="16"/>
                <w:szCs w:val="16"/>
                <w:lang w:val="es-MX"/>
              </w:rPr>
            </w:pPr>
            <w:r w:rsidRPr="00D429B4">
              <w:rPr>
                <w:rFonts w:ascii="Verdana" w:hAnsi="Verdana"/>
                <w:b/>
                <w:sz w:val="16"/>
                <w:szCs w:val="16"/>
                <w:lang w:val="es-MX"/>
              </w:rPr>
              <w:t>11.12</w:t>
            </w:r>
            <w:r w:rsidRPr="00D429B4">
              <w:rPr>
                <w:rFonts w:ascii="Verdana" w:hAnsi="Verdana"/>
                <w:sz w:val="16"/>
                <w:szCs w:val="16"/>
                <w:lang w:val="es-MX"/>
              </w:rPr>
              <w:t xml:space="preserve"> Las muestras de retención de las materias primas deberán conservarse cuando menos un año después de la caducidad del último lote de producto en el que se utilizó y almacenadas conforme a las condiciones indicadas en la etiqueta.</w:t>
            </w:r>
          </w:p>
        </w:tc>
        <w:tc>
          <w:tcPr>
            <w:tcW w:w="4421" w:type="dxa"/>
            <w:shd w:val="clear" w:color="auto" w:fill="auto"/>
          </w:tcPr>
          <w:p w14:paraId="47729F9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11.12 </w:t>
            </w:r>
            <w:r w:rsidRPr="00D429B4">
              <w:rPr>
                <w:rFonts w:ascii="Verdana" w:hAnsi="Verdana"/>
                <w:sz w:val="16"/>
                <w:szCs w:val="16"/>
                <w:lang w:val="en-US"/>
              </w:rPr>
              <w:t xml:space="preserve">The retention samples of the raw materials must be kept at least one year after the expiration of the last product lot in which it was used and stored according to the conditions indicated on the label. </w:t>
            </w:r>
          </w:p>
        </w:tc>
      </w:tr>
      <w:tr w:rsidR="00CD67E0" w:rsidRPr="00B838EC" w14:paraId="334C8EF4" w14:textId="77777777" w:rsidTr="00335F65">
        <w:tc>
          <w:tcPr>
            <w:tcW w:w="4421" w:type="dxa"/>
          </w:tcPr>
          <w:p w14:paraId="7490F78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11.12.1 </w:t>
            </w:r>
            <w:r w:rsidRPr="00D429B4">
              <w:rPr>
                <w:rFonts w:ascii="Verdana" w:hAnsi="Verdana"/>
                <w:sz w:val="16"/>
                <w:szCs w:val="16"/>
                <w:lang w:val="es-MX"/>
              </w:rPr>
              <w:t>No</w:t>
            </w:r>
            <w:r w:rsidRPr="00D429B4">
              <w:rPr>
                <w:rFonts w:ascii="Verdana" w:hAnsi="Verdana"/>
                <w:b/>
                <w:sz w:val="16"/>
                <w:szCs w:val="16"/>
                <w:lang w:val="es-MX"/>
              </w:rPr>
              <w:t xml:space="preserve"> </w:t>
            </w:r>
            <w:r w:rsidRPr="00D429B4">
              <w:rPr>
                <w:rFonts w:ascii="Verdana" w:hAnsi="Verdana"/>
                <w:sz w:val="16"/>
                <w:szCs w:val="16"/>
                <w:lang w:val="es-MX"/>
              </w:rPr>
              <w:t>se deben conservar muestras de retención de solventes, gases y agua, utilizados en la fabricación de medicamentos.</w:t>
            </w:r>
          </w:p>
        </w:tc>
        <w:tc>
          <w:tcPr>
            <w:tcW w:w="4421" w:type="dxa"/>
          </w:tcPr>
          <w:p w14:paraId="7874C8E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11.12.1 </w:t>
            </w:r>
            <w:r w:rsidRPr="00D429B4">
              <w:rPr>
                <w:rFonts w:ascii="Verdana" w:hAnsi="Verdana"/>
                <w:sz w:val="16"/>
                <w:szCs w:val="16"/>
                <w:lang w:val="en-US"/>
              </w:rPr>
              <w:t xml:space="preserve">Retention samples must be conserved of solvents, gases and water, used in the manufacturing of drug products. </w:t>
            </w:r>
            <w:r w:rsidRPr="00D429B4">
              <w:rPr>
                <w:rFonts w:ascii="Verdana" w:hAnsi="Verdana"/>
                <w:b/>
                <w:sz w:val="16"/>
                <w:szCs w:val="16"/>
                <w:lang w:val="en-US"/>
              </w:rPr>
              <w:t xml:space="preserve"> </w:t>
            </w:r>
          </w:p>
        </w:tc>
      </w:tr>
      <w:tr w:rsidR="00CD67E0" w:rsidRPr="00B838EC" w14:paraId="2106C130" w14:textId="77777777" w:rsidTr="00335F65">
        <w:tc>
          <w:tcPr>
            <w:tcW w:w="4421" w:type="dxa"/>
          </w:tcPr>
          <w:p w14:paraId="1B14E74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11.12.2</w:t>
            </w:r>
            <w:r w:rsidRPr="00D429B4">
              <w:rPr>
                <w:rFonts w:ascii="Verdana" w:hAnsi="Verdana"/>
                <w:sz w:val="16"/>
                <w:szCs w:val="16"/>
                <w:lang w:val="es-MX"/>
              </w:rPr>
              <w:t xml:space="preserve"> Podrá no conservarse muestras de retención de gases utilizados en la fabricación de medicamentos que no forman parte del producto terminado, siempre que se cuente con la calificación del fabricante y proveedor del gas.</w:t>
            </w:r>
          </w:p>
        </w:tc>
        <w:tc>
          <w:tcPr>
            <w:tcW w:w="4421" w:type="dxa"/>
          </w:tcPr>
          <w:p w14:paraId="0BFA6BD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11.12.2</w:t>
            </w:r>
            <w:r w:rsidRPr="00D429B4">
              <w:rPr>
                <w:rFonts w:ascii="Verdana" w:hAnsi="Verdana"/>
                <w:sz w:val="16"/>
                <w:szCs w:val="16"/>
                <w:lang w:val="en-US"/>
              </w:rPr>
              <w:t xml:space="preserve"> Retention samples of gases used in the manufacturing of drug products that do not form part of the finished product can be not conserved provided that there is the qualification of the manufacturer and supplier of the gas. </w:t>
            </w:r>
          </w:p>
        </w:tc>
      </w:tr>
      <w:tr w:rsidR="00CD67E0" w:rsidRPr="00B838EC" w14:paraId="6489EA4F" w14:textId="77777777" w:rsidTr="00335F65">
        <w:tc>
          <w:tcPr>
            <w:tcW w:w="4421" w:type="dxa"/>
          </w:tcPr>
          <w:p w14:paraId="1B2E11E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11.12.3</w:t>
            </w:r>
            <w:r w:rsidRPr="00D429B4">
              <w:rPr>
                <w:rFonts w:ascii="Verdana" w:hAnsi="Verdana"/>
                <w:sz w:val="16"/>
                <w:szCs w:val="16"/>
                <w:lang w:val="es-MX"/>
              </w:rPr>
              <w:t xml:space="preserve"> Las muestras de retención de los materiales de empaque primario y aquellos que contribuyan a la integridad del producto deben conservarse el mismo tiempo que la caducidad del último lote de producto en el que se utilizaron.</w:t>
            </w:r>
          </w:p>
        </w:tc>
        <w:tc>
          <w:tcPr>
            <w:tcW w:w="4421" w:type="dxa"/>
          </w:tcPr>
          <w:p w14:paraId="5170842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11.12.3</w:t>
            </w:r>
            <w:r w:rsidRPr="00D429B4">
              <w:rPr>
                <w:rFonts w:ascii="Verdana" w:hAnsi="Verdana"/>
                <w:sz w:val="16"/>
                <w:szCs w:val="16"/>
                <w:lang w:val="en-US"/>
              </w:rPr>
              <w:t xml:space="preserve"> The retention samples of the primary packaging material and those that contribute to the integrity of the product must be kept the same times as the expiration period of the last product lot in which they were used. </w:t>
            </w:r>
          </w:p>
        </w:tc>
      </w:tr>
      <w:tr w:rsidR="00CD67E0" w:rsidRPr="00B838EC" w14:paraId="447D3DB6" w14:textId="77777777" w:rsidTr="00335F65">
        <w:tc>
          <w:tcPr>
            <w:tcW w:w="4421" w:type="dxa"/>
          </w:tcPr>
          <w:p w14:paraId="19EED05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11.13 </w:t>
            </w:r>
            <w:r w:rsidRPr="00D429B4">
              <w:rPr>
                <w:rFonts w:ascii="Verdana" w:hAnsi="Verdana"/>
                <w:sz w:val="16"/>
                <w:szCs w:val="16"/>
                <w:lang w:val="es-MX"/>
              </w:rPr>
              <w:t>Se debe conservar muestra de retención de producto intermedio o producto a granel cuando alguna etapa de fabricación se realice en una instalación distinta al sitio de fabricación del medicamento.</w:t>
            </w:r>
          </w:p>
        </w:tc>
        <w:tc>
          <w:tcPr>
            <w:tcW w:w="4421" w:type="dxa"/>
          </w:tcPr>
          <w:p w14:paraId="79BC365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11.13 </w:t>
            </w:r>
            <w:r w:rsidRPr="00D429B4">
              <w:rPr>
                <w:rFonts w:ascii="Verdana" w:hAnsi="Verdana"/>
                <w:sz w:val="16"/>
                <w:szCs w:val="16"/>
                <w:lang w:val="en-US"/>
              </w:rPr>
              <w:t xml:space="preserve">A retention sample of the intermediate product or bulk product must be conserved when a manufacturing stage is made in an installation distinct from the manufacturing site of the drug product. </w:t>
            </w:r>
          </w:p>
        </w:tc>
      </w:tr>
      <w:tr w:rsidR="00CD67E0" w:rsidRPr="00B838EC" w14:paraId="0B83056C" w14:textId="77777777" w:rsidTr="00335F65">
        <w:tc>
          <w:tcPr>
            <w:tcW w:w="4421" w:type="dxa"/>
          </w:tcPr>
          <w:p w14:paraId="13B5391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11.14 </w:t>
            </w:r>
            <w:r w:rsidRPr="00D429B4">
              <w:rPr>
                <w:rFonts w:ascii="Verdana" w:hAnsi="Verdana"/>
                <w:sz w:val="16"/>
                <w:szCs w:val="16"/>
                <w:lang w:val="es-MX"/>
              </w:rPr>
              <w:t xml:space="preserve">Cuando el sitio de acondicionamiento primario o secundario declarado en el registro sanitario sea diferente del sitio de fabricación del </w:t>
            </w:r>
            <w:r w:rsidRPr="00D429B4">
              <w:rPr>
                <w:rFonts w:ascii="Verdana" w:hAnsi="Verdana"/>
                <w:sz w:val="16"/>
                <w:szCs w:val="16"/>
                <w:lang w:val="es-MX"/>
              </w:rPr>
              <w:lastRenderedPageBreak/>
              <w:t>medicamento, los sitios de acondicionamiento deben conservar muestra de retención de los materiales utilizados conforme a lo indicado en esta Norma.</w:t>
            </w:r>
          </w:p>
        </w:tc>
        <w:tc>
          <w:tcPr>
            <w:tcW w:w="4421" w:type="dxa"/>
          </w:tcPr>
          <w:p w14:paraId="2A5B4C1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11.14 </w:t>
            </w:r>
            <w:r w:rsidRPr="00D429B4">
              <w:rPr>
                <w:rFonts w:ascii="Verdana" w:hAnsi="Verdana"/>
                <w:sz w:val="16"/>
                <w:szCs w:val="16"/>
                <w:lang w:val="en-US"/>
              </w:rPr>
              <w:t xml:space="preserve">When the primary or secondary conditioning site declared on the sanitary registration is different from the manufacturing site of the drug product, the </w:t>
            </w:r>
            <w:r w:rsidRPr="00D429B4">
              <w:rPr>
                <w:rFonts w:ascii="Verdana" w:hAnsi="Verdana"/>
                <w:sz w:val="16"/>
                <w:szCs w:val="16"/>
                <w:lang w:val="en-US"/>
              </w:rPr>
              <w:lastRenderedPageBreak/>
              <w:t xml:space="preserve">conditioning sites must be conserve the retention sample of the materials used according to that indicated in this Standard. </w:t>
            </w:r>
          </w:p>
        </w:tc>
      </w:tr>
      <w:tr w:rsidR="00CD67E0" w:rsidRPr="00B838EC" w14:paraId="149B03A9" w14:textId="77777777" w:rsidTr="00335F65">
        <w:tc>
          <w:tcPr>
            <w:tcW w:w="4421" w:type="dxa"/>
          </w:tcPr>
          <w:p w14:paraId="3C73A56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11.15</w:t>
            </w:r>
            <w:r w:rsidRPr="00D429B4">
              <w:rPr>
                <w:rFonts w:ascii="Verdana" w:hAnsi="Verdana"/>
                <w:sz w:val="16"/>
                <w:szCs w:val="16"/>
                <w:lang w:val="es-MX"/>
              </w:rPr>
              <w:t xml:space="preserve"> Los registros de los resultados de las pruebas deberán incluir al menos los siguientes datos:</w:t>
            </w:r>
          </w:p>
        </w:tc>
        <w:tc>
          <w:tcPr>
            <w:tcW w:w="4421" w:type="dxa"/>
            <w:shd w:val="clear" w:color="auto" w:fill="auto"/>
          </w:tcPr>
          <w:p w14:paraId="3B9D177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11.15 </w:t>
            </w:r>
            <w:r w:rsidRPr="00D429B4">
              <w:rPr>
                <w:rFonts w:ascii="Verdana" w:hAnsi="Verdana"/>
                <w:sz w:val="16"/>
                <w:szCs w:val="16"/>
                <w:lang w:val="en-US"/>
              </w:rPr>
              <w:t>The records of the results of the tests must at least include the following information:</w:t>
            </w:r>
          </w:p>
        </w:tc>
      </w:tr>
      <w:tr w:rsidR="00CD67E0" w:rsidRPr="00B838EC" w14:paraId="23DB115E" w14:textId="77777777" w:rsidTr="00335F65">
        <w:tc>
          <w:tcPr>
            <w:tcW w:w="4421" w:type="dxa"/>
          </w:tcPr>
          <w:p w14:paraId="19E8176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11.15.1</w:t>
            </w:r>
            <w:r w:rsidRPr="00D429B4">
              <w:rPr>
                <w:rFonts w:ascii="Verdana" w:hAnsi="Verdana"/>
                <w:sz w:val="16"/>
                <w:szCs w:val="16"/>
                <w:lang w:val="es-MX"/>
              </w:rPr>
              <w:t xml:space="preserve"> Nombre del producto, presentación y cuando aplique la concentración.</w:t>
            </w:r>
          </w:p>
        </w:tc>
        <w:tc>
          <w:tcPr>
            <w:tcW w:w="4421" w:type="dxa"/>
            <w:shd w:val="clear" w:color="auto" w:fill="auto"/>
          </w:tcPr>
          <w:p w14:paraId="77D790C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11.15.1 </w:t>
            </w:r>
            <w:r w:rsidRPr="00D429B4">
              <w:rPr>
                <w:rFonts w:ascii="Verdana" w:hAnsi="Verdana"/>
                <w:sz w:val="16"/>
                <w:szCs w:val="16"/>
                <w:lang w:val="en-US"/>
              </w:rPr>
              <w:t>Name of the product, presentation and concentration when applicable.</w:t>
            </w:r>
          </w:p>
        </w:tc>
      </w:tr>
      <w:tr w:rsidR="00CD67E0" w:rsidRPr="0034339F" w14:paraId="57AD5064" w14:textId="77777777" w:rsidTr="00335F65">
        <w:tc>
          <w:tcPr>
            <w:tcW w:w="4421" w:type="dxa"/>
          </w:tcPr>
          <w:p w14:paraId="2636179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11.15.2</w:t>
            </w:r>
            <w:r w:rsidRPr="00D429B4">
              <w:rPr>
                <w:rFonts w:ascii="Verdana" w:hAnsi="Verdana"/>
                <w:sz w:val="16"/>
                <w:szCs w:val="16"/>
                <w:lang w:val="es-MX"/>
              </w:rPr>
              <w:t xml:space="preserve"> Número de lote.</w:t>
            </w:r>
          </w:p>
        </w:tc>
        <w:tc>
          <w:tcPr>
            <w:tcW w:w="4421" w:type="dxa"/>
            <w:shd w:val="clear" w:color="auto" w:fill="auto"/>
          </w:tcPr>
          <w:p w14:paraId="0433F0E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11.15.2 </w:t>
            </w:r>
            <w:r w:rsidRPr="00D429B4">
              <w:rPr>
                <w:rFonts w:ascii="Verdana" w:hAnsi="Verdana"/>
                <w:sz w:val="16"/>
                <w:szCs w:val="16"/>
                <w:lang w:val="en-US"/>
              </w:rPr>
              <w:t>Lot number.</w:t>
            </w:r>
          </w:p>
        </w:tc>
      </w:tr>
      <w:tr w:rsidR="00CD67E0" w:rsidRPr="00B838EC" w14:paraId="0EF1C5F8" w14:textId="77777777" w:rsidTr="00335F65">
        <w:tc>
          <w:tcPr>
            <w:tcW w:w="4421" w:type="dxa"/>
          </w:tcPr>
          <w:p w14:paraId="2EF1E5F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11.15.3</w:t>
            </w:r>
            <w:r w:rsidRPr="00D429B4">
              <w:rPr>
                <w:rFonts w:ascii="Verdana" w:hAnsi="Verdana"/>
                <w:sz w:val="16"/>
                <w:szCs w:val="16"/>
                <w:lang w:val="es-MX"/>
              </w:rPr>
              <w:t xml:space="preserve"> Nombre del fabricante o proveedor.</w:t>
            </w:r>
          </w:p>
        </w:tc>
        <w:tc>
          <w:tcPr>
            <w:tcW w:w="4421" w:type="dxa"/>
            <w:shd w:val="clear" w:color="auto" w:fill="auto"/>
          </w:tcPr>
          <w:p w14:paraId="110F31A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11.15.3 </w:t>
            </w:r>
            <w:r w:rsidRPr="00D429B4">
              <w:rPr>
                <w:rFonts w:ascii="Verdana" w:hAnsi="Verdana"/>
                <w:sz w:val="16"/>
                <w:szCs w:val="16"/>
                <w:lang w:val="en-US"/>
              </w:rPr>
              <w:t>Name of the manufacturer or supplier.</w:t>
            </w:r>
          </w:p>
        </w:tc>
      </w:tr>
      <w:tr w:rsidR="00CD67E0" w:rsidRPr="00B838EC" w14:paraId="7B5CD617" w14:textId="77777777" w:rsidTr="00335F65">
        <w:tc>
          <w:tcPr>
            <w:tcW w:w="4421" w:type="dxa"/>
          </w:tcPr>
          <w:p w14:paraId="6C4461D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11.15.4</w:t>
            </w:r>
            <w:r w:rsidRPr="00D429B4">
              <w:rPr>
                <w:rFonts w:ascii="Verdana" w:hAnsi="Verdana"/>
                <w:sz w:val="16"/>
                <w:szCs w:val="16"/>
                <w:lang w:val="es-MX"/>
              </w:rPr>
              <w:t xml:space="preserve"> Referencias de las especificaciones y métodos analíticos.</w:t>
            </w:r>
          </w:p>
        </w:tc>
        <w:tc>
          <w:tcPr>
            <w:tcW w:w="4421" w:type="dxa"/>
            <w:shd w:val="clear" w:color="auto" w:fill="auto"/>
          </w:tcPr>
          <w:p w14:paraId="1669FEB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11.15.4 </w:t>
            </w:r>
            <w:r w:rsidRPr="00D429B4">
              <w:rPr>
                <w:rFonts w:ascii="Verdana" w:hAnsi="Verdana"/>
                <w:sz w:val="16"/>
                <w:szCs w:val="16"/>
                <w:lang w:val="en-US"/>
              </w:rPr>
              <w:t>References of specifications or analytical methods.</w:t>
            </w:r>
          </w:p>
        </w:tc>
      </w:tr>
      <w:tr w:rsidR="00CD67E0" w:rsidRPr="00B838EC" w14:paraId="7F42DBD0" w14:textId="77777777" w:rsidTr="00335F65">
        <w:tc>
          <w:tcPr>
            <w:tcW w:w="4421" w:type="dxa"/>
          </w:tcPr>
          <w:p w14:paraId="338E31F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11.15.5</w:t>
            </w:r>
            <w:r w:rsidRPr="00D429B4">
              <w:rPr>
                <w:rFonts w:ascii="Verdana" w:hAnsi="Verdana"/>
                <w:sz w:val="16"/>
                <w:szCs w:val="16"/>
                <w:lang w:val="es-MX"/>
              </w:rPr>
              <w:t xml:space="preserve"> Resultados de las pruebas, incluyendo observaciones, cálculos, impresos de salidas de equipos.</w:t>
            </w:r>
          </w:p>
        </w:tc>
        <w:tc>
          <w:tcPr>
            <w:tcW w:w="4421" w:type="dxa"/>
            <w:shd w:val="clear" w:color="auto" w:fill="auto"/>
          </w:tcPr>
          <w:p w14:paraId="71204D5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11.15.5 </w:t>
            </w:r>
            <w:r w:rsidRPr="00D429B4">
              <w:rPr>
                <w:rFonts w:ascii="Verdana" w:hAnsi="Verdana"/>
                <w:sz w:val="16"/>
                <w:szCs w:val="16"/>
                <w:lang w:val="en-US"/>
              </w:rPr>
              <w:t>The test results, including observations, calculations, documentation of equipment removal.</w:t>
            </w:r>
          </w:p>
        </w:tc>
      </w:tr>
      <w:tr w:rsidR="00CD67E0" w:rsidRPr="00B838EC" w14:paraId="1D424702" w14:textId="77777777" w:rsidTr="00335F65">
        <w:tc>
          <w:tcPr>
            <w:tcW w:w="4421" w:type="dxa"/>
          </w:tcPr>
          <w:p w14:paraId="42F7AE2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11.15.6</w:t>
            </w:r>
            <w:r w:rsidRPr="00D429B4">
              <w:rPr>
                <w:rFonts w:ascii="Verdana" w:hAnsi="Verdana"/>
                <w:sz w:val="16"/>
                <w:szCs w:val="16"/>
                <w:lang w:val="es-MX"/>
              </w:rPr>
              <w:t xml:space="preserve"> Cuando la realización de las pruebas se lleve a cabo por un laboratorio externo autorizado, la referencia del certificado de análisis.</w:t>
            </w:r>
          </w:p>
        </w:tc>
        <w:tc>
          <w:tcPr>
            <w:tcW w:w="4421" w:type="dxa"/>
            <w:shd w:val="clear" w:color="auto" w:fill="auto"/>
          </w:tcPr>
          <w:p w14:paraId="32E1D8A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11.15.6 </w:t>
            </w:r>
            <w:r w:rsidRPr="00D429B4">
              <w:rPr>
                <w:rFonts w:ascii="Verdana" w:hAnsi="Verdana"/>
                <w:sz w:val="16"/>
                <w:szCs w:val="16"/>
                <w:lang w:val="en-US"/>
              </w:rPr>
              <w:t>When the performance of tests is carried out by and external authorized laboratory, reference of the analysis certificate.</w:t>
            </w:r>
          </w:p>
        </w:tc>
      </w:tr>
      <w:tr w:rsidR="00CD67E0" w:rsidRPr="00B838EC" w14:paraId="0298BB8C" w14:textId="77777777" w:rsidTr="00335F65">
        <w:tc>
          <w:tcPr>
            <w:tcW w:w="4421" w:type="dxa"/>
          </w:tcPr>
          <w:p w14:paraId="12AAC94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11.15.7 </w:t>
            </w:r>
            <w:r w:rsidRPr="00D429B4">
              <w:rPr>
                <w:rFonts w:ascii="Verdana" w:hAnsi="Verdana"/>
                <w:sz w:val="16"/>
                <w:szCs w:val="16"/>
                <w:lang w:val="es-MX"/>
              </w:rPr>
              <w:t>La fecha de realización de las pruebas.</w:t>
            </w:r>
          </w:p>
        </w:tc>
        <w:tc>
          <w:tcPr>
            <w:tcW w:w="4421" w:type="dxa"/>
            <w:shd w:val="clear" w:color="auto" w:fill="auto"/>
          </w:tcPr>
          <w:p w14:paraId="3CF79EE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11.15.7 </w:t>
            </w:r>
            <w:r w:rsidRPr="00D429B4">
              <w:rPr>
                <w:rFonts w:ascii="Verdana" w:hAnsi="Verdana"/>
                <w:sz w:val="16"/>
                <w:szCs w:val="16"/>
                <w:lang w:val="en-US"/>
              </w:rPr>
              <w:t>The date of performance of the tests.</w:t>
            </w:r>
          </w:p>
        </w:tc>
      </w:tr>
      <w:tr w:rsidR="00CD67E0" w:rsidRPr="00B838EC" w14:paraId="09A98F96" w14:textId="77777777" w:rsidTr="00335F65">
        <w:tc>
          <w:tcPr>
            <w:tcW w:w="4421" w:type="dxa"/>
          </w:tcPr>
          <w:p w14:paraId="385FAE5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11.15.8 </w:t>
            </w:r>
            <w:r w:rsidRPr="00D429B4">
              <w:rPr>
                <w:rFonts w:ascii="Verdana" w:hAnsi="Verdana"/>
                <w:sz w:val="16"/>
                <w:szCs w:val="16"/>
                <w:lang w:val="es-MX"/>
              </w:rPr>
              <w:t>Las iniciales o nombre de las personas que realizaron las pruebas.</w:t>
            </w:r>
          </w:p>
        </w:tc>
        <w:tc>
          <w:tcPr>
            <w:tcW w:w="4421" w:type="dxa"/>
            <w:shd w:val="clear" w:color="auto" w:fill="auto"/>
          </w:tcPr>
          <w:p w14:paraId="49B0408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11.15.8 </w:t>
            </w:r>
            <w:r w:rsidRPr="00D429B4">
              <w:rPr>
                <w:rFonts w:ascii="Verdana" w:hAnsi="Verdana"/>
                <w:sz w:val="16"/>
                <w:szCs w:val="16"/>
                <w:lang w:val="en-US"/>
              </w:rPr>
              <w:t>Initials or names of the persons who performed the test.</w:t>
            </w:r>
          </w:p>
        </w:tc>
      </w:tr>
      <w:tr w:rsidR="00CD67E0" w:rsidRPr="00B838EC" w14:paraId="331147A2" w14:textId="77777777" w:rsidTr="00335F65">
        <w:tc>
          <w:tcPr>
            <w:tcW w:w="4421" w:type="dxa"/>
          </w:tcPr>
          <w:p w14:paraId="48F6149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11.15.9</w:t>
            </w:r>
            <w:r w:rsidRPr="00D429B4">
              <w:rPr>
                <w:rFonts w:ascii="Verdana" w:hAnsi="Verdana"/>
                <w:sz w:val="16"/>
                <w:szCs w:val="16"/>
                <w:lang w:val="es-MX"/>
              </w:rPr>
              <w:t xml:space="preserve"> Las iniciales o nombre de las personas que supervisaron las pruebas y cálculos.</w:t>
            </w:r>
          </w:p>
        </w:tc>
        <w:tc>
          <w:tcPr>
            <w:tcW w:w="4421" w:type="dxa"/>
            <w:shd w:val="clear" w:color="auto" w:fill="auto"/>
          </w:tcPr>
          <w:p w14:paraId="2381511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11.15.9 </w:t>
            </w:r>
            <w:r w:rsidRPr="00D429B4">
              <w:rPr>
                <w:rFonts w:ascii="Verdana" w:hAnsi="Verdana"/>
                <w:sz w:val="16"/>
                <w:szCs w:val="16"/>
                <w:lang w:val="en-US"/>
              </w:rPr>
              <w:t>Initials or name of the persons that supervised the tests and calculations.</w:t>
            </w:r>
          </w:p>
        </w:tc>
      </w:tr>
      <w:tr w:rsidR="00CD67E0" w:rsidRPr="00B838EC" w14:paraId="60157B09" w14:textId="77777777" w:rsidTr="00335F65">
        <w:tc>
          <w:tcPr>
            <w:tcW w:w="4421" w:type="dxa"/>
          </w:tcPr>
          <w:p w14:paraId="38F5EEF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11.16</w:t>
            </w:r>
            <w:r w:rsidRPr="00D429B4">
              <w:rPr>
                <w:rFonts w:ascii="Verdana" w:hAnsi="Verdana"/>
                <w:sz w:val="16"/>
                <w:szCs w:val="16"/>
                <w:lang w:val="es-MX"/>
              </w:rPr>
              <w:t xml:space="preserve"> Deben existir procedimientos que describan el manejo y almacenamiento de los reactivos, soluciones, cepas y medios de cultivo empleados en el laboratorio.</w:t>
            </w:r>
          </w:p>
        </w:tc>
        <w:tc>
          <w:tcPr>
            <w:tcW w:w="4421" w:type="dxa"/>
            <w:shd w:val="clear" w:color="auto" w:fill="auto"/>
          </w:tcPr>
          <w:p w14:paraId="4DDE314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11.16 </w:t>
            </w:r>
            <w:r w:rsidRPr="00D429B4">
              <w:rPr>
                <w:rFonts w:ascii="Verdana" w:hAnsi="Verdana"/>
                <w:sz w:val="16"/>
                <w:szCs w:val="16"/>
                <w:lang w:val="en-US"/>
              </w:rPr>
              <w:t>There must be procedures which describe the handling and storage of the reagents, solutions, strains and culture media used in the laboratory.</w:t>
            </w:r>
          </w:p>
        </w:tc>
      </w:tr>
      <w:tr w:rsidR="00CD67E0" w:rsidRPr="00B838EC" w14:paraId="46FEA3C0" w14:textId="77777777" w:rsidTr="00335F65">
        <w:tc>
          <w:tcPr>
            <w:tcW w:w="4421" w:type="dxa"/>
          </w:tcPr>
          <w:p w14:paraId="331DE6F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11.17</w:t>
            </w:r>
            <w:r w:rsidRPr="00D429B4">
              <w:rPr>
                <w:rFonts w:ascii="Verdana" w:hAnsi="Verdana"/>
                <w:sz w:val="16"/>
                <w:szCs w:val="16"/>
                <w:lang w:val="es-MX"/>
              </w:rPr>
              <w:t xml:space="preserve"> Las soluciones reactivo y medios de cultivo deben ser preparados de acuerdo con la FEUM y suplementos vigentes.</w:t>
            </w:r>
          </w:p>
        </w:tc>
        <w:tc>
          <w:tcPr>
            <w:tcW w:w="4421" w:type="dxa"/>
            <w:shd w:val="clear" w:color="auto" w:fill="auto"/>
          </w:tcPr>
          <w:p w14:paraId="1D32F57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11.17 </w:t>
            </w:r>
            <w:r w:rsidRPr="00D429B4">
              <w:rPr>
                <w:rFonts w:ascii="Verdana" w:hAnsi="Verdana"/>
                <w:sz w:val="16"/>
                <w:szCs w:val="16"/>
                <w:lang w:val="en-US"/>
              </w:rPr>
              <w:t>The reagent solutions and culture media must be prepared in accordance with the FEUM and valid supplements.</w:t>
            </w:r>
          </w:p>
        </w:tc>
      </w:tr>
      <w:tr w:rsidR="00CD67E0" w:rsidRPr="00B838EC" w14:paraId="4F11D5D8" w14:textId="77777777" w:rsidTr="00335F65">
        <w:tc>
          <w:tcPr>
            <w:tcW w:w="4421" w:type="dxa"/>
          </w:tcPr>
          <w:p w14:paraId="31DCE35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11.18</w:t>
            </w:r>
            <w:r w:rsidRPr="00D429B4">
              <w:rPr>
                <w:rFonts w:ascii="Verdana" w:hAnsi="Verdana"/>
                <w:sz w:val="16"/>
                <w:szCs w:val="16"/>
                <w:lang w:val="es-MX"/>
              </w:rPr>
              <w:t xml:space="preserve"> La fecha de caducidad de los reactivos y medios de cultivo deberá ser indicada en la etiqueta junto con las condiciones de almacenamiento. Para las soluciones volumétricas se deberá indicar la fecha de valoración, concentración real y las iniciales de la persona que lo preparó.</w:t>
            </w:r>
          </w:p>
        </w:tc>
        <w:tc>
          <w:tcPr>
            <w:tcW w:w="4421" w:type="dxa"/>
            <w:shd w:val="clear" w:color="auto" w:fill="auto"/>
          </w:tcPr>
          <w:p w14:paraId="0209DA8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11.18 </w:t>
            </w:r>
            <w:r w:rsidRPr="00D429B4">
              <w:rPr>
                <w:rFonts w:ascii="Verdana" w:hAnsi="Verdana"/>
                <w:sz w:val="16"/>
                <w:szCs w:val="16"/>
                <w:lang w:val="en-US"/>
              </w:rPr>
              <w:t>The expiration date of the reagents and culture media must be indicated on the label together with the storage conditions. For volume concentrations, the date of evaluation, real concentration and initials of the person who performed it must be indicated.</w:t>
            </w:r>
          </w:p>
        </w:tc>
      </w:tr>
      <w:tr w:rsidR="00CD67E0" w:rsidRPr="00B838EC" w14:paraId="7D626930" w14:textId="77777777" w:rsidTr="00335F65">
        <w:tc>
          <w:tcPr>
            <w:tcW w:w="4421" w:type="dxa"/>
          </w:tcPr>
          <w:p w14:paraId="7A45A70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11.19</w:t>
            </w:r>
            <w:r w:rsidRPr="00D429B4">
              <w:rPr>
                <w:rFonts w:ascii="Verdana" w:hAnsi="Verdana"/>
                <w:sz w:val="16"/>
                <w:szCs w:val="16"/>
                <w:lang w:val="es-MX"/>
              </w:rPr>
              <w:t xml:space="preserve"> Las sustancias de referencia primaria y secundaria deben fecharse, almacenarse, manejarse y utilizarse de manera que no se afecte su calidad. Se debe registrar al menos: origen, lote e identificación.</w:t>
            </w:r>
          </w:p>
        </w:tc>
        <w:tc>
          <w:tcPr>
            <w:tcW w:w="4421" w:type="dxa"/>
            <w:shd w:val="clear" w:color="auto" w:fill="auto"/>
          </w:tcPr>
          <w:p w14:paraId="5D255CB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11.19 </w:t>
            </w:r>
            <w:r w:rsidRPr="00D429B4">
              <w:rPr>
                <w:rFonts w:ascii="Verdana" w:hAnsi="Verdana"/>
                <w:sz w:val="16"/>
                <w:szCs w:val="16"/>
                <w:lang w:val="en-US"/>
              </w:rPr>
              <w:t>Substances of primary and secondary references must be dated, stored, handled and used in a way that it does not affect its quality. At least the following must be registered: origin, lot and identification.</w:t>
            </w:r>
          </w:p>
        </w:tc>
      </w:tr>
      <w:tr w:rsidR="00CD67E0" w:rsidRPr="00B838EC" w14:paraId="2314C10C" w14:textId="77777777" w:rsidTr="0056428D">
        <w:tc>
          <w:tcPr>
            <w:tcW w:w="4421" w:type="dxa"/>
          </w:tcPr>
          <w:p w14:paraId="436A43A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11.20</w:t>
            </w:r>
            <w:r w:rsidRPr="00D429B4">
              <w:rPr>
                <w:rFonts w:ascii="Verdana" w:hAnsi="Verdana"/>
                <w:sz w:val="16"/>
                <w:szCs w:val="16"/>
                <w:lang w:val="es-MX"/>
              </w:rPr>
              <w:t xml:space="preserve"> Cuando se utilicen animales para pruebas de laboratorio en el análisis de materias primas o productos, deberán ser adquiridos de proveedores calificados y ser puestos en cuarentena antes de su uso.</w:t>
            </w:r>
          </w:p>
        </w:tc>
        <w:tc>
          <w:tcPr>
            <w:tcW w:w="4421" w:type="dxa"/>
          </w:tcPr>
          <w:p w14:paraId="5EB3641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11.20</w:t>
            </w:r>
            <w:r w:rsidRPr="00D429B4">
              <w:rPr>
                <w:rFonts w:ascii="Verdana" w:hAnsi="Verdana"/>
                <w:sz w:val="16"/>
                <w:szCs w:val="16"/>
                <w:lang w:val="en-US"/>
              </w:rPr>
              <w:t xml:space="preserve"> When animals are used for laboratory tests in the analysis of raw materials or products, they must be acquired from qualified suppliers and be placed in quarantine before their use. </w:t>
            </w:r>
          </w:p>
        </w:tc>
      </w:tr>
      <w:tr w:rsidR="00CD67E0" w:rsidRPr="00B838EC" w14:paraId="66182A3D" w14:textId="77777777" w:rsidTr="0056428D">
        <w:tc>
          <w:tcPr>
            <w:tcW w:w="4421" w:type="dxa"/>
          </w:tcPr>
          <w:p w14:paraId="6E3E9D4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11.20.1</w:t>
            </w:r>
            <w:r w:rsidRPr="00D429B4">
              <w:rPr>
                <w:rFonts w:ascii="Verdana" w:hAnsi="Verdana"/>
                <w:sz w:val="16"/>
                <w:szCs w:val="16"/>
                <w:lang w:val="es-MX"/>
              </w:rPr>
              <w:t xml:space="preserve"> Éstos deberán mantenerse y controlarse de manera que se garantice su idoneidad para el uso previsto.</w:t>
            </w:r>
          </w:p>
        </w:tc>
        <w:tc>
          <w:tcPr>
            <w:tcW w:w="4421" w:type="dxa"/>
          </w:tcPr>
          <w:p w14:paraId="7324CEA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11.20.1</w:t>
            </w:r>
            <w:r w:rsidRPr="00D429B4">
              <w:rPr>
                <w:rFonts w:ascii="Verdana" w:hAnsi="Verdana"/>
                <w:sz w:val="16"/>
                <w:szCs w:val="16"/>
                <w:lang w:val="en-US"/>
              </w:rPr>
              <w:t xml:space="preserve"> They must be maintained and controlled in a way that their suitability for the anticipated used is guaranteed. </w:t>
            </w:r>
          </w:p>
        </w:tc>
      </w:tr>
      <w:tr w:rsidR="00CD67E0" w:rsidRPr="00B838EC" w14:paraId="78A04A73" w14:textId="77777777" w:rsidTr="0056428D">
        <w:tc>
          <w:tcPr>
            <w:tcW w:w="4421" w:type="dxa"/>
          </w:tcPr>
          <w:p w14:paraId="48195D1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11.20.2 </w:t>
            </w:r>
            <w:r w:rsidRPr="00D429B4">
              <w:rPr>
                <w:rFonts w:ascii="Verdana" w:hAnsi="Verdana"/>
                <w:sz w:val="16"/>
                <w:szCs w:val="16"/>
                <w:lang w:val="es-MX"/>
              </w:rPr>
              <w:t>Éstos deben ser identificados desde su ingreso, y conservar los registros desde su recepción, historial de uso y disposición final.</w:t>
            </w:r>
          </w:p>
        </w:tc>
        <w:tc>
          <w:tcPr>
            <w:tcW w:w="4421" w:type="dxa"/>
          </w:tcPr>
          <w:p w14:paraId="10145F7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11.20.2 </w:t>
            </w:r>
            <w:r w:rsidRPr="00D429B4">
              <w:rPr>
                <w:rFonts w:ascii="Verdana" w:hAnsi="Verdana"/>
                <w:sz w:val="16"/>
                <w:szCs w:val="16"/>
                <w:lang w:val="en-US"/>
              </w:rPr>
              <w:t xml:space="preserve">They must be identified from their entry and the records conserved from their reception, history of use and final disposition. </w:t>
            </w:r>
          </w:p>
        </w:tc>
      </w:tr>
      <w:tr w:rsidR="00CD67E0" w:rsidRPr="00B838EC" w14:paraId="62B99CB4" w14:textId="77777777" w:rsidTr="00335F65">
        <w:tc>
          <w:tcPr>
            <w:tcW w:w="4421" w:type="dxa"/>
          </w:tcPr>
          <w:p w14:paraId="38550A4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11.21 </w:t>
            </w:r>
            <w:r w:rsidRPr="00D429B4">
              <w:rPr>
                <w:rFonts w:ascii="Verdana" w:hAnsi="Verdana"/>
                <w:sz w:val="16"/>
                <w:szCs w:val="16"/>
                <w:lang w:val="es-MX"/>
              </w:rPr>
              <w:t>Todas las pruebas de control en proceso deberán ser realizadas de acuerdo a los métodos aprobados por la Unidad de Calidad.</w:t>
            </w:r>
          </w:p>
        </w:tc>
        <w:tc>
          <w:tcPr>
            <w:tcW w:w="4421" w:type="dxa"/>
          </w:tcPr>
          <w:p w14:paraId="3177F9D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11.21 </w:t>
            </w:r>
            <w:r w:rsidRPr="00D429B4">
              <w:rPr>
                <w:rFonts w:ascii="Verdana" w:hAnsi="Verdana"/>
                <w:sz w:val="16"/>
                <w:szCs w:val="16"/>
                <w:lang w:val="en-US"/>
              </w:rPr>
              <w:t xml:space="preserve">All the control tests in process must be made according to the methods approved by the Quality Unit. </w:t>
            </w:r>
          </w:p>
        </w:tc>
      </w:tr>
      <w:tr w:rsidR="00CD67E0" w:rsidRPr="00B838EC" w14:paraId="40B84DFB" w14:textId="77777777" w:rsidTr="00335F65">
        <w:tc>
          <w:tcPr>
            <w:tcW w:w="4421" w:type="dxa"/>
          </w:tcPr>
          <w:p w14:paraId="05BD842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11.21.1</w:t>
            </w:r>
            <w:r w:rsidRPr="00D429B4">
              <w:rPr>
                <w:rFonts w:ascii="Verdana" w:hAnsi="Verdana"/>
                <w:sz w:val="16"/>
                <w:szCs w:val="16"/>
                <w:lang w:val="es-MX"/>
              </w:rPr>
              <w:t xml:space="preserve"> Todas las pruebas de control en proceso deben ser realizadas en el sitio de fabricación.</w:t>
            </w:r>
          </w:p>
        </w:tc>
        <w:tc>
          <w:tcPr>
            <w:tcW w:w="4421" w:type="dxa"/>
          </w:tcPr>
          <w:p w14:paraId="5284839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11.21.1</w:t>
            </w:r>
            <w:r w:rsidRPr="00D429B4">
              <w:rPr>
                <w:rFonts w:ascii="Verdana" w:hAnsi="Verdana"/>
                <w:sz w:val="16"/>
                <w:szCs w:val="16"/>
                <w:lang w:val="en-US"/>
              </w:rPr>
              <w:t xml:space="preserve"> All the control tests in process must be made at the manufacturing site.  </w:t>
            </w:r>
          </w:p>
        </w:tc>
      </w:tr>
      <w:tr w:rsidR="00CD67E0" w:rsidRPr="00B838EC" w14:paraId="76B15286" w14:textId="77777777" w:rsidTr="00335F65">
        <w:tc>
          <w:tcPr>
            <w:tcW w:w="4421" w:type="dxa"/>
          </w:tcPr>
          <w:p w14:paraId="79947D2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11.22</w:t>
            </w:r>
            <w:r w:rsidRPr="00D429B4">
              <w:rPr>
                <w:rFonts w:ascii="Verdana" w:hAnsi="Verdana"/>
                <w:sz w:val="16"/>
                <w:szCs w:val="16"/>
                <w:lang w:val="es-MX"/>
              </w:rPr>
              <w:t xml:space="preserve"> Debe existir un procedimiento que indique las acciones a seguir en el caso de resultados analíticos fuera de especificaciones.</w:t>
            </w:r>
          </w:p>
        </w:tc>
        <w:tc>
          <w:tcPr>
            <w:tcW w:w="4421" w:type="dxa"/>
          </w:tcPr>
          <w:p w14:paraId="5091713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11.22</w:t>
            </w:r>
            <w:r w:rsidRPr="00D429B4">
              <w:rPr>
                <w:rFonts w:ascii="Verdana" w:hAnsi="Verdana"/>
                <w:sz w:val="16"/>
                <w:szCs w:val="16"/>
                <w:lang w:val="en-US"/>
              </w:rPr>
              <w:t xml:space="preserve"> There must exist a procedure that indicates the actions to follow in the case of analytical results outside of specifications.  </w:t>
            </w:r>
          </w:p>
        </w:tc>
      </w:tr>
      <w:tr w:rsidR="00CD67E0" w:rsidRPr="00B838EC" w14:paraId="19541F64" w14:textId="77777777" w:rsidTr="00335F65">
        <w:tc>
          <w:tcPr>
            <w:tcW w:w="4421" w:type="dxa"/>
          </w:tcPr>
          <w:p w14:paraId="0BB7CF1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11.22.1</w:t>
            </w:r>
            <w:r w:rsidRPr="00D429B4">
              <w:rPr>
                <w:rFonts w:ascii="Verdana" w:hAnsi="Verdana"/>
                <w:sz w:val="16"/>
                <w:szCs w:val="16"/>
                <w:lang w:val="es-MX"/>
              </w:rPr>
              <w:t xml:space="preserve"> No se debe repetir el mismo análisis de una muestra cuando alguno de los resultados está fuera de especificación y tampoco se pueden promediar cuando uno de ellos está fuera de especificación.</w:t>
            </w:r>
          </w:p>
        </w:tc>
        <w:tc>
          <w:tcPr>
            <w:tcW w:w="4421" w:type="dxa"/>
          </w:tcPr>
          <w:p w14:paraId="258FD11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11.22.1</w:t>
            </w:r>
            <w:r w:rsidRPr="00D429B4">
              <w:rPr>
                <w:rFonts w:ascii="Verdana" w:hAnsi="Verdana"/>
                <w:sz w:val="16"/>
                <w:szCs w:val="16"/>
                <w:lang w:val="en-US"/>
              </w:rPr>
              <w:t xml:space="preserve"> The same analysis of a sample should not be repeated when one of the results is outside of specifications and neither can an average be taken when one of them is outside of specifications.  </w:t>
            </w:r>
          </w:p>
        </w:tc>
      </w:tr>
      <w:tr w:rsidR="00CD67E0" w:rsidRPr="00B838EC" w14:paraId="71961EF8" w14:textId="77777777" w:rsidTr="00335F65">
        <w:tc>
          <w:tcPr>
            <w:tcW w:w="4421" w:type="dxa"/>
          </w:tcPr>
          <w:p w14:paraId="4B450B3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11.22.2</w:t>
            </w:r>
            <w:r w:rsidRPr="00D429B4">
              <w:rPr>
                <w:rFonts w:ascii="Verdana" w:hAnsi="Verdana"/>
                <w:sz w:val="16"/>
                <w:szCs w:val="16"/>
                <w:lang w:val="es-MX"/>
              </w:rPr>
              <w:t xml:space="preserve"> El procedimiento para resultados analíticos fuera de especificación debe contemplar al menos lo siguiente:</w:t>
            </w:r>
          </w:p>
        </w:tc>
        <w:tc>
          <w:tcPr>
            <w:tcW w:w="4421" w:type="dxa"/>
          </w:tcPr>
          <w:p w14:paraId="32CCB05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11.22.2</w:t>
            </w:r>
            <w:r w:rsidRPr="00D429B4">
              <w:rPr>
                <w:rFonts w:ascii="Verdana" w:hAnsi="Verdana"/>
                <w:sz w:val="16"/>
                <w:szCs w:val="16"/>
                <w:lang w:val="en-US"/>
              </w:rPr>
              <w:t xml:space="preserve"> The procedure for analytical results outside of specifications must include at least the following: </w:t>
            </w:r>
          </w:p>
        </w:tc>
      </w:tr>
      <w:tr w:rsidR="00CD67E0" w:rsidRPr="00B838EC" w14:paraId="36C2F8F5" w14:textId="77777777" w:rsidTr="00335F65">
        <w:tc>
          <w:tcPr>
            <w:tcW w:w="4421" w:type="dxa"/>
          </w:tcPr>
          <w:p w14:paraId="272F0BB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11.22.2.1</w:t>
            </w:r>
            <w:r w:rsidRPr="00D429B4">
              <w:rPr>
                <w:rFonts w:ascii="Verdana" w:hAnsi="Verdana"/>
                <w:sz w:val="16"/>
                <w:szCs w:val="16"/>
                <w:lang w:val="es-MX"/>
              </w:rPr>
              <w:t xml:space="preserve"> La verificación de los resultados para descartar errores analíticos claramente identificados, esta investigación debe documentarse y reportarse.</w:t>
            </w:r>
          </w:p>
        </w:tc>
        <w:tc>
          <w:tcPr>
            <w:tcW w:w="4421" w:type="dxa"/>
          </w:tcPr>
          <w:p w14:paraId="52E1AD5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11.22.2.1</w:t>
            </w:r>
            <w:r w:rsidRPr="00D429B4">
              <w:rPr>
                <w:rFonts w:ascii="Verdana" w:hAnsi="Verdana"/>
                <w:sz w:val="16"/>
                <w:szCs w:val="16"/>
                <w:lang w:val="en-US"/>
              </w:rPr>
              <w:t xml:space="preserve"> The verification of the results for discarding clearly identified analytical errors, this investigation must be documented and reported.  </w:t>
            </w:r>
          </w:p>
        </w:tc>
      </w:tr>
      <w:tr w:rsidR="00CD67E0" w:rsidRPr="00B838EC" w14:paraId="607198CF" w14:textId="77777777" w:rsidTr="00335F65">
        <w:tc>
          <w:tcPr>
            <w:tcW w:w="4421" w:type="dxa"/>
          </w:tcPr>
          <w:p w14:paraId="70D5A47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11.22.2.2</w:t>
            </w:r>
            <w:r w:rsidRPr="00D429B4">
              <w:rPr>
                <w:rFonts w:ascii="Verdana" w:hAnsi="Verdana"/>
                <w:sz w:val="16"/>
                <w:szCs w:val="16"/>
                <w:lang w:val="es-MX"/>
              </w:rPr>
              <w:t xml:space="preserve"> Si un error analítico es descartado debe justificarse como parte de la investigación.</w:t>
            </w:r>
          </w:p>
        </w:tc>
        <w:tc>
          <w:tcPr>
            <w:tcW w:w="4421" w:type="dxa"/>
          </w:tcPr>
          <w:p w14:paraId="4F147FA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11.22.2.2</w:t>
            </w:r>
            <w:r w:rsidRPr="00D429B4">
              <w:rPr>
                <w:rFonts w:ascii="Verdana" w:hAnsi="Verdana"/>
                <w:sz w:val="16"/>
                <w:szCs w:val="16"/>
                <w:lang w:val="en-US"/>
              </w:rPr>
              <w:t xml:space="preserve"> If an analytical error is discarded, it must be justified as part of the investigation. </w:t>
            </w:r>
          </w:p>
        </w:tc>
      </w:tr>
      <w:tr w:rsidR="00CD67E0" w:rsidRPr="00B838EC" w14:paraId="6ECCBC66" w14:textId="77777777" w:rsidTr="00335F65">
        <w:tc>
          <w:tcPr>
            <w:tcW w:w="4421" w:type="dxa"/>
          </w:tcPr>
          <w:p w14:paraId="01001C1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11.22.2.2.1</w:t>
            </w:r>
            <w:r w:rsidRPr="00D429B4">
              <w:rPr>
                <w:rFonts w:ascii="Verdana" w:hAnsi="Verdana"/>
                <w:sz w:val="16"/>
                <w:szCs w:val="16"/>
                <w:lang w:val="es-MX"/>
              </w:rPr>
              <w:t xml:space="preserve"> Se debe iniciar una investigación que involucre todas las áreas relacionadas a la fabricación del producto, y establecer un plan de pruebas considerando repeticiones de muestreo o re-análisis de las muestras para confirmar el resultado.</w:t>
            </w:r>
          </w:p>
        </w:tc>
        <w:tc>
          <w:tcPr>
            <w:tcW w:w="4421" w:type="dxa"/>
          </w:tcPr>
          <w:p w14:paraId="7C4143A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11.22.2.2.1</w:t>
            </w:r>
            <w:r w:rsidRPr="00D429B4">
              <w:rPr>
                <w:rFonts w:ascii="Verdana" w:hAnsi="Verdana"/>
                <w:sz w:val="16"/>
                <w:szCs w:val="16"/>
                <w:lang w:val="en-US"/>
              </w:rPr>
              <w:t xml:space="preserve"> An investigation must be initiated that involves all the areas related to the manufacture of the product, and establish a testing plan considering repetitions of sampling or reanalysis of the samples to confirm the result.  </w:t>
            </w:r>
          </w:p>
        </w:tc>
      </w:tr>
      <w:tr w:rsidR="00CD67E0" w:rsidRPr="00B838EC" w14:paraId="574AB707" w14:textId="77777777" w:rsidTr="00335F65">
        <w:tc>
          <w:tcPr>
            <w:tcW w:w="4421" w:type="dxa"/>
          </w:tcPr>
          <w:p w14:paraId="3F6487E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11.22.2.3</w:t>
            </w:r>
            <w:r w:rsidRPr="00D429B4">
              <w:rPr>
                <w:rFonts w:ascii="Verdana" w:hAnsi="Verdana"/>
                <w:sz w:val="16"/>
                <w:szCs w:val="16"/>
                <w:lang w:val="es-MX"/>
              </w:rPr>
              <w:t xml:space="preserve"> Se debe establecer la evaluación e interpretación de los resultados obtenidos considerando todos los hallazgos de la investigación, re análisis o re-muestreos para determinar la aceptación o rechazo del lote investigado.</w:t>
            </w:r>
          </w:p>
        </w:tc>
        <w:tc>
          <w:tcPr>
            <w:tcW w:w="4421" w:type="dxa"/>
          </w:tcPr>
          <w:p w14:paraId="0EBF2DB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11.22.2.3</w:t>
            </w:r>
            <w:r w:rsidRPr="00D429B4">
              <w:rPr>
                <w:rFonts w:ascii="Verdana" w:hAnsi="Verdana"/>
                <w:sz w:val="16"/>
                <w:szCs w:val="16"/>
                <w:lang w:val="en-US"/>
              </w:rPr>
              <w:t xml:space="preserve"> The evaluation and interpretation of the results obtained must be established taking into consideration all the findings from the investigation, reanalysis or resampling to determine the acceptance or rejection of the lot investigated.</w:t>
            </w:r>
          </w:p>
        </w:tc>
      </w:tr>
      <w:tr w:rsidR="00CD67E0" w:rsidRPr="00B838EC" w14:paraId="4F78ED21" w14:textId="77777777" w:rsidTr="00335F65">
        <w:tc>
          <w:tcPr>
            <w:tcW w:w="4421" w:type="dxa"/>
          </w:tcPr>
          <w:p w14:paraId="685C5BA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11.22.3</w:t>
            </w:r>
            <w:r w:rsidRPr="00D429B4">
              <w:rPr>
                <w:rFonts w:ascii="Verdana" w:hAnsi="Verdana"/>
                <w:sz w:val="16"/>
                <w:szCs w:val="16"/>
                <w:lang w:val="es-MX"/>
              </w:rPr>
              <w:t xml:space="preserve"> Las investigaciones y conclusiones de los resultados analíticos fuera de especificación deben ser aprobados por el Responsable Sanitario.</w:t>
            </w:r>
          </w:p>
        </w:tc>
        <w:tc>
          <w:tcPr>
            <w:tcW w:w="4421" w:type="dxa"/>
          </w:tcPr>
          <w:p w14:paraId="3A36481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11.22.3</w:t>
            </w:r>
            <w:r w:rsidRPr="00D429B4">
              <w:rPr>
                <w:rFonts w:ascii="Verdana" w:hAnsi="Verdana"/>
                <w:sz w:val="16"/>
                <w:szCs w:val="16"/>
                <w:lang w:val="en-US"/>
              </w:rPr>
              <w:t xml:space="preserve"> The investigations and conclusions of the analytical results outside of specification must be approved by the Person responsible for sanitary compliance. </w:t>
            </w:r>
          </w:p>
        </w:tc>
      </w:tr>
      <w:tr w:rsidR="00CD67E0" w:rsidRPr="00B838EC" w14:paraId="66A637EA" w14:textId="77777777" w:rsidTr="00335F65">
        <w:tc>
          <w:tcPr>
            <w:tcW w:w="4421" w:type="dxa"/>
          </w:tcPr>
          <w:p w14:paraId="6D2DE31A"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 xml:space="preserve">11.23 </w:t>
            </w:r>
            <w:r w:rsidRPr="00D429B4">
              <w:rPr>
                <w:rFonts w:ascii="Verdana" w:hAnsi="Verdana"/>
                <w:sz w:val="16"/>
                <w:szCs w:val="16"/>
                <w:lang w:val="es-MX"/>
              </w:rPr>
              <w:t>La utilización de laboratorios de control de calidad externos, debe cumplir con el punto 14 de esta Norma y puede aceptarse por causas especiales, pero debe quedar reflejado en los registros de control de calidad.</w:t>
            </w:r>
          </w:p>
        </w:tc>
        <w:tc>
          <w:tcPr>
            <w:tcW w:w="4421" w:type="dxa"/>
          </w:tcPr>
          <w:p w14:paraId="146E4DAA"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 xml:space="preserve">11.23 </w:t>
            </w:r>
            <w:r w:rsidRPr="00D429B4">
              <w:rPr>
                <w:rFonts w:ascii="Verdana" w:hAnsi="Verdana"/>
                <w:sz w:val="16"/>
                <w:szCs w:val="16"/>
                <w:lang w:val="en-US"/>
              </w:rPr>
              <w:t xml:space="preserve">The utilization of external quality control laboratories must comply with point 14 of this Standard and can be accepted for special causes but must remain reflected in the quality control records. </w:t>
            </w:r>
          </w:p>
        </w:tc>
      </w:tr>
      <w:tr w:rsidR="00CD67E0" w:rsidRPr="00B838EC" w14:paraId="0318CAA1" w14:textId="77777777" w:rsidTr="00335F65">
        <w:tc>
          <w:tcPr>
            <w:tcW w:w="4421" w:type="dxa"/>
          </w:tcPr>
          <w:p w14:paraId="11BBFEF3"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 xml:space="preserve">11.24 </w:t>
            </w:r>
            <w:r w:rsidRPr="00D429B4">
              <w:rPr>
                <w:rFonts w:ascii="Verdana" w:hAnsi="Verdana"/>
                <w:sz w:val="16"/>
                <w:szCs w:val="16"/>
                <w:lang w:val="es-MX"/>
              </w:rPr>
              <w:t>La toma de muestras debe realizarse y registrarse de acuerdo con procedimientos escritos y aprobados que describan:</w:t>
            </w:r>
          </w:p>
        </w:tc>
        <w:tc>
          <w:tcPr>
            <w:tcW w:w="4421" w:type="dxa"/>
          </w:tcPr>
          <w:p w14:paraId="74307C2D"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 xml:space="preserve">11.24 </w:t>
            </w:r>
            <w:r w:rsidRPr="00D429B4">
              <w:rPr>
                <w:rFonts w:ascii="Verdana" w:hAnsi="Verdana"/>
                <w:sz w:val="16"/>
                <w:szCs w:val="16"/>
                <w:lang w:val="en-US"/>
              </w:rPr>
              <w:t xml:space="preserve">The taking of samples must be made and recorded according to the written and approved procedures that describe: </w:t>
            </w:r>
          </w:p>
        </w:tc>
      </w:tr>
      <w:tr w:rsidR="00CD67E0" w:rsidRPr="00DD29AF" w14:paraId="556ABF8F" w14:textId="77777777" w:rsidTr="00335F65">
        <w:tc>
          <w:tcPr>
            <w:tcW w:w="4421" w:type="dxa"/>
          </w:tcPr>
          <w:p w14:paraId="692234C3"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11.24.1</w:t>
            </w:r>
            <w:r w:rsidRPr="00D429B4">
              <w:rPr>
                <w:rFonts w:ascii="Verdana" w:hAnsi="Verdana"/>
                <w:sz w:val="16"/>
                <w:szCs w:val="16"/>
                <w:lang w:val="es-MX"/>
              </w:rPr>
              <w:t xml:space="preserve"> El método de muestreo;</w:t>
            </w:r>
          </w:p>
        </w:tc>
        <w:tc>
          <w:tcPr>
            <w:tcW w:w="4421" w:type="dxa"/>
          </w:tcPr>
          <w:p w14:paraId="604F1879"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11.24.1</w:t>
            </w:r>
            <w:r w:rsidRPr="00D429B4">
              <w:rPr>
                <w:rFonts w:ascii="Verdana" w:hAnsi="Verdana"/>
                <w:sz w:val="16"/>
                <w:szCs w:val="16"/>
                <w:lang w:val="en-US"/>
              </w:rPr>
              <w:t xml:space="preserve"> The sampling method; </w:t>
            </w:r>
          </w:p>
        </w:tc>
      </w:tr>
      <w:tr w:rsidR="00CD67E0" w:rsidRPr="00B838EC" w14:paraId="24AB4E92" w14:textId="77777777" w:rsidTr="00335F65">
        <w:tc>
          <w:tcPr>
            <w:tcW w:w="4421" w:type="dxa"/>
          </w:tcPr>
          <w:p w14:paraId="7B43B679"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 xml:space="preserve">11.24.2 </w:t>
            </w:r>
            <w:r w:rsidRPr="00D429B4">
              <w:rPr>
                <w:rFonts w:ascii="Verdana" w:hAnsi="Verdana"/>
                <w:sz w:val="16"/>
                <w:szCs w:val="16"/>
                <w:lang w:val="es-MX"/>
              </w:rPr>
              <w:t>Los equipos que deben utilizarse;</w:t>
            </w:r>
          </w:p>
        </w:tc>
        <w:tc>
          <w:tcPr>
            <w:tcW w:w="4421" w:type="dxa"/>
          </w:tcPr>
          <w:p w14:paraId="6FBC44E1"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 xml:space="preserve">11.24.2 </w:t>
            </w:r>
            <w:r w:rsidRPr="00D429B4">
              <w:rPr>
                <w:rFonts w:ascii="Verdana" w:hAnsi="Verdana"/>
                <w:sz w:val="16"/>
                <w:szCs w:val="16"/>
                <w:lang w:val="en-US"/>
              </w:rPr>
              <w:t xml:space="preserve">The equipment that must be used; </w:t>
            </w:r>
          </w:p>
        </w:tc>
      </w:tr>
      <w:tr w:rsidR="00CD67E0" w:rsidRPr="00B838EC" w14:paraId="1EE939B7" w14:textId="77777777" w:rsidTr="00335F65">
        <w:tc>
          <w:tcPr>
            <w:tcW w:w="4421" w:type="dxa"/>
          </w:tcPr>
          <w:p w14:paraId="5AF200FE"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11.24.3</w:t>
            </w:r>
            <w:r w:rsidRPr="00D429B4">
              <w:rPr>
                <w:rFonts w:ascii="Verdana" w:hAnsi="Verdana"/>
                <w:sz w:val="16"/>
                <w:szCs w:val="16"/>
                <w:lang w:val="es-MX"/>
              </w:rPr>
              <w:t xml:space="preserve"> La cantidad de muestra que debe tomarse;</w:t>
            </w:r>
          </w:p>
        </w:tc>
        <w:tc>
          <w:tcPr>
            <w:tcW w:w="4421" w:type="dxa"/>
          </w:tcPr>
          <w:p w14:paraId="111CF4D5"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11.24.3</w:t>
            </w:r>
            <w:r w:rsidRPr="00D429B4">
              <w:rPr>
                <w:rFonts w:ascii="Verdana" w:hAnsi="Verdana"/>
                <w:sz w:val="16"/>
                <w:szCs w:val="16"/>
                <w:lang w:val="en-US"/>
              </w:rPr>
              <w:t xml:space="preserve"> The quantity of sample that must be taken;</w:t>
            </w:r>
          </w:p>
        </w:tc>
      </w:tr>
      <w:tr w:rsidR="00CD67E0" w:rsidRPr="00B838EC" w14:paraId="79196936" w14:textId="77777777" w:rsidTr="00335F65">
        <w:tc>
          <w:tcPr>
            <w:tcW w:w="4421" w:type="dxa"/>
          </w:tcPr>
          <w:p w14:paraId="7457ED01"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lastRenderedPageBreak/>
              <w:t>11.24.4</w:t>
            </w:r>
            <w:r w:rsidRPr="00D429B4">
              <w:rPr>
                <w:rFonts w:ascii="Verdana" w:hAnsi="Verdana"/>
                <w:sz w:val="16"/>
                <w:szCs w:val="16"/>
                <w:lang w:val="es-MX"/>
              </w:rPr>
              <w:t xml:space="preserve"> Instrucciones para la posible subdivisión de la muestra;</w:t>
            </w:r>
          </w:p>
        </w:tc>
        <w:tc>
          <w:tcPr>
            <w:tcW w:w="4421" w:type="dxa"/>
          </w:tcPr>
          <w:p w14:paraId="6C2C4329"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11.24.4</w:t>
            </w:r>
            <w:r w:rsidRPr="00D429B4">
              <w:rPr>
                <w:rFonts w:ascii="Verdana" w:hAnsi="Verdana"/>
                <w:sz w:val="16"/>
                <w:szCs w:val="16"/>
                <w:lang w:val="en-US"/>
              </w:rPr>
              <w:t xml:space="preserve"> Instructions for the possible subdivision of the sample;</w:t>
            </w:r>
          </w:p>
        </w:tc>
      </w:tr>
      <w:tr w:rsidR="00CD67E0" w:rsidRPr="00B838EC" w14:paraId="406586C1" w14:textId="77777777" w:rsidTr="00335F65">
        <w:tc>
          <w:tcPr>
            <w:tcW w:w="4421" w:type="dxa"/>
          </w:tcPr>
          <w:p w14:paraId="5EE63D6B"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11.24.5</w:t>
            </w:r>
            <w:r w:rsidRPr="00D429B4">
              <w:rPr>
                <w:rFonts w:ascii="Verdana" w:hAnsi="Verdana"/>
                <w:sz w:val="16"/>
                <w:szCs w:val="16"/>
                <w:lang w:val="es-MX"/>
              </w:rPr>
              <w:t xml:space="preserve"> Tipo y condiciones del envase que debe utilizarse para la muestra;</w:t>
            </w:r>
          </w:p>
        </w:tc>
        <w:tc>
          <w:tcPr>
            <w:tcW w:w="4421" w:type="dxa"/>
          </w:tcPr>
          <w:p w14:paraId="41CF1500"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11.24.5</w:t>
            </w:r>
            <w:r w:rsidRPr="00D429B4">
              <w:rPr>
                <w:rFonts w:ascii="Verdana" w:hAnsi="Verdana"/>
                <w:sz w:val="16"/>
                <w:szCs w:val="16"/>
                <w:lang w:val="en-US"/>
              </w:rPr>
              <w:t xml:space="preserve"> Type and conditions of the container that must be used for the sample;</w:t>
            </w:r>
          </w:p>
        </w:tc>
      </w:tr>
      <w:tr w:rsidR="00CD67E0" w:rsidRPr="00B838EC" w14:paraId="3FBB6A0A" w14:textId="77777777" w:rsidTr="00335F65">
        <w:tc>
          <w:tcPr>
            <w:tcW w:w="4421" w:type="dxa"/>
          </w:tcPr>
          <w:p w14:paraId="11EF6738"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11.24.6</w:t>
            </w:r>
            <w:r w:rsidRPr="00D429B4">
              <w:rPr>
                <w:rFonts w:ascii="Verdana" w:hAnsi="Verdana"/>
                <w:sz w:val="16"/>
                <w:szCs w:val="16"/>
                <w:lang w:val="es-MX"/>
              </w:rPr>
              <w:t xml:space="preserve"> Identificación de los envases muestreados;</w:t>
            </w:r>
          </w:p>
        </w:tc>
        <w:tc>
          <w:tcPr>
            <w:tcW w:w="4421" w:type="dxa"/>
          </w:tcPr>
          <w:p w14:paraId="28577F4D"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11.24.6</w:t>
            </w:r>
            <w:r w:rsidRPr="00D429B4">
              <w:rPr>
                <w:rFonts w:ascii="Verdana" w:hAnsi="Verdana"/>
                <w:sz w:val="16"/>
                <w:szCs w:val="16"/>
                <w:lang w:val="en-US"/>
              </w:rPr>
              <w:t xml:space="preserve"> Identification of the sampled containers; </w:t>
            </w:r>
          </w:p>
        </w:tc>
      </w:tr>
      <w:tr w:rsidR="00CD67E0" w:rsidRPr="00B838EC" w14:paraId="01210FCE" w14:textId="77777777" w:rsidTr="00335F65">
        <w:tc>
          <w:tcPr>
            <w:tcW w:w="4421" w:type="dxa"/>
          </w:tcPr>
          <w:p w14:paraId="13DFDCE6"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11.24.7</w:t>
            </w:r>
            <w:r w:rsidRPr="00D429B4">
              <w:rPr>
                <w:rFonts w:ascii="Verdana" w:hAnsi="Verdana"/>
                <w:sz w:val="16"/>
                <w:szCs w:val="16"/>
                <w:lang w:val="es-MX"/>
              </w:rPr>
              <w:t xml:space="preserve"> Cualquier precaución especial a tener en cuenta, sobre todo en relación con el muestreo de materiales estériles o nocivos;</w:t>
            </w:r>
          </w:p>
        </w:tc>
        <w:tc>
          <w:tcPr>
            <w:tcW w:w="4421" w:type="dxa"/>
          </w:tcPr>
          <w:p w14:paraId="0E2A202D"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 xml:space="preserve">11.24.7 </w:t>
            </w:r>
            <w:r w:rsidRPr="00D429B4">
              <w:rPr>
                <w:rFonts w:ascii="Verdana" w:hAnsi="Verdana"/>
                <w:sz w:val="16"/>
                <w:szCs w:val="16"/>
                <w:lang w:val="en-US"/>
              </w:rPr>
              <w:t xml:space="preserve">Any special precaution to take into account, over all with respect to the sampling of sterile or harmful materials; </w:t>
            </w:r>
          </w:p>
        </w:tc>
      </w:tr>
      <w:tr w:rsidR="00CD67E0" w:rsidRPr="00DD29AF" w14:paraId="6D9C02C8" w14:textId="77777777" w:rsidTr="00335F65">
        <w:tc>
          <w:tcPr>
            <w:tcW w:w="4421" w:type="dxa"/>
          </w:tcPr>
          <w:p w14:paraId="6C6800D0"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11.24.8</w:t>
            </w:r>
            <w:r w:rsidRPr="00D429B4">
              <w:rPr>
                <w:rFonts w:ascii="Verdana" w:hAnsi="Verdana"/>
                <w:sz w:val="16"/>
                <w:szCs w:val="16"/>
                <w:lang w:val="es-MX"/>
              </w:rPr>
              <w:t xml:space="preserve"> Las condiciones de almacenamiento;</w:t>
            </w:r>
          </w:p>
        </w:tc>
        <w:tc>
          <w:tcPr>
            <w:tcW w:w="4421" w:type="dxa"/>
          </w:tcPr>
          <w:p w14:paraId="6CF4277E"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11.24.8</w:t>
            </w:r>
            <w:r w:rsidRPr="00D429B4">
              <w:rPr>
                <w:rFonts w:ascii="Verdana" w:hAnsi="Verdana"/>
                <w:sz w:val="16"/>
                <w:szCs w:val="16"/>
                <w:lang w:val="en-US"/>
              </w:rPr>
              <w:t xml:space="preserve"> The storage conditions;</w:t>
            </w:r>
          </w:p>
        </w:tc>
      </w:tr>
      <w:tr w:rsidR="00CD67E0" w:rsidRPr="00B838EC" w14:paraId="7C297AAA" w14:textId="77777777" w:rsidTr="00335F65">
        <w:tc>
          <w:tcPr>
            <w:tcW w:w="4421" w:type="dxa"/>
          </w:tcPr>
          <w:p w14:paraId="1523B629"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11.24.9</w:t>
            </w:r>
            <w:r w:rsidRPr="00D429B4">
              <w:rPr>
                <w:rFonts w:ascii="Verdana" w:hAnsi="Verdana"/>
                <w:sz w:val="16"/>
                <w:szCs w:val="16"/>
                <w:lang w:val="es-MX"/>
              </w:rPr>
              <w:t xml:space="preserve"> Instrucciones de limpieza y almacenamiento de los equipos de muestreo.</w:t>
            </w:r>
          </w:p>
        </w:tc>
        <w:tc>
          <w:tcPr>
            <w:tcW w:w="4421" w:type="dxa"/>
          </w:tcPr>
          <w:p w14:paraId="160FEDFB"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11.24.9</w:t>
            </w:r>
            <w:r w:rsidRPr="00D429B4">
              <w:rPr>
                <w:rFonts w:ascii="Verdana" w:hAnsi="Verdana"/>
                <w:sz w:val="16"/>
                <w:szCs w:val="16"/>
                <w:lang w:val="en-US"/>
              </w:rPr>
              <w:t xml:space="preserve"> Cleaning and storage instructions for the sampling equipment. </w:t>
            </w:r>
          </w:p>
        </w:tc>
      </w:tr>
      <w:tr w:rsidR="00CD67E0" w:rsidRPr="00B838EC" w14:paraId="0C8151CE" w14:textId="77777777" w:rsidTr="00335F65">
        <w:tc>
          <w:tcPr>
            <w:tcW w:w="4421" w:type="dxa"/>
          </w:tcPr>
          <w:p w14:paraId="5E53CCB5"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11.25</w:t>
            </w:r>
            <w:r w:rsidRPr="00D429B4">
              <w:rPr>
                <w:rFonts w:ascii="Verdana" w:hAnsi="Verdana"/>
                <w:sz w:val="16"/>
                <w:szCs w:val="16"/>
                <w:lang w:val="es-MX"/>
              </w:rPr>
              <w:t xml:space="preserve"> Previa autorización de la Secretaría, el titular de un Registro Sanitario podrá llevar a cabo una reducción en la frecuencia y/o en las pruebas analíticas para productos terminados de importación, el análisis al que se refiere este punto es el realizado en el país, no se podrá reducir la frecuencia y pruebas analíticas en el análisis realizado por el fabricante.</w:t>
            </w:r>
          </w:p>
        </w:tc>
        <w:tc>
          <w:tcPr>
            <w:tcW w:w="4421" w:type="dxa"/>
          </w:tcPr>
          <w:p w14:paraId="4FE12CD2"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11.25</w:t>
            </w:r>
            <w:r w:rsidRPr="00D429B4">
              <w:rPr>
                <w:rFonts w:ascii="Verdana" w:hAnsi="Verdana"/>
                <w:sz w:val="16"/>
                <w:szCs w:val="16"/>
                <w:lang w:val="en-US"/>
              </w:rPr>
              <w:t xml:space="preserve"> With authorization from the Secretary, the holder of the Sanitary registration can carry out a reduction in the frequency and/or in the analytical tests for finished products of importation, the analysis referred to in this point is that made in the country, the frequency and analytical tests cannot be reduced in the analysis made by the manufacturer.  </w:t>
            </w:r>
          </w:p>
        </w:tc>
      </w:tr>
      <w:tr w:rsidR="00CD67E0" w:rsidRPr="00B838EC" w14:paraId="2C8BE42F" w14:textId="77777777" w:rsidTr="00335F65">
        <w:tc>
          <w:tcPr>
            <w:tcW w:w="4421" w:type="dxa"/>
          </w:tcPr>
          <w:p w14:paraId="582BF352" w14:textId="77777777" w:rsidR="00CD67E0" w:rsidRPr="00D429B4" w:rsidRDefault="00CD67E0" w:rsidP="00CD67E0">
            <w:pPr>
              <w:pStyle w:val="Texto"/>
              <w:spacing w:after="86" w:line="276" w:lineRule="auto"/>
              <w:ind w:firstLine="0"/>
              <w:rPr>
                <w:rFonts w:ascii="Verdana" w:hAnsi="Verdana"/>
                <w:b/>
                <w:sz w:val="16"/>
                <w:szCs w:val="16"/>
                <w:lang w:val="es-MX"/>
              </w:rPr>
            </w:pPr>
            <w:r w:rsidRPr="00D429B4">
              <w:rPr>
                <w:rFonts w:ascii="Verdana" w:hAnsi="Verdana"/>
                <w:b/>
                <w:sz w:val="16"/>
                <w:szCs w:val="16"/>
                <w:lang w:val="es-MX"/>
              </w:rPr>
              <w:t xml:space="preserve">11.25.1 </w:t>
            </w:r>
            <w:r w:rsidRPr="00D429B4">
              <w:rPr>
                <w:rFonts w:ascii="Verdana" w:hAnsi="Verdana"/>
                <w:sz w:val="16"/>
                <w:szCs w:val="16"/>
                <w:lang w:val="es-MX"/>
              </w:rPr>
              <w:t>Para producto terminado de importación el titular del Registro Sanitario deberá someter a la Secretaría la siguiente información:</w:t>
            </w:r>
          </w:p>
        </w:tc>
        <w:tc>
          <w:tcPr>
            <w:tcW w:w="4421" w:type="dxa"/>
          </w:tcPr>
          <w:p w14:paraId="2922866E" w14:textId="77777777" w:rsidR="00CD67E0" w:rsidRPr="00D429B4" w:rsidRDefault="00CD67E0" w:rsidP="00CD67E0">
            <w:pPr>
              <w:pStyle w:val="Texto"/>
              <w:spacing w:after="86" w:line="276" w:lineRule="auto"/>
              <w:ind w:firstLine="0"/>
              <w:rPr>
                <w:rFonts w:ascii="Verdana" w:hAnsi="Verdana"/>
                <w:b/>
                <w:sz w:val="16"/>
                <w:szCs w:val="16"/>
                <w:lang w:val="en-US"/>
              </w:rPr>
            </w:pPr>
            <w:r w:rsidRPr="00D429B4">
              <w:rPr>
                <w:rFonts w:ascii="Verdana" w:hAnsi="Verdana"/>
                <w:b/>
                <w:sz w:val="16"/>
                <w:szCs w:val="16"/>
                <w:lang w:val="en-US"/>
              </w:rPr>
              <w:t xml:space="preserve">11.25.1 </w:t>
            </w:r>
            <w:r w:rsidRPr="00D429B4">
              <w:rPr>
                <w:rFonts w:ascii="Verdana" w:hAnsi="Verdana"/>
                <w:sz w:val="16"/>
                <w:szCs w:val="16"/>
                <w:lang w:val="en-US"/>
              </w:rPr>
              <w:t xml:space="preserve">For finished product for importation, the holder of the Sanitary Registration must submit to the Secretary the following information: </w:t>
            </w:r>
          </w:p>
        </w:tc>
      </w:tr>
      <w:tr w:rsidR="00CD67E0" w:rsidRPr="00B838EC" w14:paraId="660C4109" w14:textId="77777777" w:rsidTr="00335F65">
        <w:tc>
          <w:tcPr>
            <w:tcW w:w="4421" w:type="dxa"/>
          </w:tcPr>
          <w:p w14:paraId="0DBD97B9"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 xml:space="preserve">11.25.1.1 </w:t>
            </w:r>
            <w:r w:rsidRPr="00D429B4">
              <w:rPr>
                <w:rFonts w:ascii="Verdana" w:hAnsi="Verdana"/>
                <w:sz w:val="16"/>
                <w:szCs w:val="16"/>
                <w:lang w:val="es-MX"/>
              </w:rPr>
              <w:t>La RAP de los últimos tres años previos a la solicitud.</w:t>
            </w:r>
          </w:p>
        </w:tc>
        <w:tc>
          <w:tcPr>
            <w:tcW w:w="4421" w:type="dxa"/>
          </w:tcPr>
          <w:p w14:paraId="3D7253F9"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 xml:space="preserve">11.25.1.1 </w:t>
            </w:r>
            <w:r w:rsidRPr="00D429B4">
              <w:rPr>
                <w:rFonts w:ascii="Verdana" w:hAnsi="Verdana"/>
                <w:sz w:val="16"/>
                <w:szCs w:val="16"/>
                <w:lang w:val="en-US"/>
              </w:rPr>
              <w:t>The ARP of the last three years prior to the application.</w:t>
            </w:r>
          </w:p>
        </w:tc>
      </w:tr>
      <w:tr w:rsidR="00CD67E0" w:rsidRPr="00B838EC" w14:paraId="39E23616" w14:textId="77777777" w:rsidTr="00335F65">
        <w:tc>
          <w:tcPr>
            <w:tcW w:w="4421" w:type="dxa"/>
          </w:tcPr>
          <w:p w14:paraId="7F27DE57"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11.25.1.1.1</w:t>
            </w:r>
            <w:r w:rsidRPr="00D429B4">
              <w:rPr>
                <w:rFonts w:ascii="Verdana" w:hAnsi="Verdana"/>
                <w:sz w:val="16"/>
                <w:szCs w:val="16"/>
                <w:lang w:val="es-MX"/>
              </w:rPr>
              <w:t xml:space="preserve"> Que no existan cambios mayores en el proceso de fabricación del fármaco y el medicamento.</w:t>
            </w:r>
          </w:p>
        </w:tc>
        <w:tc>
          <w:tcPr>
            <w:tcW w:w="4421" w:type="dxa"/>
          </w:tcPr>
          <w:p w14:paraId="3789BB46"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11.25.1.1.1</w:t>
            </w:r>
            <w:r w:rsidRPr="00D429B4">
              <w:rPr>
                <w:rFonts w:ascii="Verdana" w:hAnsi="Verdana"/>
                <w:sz w:val="16"/>
                <w:szCs w:val="16"/>
                <w:lang w:val="en-US"/>
              </w:rPr>
              <w:t xml:space="preserve"> That no major changes exist in the manufacturing process of the drug substance and the drug product. </w:t>
            </w:r>
          </w:p>
        </w:tc>
      </w:tr>
      <w:tr w:rsidR="00CD67E0" w:rsidRPr="00B838EC" w14:paraId="1CF9D727" w14:textId="77777777" w:rsidTr="00335F65">
        <w:tc>
          <w:tcPr>
            <w:tcW w:w="4421" w:type="dxa"/>
          </w:tcPr>
          <w:p w14:paraId="3641B2AC"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11.25.1.1.2</w:t>
            </w:r>
            <w:r w:rsidRPr="00D429B4">
              <w:rPr>
                <w:rFonts w:ascii="Verdana" w:hAnsi="Verdana"/>
                <w:sz w:val="16"/>
                <w:szCs w:val="16"/>
                <w:lang w:val="es-MX"/>
              </w:rPr>
              <w:t xml:space="preserve"> Que el sitio de fabricación del fármaco y el medicamento correspondan al historial de los últimos tres años.</w:t>
            </w:r>
          </w:p>
        </w:tc>
        <w:tc>
          <w:tcPr>
            <w:tcW w:w="4421" w:type="dxa"/>
          </w:tcPr>
          <w:p w14:paraId="117051AB"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11.25.1.1.2</w:t>
            </w:r>
            <w:r w:rsidRPr="00D429B4">
              <w:rPr>
                <w:rFonts w:ascii="Verdana" w:hAnsi="Verdana"/>
                <w:sz w:val="16"/>
                <w:szCs w:val="16"/>
                <w:lang w:val="en-US"/>
              </w:rPr>
              <w:t xml:space="preserve"> That the manufacturing site of the drug substance and the drug product correspond to the history of the last three years. </w:t>
            </w:r>
          </w:p>
        </w:tc>
      </w:tr>
      <w:tr w:rsidR="00CD67E0" w:rsidRPr="00B838EC" w14:paraId="505AD39F" w14:textId="77777777" w:rsidTr="00335F65">
        <w:tc>
          <w:tcPr>
            <w:tcW w:w="4421" w:type="dxa"/>
          </w:tcPr>
          <w:p w14:paraId="37BFB854"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 xml:space="preserve">11.25.1.2 </w:t>
            </w:r>
            <w:r w:rsidRPr="00D429B4">
              <w:rPr>
                <w:rFonts w:ascii="Verdana" w:hAnsi="Verdana"/>
                <w:sz w:val="16"/>
                <w:szCs w:val="16"/>
                <w:lang w:val="es-MX"/>
              </w:rPr>
              <w:t>Copia del oficio de Registro Sanitario vigente del medicamento importado.</w:t>
            </w:r>
          </w:p>
        </w:tc>
        <w:tc>
          <w:tcPr>
            <w:tcW w:w="4421" w:type="dxa"/>
          </w:tcPr>
          <w:p w14:paraId="510F3B17"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 xml:space="preserve">11.25.1.2 </w:t>
            </w:r>
            <w:r w:rsidRPr="00D429B4">
              <w:rPr>
                <w:rFonts w:ascii="Verdana" w:hAnsi="Verdana"/>
                <w:sz w:val="16"/>
                <w:szCs w:val="16"/>
                <w:lang w:val="en-US"/>
              </w:rPr>
              <w:t xml:space="preserve">Copy of the current document of Sanitary Registration of the imported drug product.  </w:t>
            </w:r>
          </w:p>
        </w:tc>
      </w:tr>
      <w:tr w:rsidR="00CD67E0" w:rsidRPr="00B838EC" w14:paraId="1F9615AE" w14:textId="77777777" w:rsidTr="00335F65">
        <w:tc>
          <w:tcPr>
            <w:tcW w:w="4421" w:type="dxa"/>
          </w:tcPr>
          <w:p w14:paraId="477554AD"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11.25.1.3</w:t>
            </w:r>
            <w:r w:rsidRPr="00D429B4">
              <w:rPr>
                <w:rFonts w:ascii="Verdana" w:hAnsi="Verdana"/>
                <w:sz w:val="16"/>
                <w:szCs w:val="16"/>
                <w:lang w:val="es-MX"/>
              </w:rPr>
              <w:t xml:space="preserve"> Certificado de Buenas Prácticas de Fabricación vigente emitido al fabricante del producto por la COFEPRIS o alguna de las entidades sanitarias reconocidas por COFEPRIS.</w:t>
            </w:r>
          </w:p>
        </w:tc>
        <w:tc>
          <w:tcPr>
            <w:tcW w:w="4421" w:type="dxa"/>
          </w:tcPr>
          <w:p w14:paraId="7B3E497C"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11.25.1.3</w:t>
            </w:r>
            <w:r w:rsidRPr="00D429B4">
              <w:rPr>
                <w:rFonts w:ascii="Verdana" w:hAnsi="Verdana"/>
                <w:sz w:val="16"/>
                <w:szCs w:val="16"/>
                <w:lang w:val="en-US"/>
              </w:rPr>
              <w:t xml:space="preserve"> Current Certificate of Good Manufacturing Practices issued to the manufacturer of the product by COFEPRIS or one of the sanitary entities recognized by COFEPRIS. </w:t>
            </w:r>
          </w:p>
        </w:tc>
      </w:tr>
      <w:tr w:rsidR="00CD67E0" w:rsidRPr="00B838EC" w14:paraId="6EBB7643" w14:textId="77777777" w:rsidTr="00335F65">
        <w:tc>
          <w:tcPr>
            <w:tcW w:w="4421" w:type="dxa"/>
          </w:tcPr>
          <w:p w14:paraId="5BCA82F6"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11.25.1.4</w:t>
            </w:r>
            <w:r w:rsidRPr="00D429B4">
              <w:rPr>
                <w:rFonts w:ascii="Verdana" w:hAnsi="Verdana"/>
                <w:sz w:val="16"/>
                <w:szCs w:val="16"/>
                <w:lang w:val="es-MX"/>
              </w:rPr>
              <w:t xml:space="preserve"> Reporte de Calificación del fabricante del fármaco.</w:t>
            </w:r>
          </w:p>
        </w:tc>
        <w:tc>
          <w:tcPr>
            <w:tcW w:w="4421" w:type="dxa"/>
          </w:tcPr>
          <w:p w14:paraId="030EED8A"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11.25.1.4</w:t>
            </w:r>
            <w:r w:rsidRPr="00D429B4">
              <w:rPr>
                <w:rFonts w:ascii="Verdana" w:hAnsi="Verdana"/>
                <w:sz w:val="16"/>
                <w:szCs w:val="16"/>
                <w:lang w:val="en-US"/>
              </w:rPr>
              <w:t xml:space="preserve"> Qualification Report of the manufacturer of the drug substance. </w:t>
            </w:r>
          </w:p>
        </w:tc>
      </w:tr>
      <w:tr w:rsidR="00CD67E0" w:rsidRPr="00B838EC" w14:paraId="1A5FAD0F" w14:textId="77777777" w:rsidTr="00335F65">
        <w:tc>
          <w:tcPr>
            <w:tcW w:w="4421" w:type="dxa"/>
          </w:tcPr>
          <w:p w14:paraId="28B4CBD9"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11.25.1.5</w:t>
            </w:r>
            <w:r w:rsidRPr="00D429B4">
              <w:rPr>
                <w:rFonts w:ascii="Verdana" w:hAnsi="Verdana"/>
                <w:sz w:val="16"/>
                <w:szCs w:val="16"/>
                <w:lang w:val="es-MX"/>
              </w:rPr>
              <w:t xml:space="preserve"> Valoración de riesgo el cual contenga la justificación técnica y científica que sustente la solicitud de frecuencia y pruebas analíticas a reducir.</w:t>
            </w:r>
          </w:p>
        </w:tc>
        <w:tc>
          <w:tcPr>
            <w:tcW w:w="4421" w:type="dxa"/>
          </w:tcPr>
          <w:p w14:paraId="3AFD16C7"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11.25.1.5</w:t>
            </w:r>
            <w:r w:rsidRPr="00D429B4">
              <w:rPr>
                <w:rFonts w:ascii="Verdana" w:hAnsi="Verdana"/>
                <w:sz w:val="16"/>
                <w:szCs w:val="16"/>
                <w:lang w:val="en-US"/>
              </w:rPr>
              <w:t xml:space="preserve"> Evaluation of risk which contains the technical and scientific justification that supports the request of frequency and analytical tests to be reduced. </w:t>
            </w:r>
          </w:p>
        </w:tc>
      </w:tr>
      <w:tr w:rsidR="00CD67E0" w:rsidRPr="00B838EC" w14:paraId="699C562B" w14:textId="77777777" w:rsidTr="00335F65">
        <w:tc>
          <w:tcPr>
            <w:tcW w:w="4421" w:type="dxa"/>
          </w:tcPr>
          <w:p w14:paraId="637EC6FA"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11.25.1.6</w:t>
            </w:r>
            <w:r w:rsidRPr="00D429B4">
              <w:rPr>
                <w:rFonts w:ascii="Verdana" w:hAnsi="Verdana"/>
                <w:sz w:val="16"/>
                <w:szCs w:val="16"/>
                <w:lang w:val="es-MX"/>
              </w:rPr>
              <w:t xml:space="preserve"> Estudio estadístico realizado entre los resultados obtenidos por el fabricante y los obtenidos en México, con un mínimo de 20 lotes comercializados en México, para demostrar que no existe diferencia estadísticamente significativa. Se deben incluir los certificados analíticos que sustenten los lotes del estudio.</w:t>
            </w:r>
          </w:p>
        </w:tc>
        <w:tc>
          <w:tcPr>
            <w:tcW w:w="4421" w:type="dxa"/>
          </w:tcPr>
          <w:p w14:paraId="11A45D4F"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11.25.1.6</w:t>
            </w:r>
            <w:r w:rsidRPr="00D429B4">
              <w:rPr>
                <w:rFonts w:ascii="Verdana" w:hAnsi="Verdana"/>
                <w:sz w:val="16"/>
                <w:szCs w:val="16"/>
                <w:lang w:val="en-US"/>
              </w:rPr>
              <w:t xml:space="preserve"> Statistical study made between the results obtained by the manufacturer and those obtained in Mexico with a minimum of 20 lots commercially distributed in Mexico, in order to demonstrate that no significant statistical difference. The analytical certificates must be included that support the study lots.  </w:t>
            </w:r>
          </w:p>
        </w:tc>
      </w:tr>
      <w:tr w:rsidR="00CD67E0" w:rsidRPr="00B838EC" w14:paraId="35398B97" w14:textId="77777777" w:rsidTr="00335F65">
        <w:tc>
          <w:tcPr>
            <w:tcW w:w="4421" w:type="dxa"/>
          </w:tcPr>
          <w:p w14:paraId="2DA2B1D9"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 xml:space="preserve">11.26 </w:t>
            </w:r>
            <w:r w:rsidRPr="00D429B4">
              <w:rPr>
                <w:rFonts w:ascii="Verdana" w:hAnsi="Verdana"/>
                <w:sz w:val="16"/>
                <w:szCs w:val="16"/>
                <w:lang w:val="es-MX"/>
              </w:rPr>
              <w:t xml:space="preserve">Previa autorización de la Secretaría, el titular de un Registro Sanitario podrá llevar a cabo una </w:t>
            </w:r>
            <w:r w:rsidRPr="00D429B4">
              <w:rPr>
                <w:rFonts w:ascii="Verdana" w:hAnsi="Verdana"/>
                <w:sz w:val="16"/>
                <w:szCs w:val="16"/>
                <w:lang w:val="es-MX"/>
              </w:rPr>
              <w:lastRenderedPageBreak/>
              <w:t>reducción en la frecuencia y/o en las pruebas analíticas para fármacos.</w:t>
            </w:r>
          </w:p>
        </w:tc>
        <w:tc>
          <w:tcPr>
            <w:tcW w:w="4421" w:type="dxa"/>
          </w:tcPr>
          <w:p w14:paraId="558D9FD5"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11.26 </w:t>
            </w:r>
            <w:r w:rsidRPr="00D429B4">
              <w:rPr>
                <w:rFonts w:ascii="Verdana" w:hAnsi="Verdana"/>
                <w:sz w:val="16"/>
                <w:szCs w:val="16"/>
                <w:lang w:val="en-US"/>
              </w:rPr>
              <w:t xml:space="preserve">With authorization from the Secretary, the holder of the Sanitary registration can carry out a </w:t>
            </w:r>
            <w:r w:rsidRPr="00D429B4">
              <w:rPr>
                <w:rFonts w:ascii="Verdana" w:hAnsi="Verdana"/>
                <w:sz w:val="16"/>
                <w:szCs w:val="16"/>
                <w:lang w:val="en-US"/>
              </w:rPr>
              <w:lastRenderedPageBreak/>
              <w:t xml:space="preserve">reduction in the frequency and/or in the analytical tests for drug substances. </w:t>
            </w:r>
          </w:p>
        </w:tc>
      </w:tr>
      <w:tr w:rsidR="00CD67E0" w:rsidRPr="00B838EC" w14:paraId="4D4ABDF8" w14:textId="77777777" w:rsidTr="00335F65">
        <w:tc>
          <w:tcPr>
            <w:tcW w:w="4421" w:type="dxa"/>
          </w:tcPr>
          <w:p w14:paraId="7BACF831" w14:textId="77777777" w:rsidR="00CD67E0" w:rsidRPr="00D429B4" w:rsidRDefault="00CD67E0" w:rsidP="00CD67E0">
            <w:pPr>
              <w:pStyle w:val="Texto"/>
              <w:spacing w:after="86" w:line="276" w:lineRule="auto"/>
              <w:ind w:firstLine="0"/>
              <w:rPr>
                <w:rFonts w:ascii="Verdana" w:hAnsi="Verdana"/>
                <w:b/>
                <w:sz w:val="16"/>
                <w:szCs w:val="16"/>
                <w:lang w:val="es-MX"/>
              </w:rPr>
            </w:pPr>
            <w:r w:rsidRPr="00D429B4">
              <w:rPr>
                <w:rFonts w:ascii="Verdana" w:hAnsi="Verdana"/>
                <w:b/>
                <w:sz w:val="16"/>
                <w:szCs w:val="16"/>
                <w:lang w:val="es-MX"/>
              </w:rPr>
              <w:lastRenderedPageBreak/>
              <w:t xml:space="preserve">11.26.1 </w:t>
            </w:r>
            <w:r w:rsidRPr="00D429B4">
              <w:rPr>
                <w:rFonts w:ascii="Verdana" w:hAnsi="Verdana"/>
                <w:sz w:val="16"/>
                <w:szCs w:val="16"/>
                <w:lang w:val="es-MX"/>
              </w:rPr>
              <w:t>Para la reducción analítica de un fármaco el titular del Registro Sanitario del medicamento fabricado con el fármaco deberá someter a la Secretaría la siguiente información:</w:t>
            </w:r>
          </w:p>
        </w:tc>
        <w:tc>
          <w:tcPr>
            <w:tcW w:w="4421" w:type="dxa"/>
          </w:tcPr>
          <w:p w14:paraId="35BA75EC" w14:textId="77777777" w:rsidR="00CD67E0" w:rsidRPr="00D429B4" w:rsidRDefault="00CD67E0" w:rsidP="00CD67E0">
            <w:pPr>
              <w:pStyle w:val="Texto"/>
              <w:spacing w:after="86" w:line="276" w:lineRule="auto"/>
              <w:ind w:firstLine="0"/>
              <w:rPr>
                <w:rFonts w:ascii="Verdana" w:hAnsi="Verdana"/>
                <w:b/>
                <w:sz w:val="16"/>
                <w:szCs w:val="16"/>
                <w:lang w:val="en-US"/>
              </w:rPr>
            </w:pPr>
            <w:r w:rsidRPr="00D429B4">
              <w:rPr>
                <w:rFonts w:ascii="Verdana" w:hAnsi="Verdana"/>
                <w:b/>
                <w:sz w:val="16"/>
                <w:szCs w:val="16"/>
                <w:lang w:val="en-US"/>
              </w:rPr>
              <w:t xml:space="preserve">11.26.1 </w:t>
            </w:r>
            <w:r w:rsidRPr="00D429B4">
              <w:rPr>
                <w:rFonts w:ascii="Verdana" w:hAnsi="Verdana"/>
                <w:sz w:val="16"/>
                <w:szCs w:val="16"/>
                <w:lang w:val="en-US"/>
              </w:rPr>
              <w:t xml:space="preserve">For the analytical reduction of a drug substance, the holder of the Sanitary Registration of the drug product manufactured with the drug substance must submit to the Secretary the following information: </w:t>
            </w:r>
          </w:p>
        </w:tc>
      </w:tr>
      <w:tr w:rsidR="00CD67E0" w:rsidRPr="00B838EC" w14:paraId="2B753D12" w14:textId="77777777" w:rsidTr="00335F65">
        <w:tc>
          <w:tcPr>
            <w:tcW w:w="4421" w:type="dxa"/>
          </w:tcPr>
          <w:p w14:paraId="4766A7C3"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11.26.1.1</w:t>
            </w:r>
            <w:r w:rsidRPr="00D429B4">
              <w:rPr>
                <w:rFonts w:ascii="Verdana" w:hAnsi="Verdana"/>
                <w:sz w:val="16"/>
                <w:szCs w:val="16"/>
                <w:lang w:val="es-MX"/>
              </w:rPr>
              <w:t xml:space="preserve"> Copia del oficio de Registro Sanitario vigente del medicamento fabricado con el fármaco.</w:t>
            </w:r>
          </w:p>
        </w:tc>
        <w:tc>
          <w:tcPr>
            <w:tcW w:w="4421" w:type="dxa"/>
          </w:tcPr>
          <w:p w14:paraId="483EC76B"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 xml:space="preserve">11.26.1.1 </w:t>
            </w:r>
            <w:r w:rsidRPr="00D429B4">
              <w:rPr>
                <w:rFonts w:ascii="Verdana" w:hAnsi="Verdana"/>
                <w:sz w:val="16"/>
                <w:szCs w:val="16"/>
                <w:lang w:val="en-US"/>
              </w:rPr>
              <w:t xml:space="preserve">Copy of the current document of Sanitary Registration of the drug product manufactured with the drug substance. </w:t>
            </w:r>
          </w:p>
        </w:tc>
      </w:tr>
      <w:tr w:rsidR="00CD67E0" w:rsidRPr="00B838EC" w14:paraId="144B89BA" w14:textId="77777777" w:rsidTr="00335F65">
        <w:tc>
          <w:tcPr>
            <w:tcW w:w="4421" w:type="dxa"/>
          </w:tcPr>
          <w:p w14:paraId="4BB4B647"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11.26.1.2</w:t>
            </w:r>
            <w:r w:rsidRPr="00D429B4">
              <w:rPr>
                <w:rFonts w:ascii="Verdana" w:hAnsi="Verdana"/>
                <w:sz w:val="16"/>
                <w:szCs w:val="16"/>
                <w:lang w:val="es-MX"/>
              </w:rPr>
              <w:t xml:space="preserve"> Certificado de Buenas Prácticas de Fabricación vigente del sitio de fabricación del solicitante.</w:t>
            </w:r>
          </w:p>
        </w:tc>
        <w:tc>
          <w:tcPr>
            <w:tcW w:w="4421" w:type="dxa"/>
          </w:tcPr>
          <w:p w14:paraId="6EC19A5B"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 xml:space="preserve">11.26.1.2 </w:t>
            </w:r>
            <w:r w:rsidRPr="00D429B4">
              <w:rPr>
                <w:rFonts w:ascii="Verdana" w:hAnsi="Verdana"/>
                <w:sz w:val="16"/>
                <w:szCs w:val="16"/>
                <w:lang w:val="en-US"/>
              </w:rPr>
              <w:t xml:space="preserve">Current Certificate of GMP (Good Manufacturing Practices) of the manufacturing site of the applicant. </w:t>
            </w:r>
          </w:p>
        </w:tc>
      </w:tr>
      <w:tr w:rsidR="00CD67E0" w:rsidRPr="00B838EC" w14:paraId="64DAA892" w14:textId="77777777" w:rsidTr="00335F65">
        <w:tc>
          <w:tcPr>
            <w:tcW w:w="4421" w:type="dxa"/>
          </w:tcPr>
          <w:p w14:paraId="30EF5101"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11.26.1.3</w:t>
            </w:r>
            <w:r w:rsidRPr="00D429B4">
              <w:rPr>
                <w:rFonts w:ascii="Verdana" w:hAnsi="Verdana"/>
                <w:sz w:val="16"/>
                <w:szCs w:val="16"/>
                <w:lang w:val="es-MX"/>
              </w:rPr>
              <w:t xml:space="preserve"> Certificado de Buenas Prácticas de Fabricación vigente emitido al fabricante del fármaco por la COFEPRIS o alguna de las entidades sanitarias reconocidas por COFEPRIS.</w:t>
            </w:r>
          </w:p>
        </w:tc>
        <w:tc>
          <w:tcPr>
            <w:tcW w:w="4421" w:type="dxa"/>
          </w:tcPr>
          <w:p w14:paraId="68036230"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 xml:space="preserve">11.26.1.3 </w:t>
            </w:r>
            <w:r w:rsidRPr="00D429B4">
              <w:rPr>
                <w:rFonts w:ascii="Verdana" w:hAnsi="Verdana"/>
                <w:sz w:val="16"/>
                <w:szCs w:val="16"/>
                <w:lang w:val="en-US"/>
              </w:rPr>
              <w:t xml:space="preserve">Current Certificate of GMP (Good Manufacturing Practices) issued to the manufacturer of the drug substance by COFEPRIS or one of the sanitary entities recognized by COFEPRIS.  </w:t>
            </w:r>
          </w:p>
        </w:tc>
      </w:tr>
      <w:tr w:rsidR="00CD67E0" w:rsidRPr="00B838EC" w14:paraId="3E34B6E9" w14:textId="77777777" w:rsidTr="00335F65">
        <w:tc>
          <w:tcPr>
            <w:tcW w:w="4421" w:type="dxa"/>
          </w:tcPr>
          <w:p w14:paraId="3381E0C7"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11.26.1.4</w:t>
            </w:r>
            <w:r w:rsidRPr="00D429B4">
              <w:rPr>
                <w:rFonts w:ascii="Verdana" w:hAnsi="Verdana"/>
                <w:sz w:val="16"/>
                <w:szCs w:val="16"/>
                <w:lang w:val="es-MX"/>
              </w:rPr>
              <w:t xml:space="preserve"> Reporte de Calificación del fabricante y del proveedor o proveedores involucrados en la cadena de suministro.</w:t>
            </w:r>
          </w:p>
        </w:tc>
        <w:tc>
          <w:tcPr>
            <w:tcW w:w="4421" w:type="dxa"/>
          </w:tcPr>
          <w:p w14:paraId="1898EFD0"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11.26.1.4</w:t>
            </w:r>
            <w:r w:rsidRPr="00D429B4">
              <w:rPr>
                <w:rFonts w:ascii="Verdana" w:hAnsi="Verdana"/>
                <w:sz w:val="16"/>
                <w:szCs w:val="16"/>
                <w:lang w:val="en-US"/>
              </w:rPr>
              <w:t xml:space="preserve"> Report of Qualification of the manufacturer and from the supplier or suppliers involved in the supply chain. </w:t>
            </w:r>
          </w:p>
        </w:tc>
      </w:tr>
      <w:tr w:rsidR="00CD67E0" w:rsidRPr="00B838EC" w14:paraId="44EAE2FA" w14:textId="77777777" w:rsidTr="00335F65">
        <w:tc>
          <w:tcPr>
            <w:tcW w:w="4421" w:type="dxa"/>
          </w:tcPr>
          <w:p w14:paraId="0759D2E7" w14:textId="77777777" w:rsidR="00CD67E0" w:rsidRPr="00D429B4" w:rsidRDefault="00CD67E0" w:rsidP="00CD67E0">
            <w:pPr>
              <w:pStyle w:val="Texto"/>
              <w:spacing w:after="86" w:line="276" w:lineRule="auto"/>
              <w:ind w:firstLine="0"/>
              <w:rPr>
                <w:rFonts w:ascii="Verdana" w:hAnsi="Verdana"/>
                <w:sz w:val="16"/>
                <w:szCs w:val="16"/>
                <w:lang w:val="es-MX"/>
              </w:rPr>
            </w:pPr>
            <w:r w:rsidRPr="00D429B4">
              <w:rPr>
                <w:rFonts w:ascii="Verdana" w:hAnsi="Verdana"/>
                <w:b/>
                <w:sz w:val="16"/>
                <w:szCs w:val="16"/>
                <w:lang w:val="es-MX"/>
              </w:rPr>
              <w:t>11.26.1.5</w:t>
            </w:r>
            <w:r w:rsidRPr="00D429B4">
              <w:rPr>
                <w:rFonts w:ascii="Verdana" w:hAnsi="Verdana"/>
                <w:sz w:val="16"/>
                <w:szCs w:val="16"/>
                <w:lang w:val="es-MX"/>
              </w:rPr>
              <w:t xml:space="preserve"> Valoración de riesgo el cual contenga la justificación técnica y científica que sustente la solicitud de frecuencia y pruebas analíticas a reducir.</w:t>
            </w:r>
          </w:p>
        </w:tc>
        <w:tc>
          <w:tcPr>
            <w:tcW w:w="4421" w:type="dxa"/>
          </w:tcPr>
          <w:p w14:paraId="1BFC9B9F" w14:textId="77777777" w:rsidR="00CD67E0" w:rsidRPr="00D429B4" w:rsidRDefault="00CD67E0" w:rsidP="00CD67E0">
            <w:pPr>
              <w:pStyle w:val="Texto"/>
              <w:spacing w:after="86" w:line="276" w:lineRule="auto"/>
              <w:ind w:firstLine="0"/>
              <w:rPr>
                <w:rFonts w:ascii="Verdana" w:hAnsi="Verdana"/>
                <w:sz w:val="16"/>
                <w:szCs w:val="16"/>
                <w:lang w:val="en-US"/>
              </w:rPr>
            </w:pPr>
            <w:r w:rsidRPr="00D429B4">
              <w:rPr>
                <w:rFonts w:ascii="Verdana" w:hAnsi="Verdana"/>
                <w:b/>
                <w:sz w:val="16"/>
                <w:szCs w:val="16"/>
                <w:lang w:val="en-US"/>
              </w:rPr>
              <w:t>11.26.1.5</w:t>
            </w:r>
            <w:r w:rsidRPr="00D429B4">
              <w:rPr>
                <w:rFonts w:ascii="Verdana" w:hAnsi="Verdana"/>
                <w:sz w:val="16"/>
                <w:szCs w:val="16"/>
                <w:lang w:val="en-US"/>
              </w:rPr>
              <w:t xml:space="preserve"> Risk assessment which contains technical and scientific justification to substantiate the application frequency and the tests to be reduced.</w:t>
            </w:r>
          </w:p>
        </w:tc>
      </w:tr>
      <w:tr w:rsidR="00CD67E0" w:rsidRPr="00B838EC" w14:paraId="47175544" w14:textId="77777777" w:rsidTr="00335F65">
        <w:tc>
          <w:tcPr>
            <w:tcW w:w="4421" w:type="dxa"/>
          </w:tcPr>
          <w:p w14:paraId="02125DD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11.26.1.6</w:t>
            </w:r>
            <w:r w:rsidRPr="00D429B4">
              <w:rPr>
                <w:rFonts w:ascii="Verdana" w:hAnsi="Verdana"/>
                <w:sz w:val="16"/>
                <w:szCs w:val="16"/>
                <w:lang w:val="es-MX"/>
              </w:rPr>
              <w:t xml:space="preserve"> Estudio estadístico realizado entre los resultados obtenidos por el fabricante y los obtenidos en México, con un mínimo de 20 lotes del fármaco utilizados en la fabricación del medicamento, para demostrar que no existe diferencia estadísticamente significativa. Se deben incluir los certificados analíticos que sustenten los lotes del estudio.</w:t>
            </w:r>
          </w:p>
        </w:tc>
        <w:tc>
          <w:tcPr>
            <w:tcW w:w="4421" w:type="dxa"/>
          </w:tcPr>
          <w:p w14:paraId="15A71D2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11.26.1.6</w:t>
            </w:r>
            <w:r w:rsidRPr="00D429B4">
              <w:rPr>
                <w:rFonts w:ascii="Verdana" w:hAnsi="Verdana"/>
                <w:sz w:val="16"/>
                <w:szCs w:val="16"/>
                <w:lang w:val="en-US"/>
              </w:rPr>
              <w:t xml:space="preserve"> Statistical study between the results obtained by the manufacturer and those obtained in Mexico, with a minimum of 20 lots of the drug substance used in the manufacture of the drug product, in order to demonstrate that there is no statistically significant difference. The analytical certificates must be included that sustain the study lots.  </w:t>
            </w:r>
          </w:p>
        </w:tc>
      </w:tr>
      <w:tr w:rsidR="00CD67E0" w:rsidRPr="00B838EC" w14:paraId="18BD1AE6" w14:textId="77777777" w:rsidTr="00335F65">
        <w:tc>
          <w:tcPr>
            <w:tcW w:w="4421" w:type="dxa"/>
          </w:tcPr>
          <w:p w14:paraId="652EDD3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11.27 </w:t>
            </w:r>
            <w:r w:rsidRPr="00D429B4">
              <w:rPr>
                <w:rFonts w:ascii="Verdana" w:hAnsi="Verdana"/>
                <w:sz w:val="16"/>
                <w:szCs w:val="16"/>
                <w:lang w:val="es-MX"/>
              </w:rPr>
              <w:t>Previa autorización de la Secretaría, el titular de un Registro Sanitario podrá llevar a cabo una reducción en la frecuencia y/o en las pruebas analíticas para aditivos.</w:t>
            </w:r>
          </w:p>
        </w:tc>
        <w:tc>
          <w:tcPr>
            <w:tcW w:w="4421" w:type="dxa"/>
          </w:tcPr>
          <w:p w14:paraId="51E9FDD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11.27 </w:t>
            </w:r>
            <w:r w:rsidRPr="00D429B4">
              <w:rPr>
                <w:rFonts w:ascii="Verdana" w:hAnsi="Verdana"/>
                <w:sz w:val="16"/>
                <w:szCs w:val="16"/>
                <w:lang w:val="en-US"/>
              </w:rPr>
              <w:t xml:space="preserve">With authorization of the Secretary, the holder of Sanitary Registration can carry out a reduction in the frequency and/or in the analytical tests for additives. </w:t>
            </w:r>
          </w:p>
        </w:tc>
      </w:tr>
      <w:tr w:rsidR="00CD67E0" w:rsidRPr="00B838EC" w14:paraId="5DF42D8E" w14:textId="77777777" w:rsidTr="00335F65">
        <w:tc>
          <w:tcPr>
            <w:tcW w:w="4421" w:type="dxa"/>
          </w:tcPr>
          <w:p w14:paraId="29BD969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11.27.1 </w:t>
            </w:r>
            <w:r w:rsidRPr="00D429B4">
              <w:rPr>
                <w:rFonts w:ascii="Verdana" w:hAnsi="Verdana"/>
                <w:sz w:val="16"/>
                <w:szCs w:val="16"/>
                <w:lang w:val="es-MX"/>
              </w:rPr>
              <w:t>Para la reducción analítica de un aditivo el titular del Registro Sanitario del medicamento fabricado deberá someter a la Secretaría la siguiente información:</w:t>
            </w:r>
          </w:p>
        </w:tc>
        <w:tc>
          <w:tcPr>
            <w:tcW w:w="4421" w:type="dxa"/>
          </w:tcPr>
          <w:p w14:paraId="6946D8B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11.27.1 </w:t>
            </w:r>
            <w:r w:rsidRPr="00D429B4">
              <w:rPr>
                <w:rFonts w:ascii="Verdana" w:hAnsi="Verdana"/>
                <w:sz w:val="16"/>
                <w:szCs w:val="16"/>
                <w:lang w:val="en-US"/>
              </w:rPr>
              <w:t xml:space="preserve">For the analytical reduction of an additive the holder of the Sanitary Registration of the drug product must submit to the Secretary the following information: </w:t>
            </w:r>
          </w:p>
        </w:tc>
      </w:tr>
      <w:tr w:rsidR="00CD67E0" w:rsidRPr="00B838EC" w14:paraId="324DBB88" w14:textId="77777777" w:rsidTr="00335F65">
        <w:tc>
          <w:tcPr>
            <w:tcW w:w="4421" w:type="dxa"/>
          </w:tcPr>
          <w:p w14:paraId="7B849B5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11.27.1.1 </w:t>
            </w:r>
            <w:r w:rsidRPr="00D429B4">
              <w:rPr>
                <w:rFonts w:ascii="Verdana" w:hAnsi="Verdana"/>
                <w:sz w:val="16"/>
                <w:szCs w:val="16"/>
                <w:lang w:val="es-MX"/>
              </w:rPr>
              <w:t>Copia del oficio de Registro Sanitario vigente del medicamento en el que se utilice el aditivo.</w:t>
            </w:r>
          </w:p>
        </w:tc>
        <w:tc>
          <w:tcPr>
            <w:tcW w:w="4421" w:type="dxa"/>
          </w:tcPr>
          <w:p w14:paraId="2947607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11.27.1.1 </w:t>
            </w:r>
            <w:r w:rsidRPr="00D429B4">
              <w:rPr>
                <w:rFonts w:ascii="Verdana" w:hAnsi="Verdana"/>
                <w:sz w:val="16"/>
                <w:szCs w:val="16"/>
                <w:lang w:val="en-US"/>
              </w:rPr>
              <w:t xml:space="preserve">Copy of the current Sanitary Registration document in which the additive is used. </w:t>
            </w:r>
          </w:p>
        </w:tc>
      </w:tr>
      <w:tr w:rsidR="00CD67E0" w:rsidRPr="00B838EC" w14:paraId="0EA86420" w14:textId="77777777" w:rsidTr="00335F65">
        <w:tc>
          <w:tcPr>
            <w:tcW w:w="4421" w:type="dxa"/>
          </w:tcPr>
          <w:p w14:paraId="6B20309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11.27.1.2 </w:t>
            </w:r>
            <w:r w:rsidRPr="00D429B4">
              <w:rPr>
                <w:rFonts w:ascii="Verdana" w:hAnsi="Verdana"/>
                <w:sz w:val="16"/>
                <w:szCs w:val="16"/>
                <w:lang w:val="es-MX"/>
              </w:rPr>
              <w:t>Certificado de Buenas Prácticas de Fabricación vigente del sitio de fabricación del solicitante.</w:t>
            </w:r>
          </w:p>
        </w:tc>
        <w:tc>
          <w:tcPr>
            <w:tcW w:w="4421" w:type="dxa"/>
          </w:tcPr>
          <w:p w14:paraId="4CF5D99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11.27.1.2 </w:t>
            </w:r>
            <w:r w:rsidRPr="00D429B4">
              <w:rPr>
                <w:rFonts w:ascii="Verdana" w:hAnsi="Verdana"/>
                <w:sz w:val="16"/>
                <w:szCs w:val="16"/>
                <w:lang w:val="en-US"/>
              </w:rPr>
              <w:t>Current Certificate of GMP (Good Manufacturing Practices) of the manufacturing site of the applicant.</w:t>
            </w:r>
          </w:p>
        </w:tc>
      </w:tr>
      <w:tr w:rsidR="00CD67E0" w:rsidRPr="00B838EC" w14:paraId="6C3BDCA7" w14:textId="77777777" w:rsidTr="00335F65">
        <w:tc>
          <w:tcPr>
            <w:tcW w:w="4421" w:type="dxa"/>
          </w:tcPr>
          <w:p w14:paraId="6D15C7E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11.27.1.3 </w:t>
            </w:r>
            <w:r w:rsidRPr="00D429B4">
              <w:rPr>
                <w:rFonts w:ascii="Verdana" w:hAnsi="Verdana"/>
                <w:sz w:val="16"/>
                <w:szCs w:val="16"/>
                <w:lang w:val="es-MX"/>
              </w:rPr>
              <w:t>Reporte de calificación del fabricante y del proveedor o proveedores involucrados en la cadena de suministro.</w:t>
            </w:r>
          </w:p>
        </w:tc>
        <w:tc>
          <w:tcPr>
            <w:tcW w:w="4421" w:type="dxa"/>
          </w:tcPr>
          <w:p w14:paraId="77A4116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11.27.1.3 </w:t>
            </w:r>
            <w:r w:rsidRPr="00D429B4">
              <w:rPr>
                <w:rFonts w:ascii="Verdana" w:hAnsi="Verdana"/>
                <w:sz w:val="16"/>
                <w:szCs w:val="16"/>
                <w:lang w:val="en-US"/>
              </w:rPr>
              <w:t xml:space="preserve">Report of qualification of the manufacturing and supplier or suppliers involved in the supply chain. </w:t>
            </w:r>
          </w:p>
        </w:tc>
      </w:tr>
      <w:tr w:rsidR="00CD67E0" w:rsidRPr="00B838EC" w14:paraId="455424FB" w14:textId="77777777" w:rsidTr="00335F65">
        <w:tc>
          <w:tcPr>
            <w:tcW w:w="4421" w:type="dxa"/>
          </w:tcPr>
          <w:p w14:paraId="4F8CDCD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11.27.1.4 </w:t>
            </w:r>
            <w:r w:rsidRPr="00D429B4">
              <w:rPr>
                <w:rFonts w:ascii="Verdana" w:hAnsi="Verdana"/>
                <w:sz w:val="16"/>
                <w:szCs w:val="16"/>
                <w:lang w:val="es-MX"/>
              </w:rPr>
              <w:t>Valoración de riesgo el cual contenga la justificación técnica y científica que sustente la solicitud de frecuencia y pruebas analíticas a reducir.</w:t>
            </w:r>
          </w:p>
        </w:tc>
        <w:tc>
          <w:tcPr>
            <w:tcW w:w="4421" w:type="dxa"/>
          </w:tcPr>
          <w:p w14:paraId="6A010CC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11.27.1.4 </w:t>
            </w:r>
            <w:r w:rsidRPr="00D429B4">
              <w:rPr>
                <w:rFonts w:ascii="Verdana" w:hAnsi="Verdana"/>
                <w:sz w:val="16"/>
                <w:szCs w:val="16"/>
                <w:lang w:val="en-US"/>
              </w:rPr>
              <w:t>Risk assessment which contains technical and scientific justification to substantiate the application frequency and the tests to be reduced.</w:t>
            </w:r>
          </w:p>
        </w:tc>
      </w:tr>
      <w:tr w:rsidR="00CD67E0" w:rsidRPr="00B838EC" w14:paraId="18F69255" w14:textId="77777777" w:rsidTr="00335F65">
        <w:tc>
          <w:tcPr>
            <w:tcW w:w="4421" w:type="dxa"/>
          </w:tcPr>
          <w:p w14:paraId="481B803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11.27.1.5 </w:t>
            </w:r>
            <w:r w:rsidRPr="00D429B4">
              <w:rPr>
                <w:rFonts w:ascii="Verdana" w:hAnsi="Verdana"/>
                <w:sz w:val="16"/>
                <w:szCs w:val="16"/>
                <w:lang w:val="es-MX"/>
              </w:rPr>
              <w:t>Estudio estadístico realizado entre los resultados obtenidos por el fabricante y los obtenidos en México, con un mínimo de 20 lotes del aditivo utilizados en la fabricación del medicamento, para demostrar que no existe diferencia estadísticamente significativa. Se deben incluir los certificados analíticos que sustenten los lotes del estudio.</w:t>
            </w:r>
          </w:p>
        </w:tc>
        <w:tc>
          <w:tcPr>
            <w:tcW w:w="4421" w:type="dxa"/>
          </w:tcPr>
          <w:p w14:paraId="6213497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11.27.1.5</w:t>
            </w:r>
            <w:r w:rsidRPr="00D429B4">
              <w:rPr>
                <w:rFonts w:ascii="Verdana" w:hAnsi="Verdana"/>
                <w:sz w:val="16"/>
                <w:szCs w:val="16"/>
                <w:lang w:val="en-US"/>
              </w:rPr>
              <w:t xml:space="preserve"> Statistical study made between the results obtained by the manufacturer and those obtained in Mexico, with a minimum of 20 lots of the drug substance used in the manufacture of the drug product, in order to demonstrate that there is no statistically significant difference. The analytical certificates must be included that sustain the study lots.  </w:t>
            </w:r>
          </w:p>
        </w:tc>
      </w:tr>
      <w:tr w:rsidR="00CD67E0" w:rsidRPr="00B838EC" w14:paraId="23826F09" w14:textId="77777777" w:rsidTr="00335F65">
        <w:tc>
          <w:tcPr>
            <w:tcW w:w="4421" w:type="dxa"/>
          </w:tcPr>
          <w:p w14:paraId="4658858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11.28</w:t>
            </w:r>
            <w:r w:rsidRPr="00D429B4">
              <w:rPr>
                <w:rFonts w:ascii="Verdana" w:hAnsi="Verdana"/>
                <w:sz w:val="16"/>
                <w:szCs w:val="16"/>
                <w:lang w:val="es-MX"/>
              </w:rPr>
              <w:t xml:space="preserve"> El uso de métodos microbiológicos rápidos, se podrán utilizar previa autorización de la Secretaría, para lo cual deberán presentar la validación del método y una evaluación comparativa entre el método microbiológico rápido propuesto y el método microbiológico descrito en la FEUM.</w:t>
            </w:r>
          </w:p>
        </w:tc>
        <w:tc>
          <w:tcPr>
            <w:tcW w:w="4421" w:type="dxa"/>
          </w:tcPr>
          <w:p w14:paraId="4D07137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11.28 </w:t>
            </w:r>
            <w:r w:rsidRPr="00D429B4">
              <w:rPr>
                <w:rFonts w:ascii="Verdana" w:hAnsi="Verdana"/>
                <w:sz w:val="16"/>
                <w:szCs w:val="16"/>
                <w:lang w:val="en-US"/>
              </w:rPr>
              <w:t>The use of rapid microbiological methods can be used with authorization from the Secretary, for which the validation of the method and a comparative evaluation between the proposed rapid microbiological method and the microbiological method described in the FEUM (Pharmacopeia of the United Mexican States) must be presented.</w:t>
            </w:r>
          </w:p>
        </w:tc>
      </w:tr>
      <w:tr w:rsidR="00CD67E0" w:rsidRPr="00DD29AF" w14:paraId="5F7F004F" w14:textId="77777777" w:rsidTr="00335F65">
        <w:tc>
          <w:tcPr>
            <w:tcW w:w="4421" w:type="dxa"/>
          </w:tcPr>
          <w:p w14:paraId="5DEA659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11.29 </w:t>
            </w:r>
            <w:r w:rsidRPr="00D429B4">
              <w:rPr>
                <w:rFonts w:ascii="Verdana" w:hAnsi="Verdana"/>
                <w:sz w:val="16"/>
                <w:szCs w:val="16"/>
                <w:lang w:val="es-MX"/>
              </w:rPr>
              <w:t>Transferencia de métodos analíticos.</w:t>
            </w:r>
          </w:p>
        </w:tc>
        <w:tc>
          <w:tcPr>
            <w:tcW w:w="4421" w:type="dxa"/>
          </w:tcPr>
          <w:p w14:paraId="044829F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11.29 </w:t>
            </w:r>
            <w:r w:rsidRPr="00D429B4">
              <w:rPr>
                <w:rFonts w:ascii="Verdana" w:hAnsi="Verdana"/>
                <w:sz w:val="16"/>
                <w:szCs w:val="16"/>
                <w:lang w:val="en-US"/>
              </w:rPr>
              <w:t>Transfer of analytical methods.</w:t>
            </w:r>
          </w:p>
        </w:tc>
      </w:tr>
      <w:tr w:rsidR="00CD67E0" w:rsidRPr="00B838EC" w14:paraId="0FA13F89" w14:textId="77777777" w:rsidTr="00335F65">
        <w:tc>
          <w:tcPr>
            <w:tcW w:w="4421" w:type="dxa"/>
          </w:tcPr>
          <w:p w14:paraId="263BC22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11.29.1 </w:t>
            </w:r>
            <w:r w:rsidRPr="00D429B4">
              <w:rPr>
                <w:rFonts w:ascii="Verdana" w:hAnsi="Verdana"/>
                <w:sz w:val="16"/>
                <w:szCs w:val="16"/>
                <w:lang w:val="es-MX"/>
              </w:rPr>
              <w:t>Antes de transferir un método analítico, el laboratorio que transfiere debe verificar que los métodos analíticos cumplen con lo reportado en el dossier técnico correspondiente.</w:t>
            </w:r>
          </w:p>
        </w:tc>
        <w:tc>
          <w:tcPr>
            <w:tcW w:w="4421" w:type="dxa"/>
          </w:tcPr>
          <w:p w14:paraId="5D93F16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11.29.1 </w:t>
            </w:r>
            <w:r w:rsidRPr="00D429B4">
              <w:rPr>
                <w:rFonts w:ascii="Verdana" w:hAnsi="Verdana"/>
                <w:sz w:val="16"/>
                <w:szCs w:val="16"/>
                <w:lang w:val="en-US"/>
              </w:rPr>
              <w:t xml:space="preserve">Before transferring an analytical method, the laboratory that transfers must verify that the analytical methods comply with that reported in the corresponding technical dossier. </w:t>
            </w:r>
          </w:p>
        </w:tc>
      </w:tr>
      <w:tr w:rsidR="00CD67E0" w:rsidRPr="00B838EC" w14:paraId="15EF27C7" w14:textId="77777777" w:rsidTr="00335F65">
        <w:tc>
          <w:tcPr>
            <w:tcW w:w="4421" w:type="dxa"/>
          </w:tcPr>
          <w:p w14:paraId="380F1DF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La validación original del método debe realizarse para asegurar el cumplimiento de los requisitos para la transferencia.</w:t>
            </w:r>
          </w:p>
        </w:tc>
        <w:tc>
          <w:tcPr>
            <w:tcW w:w="4421" w:type="dxa"/>
          </w:tcPr>
          <w:p w14:paraId="36FCA91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The original validation of the method must be made to assure the compliance to the requirements for the transfer. </w:t>
            </w:r>
          </w:p>
        </w:tc>
      </w:tr>
      <w:tr w:rsidR="00CD67E0" w:rsidRPr="00B838EC" w14:paraId="49CA2DB4" w14:textId="77777777" w:rsidTr="00335F65">
        <w:tc>
          <w:tcPr>
            <w:tcW w:w="4421" w:type="dxa"/>
          </w:tcPr>
          <w:p w14:paraId="12D5CA0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11.29.2</w:t>
            </w:r>
            <w:r w:rsidRPr="00D429B4">
              <w:rPr>
                <w:rFonts w:ascii="Verdana" w:hAnsi="Verdana"/>
                <w:sz w:val="16"/>
                <w:szCs w:val="16"/>
                <w:lang w:val="es-MX"/>
              </w:rPr>
              <w:t xml:space="preserve"> Debe documentarse y evaluarse cualquier modificación a la validación original que se haya realizado antes de iniciar con el proceso de transferencia.</w:t>
            </w:r>
          </w:p>
        </w:tc>
        <w:tc>
          <w:tcPr>
            <w:tcW w:w="4421" w:type="dxa"/>
          </w:tcPr>
          <w:p w14:paraId="2EB3FBA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11.29.2</w:t>
            </w:r>
            <w:r w:rsidRPr="00D429B4">
              <w:rPr>
                <w:rFonts w:ascii="Verdana" w:hAnsi="Verdana"/>
                <w:sz w:val="16"/>
                <w:szCs w:val="16"/>
                <w:lang w:val="en-US"/>
              </w:rPr>
              <w:t xml:space="preserve"> Any modification to the original validation that is made before initiating the transfer process must be documented and evaluated. </w:t>
            </w:r>
          </w:p>
        </w:tc>
      </w:tr>
      <w:tr w:rsidR="00CD67E0" w:rsidRPr="00B838EC" w14:paraId="34855ADB" w14:textId="77777777" w:rsidTr="00335F65">
        <w:tc>
          <w:tcPr>
            <w:tcW w:w="4421" w:type="dxa"/>
          </w:tcPr>
          <w:p w14:paraId="6C482BC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11.29.3</w:t>
            </w:r>
            <w:r w:rsidRPr="00D429B4">
              <w:rPr>
                <w:rFonts w:ascii="Verdana" w:hAnsi="Verdana"/>
                <w:sz w:val="16"/>
                <w:szCs w:val="16"/>
                <w:lang w:val="es-MX"/>
              </w:rPr>
              <w:t xml:space="preserve"> Tipos de Transferencia de métodos analíticos, entre los que se encuentran:</w:t>
            </w:r>
          </w:p>
        </w:tc>
        <w:tc>
          <w:tcPr>
            <w:tcW w:w="4421" w:type="dxa"/>
          </w:tcPr>
          <w:p w14:paraId="27C465E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11.29.3</w:t>
            </w:r>
            <w:r w:rsidRPr="00D429B4">
              <w:rPr>
                <w:rFonts w:ascii="Verdana" w:hAnsi="Verdana"/>
                <w:sz w:val="16"/>
                <w:szCs w:val="16"/>
                <w:lang w:val="en-US"/>
              </w:rPr>
              <w:t xml:space="preserve"> Types of Transfer of analytical methods, among which are found:  </w:t>
            </w:r>
          </w:p>
        </w:tc>
      </w:tr>
      <w:tr w:rsidR="00CD67E0" w:rsidRPr="00B838EC" w14:paraId="755CAA42" w14:textId="77777777" w:rsidTr="00335F65">
        <w:tc>
          <w:tcPr>
            <w:tcW w:w="4421" w:type="dxa"/>
          </w:tcPr>
          <w:p w14:paraId="7AFB4F8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11.29.3.1</w:t>
            </w:r>
            <w:r w:rsidRPr="00D429B4">
              <w:rPr>
                <w:rFonts w:ascii="Verdana" w:hAnsi="Verdana"/>
                <w:sz w:val="16"/>
                <w:szCs w:val="16"/>
                <w:lang w:val="es-MX"/>
              </w:rPr>
              <w:t xml:space="preserve"> De la unidad de desarrollo analítico al laboratorio de control de calidad.</w:t>
            </w:r>
          </w:p>
        </w:tc>
        <w:tc>
          <w:tcPr>
            <w:tcW w:w="4421" w:type="dxa"/>
          </w:tcPr>
          <w:p w14:paraId="16271BA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11.29.3.1</w:t>
            </w:r>
            <w:r w:rsidRPr="00D429B4">
              <w:rPr>
                <w:rFonts w:ascii="Verdana" w:hAnsi="Verdana"/>
                <w:sz w:val="16"/>
                <w:szCs w:val="16"/>
                <w:lang w:val="en-US"/>
              </w:rPr>
              <w:t xml:space="preserve"> The unit of analytical development to the quality control laboratory. </w:t>
            </w:r>
          </w:p>
        </w:tc>
      </w:tr>
      <w:tr w:rsidR="00CD67E0" w:rsidRPr="00B838EC" w14:paraId="63624B05" w14:textId="77777777" w:rsidTr="00335F65">
        <w:tc>
          <w:tcPr>
            <w:tcW w:w="4421" w:type="dxa"/>
          </w:tcPr>
          <w:p w14:paraId="7EFCA8F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11.29.3.2</w:t>
            </w:r>
            <w:r w:rsidRPr="00D429B4">
              <w:rPr>
                <w:rFonts w:ascii="Verdana" w:hAnsi="Verdana"/>
                <w:sz w:val="16"/>
                <w:szCs w:val="16"/>
                <w:lang w:val="es-MX"/>
              </w:rPr>
              <w:t xml:space="preserve"> De la unidad de desarrollo o del laboratorio de control de calidad de una planta del extranjero a una filial en México o a un tercero autorizado.</w:t>
            </w:r>
          </w:p>
        </w:tc>
        <w:tc>
          <w:tcPr>
            <w:tcW w:w="4421" w:type="dxa"/>
          </w:tcPr>
          <w:p w14:paraId="3DEA5F9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11.29.3.2</w:t>
            </w:r>
            <w:r w:rsidRPr="00D429B4">
              <w:rPr>
                <w:rFonts w:ascii="Verdana" w:hAnsi="Verdana"/>
                <w:sz w:val="16"/>
                <w:szCs w:val="16"/>
                <w:lang w:val="en-US"/>
              </w:rPr>
              <w:t xml:space="preserve"> The unit of development or the quality control laboratory from a foreign plant with an affiliate in Mexico or to an authorized third party.  </w:t>
            </w:r>
          </w:p>
        </w:tc>
      </w:tr>
      <w:tr w:rsidR="00CD67E0" w:rsidRPr="00B838EC" w14:paraId="12A39156" w14:textId="77777777" w:rsidTr="00335F65">
        <w:tc>
          <w:tcPr>
            <w:tcW w:w="4421" w:type="dxa"/>
          </w:tcPr>
          <w:p w14:paraId="4CE4E1D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11.29.3.3</w:t>
            </w:r>
            <w:r w:rsidRPr="00D429B4">
              <w:rPr>
                <w:rFonts w:ascii="Verdana" w:hAnsi="Verdana"/>
                <w:sz w:val="16"/>
                <w:szCs w:val="16"/>
                <w:lang w:val="es-MX"/>
              </w:rPr>
              <w:t xml:space="preserve"> De un titular de registro a un maquilador.</w:t>
            </w:r>
          </w:p>
        </w:tc>
        <w:tc>
          <w:tcPr>
            <w:tcW w:w="4421" w:type="dxa"/>
          </w:tcPr>
          <w:p w14:paraId="03BA06C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11.29.3.3</w:t>
            </w:r>
            <w:r w:rsidRPr="00D429B4">
              <w:rPr>
                <w:rFonts w:ascii="Verdana" w:hAnsi="Verdana"/>
                <w:sz w:val="16"/>
                <w:szCs w:val="16"/>
                <w:lang w:val="en-US"/>
              </w:rPr>
              <w:t xml:space="preserve"> Holder of a registration as a maquiladora. </w:t>
            </w:r>
          </w:p>
        </w:tc>
      </w:tr>
      <w:tr w:rsidR="00CD67E0" w:rsidRPr="00B838EC" w14:paraId="4FA60E07" w14:textId="77777777" w:rsidTr="00335F65">
        <w:tc>
          <w:tcPr>
            <w:tcW w:w="4421" w:type="dxa"/>
          </w:tcPr>
          <w:p w14:paraId="280B3FD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11.29.4 </w:t>
            </w:r>
            <w:r w:rsidRPr="00D429B4">
              <w:rPr>
                <w:rFonts w:ascii="Verdana" w:hAnsi="Verdana"/>
                <w:sz w:val="16"/>
                <w:szCs w:val="16"/>
                <w:lang w:val="es-MX"/>
              </w:rPr>
              <w:t>Para una transferencia analítica se deben tener en cuenta los siguientes factores:</w:t>
            </w:r>
          </w:p>
        </w:tc>
        <w:tc>
          <w:tcPr>
            <w:tcW w:w="4421" w:type="dxa"/>
          </w:tcPr>
          <w:p w14:paraId="529C423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11.29.4 </w:t>
            </w:r>
            <w:r w:rsidRPr="00D429B4">
              <w:rPr>
                <w:rFonts w:ascii="Verdana" w:hAnsi="Verdana"/>
                <w:sz w:val="16"/>
                <w:szCs w:val="16"/>
                <w:lang w:val="en-US"/>
              </w:rPr>
              <w:t xml:space="preserve">For an analytical transfer, the following factors must be taken into account: </w:t>
            </w:r>
          </w:p>
        </w:tc>
      </w:tr>
      <w:tr w:rsidR="00CD67E0" w:rsidRPr="00B838EC" w14:paraId="3FCF2F37" w14:textId="77777777" w:rsidTr="00335F65">
        <w:tc>
          <w:tcPr>
            <w:tcW w:w="4421" w:type="dxa"/>
          </w:tcPr>
          <w:p w14:paraId="307503A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11.29.4.1</w:t>
            </w:r>
            <w:r w:rsidRPr="00D429B4">
              <w:rPr>
                <w:rFonts w:ascii="Verdana" w:hAnsi="Verdana"/>
                <w:sz w:val="16"/>
                <w:szCs w:val="16"/>
                <w:lang w:val="es-MX"/>
              </w:rPr>
              <w:t xml:space="preserve"> La unidad receptora debe tener instalaciones, equipos, instrumentos y personal calificados para los métodos a transferir.</w:t>
            </w:r>
          </w:p>
        </w:tc>
        <w:tc>
          <w:tcPr>
            <w:tcW w:w="4421" w:type="dxa"/>
          </w:tcPr>
          <w:p w14:paraId="1419E0B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11.29.4.1</w:t>
            </w:r>
            <w:r w:rsidRPr="00D429B4">
              <w:rPr>
                <w:rFonts w:ascii="Verdana" w:hAnsi="Verdana"/>
                <w:sz w:val="16"/>
                <w:szCs w:val="16"/>
                <w:lang w:val="en-US"/>
              </w:rPr>
              <w:t xml:space="preserve"> The receiving unit must have installations, equipment, instruments and qualified personnel for the methods to be transferred.</w:t>
            </w:r>
          </w:p>
        </w:tc>
      </w:tr>
      <w:tr w:rsidR="00CD67E0" w:rsidRPr="00B838EC" w14:paraId="7E5CEDA7" w14:textId="77777777" w:rsidTr="00335F65">
        <w:tc>
          <w:tcPr>
            <w:tcW w:w="4421" w:type="dxa"/>
          </w:tcPr>
          <w:p w14:paraId="0A531D3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11.29.4.2</w:t>
            </w:r>
            <w:r w:rsidRPr="00D429B4">
              <w:rPr>
                <w:rFonts w:ascii="Verdana" w:hAnsi="Verdana"/>
                <w:sz w:val="16"/>
                <w:szCs w:val="16"/>
                <w:lang w:val="es-MX"/>
              </w:rPr>
              <w:t xml:space="preserve"> Debe contarse con protocolos y metodologías analíticas de los métodos a transferir.</w:t>
            </w:r>
          </w:p>
        </w:tc>
        <w:tc>
          <w:tcPr>
            <w:tcW w:w="4421" w:type="dxa"/>
          </w:tcPr>
          <w:p w14:paraId="3193638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11.29.4.2</w:t>
            </w:r>
            <w:r w:rsidRPr="00D429B4">
              <w:rPr>
                <w:rFonts w:ascii="Verdana" w:hAnsi="Verdana"/>
                <w:sz w:val="16"/>
                <w:szCs w:val="16"/>
                <w:lang w:val="en-US"/>
              </w:rPr>
              <w:t xml:space="preserve"> There must be protocols and analytical methodologies of the methods to be transferred. </w:t>
            </w:r>
          </w:p>
        </w:tc>
      </w:tr>
      <w:tr w:rsidR="00CD67E0" w:rsidRPr="00B838EC" w14:paraId="73DB002F" w14:textId="77777777" w:rsidTr="00335F65">
        <w:tc>
          <w:tcPr>
            <w:tcW w:w="4421" w:type="dxa"/>
          </w:tcPr>
          <w:p w14:paraId="4E161CC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11.29.4.3 </w:t>
            </w:r>
            <w:r w:rsidRPr="00D429B4">
              <w:rPr>
                <w:rFonts w:ascii="Verdana" w:hAnsi="Verdana"/>
                <w:sz w:val="16"/>
                <w:szCs w:val="16"/>
                <w:lang w:val="es-MX"/>
              </w:rPr>
              <w:t>El protocolo de transferencia debe incluir, al menos:</w:t>
            </w:r>
          </w:p>
        </w:tc>
        <w:tc>
          <w:tcPr>
            <w:tcW w:w="4421" w:type="dxa"/>
          </w:tcPr>
          <w:p w14:paraId="415BA52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11.29.4.3 </w:t>
            </w:r>
            <w:r w:rsidRPr="00D429B4">
              <w:rPr>
                <w:rFonts w:ascii="Verdana" w:hAnsi="Verdana"/>
                <w:sz w:val="16"/>
                <w:szCs w:val="16"/>
                <w:lang w:val="en-US"/>
              </w:rPr>
              <w:t xml:space="preserve">The protocol of transfer must include at least: </w:t>
            </w:r>
          </w:p>
        </w:tc>
      </w:tr>
      <w:tr w:rsidR="00CD67E0" w:rsidRPr="00B838EC" w14:paraId="24B511E7" w14:textId="77777777" w:rsidTr="00335F65">
        <w:tc>
          <w:tcPr>
            <w:tcW w:w="4421" w:type="dxa"/>
          </w:tcPr>
          <w:p w14:paraId="33A30E6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11.29.4.3.1</w:t>
            </w:r>
            <w:r w:rsidRPr="00D429B4">
              <w:rPr>
                <w:rFonts w:ascii="Verdana" w:hAnsi="Verdana"/>
                <w:sz w:val="16"/>
                <w:szCs w:val="16"/>
                <w:lang w:val="es-MX"/>
              </w:rPr>
              <w:t xml:space="preserve"> Descripción del ensayo a realizar y los métodos analíticos relevantes que se transfieren;</w:t>
            </w:r>
          </w:p>
        </w:tc>
        <w:tc>
          <w:tcPr>
            <w:tcW w:w="4421" w:type="dxa"/>
          </w:tcPr>
          <w:p w14:paraId="116D2F1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11.29.4.3.1</w:t>
            </w:r>
            <w:r w:rsidRPr="00D429B4">
              <w:rPr>
                <w:rFonts w:ascii="Verdana" w:hAnsi="Verdana"/>
                <w:sz w:val="16"/>
                <w:szCs w:val="16"/>
                <w:lang w:val="en-US"/>
              </w:rPr>
              <w:t xml:space="preserve"> A description of the test to be made and the relevant analytical methods that are transferred; </w:t>
            </w:r>
          </w:p>
        </w:tc>
      </w:tr>
      <w:tr w:rsidR="00CD67E0" w:rsidRPr="00B838EC" w14:paraId="003F5B2E" w14:textId="77777777" w:rsidTr="00335F65">
        <w:tc>
          <w:tcPr>
            <w:tcW w:w="4421" w:type="dxa"/>
          </w:tcPr>
          <w:p w14:paraId="517C7E6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11.29.4.3.2 </w:t>
            </w:r>
            <w:r w:rsidRPr="00D429B4">
              <w:rPr>
                <w:rFonts w:ascii="Verdana" w:hAnsi="Verdana"/>
                <w:sz w:val="16"/>
                <w:szCs w:val="16"/>
                <w:lang w:val="es-MX"/>
              </w:rPr>
              <w:t>Identificación de cualquier requisito adicional;</w:t>
            </w:r>
          </w:p>
        </w:tc>
        <w:tc>
          <w:tcPr>
            <w:tcW w:w="4421" w:type="dxa"/>
          </w:tcPr>
          <w:p w14:paraId="3009BA5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11.29.4.3.2 </w:t>
            </w:r>
            <w:r w:rsidRPr="00D429B4">
              <w:rPr>
                <w:rFonts w:ascii="Verdana" w:hAnsi="Verdana"/>
                <w:sz w:val="16"/>
                <w:szCs w:val="16"/>
                <w:lang w:val="en-US"/>
              </w:rPr>
              <w:t xml:space="preserve">Identification of any additional requirement; </w:t>
            </w:r>
          </w:p>
        </w:tc>
      </w:tr>
      <w:tr w:rsidR="00CD67E0" w:rsidRPr="00B838EC" w14:paraId="481532E0" w14:textId="77777777" w:rsidTr="00335F65">
        <w:tc>
          <w:tcPr>
            <w:tcW w:w="4421" w:type="dxa"/>
          </w:tcPr>
          <w:p w14:paraId="19999B9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11.29.4.3.3</w:t>
            </w:r>
            <w:r w:rsidRPr="00D429B4">
              <w:rPr>
                <w:rFonts w:ascii="Verdana" w:hAnsi="Verdana"/>
                <w:sz w:val="16"/>
                <w:szCs w:val="16"/>
                <w:lang w:val="es-MX"/>
              </w:rPr>
              <w:t xml:space="preserve"> Identificación de los estándares de referencia y las muestras a analizarse;</w:t>
            </w:r>
          </w:p>
        </w:tc>
        <w:tc>
          <w:tcPr>
            <w:tcW w:w="4421" w:type="dxa"/>
          </w:tcPr>
          <w:p w14:paraId="34F2222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11.29.4.3.3</w:t>
            </w:r>
            <w:r w:rsidRPr="00D429B4">
              <w:rPr>
                <w:rFonts w:ascii="Verdana" w:hAnsi="Verdana"/>
                <w:sz w:val="16"/>
                <w:szCs w:val="16"/>
                <w:lang w:val="en-US"/>
              </w:rPr>
              <w:t xml:space="preserve"> Identification of the standards of reference and the samples to be analyzed; </w:t>
            </w:r>
          </w:p>
        </w:tc>
      </w:tr>
      <w:tr w:rsidR="00CD67E0" w:rsidRPr="00B838EC" w14:paraId="5813275F" w14:textId="77777777" w:rsidTr="00335F65">
        <w:tc>
          <w:tcPr>
            <w:tcW w:w="4421" w:type="dxa"/>
          </w:tcPr>
          <w:p w14:paraId="704D9F5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11.29.4.3.4</w:t>
            </w:r>
            <w:r w:rsidRPr="00D429B4">
              <w:rPr>
                <w:rFonts w:ascii="Verdana" w:hAnsi="Verdana"/>
                <w:sz w:val="16"/>
                <w:szCs w:val="16"/>
                <w:lang w:val="es-MX"/>
              </w:rPr>
              <w:t xml:space="preserve"> Descripción e identificación de cualquier condición especial de transporte y conservación de los productos, estándares y reactivos a ser utilizados;</w:t>
            </w:r>
          </w:p>
        </w:tc>
        <w:tc>
          <w:tcPr>
            <w:tcW w:w="4421" w:type="dxa"/>
          </w:tcPr>
          <w:p w14:paraId="6CE63F3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11.29.4.3.4</w:t>
            </w:r>
            <w:r w:rsidRPr="00D429B4">
              <w:rPr>
                <w:rFonts w:ascii="Verdana" w:hAnsi="Verdana"/>
                <w:sz w:val="16"/>
                <w:szCs w:val="16"/>
                <w:lang w:val="en-US"/>
              </w:rPr>
              <w:t xml:space="preserve"> Description and identification of any special condition of transport and conservation of the products, standards and reagents to be used;  </w:t>
            </w:r>
          </w:p>
        </w:tc>
      </w:tr>
      <w:tr w:rsidR="00CD67E0" w:rsidRPr="00B838EC" w14:paraId="50A57F63" w14:textId="77777777" w:rsidTr="00335F65">
        <w:tc>
          <w:tcPr>
            <w:tcW w:w="4421" w:type="dxa"/>
          </w:tcPr>
          <w:p w14:paraId="71DA48FE"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11.29.4.3.5 </w:t>
            </w:r>
            <w:r w:rsidRPr="00D429B4">
              <w:rPr>
                <w:rFonts w:ascii="Verdana" w:hAnsi="Verdana"/>
                <w:sz w:val="16"/>
                <w:szCs w:val="16"/>
                <w:lang w:val="es-MX"/>
              </w:rPr>
              <w:t>Los criterios de aceptación que deben basarse en el estudio de validación vigente de la metodología y de los requisitos normativos.</w:t>
            </w:r>
          </w:p>
        </w:tc>
        <w:tc>
          <w:tcPr>
            <w:tcW w:w="4421" w:type="dxa"/>
          </w:tcPr>
          <w:p w14:paraId="5E2F1E2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11.29.4.3.5 </w:t>
            </w:r>
            <w:r w:rsidRPr="00D429B4">
              <w:rPr>
                <w:rFonts w:ascii="Verdana" w:hAnsi="Verdana"/>
                <w:sz w:val="16"/>
                <w:szCs w:val="16"/>
                <w:lang w:val="en-US"/>
              </w:rPr>
              <w:t xml:space="preserve">The acceptance criteria that must be based on the current validation study of the methodology and the obligatory requirements. </w:t>
            </w:r>
          </w:p>
        </w:tc>
      </w:tr>
      <w:tr w:rsidR="00CD67E0" w:rsidRPr="00DD29AF" w14:paraId="2A5335DC" w14:textId="77777777" w:rsidTr="00335F65">
        <w:tc>
          <w:tcPr>
            <w:tcW w:w="4421" w:type="dxa"/>
          </w:tcPr>
          <w:p w14:paraId="7814C709"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12. Liberación de producto terminado.</w:t>
            </w:r>
          </w:p>
        </w:tc>
        <w:tc>
          <w:tcPr>
            <w:tcW w:w="4421" w:type="dxa"/>
          </w:tcPr>
          <w:p w14:paraId="5024AED0"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12. Release of finished product. </w:t>
            </w:r>
          </w:p>
        </w:tc>
      </w:tr>
      <w:tr w:rsidR="00CD67E0" w:rsidRPr="00B838EC" w14:paraId="060BAD9C" w14:textId="77777777" w:rsidTr="00335F65">
        <w:tc>
          <w:tcPr>
            <w:tcW w:w="4421" w:type="dxa"/>
          </w:tcPr>
          <w:p w14:paraId="5545F9A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12.1 </w:t>
            </w:r>
            <w:r w:rsidRPr="00D429B4">
              <w:rPr>
                <w:rFonts w:ascii="Verdana" w:hAnsi="Verdana"/>
                <w:sz w:val="16"/>
                <w:szCs w:val="16"/>
                <w:lang w:val="es-MX"/>
              </w:rPr>
              <w:t>La Persona Autorizada por el responsable sanitario que determine la liberación de cada lote, debe poseer la formación académica, conocimientos y experiencia acorde al perfil de Responsable Sanitario.</w:t>
            </w:r>
          </w:p>
        </w:tc>
        <w:tc>
          <w:tcPr>
            <w:tcW w:w="4421" w:type="dxa"/>
          </w:tcPr>
          <w:p w14:paraId="78879FD5"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12.1 </w:t>
            </w:r>
            <w:r w:rsidRPr="00D429B4">
              <w:rPr>
                <w:rFonts w:ascii="Verdana" w:hAnsi="Verdana"/>
                <w:sz w:val="16"/>
                <w:szCs w:val="16"/>
                <w:lang w:val="en-US"/>
              </w:rPr>
              <w:t xml:space="preserve">The Person Authorized by the Person responsible for sanitary compliance that determines the release of each lot must have the academic formation, knowledge and experience according to the Person responsible for sanitary compliance. </w:t>
            </w:r>
          </w:p>
        </w:tc>
      </w:tr>
      <w:tr w:rsidR="00CD67E0" w:rsidRPr="00B838EC" w14:paraId="2747CDA8" w14:textId="77777777" w:rsidTr="00335F65">
        <w:tc>
          <w:tcPr>
            <w:tcW w:w="4421" w:type="dxa"/>
          </w:tcPr>
          <w:p w14:paraId="090FFDA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12.1.1 </w:t>
            </w:r>
            <w:r w:rsidRPr="00D429B4">
              <w:rPr>
                <w:rFonts w:ascii="Verdana" w:hAnsi="Verdana"/>
                <w:sz w:val="16"/>
                <w:szCs w:val="16"/>
                <w:lang w:val="es-MX"/>
              </w:rPr>
              <w:t>La liberación de los medicamentos importados bajo el esquema de no requisito de planta debe efectuarla el Responsable Sanitario designado por el titular del Registro Sanitario en el extranjero o por su representante legal.</w:t>
            </w:r>
          </w:p>
        </w:tc>
        <w:tc>
          <w:tcPr>
            <w:tcW w:w="4421" w:type="dxa"/>
          </w:tcPr>
          <w:p w14:paraId="4582000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12.1.1 </w:t>
            </w:r>
            <w:r w:rsidRPr="00D429B4">
              <w:rPr>
                <w:rFonts w:ascii="Verdana" w:hAnsi="Verdana"/>
                <w:sz w:val="16"/>
                <w:szCs w:val="16"/>
                <w:lang w:val="en-US"/>
              </w:rPr>
              <w:t xml:space="preserve">The release of the imported drug products under the scheme of no plant requirement must be made by the Person responsible for sanitary compliance designated by the holder of the Sanitary Registration outside of Mexico or by his/her legal representative.  </w:t>
            </w:r>
          </w:p>
        </w:tc>
      </w:tr>
      <w:tr w:rsidR="00CD67E0" w:rsidRPr="00B838EC" w14:paraId="00F7E89B" w14:textId="77777777" w:rsidTr="00335F65">
        <w:tc>
          <w:tcPr>
            <w:tcW w:w="4421" w:type="dxa"/>
          </w:tcPr>
          <w:p w14:paraId="08A979F4"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12.2 </w:t>
            </w:r>
            <w:r w:rsidRPr="00D429B4">
              <w:rPr>
                <w:rFonts w:ascii="Verdana" w:hAnsi="Verdana"/>
                <w:sz w:val="16"/>
                <w:szCs w:val="16"/>
                <w:lang w:val="es-MX"/>
              </w:rPr>
              <w:t>Debe existir un procedimiento que describa el proceso de integración y de revisión del expediente de lote y liberación de producto</w:t>
            </w:r>
          </w:p>
        </w:tc>
        <w:tc>
          <w:tcPr>
            <w:tcW w:w="4421" w:type="dxa"/>
          </w:tcPr>
          <w:p w14:paraId="68B849E6"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12.2 </w:t>
            </w:r>
            <w:r w:rsidRPr="00D429B4">
              <w:rPr>
                <w:rFonts w:ascii="Verdana" w:hAnsi="Verdana"/>
                <w:sz w:val="16"/>
                <w:szCs w:val="16"/>
                <w:lang w:val="en-US"/>
              </w:rPr>
              <w:t xml:space="preserve">There must be a procedure that describes the integration process, review of the lot file and the release of the product. </w:t>
            </w:r>
          </w:p>
        </w:tc>
      </w:tr>
      <w:tr w:rsidR="00CD67E0" w:rsidRPr="00B838EC" w14:paraId="0D328050" w14:textId="77777777" w:rsidTr="00335F65">
        <w:tc>
          <w:tcPr>
            <w:tcW w:w="4421" w:type="dxa"/>
          </w:tcPr>
          <w:p w14:paraId="41A332F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12.2.1</w:t>
            </w:r>
            <w:r w:rsidRPr="00D429B4">
              <w:rPr>
                <w:rFonts w:ascii="Verdana" w:hAnsi="Verdana"/>
                <w:sz w:val="16"/>
                <w:szCs w:val="16"/>
                <w:lang w:val="es-MX"/>
              </w:rPr>
              <w:t xml:space="preserve"> Deben revisarse los procedimientos de producción, de acondicionamiento, los registros, los resultados analíticos, las etiquetas y demás documentación inherente al proceso, comprobando que cumplan con la especificación de proceso establecida. Sólo la Unidad de Calidad puede aprobar o rechazar el producto.</w:t>
            </w:r>
          </w:p>
        </w:tc>
        <w:tc>
          <w:tcPr>
            <w:tcW w:w="4421" w:type="dxa"/>
          </w:tcPr>
          <w:p w14:paraId="2CE5F69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12.2.1</w:t>
            </w:r>
            <w:r w:rsidRPr="00D429B4">
              <w:rPr>
                <w:rFonts w:ascii="Verdana" w:hAnsi="Verdana"/>
                <w:sz w:val="16"/>
                <w:szCs w:val="16"/>
                <w:lang w:val="en-US"/>
              </w:rPr>
              <w:t xml:space="preserve"> The procedures for production, conditioning, the records, the analytical results, the labels and other documentation inherent </w:t>
            </w:r>
            <w:r>
              <w:rPr>
                <w:rFonts w:ascii="Verdana" w:hAnsi="Verdana"/>
                <w:sz w:val="16"/>
                <w:szCs w:val="16"/>
                <w:lang w:val="en-US"/>
              </w:rPr>
              <w:t>to the process</w:t>
            </w:r>
            <w:r w:rsidRPr="00D429B4">
              <w:rPr>
                <w:rFonts w:ascii="Verdana" w:hAnsi="Verdana"/>
                <w:sz w:val="16"/>
                <w:szCs w:val="16"/>
                <w:lang w:val="en-US"/>
              </w:rPr>
              <w:t xml:space="preserve"> must be reviewed, verifying that they comply with the established process specification. Only the Quality Unit can approve or reject the product. </w:t>
            </w:r>
          </w:p>
        </w:tc>
      </w:tr>
      <w:tr w:rsidR="00CD67E0" w:rsidRPr="00B838EC" w14:paraId="4E005CAA" w14:textId="77777777" w:rsidTr="00335F65">
        <w:tc>
          <w:tcPr>
            <w:tcW w:w="4421" w:type="dxa"/>
          </w:tcPr>
          <w:p w14:paraId="6571350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12.3</w:t>
            </w:r>
            <w:r w:rsidRPr="00D429B4">
              <w:rPr>
                <w:rFonts w:ascii="Verdana" w:hAnsi="Verdana"/>
                <w:sz w:val="16"/>
                <w:szCs w:val="16"/>
                <w:lang w:val="es-MX"/>
              </w:rPr>
              <w:t xml:space="preserve"> Además del expediente de lote deben tomarse en consideración como mínimo:</w:t>
            </w:r>
          </w:p>
        </w:tc>
        <w:tc>
          <w:tcPr>
            <w:tcW w:w="4421" w:type="dxa"/>
          </w:tcPr>
          <w:p w14:paraId="430C680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12.3</w:t>
            </w:r>
            <w:r w:rsidRPr="00D429B4">
              <w:rPr>
                <w:rFonts w:ascii="Verdana" w:hAnsi="Verdana"/>
                <w:sz w:val="16"/>
                <w:szCs w:val="16"/>
                <w:lang w:val="en-US"/>
              </w:rPr>
              <w:t xml:space="preserve"> In addition to the lot file, the following must be taken into consideration as a minimum: </w:t>
            </w:r>
          </w:p>
        </w:tc>
      </w:tr>
      <w:tr w:rsidR="00CD67E0" w:rsidRPr="00B838EC" w14:paraId="668EEB39" w14:textId="77777777" w:rsidTr="00335F65">
        <w:tc>
          <w:tcPr>
            <w:tcW w:w="4421" w:type="dxa"/>
          </w:tcPr>
          <w:p w14:paraId="7EEFCA7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12.3.1</w:t>
            </w:r>
            <w:r w:rsidRPr="00D429B4">
              <w:rPr>
                <w:rFonts w:ascii="Verdana" w:hAnsi="Verdana"/>
                <w:sz w:val="16"/>
                <w:szCs w:val="16"/>
                <w:lang w:val="es-MX"/>
              </w:rPr>
              <w:t xml:space="preserve"> El sistema de control de cambios para revisar que no haya cambios abiertos que impacten al lote que va a ser liberado.</w:t>
            </w:r>
          </w:p>
        </w:tc>
        <w:tc>
          <w:tcPr>
            <w:tcW w:w="4421" w:type="dxa"/>
          </w:tcPr>
          <w:p w14:paraId="5036EF8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12.3.1</w:t>
            </w:r>
            <w:r w:rsidRPr="00D429B4">
              <w:rPr>
                <w:rFonts w:ascii="Verdana" w:hAnsi="Verdana"/>
                <w:sz w:val="16"/>
                <w:szCs w:val="16"/>
                <w:lang w:val="en-US"/>
              </w:rPr>
              <w:t xml:space="preserve"> The control of changes system to review whether open changes are made that impact on the lot to be released. </w:t>
            </w:r>
          </w:p>
        </w:tc>
      </w:tr>
      <w:tr w:rsidR="00CD67E0" w:rsidRPr="00B838EC" w14:paraId="0A3AE74A" w14:textId="77777777" w:rsidTr="00335F65">
        <w:tc>
          <w:tcPr>
            <w:tcW w:w="4421" w:type="dxa"/>
          </w:tcPr>
          <w:p w14:paraId="13E2CED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12.3.2</w:t>
            </w:r>
            <w:r w:rsidRPr="00D429B4">
              <w:rPr>
                <w:rFonts w:ascii="Verdana" w:hAnsi="Verdana"/>
                <w:sz w:val="16"/>
                <w:szCs w:val="16"/>
                <w:lang w:val="es-MX"/>
              </w:rPr>
              <w:t xml:space="preserve"> Los resultados del programa de monitoreo ambiental para revisar que no impactan al lote que va a ser liberado. En el caso de productos por procesamiento aséptico se deben incluir los resultados del programa de monitoreo ambiental para revisar que no impactan al lote que será liberado.</w:t>
            </w:r>
          </w:p>
        </w:tc>
        <w:tc>
          <w:tcPr>
            <w:tcW w:w="4421" w:type="dxa"/>
          </w:tcPr>
          <w:p w14:paraId="7F26B00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12.3.2</w:t>
            </w:r>
            <w:r w:rsidRPr="00D429B4">
              <w:rPr>
                <w:rFonts w:ascii="Verdana" w:hAnsi="Verdana"/>
                <w:sz w:val="16"/>
                <w:szCs w:val="16"/>
                <w:lang w:val="en-US"/>
              </w:rPr>
              <w:t xml:space="preserve"> The results of the environmental monitoring program to review whether they impact on the lot to be released. In the case of products by aseptic processing, the results of the environmental monitoring program must be included to review that they do not impact on the lot that will be released. </w:t>
            </w:r>
          </w:p>
        </w:tc>
      </w:tr>
      <w:tr w:rsidR="00CD67E0" w:rsidRPr="00B838EC" w14:paraId="775F447C" w14:textId="77777777" w:rsidTr="00335F65">
        <w:tc>
          <w:tcPr>
            <w:tcW w:w="4421" w:type="dxa"/>
          </w:tcPr>
          <w:p w14:paraId="10C7BBF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12.3.3</w:t>
            </w:r>
            <w:r w:rsidRPr="00D429B4">
              <w:rPr>
                <w:rFonts w:ascii="Verdana" w:hAnsi="Verdana"/>
                <w:sz w:val="16"/>
                <w:szCs w:val="16"/>
                <w:lang w:val="es-MX"/>
              </w:rPr>
              <w:t xml:space="preserve"> Que se hayan tomado las muestras de retención correspondientes.</w:t>
            </w:r>
          </w:p>
        </w:tc>
        <w:tc>
          <w:tcPr>
            <w:tcW w:w="4421" w:type="dxa"/>
          </w:tcPr>
          <w:p w14:paraId="598250B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12.3.3</w:t>
            </w:r>
            <w:r w:rsidRPr="00D429B4">
              <w:rPr>
                <w:rFonts w:ascii="Verdana" w:hAnsi="Verdana"/>
                <w:sz w:val="16"/>
                <w:szCs w:val="16"/>
                <w:lang w:val="en-US"/>
              </w:rPr>
              <w:t xml:space="preserve"> That the corresponding retention samples are taken. </w:t>
            </w:r>
          </w:p>
        </w:tc>
      </w:tr>
      <w:tr w:rsidR="00CD67E0" w:rsidRPr="00B838EC" w14:paraId="131D6AF2" w14:textId="77777777" w:rsidTr="00335F65">
        <w:tc>
          <w:tcPr>
            <w:tcW w:w="4421" w:type="dxa"/>
          </w:tcPr>
          <w:p w14:paraId="1CD3383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12.3.4</w:t>
            </w:r>
            <w:r w:rsidRPr="00D429B4">
              <w:rPr>
                <w:rFonts w:ascii="Verdana" w:hAnsi="Verdana"/>
                <w:sz w:val="16"/>
                <w:szCs w:val="16"/>
                <w:lang w:val="es-MX"/>
              </w:rPr>
              <w:t xml:space="preserve"> Cualquier otro documento u oficio relacionado con la calidad del producto, incluyendo reportes de desviación o no conformidad.</w:t>
            </w:r>
          </w:p>
        </w:tc>
        <w:tc>
          <w:tcPr>
            <w:tcW w:w="4421" w:type="dxa"/>
          </w:tcPr>
          <w:p w14:paraId="6E216B4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12.3.4</w:t>
            </w:r>
            <w:r w:rsidRPr="00D429B4">
              <w:rPr>
                <w:rFonts w:ascii="Verdana" w:hAnsi="Verdana"/>
                <w:sz w:val="16"/>
                <w:szCs w:val="16"/>
                <w:lang w:val="en-US"/>
              </w:rPr>
              <w:t xml:space="preserve"> Any other document or official document related to the quality of the product, including reports of deviation or noncompliance.  </w:t>
            </w:r>
          </w:p>
        </w:tc>
      </w:tr>
      <w:tr w:rsidR="00CD67E0" w:rsidRPr="00B838EC" w14:paraId="6A214546" w14:textId="77777777" w:rsidTr="00335F65">
        <w:tc>
          <w:tcPr>
            <w:tcW w:w="4421" w:type="dxa"/>
          </w:tcPr>
          <w:p w14:paraId="6A9C8BF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12.4</w:t>
            </w:r>
            <w:r w:rsidRPr="00D429B4">
              <w:rPr>
                <w:rFonts w:ascii="Verdana" w:hAnsi="Verdana"/>
                <w:sz w:val="16"/>
                <w:szCs w:val="16"/>
                <w:lang w:val="es-MX"/>
              </w:rPr>
              <w:t xml:space="preserve"> Para el caso de productos de importación, debe realizarse el control analítico por el importador y </w:t>
            </w:r>
            <w:r w:rsidRPr="00D429B4">
              <w:rPr>
                <w:rFonts w:ascii="Verdana" w:hAnsi="Verdana"/>
                <w:sz w:val="16"/>
                <w:szCs w:val="16"/>
                <w:lang w:val="es-MX"/>
              </w:rPr>
              <w:lastRenderedPageBreak/>
              <w:t>seguirse el mismo procedimiento de liberación descrito en esta Norma.</w:t>
            </w:r>
          </w:p>
        </w:tc>
        <w:tc>
          <w:tcPr>
            <w:tcW w:w="4421" w:type="dxa"/>
          </w:tcPr>
          <w:p w14:paraId="12B2A2E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12.4</w:t>
            </w:r>
            <w:r w:rsidRPr="00D429B4">
              <w:rPr>
                <w:rFonts w:ascii="Verdana" w:hAnsi="Verdana"/>
                <w:sz w:val="16"/>
                <w:szCs w:val="16"/>
                <w:lang w:val="en-US"/>
              </w:rPr>
              <w:t xml:space="preserve"> For the case of imported products, the analytical control must be made by the importer and </w:t>
            </w:r>
            <w:r w:rsidRPr="00D429B4">
              <w:rPr>
                <w:rFonts w:ascii="Verdana" w:hAnsi="Verdana"/>
                <w:sz w:val="16"/>
                <w:szCs w:val="16"/>
                <w:lang w:val="en-US"/>
              </w:rPr>
              <w:lastRenderedPageBreak/>
              <w:t xml:space="preserve">the same release procedure described in this Standard be followed. </w:t>
            </w:r>
          </w:p>
        </w:tc>
      </w:tr>
      <w:tr w:rsidR="00CD67E0" w:rsidRPr="00B838EC" w14:paraId="02669762" w14:textId="77777777" w:rsidTr="00335F65">
        <w:tc>
          <w:tcPr>
            <w:tcW w:w="4421" w:type="dxa"/>
          </w:tcPr>
          <w:p w14:paraId="196B6CD8"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lastRenderedPageBreak/>
              <w:t>12.4.1</w:t>
            </w:r>
            <w:r w:rsidRPr="00D429B4">
              <w:rPr>
                <w:rFonts w:ascii="Verdana" w:hAnsi="Verdana"/>
                <w:sz w:val="16"/>
                <w:szCs w:val="16"/>
                <w:lang w:val="es-MX"/>
              </w:rPr>
              <w:t xml:space="preserve"> Para producto de cadena fría, evidencia de monitoreo de temperatura durante el traslado desde el sitio de origen al establecimiento. Las excursiones deben ser investigadas y evaluadas. Para la liberación del lote es necesario revisar que la cadena fría cumpla con el criterio de aceptación.</w:t>
            </w:r>
          </w:p>
        </w:tc>
        <w:tc>
          <w:tcPr>
            <w:tcW w:w="4421" w:type="dxa"/>
          </w:tcPr>
          <w:p w14:paraId="493B48D9"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12.4.1</w:t>
            </w:r>
            <w:r w:rsidRPr="00D429B4">
              <w:rPr>
                <w:rFonts w:ascii="Verdana" w:hAnsi="Verdana"/>
                <w:sz w:val="16"/>
                <w:szCs w:val="16"/>
                <w:lang w:val="en-US"/>
              </w:rPr>
              <w:t xml:space="preserve"> For cold chain product, evidence of monitoring of temperature during the movement from the site of origin to the establishment. The excursions must be investigated and evaluated. For the release of the lot, it is necessary to review whether the cold chain complies with the acceptance criteria.</w:t>
            </w:r>
          </w:p>
        </w:tc>
      </w:tr>
      <w:tr w:rsidR="00CD67E0" w:rsidRPr="00B838EC" w14:paraId="6AA2312D" w14:textId="77777777" w:rsidTr="00335F65">
        <w:tc>
          <w:tcPr>
            <w:tcW w:w="4421" w:type="dxa"/>
          </w:tcPr>
          <w:p w14:paraId="34CA495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12.5</w:t>
            </w:r>
            <w:r w:rsidRPr="00D429B4">
              <w:rPr>
                <w:rFonts w:ascii="Verdana" w:hAnsi="Verdana"/>
                <w:sz w:val="16"/>
                <w:szCs w:val="16"/>
                <w:lang w:val="es-MX"/>
              </w:rPr>
              <w:t xml:space="preserve"> Para el caso de liberación de producto terminado de medicamentos huérfanos, el Responsable Sanitario deberá integrar un expediente de liberación que contenga, como mínimo, los siguientes documentos:</w:t>
            </w:r>
          </w:p>
        </w:tc>
        <w:tc>
          <w:tcPr>
            <w:tcW w:w="4421" w:type="dxa"/>
          </w:tcPr>
          <w:p w14:paraId="4F6B838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12.5</w:t>
            </w:r>
            <w:r w:rsidRPr="00D429B4">
              <w:rPr>
                <w:rFonts w:ascii="Verdana" w:hAnsi="Verdana"/>
                <w:sz w:val="16"/>
                <w:szCs w:val="16"/>
                <w:lang w:val="en-US"/>
              </w:rPr>
              <w:t xml:space="preserve"> For the case of the release of orphan drug products that are finished products, the Person responsible for sanitary compliance must integrate a release file that contains, as a minimum, the following documents:  </w:t>
            </w:r>
          </w:p>
        </w:tc>
      </w:tr>
      <w:tr w:rsidR="00CD67E0" w:rsidRPr="00C720F0" w14:paraId="68357FBC" w14:textId="77777777" w:rsidTr="00335F65">
        <w:tc>
          <w:tcPr>
            <w:tcW w:w="4421" w:type="dxa"/>
          </w:tcPr>
          <w:p w14:paraId="6B4588B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12.5.1 </w:t>
            </w:r>
            <w:r w:rsidRPr="00D429B4">
              <w:rPr>
                <w:rFonts w:ascii="Verdana" w:hAnsi="Verdana"/>
                <w:sz w:val="16"/>
                <w:szCs w:val="16"/>
                <w:lang w:val="es-MX"/>
              </w:rPr>
              <w:t>Certificado analítico del lote a ser liberado emitido por el fabricante y/o laboratorio analítico autorizado por la autoridad sanitaria competente en el país de origen. Revisar y asegurar que se cumple las especificaciones aprobadas.</w:t>
            </w:r>
          </w:p>
        </w:tc>
        <w:tc>
          <w:tcPr>
            <w:tcW w:w="4421" w:type="dxa"/>
          </w:tcPr>
          <w:p w14:paraId="659A36C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12.5.1 </w:t>
            </w:r>
            <w:r w:rsidRPr="00D429B4">
              <w:rPr>
                <w:rFonts w:ascii="Verdana" w:hAnsi="Verdana"/>
                <w:sz w:val="16"/>
                <w:szCs w:val="16"/>
                <w:lang w:val="en-US"/>
              </w:rPr>
              <w:t>Analytical certificate of the lot to be released issued by the manufacturer and/or the analytical laboratory authorized by the appropriate sanitary authority in the country of origin. Review and assure that the approved specifications are complied.</w:t>
            </w:r>
          </w:p>
        </w:tc>
      </w:tr>
      <w:tr w:rsidR="00CD67E0" w:rsidRPr="00B838EC" w14:paraId="26E1C419" w14:textId="77777777" w:rsidTr="00335F65">
        <w:tc>
          <w:tcPr>
            <w:tcW w:w="4421" w:type="dxa"/>
          </w:tcPr>
          <w:p w14:paraId="677235A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12.5.2 </w:t>
            </w:r>
            <w:r w:rsidRPr="00D429B4">
              <w:rPr>
                <w:rFonts w:ascii="Verdana" w:hAnsi="Verdana"/>
                <w:sz w:val="16"/>
                <w:szCs w:val="16"/>
                <w:lang w:val="es-MX"/>
              </w:rPr>
              <w:t>Copia del material de empaque primario y secundario, para revisar y asegurar la correspondencia con los marbetes autorizados.</w:t>
            </w:r>
          </w:p>
        </w:tc>
        <w:tc>
          <w:tcPr>
            <w:tcW w:w="4421" w:type="dxa"/>
          </w:tcPr>
          <w:p w14:paraId="2380FFC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12.5.2 </w:t>
            </w:r>
            <w:r w:rsidRPr="00D429B4">
              <w:rPr>
                <w:rFonts w:ascii="Verdana" w:hAnsi="Verdana"/>
                <w:sz w:val="16"/>
                <w:szCs w:val="16"/>
                <w:lang w:val="en-US"/>
              </w:rPr>
              <w:t xml:space="preserve">Copy of the primary and secondary packaging to review and assure the correspondence with the authorized </w:t>
            </w:r>
          </w:p>
        </w:tc>
      </w:tr>
      <w:tr w:rsidR="00CD67E0" w:rsidRPr="00B838EC" w14:paraId="0BC163C9" w14:textId="77777777" w:rsidTr="00335F65">
        <w:tc>
          <w:tcPr>
            <w:tcW w:w="4421" w:type="dxa"/>
          </w:tcPr>
          <w:p w14:paraId="3E2CB32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12.5.3 </w:t>
            </w:r>
            <w:r w:rsidRPr="00D429B4">
              <w:rPr>
                <w:rFonts w:ascii="Verdana" w:hAnsi="Verdana"/>
                <w:sz w:val="16"/>
                <w:szCs w:val="16"/>
                <w:lang w:val="es-MX"/>
              </w:rPr>
              <w:t>En el caso de medicamentos importados, la documentación que avale la correcta liberación aduanal.</w:t>
            </w:r>
          </w:p>
        </w:tc>
        <w:tc>
          <w:tcPr>
            <w:tcW w:w="4421" w:type="dxa"/>
          </w:tcPr>
          <w:p w14:paraId="53E177E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12.5.3 </w:t>
            </w:r>
            <w:r w:rsidRPr="00D429B4">
              <w:rPr>
                <w:rFonts w:ascii="Verdana" w:hAnsi="Verdana"/>
                <w:sz w:val="16"/>
                <w:szCs w:val="16"/>
                <w:lang w:val="en-US"/>
              </w:rPr>
              <w:t xml:space="preserve">In the case of imported drug products, the documentation that supports the correct customs release. </w:t>
            </w:r>
          </w:p>
        </w:tc>
      </w:tr>
      <w:tr w:rsidR="00CD67E0" w:rsidRPr="00EA210C" w14:paraId="3E5113AC" w14:textId="77777777" w:rsidTr="00335F65">
        <w:tc>
          <w:tcPr>
            <w:tcW w:w="4421" w:type="dxa"/>
          </w:tcPr>
          <w:p w14:paraId="151DD67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12.6</w:t>
            </w:r>
            <w:r w:rsidRPr="00D429B4">
              <w:rPr>
                <w:rFonts w:ascii="Verdana" w:hAnsi="Verdana"/>
                <w:sz w:val="16"/>
                <w:szCs w:val="16"/>
                <w:lang w:val="es-MX"/>
              </w:rPr>
              <w:t xml:space="preserve"> Liberación paramétrica.</w:t>
            </w:r>
          </w:p>
        </w:tc>
        <w:tc>
          <w:tcPr>
            <w:tcW w:w="4421" w:type="dxa"/>
          </w:tcPr>
          <w:p w14:paraId="34B9287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 </w:t>
            </w:r>
            <w:r w:rsidRPr="00D429B4">
              <w:rPr>
                <w:rFonts w:ascii="Verdana" w:hAnsi="Verdana"/>
                <w:sz w:val="16"/>
                <w:szCs w:val="16"/>
                <w:lang w:val="en-US"/>
              </w:rPr>
              <w:t>Parametric release</w:t>
            </w:r>
          </w:p>
        </w:tc>
      </w:tr>
      <w:tr w:rsidR="00CD67E0" w:rsidRPr="00B838EC" w14:paraId="6A55FA64" w14:textId="77777777" w:rsidTr="00335F65">
        <w:tc>
          <w:tcPr>
            <w:tcW w:w="4421" w:type="dxa"/>
          </w:tcPr>
          <w:p w14:paraId="476C9629"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sz w:val="16"/>
                <w:szCs w:val="16"/>
                <w:lang w:val="es-MX"/>
              </w:rPr>
              <w:t>La liberación paramétrica sólo aplica a proceso de esterilización terminal por calor húmedo.</w:t>
            </w:r>
          </w:p>
        </w:tc>
        <w:tc>
          <w:tcPr>
            <w:tcW w:w="4421" w:type="dxa"/>
          </w:tcPr>
          <w:p w14:paraId="2BC9733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The parametric release only applies to the terminal sterilization process by humid heat.</w:t>
            </w:r>
          </w:p>
        </w:tc>
      </w:tr>
      <w:tr w:rsidR="00CD67E0" w:rsidRPr="00B838EC" w14:paraId="3CB7F065" w14:textId="77777777" w:rsidTr="00335F65">
        <w:tc>
          <w:tcPr>
            <w:tcW w:w="4421" w:type="dxa"/>
          </w:tcPr>
          <w:p w14:paraId="7F73C05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La liberación paramétrica es posible cuando se tiene un amplio conocimiento del proceso de esterilización; los parámetros físicos del proceso están bien definidos, son predecibles, medibles y cuentan con la evidencia que demuestre que el proceso se encuentra validado y bajo control.</w:t>
            </w:r>
          </w:p>
        </w:tc>
        <w:tc>
          <w:tcPr>
            <w:tcW w:w="4421" w:type="dxa"/>
          </w:tcPr>
          <w:p w14:paraId="16A7C18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Parametric release is possible when there is an ample knowledge of the sterilization process; the physical parameters of the process are well defined, are predictable, measurable and have the evidence that demonstrates that the process is found validated and under control. </w:t>
            </w:r>
          </w:p>
        </w:tc>
      </w:tr>
      <w:tr w:rsidR="00CD67E0" w:rsidRPr="00B838EC" w14:paraId="5F7AF3DF" w14:textId="77777777" w:rsidTr="00335F65">
        <w:tc>
          <w:tcPr>
            <w:tcW w:w="4421" w:type="dxa"/>
          </w:tcPr>
          <w:p w14:paraId="778E2DC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12.6.1 </w:t>
            </w:r>
            <w:r w:rsidRPr="00D429B4">
              <w:rPr>
                <w:rFonts w:ascii="Verdana" w:hAnsi="Verdana"/>
                <w:sz w:val="16"/>
                <w:szCs w:val="16"/>
                <w:lang w:val="es-MX"/>
              </w:rPr>
              <w:t>Previa autorización de la Secretaría, podrá efectuarse la liberación de producto sin efectuar la prueba de esterilidad.</w:t>
            </w:r>
          </w:p>
        </w:tc>
        <w:tc>
          <w:tcPr>
            <w:tcW w:w="4421" w:type="dxa"/>
          </w:tcPr>
          <w:p w14:paraId="24800CE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12.6.1 </w:t>
            </w:r>
            <w:r w:rsidRPr="00D429B4">
              <w:rPr>
                <w:rFonts w:ascii="Verdana" w:hAnsi="Verdana"/>
                <w:sz w:val="16"/>
                <w:szCs w:val="16"/>
                <w:lang w:val="en-US"/>
              </w:rPr>
              <w:t xml:space="preserve">With authorization from the Secretary, the release of product can be made without performing the sterility test. </w:t>
            </w:r>
          </w:p>
        </w:tc>
      </w:tr>
      <w:tr w:rsidR="00CD67E0" w:rsidRPr="00B838EC" w14:paraId="1335D087" w14:textId="77777777" w:rsidTr="00335F65">
        <w:tc>
          <w:tcPr>
            <w:tcW w:w="4421" w:type="dxa"/>
          </w:tcPr>
          <w:p w14:paraId="0AEA8D9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12.6.2 </w:t>
            </w:r>
            <w:r w:rsidRPr="00D429B4">
              <w:rPr>
                <w:rFonts w:ascii="Verdana" w:hAnsi="Verdana"/>
                <w:sz w:val="16"/>
                <w:szCs w:val="16"/>
                <w:lang w:val="es-MX"/>
              </w:rPr>
              <w:t>Para solicitar autorización de liberación paramétrica deberá someter la siguiente información:</w:t>
            </w:r>
          </w:p>
        </w:tc>
        <w:tc>
          <w:tcPr>
            <w:tcW w:w="4421" w:type="dxa"/>
          </w:tcPr>
          <w:p w14:paraId="634618E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 </w:t>
            </w:r>
            <w:r w:rsidRPr="00D429B4">
              <w:rPr>
                <w:rFonts w:ascii="Verdana" w:hAnsi="Verdana"/>
                <w:sz w:val="16"/>
                <w:szCs w:val="16"/>
                <w:lang w:val="en-US"/>
              </w:rPr>
              <w:t>In order to request authorization for parametric release, the following information must be submitted:</w:t>
            </w:r>
          </w:p>
        </w:tc>
      </w:tr>
      <w:tr w:rsidR="00CD67E0" w:rsidRPr="00B838EC" w14:paraId="208F88AD" w14:textId="77777777" w:rsidTr="00335F65">
        <w:tc>
          <w:tcPr>
            <w:tcW w:w="4421" w:type="dxa"/>
          </w:tcPr>
          <w:p w14:paraId="128D7B8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12.6.2.1</w:t>
            </w:r>
            <w:r w:rsidRPr="00D429B4">
              <w:rPr>
                <w:rFonts w:ascii="Verdana" w:hAnsi="Verdana"/>
                <w:sz w:val="16"/>
                <w:szCs w:val="16"/>
                <w:lang w:val="es-MX"/>
              </w:rPr>
              <w:t xml:space="preserve"> Evidencia de que en el sitio de fabricación y donde se realiza el proceso de esterilización se cuenta con personal calificado para realizar la supervisión de estas actividades para asegurar la esterilidad del producto.</w:t>
            </w:r>
          </w:p>
        </w:tc>
        <w:tc>
          <w:tcPr>
            <w:tcW w:w="4421" w:type="dxa"/>
          </w:tcPr>
          <w:p w14:paraId="58C88B2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12.6.2.1 </w:t>
            </w:r>
            <w:r w:rsidRPr="00D429B4">
              <w:rPr>
                <w:rFonts w:ascii="Verdana" w:hAnsi="Verdana"/>
                <w:sz w:val="16"/>
                <w:szCs w:val="16"/>
                <w:lang w:val="en-US"/>
              </w:rPr>
              <w:t xml:space="preserve">Evidence that at the manufacturing site and where the sterilization process is made, there is qualified personnel to supervise these activities to assure the sterility of the product. </w:t>
            </w:r>
          </w:p>
        </w:tc>
      </w:tr>
      <w:tr w:rsidR="00CD67E0" w:rsidRPr="00B838EC" w14:paraId="66AF4DE0" w14:textId="77777777" w:rsidTr="00335F65">
        <w:tc>
          <w:tcPr>
            <w:tcW w:w="4421" w:type="dxa"/>
          </w:tcPr>
          <w:p w14:paraId="3D7B1416"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12.6.2.1.1</w:t>
            </w:r>
            <w:r w:rsidRPr="00D429B4">
              <w:rPr>
                <w:rFonts w:ascii="Verdana" w:hAnsi="Verdana"/>
                <w:sz w:val="16"/>
                <w:szCs w:val="16"/>
                <w:lang w:val="es-MX"/>
              </w:rPr>
              <w:t xml:space="preserve"> Se debe contar con al menos una persona calificada en el área de producción para supervisar el proceso de esterilización y una persona calificada para supervisar el proceso de liberación paramétrica. Este personal debe estar calificado en procesos de esterilización terminal y en técnicas de microbiología.</w:t>
            </w:r>
          </w:p>
        </w:tc>
        <w:tc>
          <w:tcPr>
            <w:tcW w:w="4421" w:type="dxa"/>
          </w:tcPr>
          <w:p w14:paraId="35BE758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12.6.2.1.1 </w:t>
            </w:r>
            <w:r w:rsidRPr="00D429B4">
              <w:rPr>
                <w:rFonts w:ascii="Verdana" w:hAnsi="Verdana"/>
                <w:sz w:val="16"/>
                <w:szCs w:val="16"/>
                <w:lang w:val="en-US"/>
              </w:rPr>
              <w:t xml:space="preserve">There must be at least one qualified person in the production area to supervise the sterilization process and a qualified person to supervise the parametric release process. The personnel must be qualified in terminal sterilization processes and in microbiology techniques. </w:t>
            </w:r>
          </w:p>
        </w:tc>
      </w:tr>
      <w:tr w:rsidR="00CD67E0" w:rsidRPr="00B838EC" w14:paraId="4480A628" w14:textId="77777777" w:rsidTr="00335F65">
        <w:tc>
          <w:tcPr>
            <w:tcW w:w="4421" w:type="dxa"/>
          </w:tcPr>
          <w:p w14:paraId="6E4B6D0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12.6.2.2 </w:t>
            </w:r>
            <w:r w:rsidRPr="00D429B4">
              <w:rPr>
                <w:rFonts w:ascii="Verdana" w:hAnsi="Verdana"/>
                <w:sz w:val="16"/>
                <w:szCs w:val="16"/>
                <w:lang w:val="es-MX"/>
              </w:rPr>
              <w:t>El establecimiento debe contar con un historial de cumplimiento de Buenas Prácticas de Fabricación y contar con certificación vigente emitida por COFEPRIS.</w:t>
            </w:r>
          </w:p>
        </w:tc>
        <w:tc>
          <w:tcPr>
            <w:tcW w:w="4421" w:type="dxa"/>
          </w:tcPr>
          <w:p w14:paraId="5EA3946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12.6.2.2 </w:t>
            </w:r>
            <w:r w:rsidRPr="00D429B4">
              <w:rPr>
                <w:rFonts w:ascii="Verdana" w:hAnsi="Verdana"/>
                <w:sz w:val="16"/>
                <w:szCs w:val="16"/>
                <w:lang w:val="en-US"/>
              </w:rPr>
              <w:t xml:space="preserve">The establishment must have a history of compliance of (GMP) Good Manufacturing Practices and have a current certification issued by COFEPRIS.  </w:t>
            </w:r>
          </w:p>
        </w:tc>
      </w:tr>
      <w:tr w:rsidR="00CD67E0" w:rsidRPr="00B838EC" w14:paraId="4A44F6E2" w14:textId="77777777" w:rsidTr="00335F65">
        <w:tc>
          <w:tcPr>
            <w:tcW w:w="4421" w:type="dxa"/>
          </w:tcPr>
          <w:p w14:paraId="1673209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12.6.2.3 </w:t>
            </w:r>
            <w:r w:rsidRPr="00D429B4">
              <w:rPr>
                <w:rFonts w:ascii="Verdana" w:hAnsi="Verdana"/>
                <w:sz w:val="16"/>
                <w:szCs w:val="16"/>
                <w:lang w:val="es-MX"/>
              </w:rPr>
              <w:t xml:space="preserve">Contar con validación del proceso de esterilización que demuestre un Nivel de Aseguramiento de la Esterilidad (NAE) </w:t>
            </w:r>
            <w:r w:rsidRPr="00D429B4">
              <w:rPr>
                <w:rFonts w:ascii="Verdana" w:hAnsi="Verdana"/>
                <w:sz w:val="16"/>
                <w:szCs w:val="16"/>
                <w:u w:val="single"/>
                <w:lang w:val="es-MX"/>
              </w:rPr>
              <w:t>&gt;</w:t>
            </w:r>
            <w:r w:rsidRPr="00D429B4">
              <w:rPr>
                <w:rFonts w:ascii="Verdana" w:hAnsi="Verdana"/>
                <w:sz w:val="16"/>
                <w:szCs w:val="16"/>
                <w:lang w:val="es-MX"/>
              </w:rPr>
              <w:t> 1 x 10</w:t>
            </w:r>
            <w:r w:rsidRPr="00D429B4">
              <w:rPr>
                <w:rFonts w:ascii="Verdana" w:hAnsi="Verdana"/>
                <w:position w:val="6"/>
                <w:sz w:val="16"/>
                <w:szCs w:val="16"/>
                <w:lang w:val="es-MX"/>
              </w:rPr>
              <w:t>-6</w:t>
            </w:r>
            <w:r w:rsidRPr="00D429B4">
              <w:rPr>
                <w:rFonts w:ascii="Verdana" w:hAnsi="Verdana"/>
                <w:sz w:val="16"/>
                <w:szCs w:val="16"/>
                <w:lang w:val="es-MX"/>
              </w:rPr>
              <w:t xml:space="preserve"> y cumpla con lo establecido en la FEUM.</w:t>
            </w:r>
          </w:p>
        </w:tc>
        <w:tc>
          <w:tcPr>
            <w:tcW w:w="4421" w:type="dxa"/>
          </w:tcPr>
          <w:p w14:paraId="59B6862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12.6.2.3 </w:t>
            </w:r>
            <w:r w:rsidRPr="00D429B4">
              <w:rPr>
                <w:rFonts w:ascii="Verdana" w:hAnsi="Verdana"/>
                <w:sz w:val="16"/>
                <w:szCs w:val="16"/>
                <w:lang w:val="en-US"/>
              </w:rPr>
              <w:t>Have validation of the sterilization process that demonstrates a Sterility Assurance Level (SAL) ≥ 1 x 10</w:t>
            </w:r>
            <w:r w:rsidRPr="00D429B4">
              <w:rPr>
                <w:rFonts w:ascii="Verdana" w:hAnsi="Verdana"/>
                <w:sz w:val="16"/>
                <w:szCs w:val="16"/>
                <w:vertAlign w:val="superscript"/>
                <w:lang w:val="en-US"/>
              </w:rPr>
              <w:t>-6</w:t>
            </w:r>
            <w:r w:rsidRPr="00D429B4">
              <w:rPr>
                <w:rFonts w:ascii="Verdana" w:hAnsi="Verdana"/>
                <w:sz w:val="16"/>
                <w:szCs w:val="16"/>
                <w:lang w:val="en-US"/>
              </w:rPr>
              <w:t xml:space="preserve"> and complies with that established in the FEUM (Pharmacopeia of the United Mexican States).</w:t>
            </w:r>
          </w:p>
        </w:tc>
      </w:tr>
      <w:tr w:rsidR="00CD67E0" w:rsidRPr="00B838EC" w14:paraId="22F41F29" w14:textId="77777777" w:rsidTr="00335F65">
        <w:tc>
          <w:tcPr>
            <w:tcW w:w="4421" w:type="dxa"/>
          </w:tcPr>
          <w:p w14:paraId="52C013D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12.6.2.4 </w:t>
            </w:r>
            <w:r w:rsidRPr="00D429B4">
              <w:rPr>
                <w:rFonts w:ascii="Verdana" w:hAnsi="Verdana"/>
                <w:sz w:val="16"/>
                <w:szCs w:val="16"/>
                <w:lang w:val="es-MX"/>
              </w:rPr>
              <w:t>Contar con validación del sistema contenedor/cierre, a fin de garantizar la integridad y esterilidad del producto.</w:t>
            </w:r>
          </w:p>
        </w:tc>
        <w:tc>
          <w:tcPr>
            <w:tcW w:w="4421" w:type="dxa"/>
          </w:tcPr>
          <w:p w14:paraId="2DC613D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12.6.2.4 </w:t>
            </w:r>
            <w:r w:rsidRPr="00D429B4">
              <w:rPr>
                <w:rFonts w:ascii="Verdana" w:hAnsi="Verdana"/>
                <w:sz w:val="16"/>
                <w:szCs w:val="16"/>
                <w:lang w:val="en-US"/>
              </w:rPr>
              <w:t xml:space="preserve">Have validation of the container/closure system for the purpose of guaranteeing the integrity and sterility of the product. </w:t>
            </w:r>
          </w:p>
        </w:tc>
      </w:tr>
      <w:tr w:rsidR="00CD67E0" w:rsidRPr="00B838EC" w14:paraId="38EBEFBD" w14:textId="77777777" w:rsidTr="00335F65">
        <w:tc>
          <w:tcPr>
            <w:tcW w:w="4421" w:type="dxa"/>
          </w:tcPr>
          <w:p w14:paraId="0A5C2BA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12.6.2.5 </w:t>
            </w:r>
            <w:r w:rsidRPr="00D429B4">
              <w:rPr>
                <w:rFonts w:ascii="Verdana" w:hAnsi="Verdana"/>
                <w:sz w:val="16"/>
                <w:szCs w:val="16"/>
                <w:lang w:val="es-MX"/>
              </w:rPr>
              <w:t>Contar con un histórico de datos, el cual incluya como mínimo datos de parámetros críticos y de resultados de la prueba de esterilidad satisfactorios, obtenidos en al menos 20 lotes del producto a fin de evidenciar que el programa de aseguramiento de la esterilidad se encuentra bajo control.</w:t>
            </w:r>
          </w:p>
        </w:tc>
        <w:tc>
          <w:tcPr>
            <w:tcW w:w="4421" w:type="dxa"/>
          </w:tcPr>
          <w:p w14:paraId="0D02A12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12.6.2.5 </w:t>
            </w:r>
            <w:r w:rsidRPr="00D429B4">
              <w:rPr>
                <w:rFonts w:ascii="Verdana" w:hAnsi="Verdana"/>
                <w:sz w:val="16"/>
                <w:szCs w:val="16"/>
                <w:lang w:val="en-US"/>
              </w:rPr>
              <w:t>Have a data history which includes as a minimum</w:t>
            </w:r>
            <w:r>
              <w:rPr>
                <w:rFonts w:ascii="Verdana" w:hAnsi="Verdana"/>
                <w:sz w:val="16"/>
                <w:szCs w:val="16"/>
                <w:lang w:val="en-US"/>
              </w:rPr>
              <w:t xml:space="preserve"> the</w:t>
            </w:r>
            <w:r w:rsidRPr="00D429B4">
              <w:rPr>
                <w:rFonts w:ascii="Verdana" w:hAnsi="Verdana"/>
                <w:sz w:val="16"/>
                <w:szCs w:val="16"/>
                <w:lang w:val="en-US"/>
              </w:rPr>
              <w:t xml:space="preserve"> critical parameter data and satisfactory results of the sterility test, obtained in at least 20 product lots for the purpose of verifying that the program of sterility assurance is under control. </w:t>
            </w:r>
          </w:p>
        </w:tc>
      </w:tr>
      <w:tr w:rsidR="00CD67E0" w:rsidRPr="00B838EC" w14:paraId="30FBC6A7" w14:textId="77777777" w:rsidTr="00335F65">
        <w:tc>
          <w:tcPr>
            <w:tcW w:w="4421" w:type="dxa"/>
          </w:tcPr>
          <w:p w14:paraId="4E58F87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12.6.2.6 </w:t>
            </w:r>
            <w:r w:rsidRPr="00D429B4">
              <w:rPr>
                <w:rFonts w:ascii="Verdana" w:hAnsi="Verdana"/>
                <w:sz w:val="16"/>
                <w:szCs w:val="16"/>
                <w:lang w:val="es-MX"/>
              </w:rPr>
              <w:t>Contar con un historial de comercialización de al menos 3 años.</w:t>
            </w:r>
          </w:p>
        </w:tc>
        <w:tc>
          <w:tcPr>
            <w:tcW w:w="4421" w:type="dxa"/>
          </w:tcPr>
          <w:p w14:paraId="46406F5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12.6.2.6 </w:t>
            </w:r>
            <w:r w:rsidRPr="00D429B4">
              <w:rPr>
                <w:rFonts w:ascii="Verdana" w:hAnsi="Verdana"/>
                <w:sz w:val="16"/>
                <w:szCs w:val="16"/>
                <w:lang w:val="en-US"/>
              </w:rPr>
              <w:t xml:space="preserve">Have a history of commercial distribution of at least 3 years. </w:t>
            </w:r>
          </w:p>
        </w:tc>
      </w:tr>
      <w:tr w:rsidR="00CD67E0" w:rsidRPr="00B838EC" w14:paraId="54D5ED4C" w14:textId="77777777" w:rsidTr="00335F65">
        <w:tc>
          <w:tcPr>
            <w:tcW w:w="4421" w:type="dxa"/>
          </w:tcPr>
          <w:p w14:paraId="4600C60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12.6.2.7 </w:t>
            </w:r>
            <w:r w:rsidRPr="00D429B4">
              <w:rPr>
                <w:rFonts w:ascii="Verdana" w:hAnsi="Verdana"/>
                <w:sz w:val="16"/>
                <w:szCs w:val="16"/>
                <w:lang w:val="es-MX"/>
              </w:rPr>
              <w:t>Someter los Reportes de Revisión Anual de producto de los últimos 3 años.</w:t>
            </w:r>
          </w:p>
        </w:tc>
        <w:tc>
          <w:tcPr>
            <w:tcW w:w="4421" w:type="dxa"/>
          </w:tcPr>
          <w:p w14:paraId="26BA518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12.6.2.7 </w:t>
            </w:r>
            <w:r w:rsidRPr="00D429B4">
              <w:rPr>
                <w:rFonts w:ascii="Verdana" w:hAnsi="Verdana"/>
                <w:sz w:val="16"/>
                <w:szCs w:val="16"/>
                <w:lang w:val="en-US"/>
              </w:rPr>
              <w:t xml:space="preserve">Submit the Annual Review Reports of product for the last 3 years. </w:t>
            </w:r>
          </w:p>
        </w:tc>
      </w:tr>
      <w:tr w:rsidR="00CD67E0" w:rsidRPr="00B838EC" w14:paraId="2CFB12EE" w14:textId="77777777" w:rsidTr="00335F65">
        <w:tc>
          <w:tcPr>
            <w:tcW w:w="4421" w:type="dxa"/>
          </w:tcPr>
          <w:p w14:paraId="2DFD6D3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12.6.2.8</w:t>
            </w:r>
            <w:r w:rsidRPr="00D429B4">
              <w:rPr>
                <w:rFonts w:ascii="Verdana" w:hAnsi="Verdana"/>
                <w:sz w:val="16"/>
                <w:szCs w:val="16"/>
                <w:lang w:val="es-MX"/>
              </w:rPr>
              <w:t xml:space="preserve"> Implementación de uso de indicadores por carga.</w:t>
            </w:r>
          </w:p>
        </w:tc>
        <w:tc>
          <w:tcPr>
            <w:tcW w:w="4421" w:type="dxa"/>
          </w:tcPr>
          <w:p w14:paraId="6E54242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12.6.2.8 </w:t>
            </w:r>
            <w:r w:rsidRPr="00D429B4">
              <w:rPr>
                <w:rFonts w:ascii="Verdana" w:hAnsi="Verdana"/>
                <w:sz w:val="16"/>
                <w:szCs w:val="16"/>
                <w:lang w:val="en-US"/>
              </w:rPr>
              <w:t xml:space="preserve">Implementation of the use of loading indicators. </w:t>
            </w:r>
          </w:p>
        </w:tc>
      </w:tr>
      <w:tr w:rsidR="00CD67E0" w:rsidRPr="00B838EC" w14:paraId="59414EEB" w14:textId="77777777" w:rsidTr="00335F65">
        <w:tc>
          <w:tcPr>
            <w:tcW w:w="4421" w:type="dxa"/>
          </w:tcPr>
          <w:p w14:paraId="3712019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12.6.2.8.1 </w:t>
            </w:r>
            <w:r w:rsidRPr="00D429B4">
              <w:rPr>
                <w:rFonts w:ascii="Verdana" w:hAnsi="Verdana"/>
                <w:sz w:val="16"/>
                <w:szCs w:val="16"/>
                <w:lang w:val="es-MX"/>
              </w:rPr>
              <w:t>La localización de los indicadores debe cumplir con la información adquirida en la calificación del equipo y validación del proceso de esterilización.</w:t>
            </w:r>
          </w:p>
        </w:tc>
        <w:tc>
          <w:tcPr>
            <w:tcW w:w="4421" w:type="dxa"/>
          </w:tcPr>
          <w:p w14:paraId="48D2C7A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12.6.2.8.1 </w:t>
            </w:r>
            <w:r w:rsidRPr="00D429B4">
              <w:rPr>
                <w:rFonts w:ascii="Verdana" w:hAnsi="Verdana"/>
                <w:sz w:val="16"/>
                <w:szCs w:val="16"/>
                <w:lang w:val="en-US"/>
              </w:rPr>
              <w:t xml:space="preserve">The location of the indicators must comply with the information acquired in the qualification of the equipment and validation of the sterilization process. </w:t>
            </w:r>
          </w:p>
        </w:tc>
      </w:tr>
      <w:tr w:rsidR="00CD67E0" w:rsidRPr="00B838EC" w14:paraId="4D015032" w14:textId="77777777" w:rsidTr="00335F65">
        <w:tc>
          <w:tcPr>
            <w:tcW w:w="4421" w:type="dxa"/>
          </w:tcPr>
          <w:p w14:paraId="397D68A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12.6.2.8.2 </w:t>
            </w:r>
            <w:r w:rsidRPr="00D429B4">
              <w:rPr>
                <w:rFonts w:ascii="Verdana" w:hAnsi="Verdana"/>
                <w:sz w:val="16"/>
                <w:szCs w:val="16"/>
                <w:lang w:val="es-MX"/>
              </w:rPr>
              <w:t>El uso de indicadores de temperatura, biológicos o químicos deberá estar justificado y debidamente documentado.</w:t>
            </w:r>
          </w:p>
        </w:tc>
        <w:tc>
          <w:tcPr>
            <w:tcW w:w="4421" w:type="dxa"/>
          </w:tcPr>
          <w:p w14:paraId="1B23F1D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12.6.2.8.2 </w:t>
            </w:r>
            <w:r w:rsidRPr="00D429B4">
              <w:rPr>
                <w:rFonts w:ascii="Verdana" w:hAnsi="Verdana"/>
                <w:sz w:val="16"/>
                <w:szCs w:val="16"/>
                <w:lang w:val="en-US"/>
              </w:rPr>
              <w:t xml:space="preserve">The use of temperature, biological or chemical indicators must be justified and duly documented. </w:t>
            </w:r>
          </w:p>
        </w:tc>
      </w:tr>
      <w:tr w:rsidR="00CD67E0" w:rsidRPr="00B838EC" w14:paraId="6A8B2138" w14:textId="77777777" w:rsidTr="00335F65">
        <w:tc>
          <w:tcPr>
            <w:tcW w:w="4421" w:type="dxa"/>
          </w:tcPr>
          <w:p w14:paraId="466E638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12.6.2.9 </w:t>
            </w:r>
            <w:r w:rsidRPr="00D429B4">
              <w:rPr>
                <w:rFonts w:ascii="Verdana" w:hAnsi="Verdana"/>
                <w:sz w:val="16"/>
                <w:szCs w:val="16"/>
                <w:lang w:val="es-MX"/>
              </w:rPr>
              <w:t>Demostrar que el desempeño del Sistema de Gestión de Calidad es eficaz.</w:t>
            </w:r>
          </w:p>
        </w:tc>
        <w:tc>
          <w:tcPr>
            <w:tcW w:w="4421" w:type="dxa"/>
          </w:tcPr>
          <w:p w14:paraId="13EC47C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12.6.2.9 </w:t>
            </w:r>
            <w:r w:rsidRPr="00D429B4">
              <w:rPr>
                <w:rFonts w:ascii="Verdana" w:hAnsi="Verdana"/>
                <w:sz w:val="16"/>
                <w:szCs w:val="16"/>
                <w:lang w:val="en-US"/>
              </w:rPr>
              <w:t>Demonstrate that the performance of the Quality Management System is efficient.</w:t>
            </w:r>
          </w:p>
        </w:tc>
      </w:tr>
      <w:tr w:rsidR="00CD67E0" w:rsidRPr="00B838EC" w14:paraId="1FA94B9F" w14:textId="77777777" w:rsidTr="00335F65">
        <w:tc>
          <w:tcPr>
            <w:tcW w:w="4421" w:type="dxa"/>
          </w:tcPr>
          <w:p w14:paraId="76863F7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 </w:t>
            </w:r>
            <w:r w:rsidRPr="00D429B4">
              <w:rPr>
                <w:rFonts w:ascii="Verdana" w:hAnsi="Verdana"/>
                <w:sz w:val="16"/>
                <w:szCs w:val="16"/>
                <w:lang w:val="es-MX"/>
              </w:rPr>
              <w:t>Para la liberación del producto se debe efectuar una revisión de los criterios de aprobación para este tipo de liberación, los cuales deben incluir entre otros, los siguientes:</w:t>
            </w:r>
          </w:p>
        </w:tc>
        <w:tc>
          <w:tcPr>
            <w:tcW w:w="4421" w:type="dxa"/>
          </w:tcPr>
          <w:p w14:paraId="173D246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 </w:t>
            </w:r>
            <w:r w:rsidRPr="00D429B4">
              <w:rPr>
                <w:rFonts w:ascii="Verdana" w:hAnsi="Verdana"/>
                <w:sz w:val="16"/>
                <w:szCs w:val="16"/>
                <w:lang w:val="en-US"/>
              </w:rPr>
              <w:t xml:space="preserve">For the release of the product, a review must be made of the approval criteria for this type of release, which must include, among others, the following: </w:t>
            </w:r>
          </w:p>
        </w:tc>
      </w:tr>
      <w:tr w:rsidR="00CD67E0" w:rsidRPr="00B838EC" w14:paraId="761A7962" w14:textId="77777777" w:rsidTr="00335F65">
        <w:tc>
          <w:tcPr>
            <w:tcW w:w="4421" w:type="dxa"/>
          </w:tcPr>
          <w:p w14:paraId="3CC6D6F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12.6.3.1 </w:t>
            </w:r>
            <w:r w:rsidRPr="00D429B4">
              <w:rPr>
                <w:rFonts w:ascii="Verdana" w:hAnsi="Verdana"/>
                <w:sz w:val="16"/>
                <w:szCs w:val="16"/>
                <w:lang w:val="es-MX"/>
              </w:rPr>
              <w:t>Revisión de patrones de carga empleados en la esterilización que estén de acuerdo a la condición validada.</w:t>
            </w:r>
          </w:p>
        </w:tc>
        <w:tc>
          <w:tcPr>
            <w:tcW w:w="4421" w:type="dxa"/>
          </w:tcPr>
          <w:p w14:paraId="3330E6F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12.6.3.1 </w:t>
            </w:r>
            <w:r w:rsidRPr="00D429B4">
              <w:rPr>
                <w:rFonts w:ascii="Verdana" w:hAnsi="Verdana"/>
                <w:sz w:val="16"/>
                <w:szCs w:val="16"/>
                <w:lang w:val="en-US"/>
              </w:rPr>
              <w:t xml:space="preserve">Review of loading pattern employed in the sterilization that are according to the validated condition. </w:t>
            </w:r>
          </w:p>
        </w:tc>
      </w:tr>
      <w:tr w:rsidR="00CD67E0" w:rsidRPr="00B838EC" w14:paraId="66836F8F" w14:textId="77777777" w:rsidTr="00335F65">
        <w:tc>
          <w:tcPr>
            <w:tcW w:w="4421" w:type="dxa"/>
          </w:tcPr>
          <w:p w14:paraId="70AFA00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12.6.3.2 </w:t>
            </w:r>
            <w:r w:rsidRPr="00D429B4">
              <w:rPr>
                <w:rFonts w:ascii="Verdana" w:hAnsi="Verdana"/>
                <w:sz w:val="16"/>
                <w:szCs w:val="16"/>
                <w:lang w:val="es-MX"/>
              </w:rPr>
              <w:t>Revisión de uso y revisión de indicadores empleados por carga.</w:t>
            </w:r>
          </w:p>
        </w:tc>
        <w:tc>
          <w:tcPr>
            <w:tcW w:w="4421" w:type="dxa"/>
          </w:tcPr>
          <w:p w14:paraId="1C9A4CD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12.6.3.2 </w:t>
            </w:r>
            <w:r w:rsidRPr="00D429B4">
              <w:rPr>
                <w:rFonts w:ascii="Verdana" w:hAnsi="Verdana"/>
                <w:sz w:val="16"/>
                <w:szCs w:val="16"/>
                <w:lang w:val="en-US"/>
              </w:rPr>
              <w:t xml:space="preserve">Review of use and review of indicators employed by load. </w:t>
            </w:r>
          </w:p>
        </w:tc>
      </w:tr>
      <w:tr w:rsidR="00CD67E0" w:rsidRPr="00B838EC" w14:paraId="6F5F3D46" w14:textId="77777777" w:rsidTr="00335F65">
        <w:tc>
          <w:tcPr>
            <w:tcW w:w="4421" w:type="dxa"/>
          </w:tcPr>
          <w:p w14:paraId="5B5BA06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12.6.3.3 </w:t>
            </w:r>
            <w:r w:rsidRPr="00D429B4">
              <w:rPr>
                <w:rFonts w:ascii="Verdana" w:hAnsi="Verdana"/>
                <w:sz w:val="16"/>
                <w:szCs w:val="16"/>
                <w:lang w:val="es-MX"/>
              </w:rPr>
              <w:t>Revisión de la consistencia de la ejecución del ciclo de esterilización dentro de los límites validados.</w:t>
            </w:r>
          </w:p>
        </w:tc>
        <w:tc>
          <w:tcPr>
            <w:tcW w:w="4421" w:type="dxa"/>
          </w:tcPr>
          <w:p w14:paraId="65259F5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12.6.3.3 </w:t>
            </w:r>
            <w:r w:rsidRPr="00D429B4">
              <w:rPr>
                <w:rFonts w:ascii="Verdana" w:hAnsi="Verdana"/>
                <w:sz w:val="16"/>
                <w:szCs w:val="16"/>
                <w:lang w:val="en-US"/>
              </w:rPr>
              <w:t xml:space="preserve">Review of the consistency of the execution of the sterilization cycle within the validated limits. </w:t>
            </w:r>
          </w:p>
        </w:tc>
      </w:tr>
      <w:tr w:rsidR="00CD67E0" w:rsidRPr="00B838EC" w14:paraId="6C1B13DD" w14:textId="77777777" w:rsidTr="00335F65">
        <w:tc>
          <w:tcPr>
            <w:tcW w:w="4421" w:type="dxa"/>
          </w:tcPr>
          <w:p w14:paraId="33BE90C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12.6.3.4 </w:t>
            </w:r>
            <w:r w:rsidRPr="00D429B4">
              <w:rPr>
                <w:rFonts w:ascii="Verdana" w:hAnsi="Verdana"/>
                <w:sz w:val="16"/>
                <w:szCs w:val="16"/>
                <w:lang w:val="es-MX"/>
              </w:rPr>
              <w:t>Revisión del sistema de control implementado a fin de verificar que la carga se expuso al proceso de esterilización.</w:t>
            </w:r>
          </w:p>
        </w:tc>
        <w:tc>
          <w:tcPr>
            <w:tcW w:w="4421" w:type="dxa"/>
          </w:tcPr>
          <w:p w14:paraId="30C40C5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12.6.3.4 </w:t>
            </w:r>
            <w:r w:rsidRPr="00D429B4">
              <w:rPr>
                <w:rFonts w:ascii="Verdana" w:hAnsi="Verdana"/>
                <w:sz w:val="16"/>
                <w:szCs w:val="16"/>
                <w:lang w:val="en-US"/>
              </w:rPr>
              <w:t xml:space="preserve">Review of the control system implemented for the purpose of verifying that the load is exposed to the sterilization process. </w:t>
            </w:r>
          </w:p>
        </w:tc>
      </w:tr>
      <w:tr w:rsidR="00CD67E0" w:rsidRPr="00B838EC" w14:paraId="1D56978B" w14:textId="77777777" w:rsidTr="00335F65">
        <w:tc>
          <w:tcPr>
            <w:tcW w:w="4421" w:type="dxa"/>
          </w:tcPr>
          <w:p w14:paraId="65D5FB7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12.6.3.5 </w:t>
            </w:r>
            <w:r w:rsidRPr="00D429B4">
              <w:rPr>
                <w:rFonts w:ascii="Verdana" w:hAnsi="Verdana"/>
                <w:sz w:val="16"/>
                <w:szCs w:val="16"/>
                <w:lang w:val="es-MX"/>
              </w:rPr>
              <w:t>Revisión de resultados de monitoreo microbiológico del producto, componentes y aire ambiental.</w:t>
            </w:r>
          </w:p>
        </w:tc>
        <w:tc>
          <w:tcPr>
            <w:tcW w:w="4421" w:type="dxa"/>
          </w:tcPr>
          <w:p w14:paraId="5D1C2F7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12.6.3.5 </w:t>
            </w:r>
            <w:r w:rsidRPr="00D429B4">
              <w:rPr>
                <w:rFonts w:ascii="Verdana" w:hAnsi="Verdana"/>
                <w:sz w:val="16"/>
                <w:szCs w:val="16"/>
                <w:lang w:val="en-US"/>
              </w:rPr>
              <w:t xml:space="preserve">Review of the results of microbiological monitoring of the product, components and environmental air. </w:t>
            </w:r>
          </w:p>
        </w:tc>
      </w:tr>
      <w:tr w:rsidR="00CD67E0" w:rsidRPr="00B838EC" w14:paraId="6996A7A2" w14:textId="77777777" w:rsidTr="00335F65">
        <w:tc>
          <w:tcPr>
            <w:tcW w:w="4421" w:type="dxa"/>
          </w:tcPr>
          <w:p w14:paraId="1E006DC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12.6.3.6 </w:t>
            </w:r>
            <w:r w:rsidRPr="00D429B4">
              <w:rPr>
                <w:rFonts w:ascii="Verdana" w:hAnsi="Verdana"/>
                <w:sz w:val="16"/>
                <w:szCs w:val="16"/>
                <w:lang w:val="es-MX"/>
              </w:rPr>
              <w:t>Revisión del sistema contenedor/cierre.</w:t>
            </w:r>
          </w:p>
        </w:tc>
        <w:tc>
          <w:tcPr>
            <w:tcW w:w="4421" w:type="dxa"/>
          </w:tcPr>
          <w:p w14:paraId="117FA98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12.6.3.6 </w:t>
            </w:r>
            <w:r w:rsidRPr="00D429B4">
              <w:rPr>
                <w:rFonts w:ascii="Verdana" w:hAnsi="Verdana"/>
                <w:sz w:val="16"/>
                <w:szCs w:val="16"/>
                <w:lang w:val="en-US"/>
              </w:rPr>
              <w:t>Review of the container/closure system.</w:t>
            </w:r>
          </w:p>
        </w:tc>
      </w:tr>
      <w:tr w:rsidR="00CD67E0" w:rsidRPr="00B838EC" w14:paraId="242A140E" w14:textId="77777777" w:rsidTr="00335F65">
        <w:tc>
          <w:tcPr>
            <w:tcW w:w="4421" w:type="dxa"/>
          </w:tcPr>
          <w:p w14:paraId="53A9CFA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12.6.3.7 </w:t>
            </w:r>
            <w:r w:rsidRPr="00D429B4">
              <w:rPr>
                <w:rFonts w:ascii="Verdana" w:hAnsi="Verdana"/>
                <w:sz w:val="16"/>
                <w:szCs w:val="16"/>
                <w:lang w:val="es-MX"/>
              </w:rPr>
              <w:t>Revisión de métodos de monitoreo y control.</w:t>
            </w:r>
          </w:p>
        </w:tc>
        <w:tc>
          <w:tcPr>
            <w:tcW w:w="4421" w:type="dxa"/>
          </w:tcPr>
          <w:p w14:paraId="3490701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12.6.3.7 </w:t>
            </w:r>
            <w:r w:rsidRPr="00D429B4">
              <w:rPr>
                <w:rFonts w:ascii="Verdana" w:hAnsi="Verdana"/>
                <w:sz w:val="16"/>
                <w:szCs w:val="16"/>
                <w:lang w:val="en-US"/>
              </w:rPr>
              <w:t xml:space="preserve">Review of the monitoring and control methods. </w:t>
            </w:r>
          </w:p>
        </w:tc>
      </w:tr>
      <w:tr w:rsidR="00CD67E0" w:rsidRPr="00DD29AF" w14:paraId="639D5DE8" w14:textId="77777777" w:rsidTr="00335F65">
        <w:tc>
          <w:tcPr>
            <w:tcW w:w="4421" w:type="dxa"/>
          </w:tcPr>
          <w:p w14:paraId="7D5018C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12.6.3.8 </w:t>
            </w:r>
            <w:r w:rsidRPr="00D429B4">
              <w:rPr>
                <w:rFonts w:ascii="Verdana" w:hAnsi="Verdana"/>
                <w:sz w:val="16"/>
                <w:szCs w:val="16"/>
                <w:lang w:val="es-MX"/>
              </w:rPr>
              <w:t>Revisión de procedimientos de producción</w:t>
            </w:r>
          </w:p>
        </w:tc>
        <w:tc>
          <w:tcPr>
            <w:tcW w:w="4421" w:type="dxa"/>
          </w:tcPr>
          <w:p w14:paraId="04D467C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12.6.3.8 </w:t>
            </w:r>
            <w:r w:rsidRPr="00D429B4">
              <w:rPr>
                <w:rFonts w:ascii="Verdana" w:hAnsi="Verdana"/>
                <w:sz w:val="16"/>
                <w:szCs w:val="16"/>
                <w:lang w:val="en-US"/>
              </w:rPr>
              <w:t>Review of production procedures</w:t>
            </w:r>
          </w:p>
        </w:tc>
      </w:tr>
      <w:tr w:rsidR="00CD67E0" w:rsidRPr="00B838EC" w14:paraId="1A75CA07" w14:textId="77777777" w:rsidTr="00335F65">
        <w:tc>
          <w:tcPr>
            <w:tcW w:w="4421" w:type="dxa"/>
          </w:tcPr>
          <w:p w14:paraId="272884B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12.6.3.9 </w:t>
            </w:r>
            <w:r w:rsidRPr="00D429B4">
              <w:rPr>
                <w:rFonts w:ascii="Verdana" w:hAnsi="Verdana"/>
                <w:sz w:val="16"/>
                <w:szCs w:val="16"/>
                <w:lang w:val="es-MX"/>
              </w:rPr>
              <w:t>Revisión del expediente de fabricación completo, de acuerdo al punto 12.2 de esta Norma.</w:t>
            </w:r>
          </w:p>
        </w:tc>
        <w:tc>
          <w:tcPr>
            <w:tcW w:w="4421" w:type="dxa"/>
          </w:tcPr>
          <w:p w14:paraId="58784ED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12.6.3.9 </w:t>
            </w:r>
            <w:r w:rsidRPr="00D429B4">
              <w:rPr>
                <w:rFonts w:ascii="Verdana" w:hAnsi="Verdana"/>
                <w:sz w:val="16"/>
                <w:szCs w:val="16"/>
                <w:lang w:val="en-US"/>
              </w:rPr>
              <w:t>Review of the complete manufacturing file, according to point 12.2 of this Standard.</w:t>
            </w:r>
          </w:p>
        </w:tc>
      </w:tr>
      <w:tr w:rsidR="00CD67E0" w:rsidRPr="00B838EC" w14:paraId="75596CBF" w14:textId="77777777" w:rsidTr="00335F65">
        <w:tc>
          <w:tcPr>
            <w:tcW w:w="4421" w:type="dxa"/>
          </w:tcPr>
          <w:p w14:paraId="33D4374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12.6.3.10 </w:t>
            </w:r>
            <w:r w:rsidRPr="00D429B4">
              <w:rPr>
                <w:rFonts w:ascii="Verdana" w:hAnsi="Verdana"/>
                <w:sz w:val="16"/>
                <w:szCs w:val="16"/>
                <w:lang w:val="es-MX"/>
              </w:rPr>
              <w:t>Los siguientes elementos adicionales deben ser confirmados antes de la liberación de cada lote de producto:</w:t>
            </w:r>
          </w:p>
        </w:tc>
        <w:tc>
          <w:tcPr>
            <w:tcW w:w="4421" w:type="dxa"/>
          </w:tcPr>
          <w:p w14:paraId="6F5A46C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12.6.3.10 </w:t>
            </w:r>
            <w:r w:rsidRPr="00D429B4">
              <w:rPr>
                <w:rFonts w:ascii="Verdana" w:hAnsi="Verdana"/>
                <w:sz w:val="16"/>
                <w:szCs w:val="16"/>
                <w:lang w:val="en-US"/>
              </w:rPr>
              <w:t xml:space="preserve">The following additional elements must be confirmed before the release of each product lot: </w:t>
            </w:r>
          </w:p>
        </w:tc>
      </w:tr>
      <w:tr w:rsidR="00CD67E0" w:rsidRPr="00B838EC" w14:paraId="45DCA2D4" w14:textId="77777777" w:rsidTr="00335F65">
        <w:tc>
          <w:tcPr>
            <w:tcW w:w="4421" w:type="dxa"/>
          </w:tcPr>
          <w:p w14:paraId="02ADC75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12.6.3.10.1 </w:t>
            </w:r>
            <w:r w:rsidRPr="00D429B4">
              <w:rPr>
                <w:rFonts w:ascii="Verdana" w:hAnsi="Verdana"/>
                <w:sz w:val="16"/>
                <w:szCs w:val="16"/>
                <w:lang w:val="es-MX"/>
              </w:rPr>
              <w:t>Todas las operaciones de mantenimiento y los controles de rutina programados para el esterilizador.</w:t>
            </w:r>
          </w:p>
        </w:tc>
        <w:tc>
          <w:tcPr>
            <w:tcW w:w="4421" w:type="dxa"/>
          </w:tcPr>
          <w:p w14:paraId="5FC5E48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12.6.3.10.1 </w:t>
            </w:r>
            <w:r w:rsidRPr="00D429B4">
              <w:rPr>
                <w:rFonts w:ascii="Verdana" w:hAnsi="Verdana"/>
                <w:sz w:val="16"/>
                <w:szCs w:val="16"/>
                <w:lang w:val="en-US"/>
              </w:rPr>
              <w:t xml:space="preserve">All the maintenance operations and the routine controls programmed for the sterilizer. </w:t>
            </w:r>
          </w:p>
        </w:tc>
      </w:tr>
      <w:tr w:rsidR="00CD67E0" w:rsidRPr="00B838EC" w14:paraId="066C66DD" w14:textId="77777777" w:rsidTr="00335F65">
        <w:tc>
          <w:tcPr>
            <w:tcW w:w="4421" w:type="dxa"/>
          </w:tcPr>
          <w:p w14:paraId="3C5F67B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12.6.3.10.2 </w:t>
            </w:r>
            <w:r w:rsidRPr="00D429B4">
              <w:rPr>
                <w:rFonts w:ascii="Verdana" w:hAnsi="Verdana"/>
                <w:sz w:val="16"/>
                <w:szCs w:val="16"/>
                <w:lang w:val="es-MX"/>
              </w:rPr>
              <w:t>Todos los instrumentos de medición del esterilizador estén calibrados</w:t>
            </w:r>
          </w:p>
        </w:tc>
        <w:tc>
          <w:tcPr>
            <w:tcW w:w="4421" w:type="dxa"/>
          </w:tcPr>
          <w:p w14:paraId="3319F8D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12.6.3.10.2 </w:t>
            </w:r>
            <w:r w:rsidRPr="00D429B4">
              <w:rPr>
                <w:rFonts w:ascii="Verdana" w:hAnsi="Verdana"/>
                <w:sz w:val="16"/>
                <w:szCs w:val="16"/>
                <w:lang w:val="en-US"/>
              </w:rPr>
              <w:t xml:space="preserve">All the measuring instruments of the sterilizer are calibrated. </w:t>
            </w:r>
          </w:p>
        </w:tc>
      </w:tr>
      <w:tr w:rsidR="00CD67E0" w:rsidRPr="00B838EC" w14:paraId="5ADFD22D" w14:textId="77777777" w:rsidTr="00335F65">
        <w:tc>
          <w:tcPr>
            <w:tcW w:w="4421" w:type="dxa"/>
          </w:tcPr>
          <w:p w14:paraId="07B2F17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12.6.3.11 </w:t>
            </w:r>
            <w:r w:rsidRPr="00D429B4">
              <w:rPr>
                <w:rFonts w:ascii="Verdana" w:hAnsi="Verdana"/>
                <w:sz w:val="16"/>
                <w:szCs w:val="16"/>
                <w:lang w:val="es-MX"/>
              </w:rPr>
              <w:t>En caso de que no se cumpla un parámetro crítico de proceso no se podrá utilizar la prueba de esterilidad como prueba alternativa para liberar el lote.</w:t>
            </w:r>
          </w:p>
        </w:tc>
        <w:tc>
          <w:tcPr>
            <w:tcW w:w="4421" w:type="dxa"/>
          </w:tcPr>
          <w:p w14:paraId="76E56EF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12.6.3.11 </w:t>
            </w:r>
            <w:r w:rsidRPr="00D429B4">
              <w:rPr>
                <w:rFonts w:ascii="Verdana" w:hAnsi="Verdana"/>
                <w:sz w:val="16"/>
                <w:szCs w:val="16"/>
                <w:lang w:val="en-US"/>
              </w:rPr>
              <w:t xml:space="preserve">When a critical process parameter is not complied, the sterility test cannot be used as an alternative test to release the lot. </w:t>
            </w:r>
          </w:p>
        </w:tc>
      </w:tr>
      <w:tr w:rsidR="00CD67E0" w:rsidRPr="00B838EC" w14:paraId="205E6858" w14:textId="77777777" w:rsidTr="00335F65">
        <w:tc>
          <w:tcPr>
            <w:tcW w:w="4421" w:type="dxa"/>
          </w:tcPr>
          <w:p w14:paraId="578EE25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12.6.3.12 </w:t>
            </w:r>
            <w:r w:rsidRPr="00D429B4">
              <w:rPr>
                <w:rFonts w:ascii="Verdana" w:hAnsi="Verdana"/>
                <w:sz w:val="16"/>
                <w:szCs w:val="16"/>
                <w:lang w:val="es-MX"/>
              </w:rPr>
              <w:t>Cuando el lote no cumpla con alguno de los criterios de aceptación, debe rechazarse.</w:t>
            </w:r>
          </w:p>
        </w:tc>
        <w:tc>
          <w:tcPr>
            <w:tcW w:w="4421" w:type="dxa"/>
          </w:tcPr>
          <w:p w14:paraId="1F8DDCD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12.6.3.12 </w:t>
            </w:r>
            <w:r w:rsidRPr="00D429B4">
              <w:rPr>
                <w:rFonts w:ascii="Verdana" w:hAnsi="Verdana"/>
                <w:sz w:val="16"/>
                <w:szCs w:val="16"/>
                <w:lang w:val="en-US"/>
              </w:rPr>
              <w:t xml:space="preserve">When the lot does not comply with one of the acceptance criteria, it must be rejected. </w:t>
            </w:r>
          </w:p>
        </w:tc>
      </w:tr>
      <w:tr w:rsidR="00CD67E0" w:rsidRPr="00B838EC" w14:paraId="582B2141" w14:textId="77777777" w:rsidTr="00335F65">
        <w:tc>
          <w:tcPr>
            <w:tcW w:w="4421" w:type="dxa"/>
          </w:tcPr>
          <w:p w14:paraId="60D5C6F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12.6.4 </w:t>
            </w:r>
            <w:r w:rsidRPr="00D429B4">
              <w:rPr>
                <w:rFonts w:ascii="Verdana" w:hAnsi="Verdana"/>
                <w:sz w:val="16"/>
                <w:szCs w:val="16"/>
                <w:lang w:val="es-MX"/>
              </w:rPr>
              <w:t>Debe implementarse un sistema de evaluación del programa de liberación paramétrica, que permita documentar y mantener en estado de control el programa de esterilidad, que incluya al menos lo siguiente:</w:t>
            </w:r>
          </w:p>
        </w:tc>
        <w:tc>
          <w:tcPr>
            <w:tcW w:w="4421" w:type="dxa"/>
          </w:tcPr>
          <w:p w14:paraId="043DF6A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12.6.4 </w:t>
            </w:r>
            <w:r w:rsidRPr="00D429B4">
              <w:rPr>
                <w:rFonts w:ascii="Verdana" w:hAnsi="Verdana"/>
                <w:sz w:val="16"/>
                <w:szCs w:val="16"/>
                <w:lang w:val="en-US"/>
              </w:rPr>
              <w:t xml:space="preserve">An evaluation system of the parametric release program must be implemented that permits documenting and maintaining in state of control the sterility program that includes at least the following: </w:t>
            </w:r>
          </w:p>
        </w:tc>
      </w:tr>
      <w:tr w:rsidR="00CD67E0" w:rsidRPr="00B838EC" w14:paraId="31295035" w14:textId="77777777" w:rsidTr="00335F65">
        <w:tc>
          <w:tcPr>
            <w:tcW w:w="4421" w:type="dxa"/>
          </w:tcPr>
          <w:p w14:paraId="09A79F3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12.6.4.1</w:t>
            </w:r>
            <w:r w:rsidRPr="00D429B4">
              <w:rPr>
                <w:rFonts w:ascii="Verdana" w:hAnsi="Verdana"/>
                <w:sz w:val="16"/>
                <w:szCs w:val="16"/>
                <w:lang w:val="es-MX"/>
              </w:rPr>
              <w:t xml:space="preserve"> El sistema de control de cambios debe requerir revisión de todo cambio propuesto por parte del personal de garantía de calidad involucrado en el proceso de liberación paramétrica.</w:t>
            </w:r>
          </w:p>
        </w:tc>
        <w:tc>
          <w:tcPr>
            <w:tcW w:w="4421" w:type="dxa"/>
          </w:tcPr>
          <w:p w14:paraId="7E94E53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12.6.4.1 </w:t>
            </w:r>
            <w:r w:rsidRPr="00D429B4">
              <w:rPr>
                <w:rFonts w:ascii="Verdana" w:hAnsi="Verdana"/>
                <w:sz w:val="16"/>
                <w:szCs w:val="16"/>
                <w:lang w:val="en-US"/>
              </w:rPr>
              <w:t xml:space="preserve">The control of changes system must require a review of all changes proposed the quality guarantee personnel involved in the parametric release program. </w:t>
            </w:r>
          </w:p>
        </w:tc>
      </w:tr>
      <w:tr w:rsidR="00CD67E0" w:rsidRPr="00B838EC" w14:paraId="6129A0D0" w14:textId="77777777" w:rsidTr="00335F65">
        <w:tc>
          <w:tcPr>
            <w:tcW w:w="4421" w:type="dxa"/>
          </w:tcPr>
          <w:p w14:paraId="18F6DF2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12.6.4.2</w:t>
            </w:r>
            <w:r w:rsidRPr="00D429B4">
              <w:rPr>
                <w:rFonts w:ascii="Verdana" w:hAnsi="Verdana"/>
                <w:sz w:val="16"/>
                <w:szCs w:val="16"/>
                <w:lang w:val="es-MX"/>
              </w:rPr>
              <w:t xml:space="preserve"> Deben efectuar la revisión de cumplimiento de programas y procedimientos de mantenimiento y calibración.</w:t>
            </w:r>
          </w:p>
        </w:tc>
        <w:tc>
          <w:tcPr>
            <w:tcW w:w="4421" w:type="dxa"/>
          </w:tcPr>
          <w:p w14:paraId="51DB326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12.6.4.2 </w:t>
            </w:r>
            <w:r w:rsidRPr="00D429B4">
              <w:rPr>
                <w:rFonts w:ascii="Verdana" w:hAnsi="Verdana"/>
                <w:sz w:val="16"/>
                <w:szCs w:val="16"/>
                <w:lang w:val="en-US"/>
              </w:rPr>
              <w:t xml:space="preserve">The review of the compliance of programs and procedures for maintenance and calibration must be made. </w:t>
            </w:r>
          </w:p>
        </w:tc>
      </w:tr>
      <w:tr w:rsidR="00CD67E0" w:rsidRPr="00B838EC" w14:paraId="0AAC872D" w14:textId="77777777" w:rsidTr="00335F65">
        <w:tc>
          <w:tcPr>
            <w:tcW w:w="4421" w:type="dxa"/>
          </w:tcPr>
          <w:p w14:paraId="150B2E0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12.6.4.3 </w:t>
            </w:r>
            <w:r w:rsidRPr="00D429B4">
              <w:rPr>
                <w:rFonts w:ascii="Verdana" w:hAnsi="Verdana"/>
                <w:sz w:val="16"/>
                <w:szCs w:val="16"/>
                <w:lang w:val="es-MX"/>
              </w:rPr>
              <w:t>Seguimiento a desviaciones, reportes de investigación e implementación de acciones correctivas y preventivas.</w:t>
            </w:r>
          </w:p>
        </w:tc>
        <w:tc>
          <w:tcPr>
            <w:tcW w:w="4421" w:type="dxa"/>
          </w:tcPr>
          <w:p w14:paraId="68F1433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12.6.4.3 </w:t>
            </w:r>
            <w:r w:rsidRPr="00D429B4">
              <w:rPr>
                <w:rFonts w:ascii="Verdana" w:hAnsi="Verdana"/>
                <w:sz w:val="16"/>
                <w:szCs w:val="16"/>
                <w:lang w:val="en-US"/>
              </w:rPr>
              <w:t>Follow up on deviations, reports of investigation and implementation of corrective and preventive actions.</w:t>
            </w:r>
          </w:p>
        </w:tc>
      </w:tr>
      <w:tr w:rsidR="00CD67E0" w:rsidRPr="00B838EC" w14:paraId="2117479A" w14:textId="77777777" w:rsidTr="00335F65">
        <w:tc>
          <w:tcPr>
            <w:tcW w:w="4421" w:type="dxa"/>
          </w:tcPr>
          <w:p w14:paraId="17CA75E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12.6.4.4</w:t>
            </w:r>
            <w:r w:rsidRPr="00D429B4">
              <w:rPr>
                <w:rFonts w:ascii="Verdana" w:hAnsi="Verdana"/>
                <w:sz w:val="16"/>
                <w:szCs w:val="16"/>
                <w:lang w:val="es-MX"/>
              </w:rPr>
              <w:t xml:space="preserve"> Cumplimiento a calificación periódica de los esterilizadores y de acuerdo a los criterios de aceptación establecidos inicialmente.</w:t>
            </w:r>
          </w:p>
        </w:tc>
        <w:tc>
          <w:tcPr>
            <w:tcW w:w="4421" w:type="dxa"/>
          </w:tcPr>
          <w:p w14:paraId="4D1B083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12.6.4.4 </w:t>
            </w:r>
            <w:r w:rsidRPr="00D429B4">
              <w:rPr>
                <w:rFonts w:ascii="Verdana" w:hAnsi="Verdana"/>
                <w:sz w:val="16"/>
                <w:szCs w:val="16"/>
                <w:lang w:val="en-US"/>
              </w:rPr>
              <w:t xml:space="preserve">Compliance to periodic qualification of the sterilizers and according to the acceptance criteria initially established. </w:t>
            </w:r>
          </w:p>
        </w:tc>
      </w:tr>
      <w:tr w:rsidR="00CD67E0" w:rsidRPr="00B838EC" w14:paraId="7D266CF3" w14:textId="77777777" w:rsidTr="00335F65">
        <w:tc>
          <w:tcPr>
            <w:tcW w:w="4421" w:type="dxa"/>
          </w:tcPr>
          <w:p w14:paraId="1522B11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12.6.5</w:t>
            </w:r>
            <w:r w:rsidRPr="00D429B4">
              <w:rPr>
                <w:rFonts w:ascii="Verdana" w:hAnsi="Verdana"/>
                <w:sz w:val="16"/>
                <w:szCs w:val="16"/>
                <w:lang w:val="es-MX"/>
              </w:rPr>
              <w:t xml:space="preserve"> Deben emitir un informe anual de los lotes liberados bajo este sistema que incluya los datos obtenidos y una evaluación de las tendencias observadas durante dicho periodo. El cual deberá ser enviado a la Secretaría.</w:t>
            </w:r>
          </w:p>
        </w:tc>
        <w:tc>
          <w:tcPr>
            <w:tcW w:w="4421" w:type="dxa"/>
          </w:tcPr>
          <w:p w14:paraId="6EEFB60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12.6.5 </w:t>
            </w:r>
            <w:r w:rsidRPr="00D429B4">
              <w:rPr>
                <w:rFonts w:ascii="Verdana" w:hAnsi="Verdana"/>
                <w:sz w:val="16"/>
                <w:szCs w:val="16"/>
                <w:lang w:val="en-US"/>
              </w:rPr>
              <w:t xml:space="preserve">An annual report must be issued of the lots released under this system that includes the data obtained and an evaluation of the tendencies observed during said period, which must be sent to the Secretary. </w:t>
            </w:r>
          </w:p>
        </w:tc>
      </w:tr>
      <w:tr w:rsidR="00CD67E0" w:rsidRPr="00B838EC" w14:paraId="4B3D6B60" w14:textId="77777777" w:rsidTr="00335F65">
        <w:tc>
          <w:tcPr>
            <w:tcW w:w="4421" w:type="dxa"/>
          </w:tcPr>
          <w:p w14:paraId="462E9AC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12.6.5.1</w:t>
            </w:r>
            <w:r w:rsidRPr="00D429B4">
              <w:rPr>
                <w:rFonts w:ascii="Verdana" w:hAnsi="Verdana"/>
                <w:sz w:val="16"/>
                <w:szCs w:val="16"/>
                <w:lang w:val="es-MX"/>
              </w:rPr>
              <w:t xml:space="preserve"> Cuando un lote de producto se rechace, deberán notificarlo ante la Secretaría.</w:t>
            </w:r>
          </w:p>
        </w:tc>
        <w:tc>
          <w:tcPr>
            <w:tcW w:w="4421" w:type="dxa"/>
          </w:tcPr>
          <w:p w14:paraId="04F5229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12.6.5.1 </w:t>
            </w:r>
            <w:r w:rsidRPr="00D429B4">
              <w:rPr>
                <w:rFonts w:ascii="Verdana" w:hAnsi="Verdana"/>
                <w:sz w:val="16"/>
                <w:szCs w:val="16"/>
                <w:lang w:val="en-US"/>
              </w:rPr>
              <w:t xml:space="preserve">When a product lot is rejected, the Secretary must be notified. </w:t>
            </w:r>
          </w:p>
        </w:tc>
      </w:tr>
      <w:tr w:rsidR="00CD67E0" w:rsidRPr="00B838EC" w14:paraId="424C4ADC" w14:textId="77777777" w:rsidTr="00335F65">
        <w:tc>
          <w:tcPr>
            <w:tcW w:w="4421" w:type="dxa"/>
          </w:tcPr>
          <w:p w14:paraId="442AC5D8" w14:textId="58355F0D" w:rsidR="00CD67E0" w:rsidRPr="00D429B4" w:rsidRDefault="00CD67E0" w:rsidP="00737AA8">
            <w:pPr>
              <w:pStyle w:val="Texto"/>
              <w:spacing w:line="276" w:lineRule="auto"/>
              <w:ind w:firstLine="0"/>
              <w:rPr>
                <w:rFonts w:ascii="Verdana" w:hAnsi="Verdana"/>
                <w:b/>
                <w:sz w:val="16"/>
                <w:szCs w:val="16"/>
                <w:lang w:val="es-MX"/>
              </w:rPr>
            </w:pPr>
            <w:r>
              <w:rPr>
                <w:rFonts w:ascii="Verdana" w:hAnsi="Verdana"/>
                <w:b/>
                <w:sz w:val="16"/>
                <w:szCs w:val="16"/>
              </w:rPr>
              <w:t>12.7</w:t>
            </w:r>
            <w:r w:rsidR="00737AA8">
              <w:rPr>
                <w:rFonts w:ascii="Verdana" w:hAnsi="Verdana"/>
                <w:b/>
                <w:sz w:val="16"/>
                <w:szCs w:val="16"/>
              </w:rPr>
              <w:t xml:space="preserve"> </w:t>
            </w:r>
            <w:r w:rsidR="00737AA8" w:rsidRPr="00737AA8">
              <w:rPr>
                <w:rFonts w:ascii="Verdana" w:hAnsi="Verdana"/>
                <w:sz w:val="16"/>
                <w:szCs w:val="16"/>
              </w:rPr>
              <w:t xml:space="preserve">Para medicamentos biotecnológicos de importación, con excepción de vacunas, cada lote de </w:t>
            </w:r>
            <w:r w:rsidR="00737AA8" w:rsidRPr="00737AA8">
              <w:rPr>
                <w:rFonts w:ascii="Verdana" w:hAnsi="Verdana"/>
                <w:sz w:val="16"/>
                <w:szCs w:val="16"/>
              </w:rPr>
              <w:lastRenderedPageBreak/>
              <w:t>producto terminado deberá ser aprobado por el responsable sanitario previo a su liberación para su comercialización. La liberación podrá ser a través de revisión documental o mediante análisis de laboratorio.</w:t>
            </w:r>
          </w:p>
        </w:tc>
        <w:tc>
          <w:tcPr>
            <w:tcW w:w="4421" w:type="dxa"/>
          </w:tcPr>
          <w:p w14:paraId="37F4B83A" w14:textId="0FFF230C" w:rsidR="00CD67E0" w:rsidRPr="00CD67E0" w:rsidRDefault="00CD67E0" w:rsidP="00737AA8">
            <w:pPr>
              <w:pStyle w:val="Texto"/>
              <w:spacing w:line="276" w:lineRule="auto"/>
              <w:ind w:firstLine="0"/>
              <w:rPr>
                <w:rFonts w:ascii="Verdana" w:hAnsi="Verdana"/>
                <w:b/>
                <w:sz w:val="16"/>
                <w:szCs w:val="16"/>
                <w:lang w:val="en-US"/>
              </w:rPr>
            </w:pPr>
            <w:r>
              <w:rPr>
                <w:rFonts w:ascii="Verdana" w:hAnsi="Verdana"/>
                <w:b/>
                <w:sz w:val="16"/>
                <w:szCs w:val="16"/>
                <w:lang w:val="en-US"/>
              </w:rPr>
              <w:lastRenderedPageBreak/>
              <w:t xml:space="preserve">12.7 </w:t>
            </w:r>
            <w:r w:rsidR="00737AA8" w:rsidRPr="00737AA8">
              <w:rPr>
                <w:rFonts w:ascii="Verdana" w:hAnsi="Verdana"/>
                <w:sz w:val="16"/>
                <w:szCs w:val="16"/>
                <w:lang w:val="en-US"/>
              </w:rPr>
              <w:t xml:space="preserve">For imported biotechnological drug products, with the exception of vaccines, each batch of finished </w:t>
            </w:r>
            <w:r w:rsidR="00737AA8" w:rsidRPr="00737AA8">
              <w:rPr>
                <w:rFonts w:ascii="Verdana" w:hAnsi="Verdana"/>
                <w:sz w:val="16"/>
                <w:szCs w:val="16"/>
                <w:lang w:val="en-US"/>
              </w:rPr>
              <w:lastRenderedPageBreak/>
              <w:t>product must be approved by the health official prior to its release for marketing. Release may be achieved through document review or laboratory analysis.</w:t>
            </w:r>
          </w:p>
        </w:tc>
      </w:tr>
      <w:tr w:rsidR="00CD67E0" w:rsidRPr="004D61F4" w14:paraId="71DABDBE" w14:textId="77777777" w:rsidTr="00335F65">
        <w:tc>
          <w:tcPr>
            <w:tcW w:w="4421" w:type="dxa"/>
          </w:tcPr>
          <w:p w14:paraId="1E4BA111" w14:textId="7E73B8FB" w:rsidR="00CD67E0" w:rsidRPr="004D61F4" w:rsidRDefault="002D05A1" w:rsidP="002D05A1">
            <w:pPr>
              <w:pStyle w:val="Texto"/>
              <w:spacing w:line="276" w:lineRule="auto"/>
              <w:ind w:firstLine="0"/>
              <w:jc w:val="right"/>
              <w:rPr>
                <w:rFonts w:ascii="Verdana" w:hAnsi="Verdana"/>
                <w:bCs/>
                <w:i/>
                <w:iCs/>
                <w:color w:val="0000FA"/>
                <w:sz w:val="16"/>
                <w:szCs w:val="16"/>
                <w:lang w:val="es-MX"/>
              </w:rPr>
            </w:pPr>
            <w:r w:rsidRPr="004D61F4">
              <w:rPr>
                <w:rFonts w:ascii="Verdana" w:hAnsi="Verdana"/>
                <w:bCs/>
                <w:i/>
                <w:iCs/>
                <w:color w:val="0000FA"/>
                <w:sz w:val="16"/>
                <w:szCs w:val="16"/>
                <w:lang w:val="es-MX"/>
              </w:rPr>
              <w:lastRenderedPageBreak/>
              <w:t xml:space="preserve">Modificacion de emergencia DOF </w:t>
            </w:r>
            <w:r w:rsidR="001C52FF" w:rsidRPr="004D61F4">
              <w:rPr>
                <w:rFonts w:ascii="Verdana" w:hAnsi="Verdana"/>
                <w:bCs/>
                <w:i/>
                <w:iCs/>
                <w:color w:val="0000FA"/>
                <w:sz w:val="16"/>
                <w:szCs w:val="16"/>
                <w:lang w:val="es-MX"/>
              </w:rPr>
              <w:t>23-08-2023</w:t>
            </w:r>
            <w:r w:rsidR="004D61F4" w:rsidRPr="004D61F4">
              <w:rPr>
                <w:rFonts w:ascii="Verdana" w:hAnsi="Verdana"/>
                <w:bCs/>
                <w:i/>
                <w:iCs/>
                <w:color w:val="0000FA"/>
                <w:sz w:val="16"/>
                <w:szCs w:val="16"/>
                <w:lang w:val="es-MX"/>
              </w:rPr>
              <w:t>, Fracción reformada DOF 19-03-2025</w:t>
            </w:r>
          </w:p>
        </w:tc>
        <w:tc>
          <w:tcPr>
            <w:tcW w:w="4421" w:type="dxa"/>
          </w:tcPr>
          <w:p w14:paraId="566EC079" w14:textId="30D19AB0" w:rsidR="00CD67E0" w:rsidRPr="004D61F4" w:rsidRDefault="001C52FF" w:rsidP="002D05A1">
            <w:pPr>
              <w:pStyle w:val="Texto"/>
              <w:spacing w:line="276" w:lineRule="auto"/>
              <w:ind w:firstLine="0"/>
              <w:jc w:val="right"/>
              <w:rPr>
                <w:rFonts w:ascii="Verdana" w:hAnsi="Verdana"/>
                <w:bCs/>
                <w:i/>
                <w:iCs/>
                <w:color w:val="0000FA"/>
                <w:sz w:val="16"/>
                <w:szCs w:val="16"/>
                <w:lang w:val="en-US"/>
              </w:rPr>
            </w:pPr>
            <w:r w:rsidRPr="004D61F4">
              <w:rPr>
                <w:rFonts w:ascii="Verdana" w:hAnsi="Verdana"/>
                <w:bCs/>
                <w:i/>
                <w:iCs/>
                <w:color w:val="0000FA"/>
                <w:sz w:val="16"/>
                <w:szCs w:val="16"/>
                <w:lang w:val="en-US"/>
              </w:rPr>
              <w:t>Emergency modification DOF 23-08-2023</w:t>
            </w:r>
            <w:r w:rsidR="004D61F4" w:rsidRPr="004D61F4">
              <w:rPr>
                <w:rFonts w:ascii="Verdana" w:hAnsi="Verdana"/>
                <w:bCs/>
                <w:i/>
                <w:iCs/>
                <w:color w:val="0000FA"/>
                <w:sz w:val="16"/>
                <w:szCs w:val="16"/>
                <w:lang w:val="en-US"/>
              </w:rPr>
              <w:t>, Section reformed DOF 19-03-2025</w:t>
            </w:r>
          </w:p>
        </w:tc>
      </w:tr>
      <w:tr w:rsidR="00CD67E0" w:rsidRPr="00B838EC" w14:paraId="63B87AD7" w14:textId="77777777" w:rsidTr="00335F65">
        <w:tc>
          <w:tcPr>
            <w:tcW w:w="4421" w:type="dxa"/>
          </w:tcPr>
          <w:p w14:paraId="0E4D1E44" w14:textId="77777777" w:rsidR="00CD67E0" w:rsidRPr="00D429B4" w:rsidRDefault="00CD67E0" w:rsidP="00CD67E0">
            <w:pPr>
              <w:pStyle w:val="Texto"/>
              <w:spacing w:after="90" w:line="276" w:lineRule="auto"/>
              <w:ind w:firstLine="0"/>
              <w:rPr>
                <w:rFonts w:ascii="Verdana" w:hAnsi="Verdana"/>
                <w:b/>
                <w:sz w:val="16"/>
                <w:szCs w:val="16"/>
                <w:lang w:val="es-MX"/>
              </w:rPr>
            </w:pPr>
            <w:r w:rsidRPr="00D429B4">
              <w:rPr>
                <w:rFonts w:ascii="Verdana" w:hAnsi="Verdana"/>
                <w:b/>
                <w:sz w:val="16"/>
                <w:szCs w:val="16"/>
                <w:lang w:val="es-MX"/>
              </w:rPr>
              <w:t>13 Retiro de producto del mercado</w:t>
            </w:r>
          </w:p>
        </w:tc>
        <w:tc>
          <w:tcPr>
            <w:tcW w:w="4421" w:type="dxa"/>
            <w:shd w:val="clear" w:color="auto" w:fill="auto"/>
          </w:tcPr>
          <w:p w14:paraId="3F8EC8C1"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13. Withdrawal of the product from the market</w:t>
            </w:r>
          </w:p>
        </w:tc>
      </w:tr>
      <w:tr w:rsidR="00CD67E0" w:rsidRPr="00B838EC" w14:paraId="260FE43E" w14:textId="77777777" w:rsidTr="00335F65">
        <w:tc>
          <w:tcPr>
            <w:tcW w:w="4421" w:type="dxa"/>
          </w:tcPr>
          <w:p w14:paraId="374D6512"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13.1 </w:t>
            </w:r>
            <w:r w:rsidRPr="00D429B4">
              <w:rPr>
                <w:rFonts w:ascii="Verdana" w:hAnsi="Verdana"/>
                <w:sz w:val="16"/>
                <w:szCs w:val="16"/>
                <w:lang w:val="es-MX"/>
              </w:rPr>
              <w:t>Debe existir un sistema para retirar productos del mercado de manera oportuna y efectiva en el caso de alertas sanitarias, para productos que se sabe o se sospeche que están fuera de especificaciones y/o pérdida de eficacia y seguridad.</w:t>
            </w:r>
          </w:p>
        </w:tc>
        <w:tc>
          <w:tcPr>
            <w:tcW w:w="4421" w:type="dxa"/>
            <w:shd w:val="clear" w:color="auto" w:fill="auto"/>
          </w:tcPr>
          <w:p w14:paraId="2F2B2AA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13.1 </w:t>
            </w:r>
            <w:r w:rsidRPr="00D429B4">
              <w:rPr>
                <w:rFonts w:ascii="Verdana" w:hAnsi="Verdana"/>
                <w:sz w:val="16"/>
                <w:szCs w:val="16"/>
                <w:lang w:val="en-US"/>
              </w:rPr>
              <w:t xml:space="preserve">There must be a system to withdraw products from the market in a timely and effective way in the case of sanitary alerts, for products for which it is known or suspected that they are outside of specifications and/or loss of efficacy and safety. </w:t>
            </w:r>
          </w:p>
        </w:tc>
      </w:tr>
      <w:tr w:rsidR="00CD67E0" w:rsidRPr="00B838EC" w14:paraId="03E11FA5" w14:textId="77777777" w:rsidTr="00335F65">
        <w:tc>
          <w:tcPr>
            <w:tcW w:w="4421" w:type="dxa"/>
          </w:tcPr>
          <w:p w14:paraId="4AB3F25E"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13.2 </w:t>
            </w:r>
            <w:r w:rsidRPr="00D429B4">
              <w:rPr>
                <w:rFonts w:ascii="Verdana" w:hAnsi="Verdana"/>
                <w:sz w:val="16"/>
                <w:szCs w:val="16"/>
                <w:lang w:val="es-MX"/>
              </w:rPr>
              <w:t>El titular del Registro Sanitario a través del Responsable Sanitario o Representante Legal debe notificar a la Secretaría a través de la COFEPRIS la decisión de cualquier retiro de producto, indicando al menos:</w:t>
            </w:r>
          </w:p>
        </w:tc>
        <w:tc>
          <w:tcPr>
            <w:tcW w:w="4421" w:type="dxa"/>
            <w:shd w:val="clear" w:color="auto" w:fill="auto"/>
          </w:tcPr>
          <w:p w14:paraId="7465E3C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13.1.1 </w:t>
            </w:r>
            <w:r w:rsidRPr="00D429B4">
              <w:rPr>
                <w:rFonts w:ascii="Verdana" w:hAnsi="Verdana"/>
                <w:sz w:val="16"/>
                <w:szCs w:val="16"/>
                <w:lang w:val="en-US"/>
              </w:rPr>
              <w:t>The holder of the Sanitary Registration or Person responsible for sanitary compliance, or the Legal Representative must notify the Secretary through the COFEPRIS of the decision to withdraw the product, indicating at least:</w:t>
            </w:r>
          </w:p>
        </w:tc>
      </w:tr>
      <w:tr w:rsidR="00CD67E0" w:rsidRPr="00DD29AF" w14:paraId="6AE4B07A" w14:textId="77777777" w:rsidTr="00335F65">
        <w:tc>
          <w:tcPr>
            <w:tcW w:w="4421" w:type="dxa"/>
          </w:tcPr>
          <w:p w14:paraId="6E87AD45"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13.2.1 </w:t>
            </w:r>
            <w:r w:rsidRPr="00D429B4">
              <w:rPr>
                <w:rFonts w:ascii="Verdana" w:hAnsi="Verdana"/>
                <w:sz w:val="16"/>
                <w:szCs w:val="16"/>
                <w:lang w:val="es-MX"/>
              </w:rPr>
              <w:t>Nombre del producto.</w:t>
            </w:r>
          </w:p>
        </w:tc>
        <w:tc>
          <w:tcPr>
            <w:tcW w:w="4421" w:type="dxa"/>
            <w:shd w:val="clear" w:color="auto" w:fill="auto"/>
          </w:tcPr>
          <w:p w14:paraId="660F0FF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13.2.1 </w:t>
            </w:r>
            <w:r w:rsidRPr="00D429B4">
              <w:rPr>
                <w:rFonts w:ascii="Verdana" w:hAnsi="Verdana"/>
                <w:sz w:val="16"/>
                <w:szCs w:val="16"/>
                <w:lang w:val="en-US"/>
              </w:rPr>
              <w:t>Name of the product.</w:t>
            </w:r>
          </w:p>
        </w:tc>
      </w:tr>
      <w:tr w:rsidR="00CD67E0" w:rsidRPr="00DD29AF" w14:paraId="0981A1BD" w14:textId="77777777" w:rsidTr="00335F65">
        <w:tc>
          <w:tcPr>
            <w:tcW w:w="4421" w:type="dxa"/>
          </w:tcPr>
          <w:p w14:paraId="62531D2C"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13.2.2 </w:t>
            </w:r>
            <w:r w:rsidRPr="00D429B4">
              <w:rPr>
                <w:rFonts w:ascii="Verdana" w:hAnsi="Verdana"/>
                <w:sz w:val="16"/>
                <w:szCs w:val="16"/>
                <w:lang w:val="es-MX"/>
              </w:rPr>
              <w:t>Fabricante del producto.</w:t>
            </w:r>
          </w:p>
        </w:tc>
        <w:tc>
          <w:tcPr>
            <w:tcW w:w="4421" w:type="dxa"/>
            <w:shd w:val="clear" w:color="auto" w:fill="auto"/>
          </w:tcPr>
          <w:p w14:paraId="29930DB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13.2.2 </w:t>
            </w:r>
            <w:r w:rsidRPr="00D429B4">
              <w:rPr>
                <w:rFonts w:ascii="Verdana" w:hAnsi="Verdana"/>
                <w:sz w:val="16"/>
                <w:szCs w:val="16"/>
                <w:lang w:val="en-US"/>
              </w:rPr>
              <w:t>Manufacturer of the product.</w:t>
            </w:r>
          </w:p>
        </w:tc>
      </w:tr>
      <w:tr w:rsidR="00CD67E0" w:rsidRPr="00DD29AF" w14:paraId="4671FAF2" w14:textId="77777777" w:rsidTr="00335F65">
        <w:tc>
          <w:tcPr>
            <w:tcW w:w="4421" w:type="dxa"/>
          </w:tcPr>
          <w:p w14:paraId="4D267FFD"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13.2.3 </w:t>
            </w:r>
            <w:r w:rsidRPr="00D429B4">
              <w:rPr>
                <w:rFonts w:ascii="Verdana" w:hAnsi="Verdana"/>
                <w:sz w:val="16"/>
                <w:szCs w:val="16"/>
                <w:lang w:val="es-MX"/>
              </w:rPr>
              <w:t>Lote o lotes involucrados.</w:t>
            </w:r>
          </w:p>
        </w:tc>
        <w:tc>
          <w:tcPr>
            <w:tcW w:w="4421" w:type="dxa"/>
            <w:shd w:val="clear" w:color="auto" w:fill="auto"/>
          </w:tcPr>
          <w:p w14:paraId="5908ECD1" w14:textId="77777777" w:rsidR="00CD67E0" w:rsidRPr="00D429B4" w:rsidRDefault="00CD67E0" w:rsidP="00CD67E0">
            <w:pPr>
              <w:pStyle w:val="Texto"/>
              <w:spacing w:line="276" w:lineRule="auto"/>
              <w:ind w:firstLine="0"/>
              <w:rPr>
                <w:rFonts w:ascii="Verdana" w:hAnsi="Verdana"/>
                <w:i/>
                <w:sz w:val="16"/>
                <w:szCs w:val="16"/>
                <w:lang w:val="en-US"/>
              </w:rPr>
            </w:pPr>
            <w:r w:rsidRPr="00D429B4">
              <w:rPr>
                <w:rFonts w:ascii="Verdana" w:hAnsi="Verdana"/>
                <w:b/>
                <w:sz w:val="16"/>
                <w:szCs w:val="16"/>
                <w:lang w:val="en-US"/>
              </w:rPr>
              <w:t xml:space="preserve">13.2.3 </w:t>
            </w:r>
            <w:r w:rsidRPr="00D429B4">
              <w:rPr>
                <w:rFonts w:ascii="Verdana" w:hAnsi="Verdana"/>
                <w:sz w:val="16"/>
                <w:szCs w:val="16"/>
                <w:lang w:val="en-US"/>
              </w:rPr>
              <w:t>Involved lot or lots.</w:t>
            </w:r>
          </w:p>
        </w:tc>
      </w:tr>
      <w:tr w:rsidR="00CD67E0" w:rsidRPr="00B838EC" w14:paraId="36541656" w14:textId="77777777" w:rsidTr="00335F65">
        <w:tc>
          <w:tcPr>
            <w:tcW w:w="4421" w:type="dxa"/>
          </w:tcPr>
          <w:p w14:paraId="1DB4FAC5"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13.2.4 </w:t>
            </w:r>
            <w:r w:rsidRPr="00D429B4">
              <w:rPr>
                <w:rFonts w:ascii="Verdana" w:hAnsi="Verdana"/>
                <w:sz w:val="16"/>
                <w:szCs w:val="16"/>
                <w:lang w:val="es-MX"/>
              </w:rPr>
              <w:t>Motivo del retiro identificando si el producto puede ocasionar riesgos a la salud de la población y/o comprometer la vida de la misma.</w:t>
            </w:r>
          </w:p>
        </w:tc>
        <w:tc>
          <w:tcPr>
            <w:tcW w:w="4421" w:type="dxa"/>
            <w:shd w:val="clear" w:color="auto" w:fill="auto"/>
          </w:tcPr>
          <w:p w14:paraId="43051DC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13.2.4</w:t>
            </w:r>
            <w:r w:rsidRPr="00D429B4">
              <w:rPr>
                <w:rFonts w:ascii="Verdana" w:hAnsi="Verdana"/>
                <w:sz w:val="16"/>
                <w:szCs w:val="16"/>
                <w:lang w:val="en-US"/>
              </w:rPr>
              <w:t xml:space="preserve"> Motive for the withdrawal identifying whether the product can cause risks to the health of the population and/or compromise the life of the same. </w:t>
            </w:r>
          </w:p>
        </w:tc>
      </w:tr>
      <w:tr w:rsidR="00CD67E0" w:rsidRPr="00B838EC" w14:paraId="46D611ED" w14:textId="77777777" w:rsidTr="00335F65">
        <w:tc>
          <w:tcPr>
            <w:tcW w:w="4421" w:type="dxa"/>
          </w:tcPr>
          <w:p w14:paraId="52E9C02D"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13.2.5 </w:t>
            </w:r>
            <w:r w:rsidRPr="00D429B4">
              <w:rPr>
                <w:rFonts w:ascii="Verdana" w:hAnsi="Verdana"/>
                <w:sz w:val="16"/>
                <w:szCs w:val="16"/>
                <w:lang w:val="es-MX"/>
              </w:rPr>
              <w:t>Cantidad y fecha de producto fabricado, cantidad esperada de producto sujeto al retiro en el mercado considerando tiempos de distribución y venta.</w:t>
            </w:r>
          </w:p>
        </w:tc>
        <w:tc>
          <w:tcPr>
            <w:tcW w:w="4421" w:type="dxa"/>
            <w:shd w:val="clear" w:color="auto" w:fill="auto"/>
          </w:tcPr>
          <w:p w14:paraId="6C7E5D8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13.2.5 </w:t>
            </w:r>
            <w:r w:rsidRPr="00D429B4">
              <w:rPr>
                <w:rFonts w:ascii="Verdana" w:hAnsi="Verdana"/>
                <w:sz w:val="16"/>
                <w:szCs w:val="16"/>
                <w:lang w:val="en-US"/>
              </w:rPr>
              <w:t xml:space="preserve">The amount and date of the product manufactured, anticipated amount of product subject to withdrawal in the market considering times of distribution and sale. </w:t>
            </w:r>
          </w:p>
        </w:tc>
      </w:tr>
      <w:tr w:rsidR="00CD67E0" w:rsidRPr="00B838EC" w14:paraId="6BD7C2F9" w14:textId="77777777" w:rsidTr="00335F65">
        <w:tc>
          <w:tcPr>
            <w:tcW w:w="4421" w:type="dxa"/>
          </w:tcPr>
          <w:p w14:paraId="1D7A98E0"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13.2.6</w:t>
            </w:r>
            <w:r w:rsidRPr="00D429B4">
              <w:rPr>
                <w:rFonts w:ascii="Verdana" w:hAnsi="Verdana"/>
                <w:sz w:val="16"/>
                <w:szCs w:val="16"/>
                <w:lang w:val="es-MX"/>
              </w:rPr>
              <w:t xml:space="preserve"> Extensión del retiro. Listado de clientes (diferenciando licitaciones al sector público).</w:t>
            </w:r>
          </w:p>
        </w:tc>
        <w:tc>
          <w:tcPr>
            <w:tcW w:w="4421" w:type="dxa"/>
            <w:shd w:val="clear" w:color="auto" w:fill="auto"/>
          </w:tcPr>
          <w:p w14:paraId="034792CF" w14:textId="77777777" w:rsidR="00CD67E0" w:rsidRPr="00D429B4" w:rsidRDefault="00CD67E0" w:rsidP="00CD67E0">
            <w:pPr>
              <w:pStyle w:val="Texto"/>
              <w:spacing w:line="276" w:lineRule="auto"/>
              <w:ind w:firstLine="0"/>
              <w:jc w:val="left"/>
              <w:rPr>
                <w:rFonts w:ascii="Verdana" w:hAnsi="Verdana"/>
                <w:sz w:val="16"/>
                <w:szCs w:val="16"/>
                <w:lang w:val="en-US"/>
              </w:rPr>
            </w:pPr>
            <w:r w:rsidRPr="00D429B4">
              <w:rPr>
                <w:rFonts w:ascii="Verdana" w:hAnsi="Verdana"/>
                <w:b/>
                <w:sz w:val="16"/>
                <w:szCs w:val="16"/>
                <w:lang w:val="en-US"/>
              </w:rPr>
              <w:t xml:space="preserve">13.2.6 </w:t>
            </w:r>
            <w:r w:rsidRPr="00D429B4">
              <w:rPr>
                <w:rFonts w:ascii="Verdana" w:hAnsi="Verdana"/>
                <w:sz w:val="16"/>
                <w:szCs w:val="16"/>
                <w:lang w:val="en-US"/>
              </w:rPr>
              <w:t xml:space="preserve">Extension of the withdrawal. List of clients (differentiating bids from the public sector). </w:t>
            </w:r>
          </w:p>
        </w:tc>
      </w:tr>
      <w:tr w:rsidR="00CD67E0" w:rsidRPr="006068D8" w14:paraId="22B8C9F6" w14:textId="77777777" w:rsidTr="00335F65">
        <w:tc>
          <w:tcPr>
            <w:tcW w:w="4421" w:type="dxa"/>
          </w:tcPr>
          <w:p w14:paraId="4F5FB801"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13.2.7 </w:t>
            </w:r>
            <w:r w:rsidRPr="00D429B4">
              <w:rPr>
                <w:rFonts w:ascii="Verdana" w:hAnsi="Verdana"/>
                <w:sz w:val="16"/>
                <w:szCs w:val="16"/>
                <w:lang w:val="es-MX"/>
              </w:rPr>
              <w:t>Lugar de acopio.</w:t>
            </w:r>
          </w:p>
        </w:tc>
        <w:tc>
          <w:tcPr>
            <w:tcW w:w="4421" w:type="dxa"/>
            <w:shd w:val="clear" w:color="auto" w:fill="auto"/>
          </w:tcPr>
          <w:p w14:paraId="2622DE5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13.2.7</w:t>
            </w:r>
            <w:r w:rsidRPr="00D429B4">
              <w:rPr>
                <w:rFonts w:ascii="Verdana" w:hAnsi="Verdana"/>
                <w:sz w:val="16"/>
                <w:szCs w:val="16"/>
                <w:lang w:val="en-US"/>
              </w:rPr>
              <w:t xml:space="preserve"> Place of collection. </w:t>
            </w:r>
          </w:p>
        </w:tc>
      </w:tr>
      <w:tr w:rsidR="00CD67E0" w:rsidRPr="00B838EC" w14:paraId="67C8B968" w14:textId="77777777" w:rsidTr="00335F65">
        <w:tc>
          <w:tcPr>
            <w:tcW w:w="4421" w:type="dxa"/>
          </w:tcPr>
          <w:p w14:paraId="26289CBD"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13.2.8</w:t>
            </w:r>
            <w:r w:rsidRPr="00D429B4">
              <w:rPr>
                <w:rFonts w:ascii="Verdana" w:hAnsi="Verdana"/>
                <w:sz w:val="16"/>
                <w:szCs w:val="16"/>
                <w:lang w:val="es-MX"/>
              </w:rPr>
              <w:t xml:space="preserve"> Nombre, teléfono de contacto del responsable o coordinador del retiro.</w:t>
            </w:r>
          </w:p>
        </w:tc>
        <w:tc>
          <w:tcPr>
            <w:tcW w:w="4421" w:type="dxa"/>
            <w:shd w:val="clear" w:color="auto" w:fill="auto"/>
          </w:tcPr>
          <w:p w14:paraId="7F11C53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13.2.8</w:t>
            </w:r>
            <w:r w:rsidRPr="00D429B4">
              <w:rPr>
                <w:rFonts w:ascii="Verdana" w:hAnsi="Verdana"/>
                <w:sz w:val="16"/>
                <w:szCs w:val="16"/>
                <w:lang w:val="en-US"/>
              </w:rPr>
              <w:t xml:space="preserve"> Name, contact telephone of the responsible person or coordinator of the withdrawal. </w:t>
            </w:r>
          </w:p>
        </w:tc>
      </w:tr>
      <w:tr w:rsidR="00CD67E0" w:rsidRPr="00B838EC" w14:paraId="22CFC342" w14:textId="77777777" w:rsidTr="00335F65">
        <w:tc>
          <w:tcPr>
            <w:tcW w:w="4421" w:type="dxa"/>
          </w:tcPr>
          <w:p w14:paraId="1A7DBB8D"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13.3 </w:t>
            </w:r>
            <w:r w:rsidRPr="00D429B4">
              <w:rPr>
                <w:rFonts w:ascii="Verdana" w:hAnsi="Verdana"/>
                <w:sz w:val="16"/>
                <w:szCs w:val="16"/>
                <w:lang w:val="es-MX"/>
              </w:rPr>
              <w:t>Debe existir un procedimiento que describa:</w:t>
            </w:r>
          </w:p>
        </w:tc>
        <w:tc>
          <w:tcPr>
            <w:tcW w:w="4421" w:type="dxa"/>
            <w:shd w:val="clear" w:color="auto" w:fill="auto"/>
          </w:tcPr>
          <w:p w14:paraId="6490D1D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13.3 </w:t>
            </w:r>
            <w:r w:rsidRPr="00D429B4">
              <w:rPr>
                <w:rFonts w:ascii="Verdana" w:hAnsi="Verdana"/>
                <w:sz w:val="16"/>
                <w:szCs w:val="16"/>
                <w:lang w:val="en-US"/>
              </w:rPr>
              <w:t>There must be a procedure which describes:</w:t>
            </w:r>
          </w:p>
        </w:tc>
      </w:tr>
      <w:tr w:rsidR="00CD67E0" w:rsidRPr="00B838EC" w14:paraId="75E01992" w14:textId="77777777" w:rsidTr="00335F65">
        <w:tc>
          <w:tcPr>
            <w:tcW w:w="4421" w:type="dxa"/>
          </w:tcPr>
          <w:p w14:paraId="178288C1"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13.3.1</w:t>
            </w:r>
            <w:r w:rsidRPr="00D429B4">
              <w:rPr>
                <w:rFonts w:ascii="Verdana" w:hAnsi="Verdana"/>
                <w:sz w:val="16"/>
                <w:szCs w:val="16"/>
                <w:lang w:val="es-MX"/>
              </w:rPr>
              <w:t xml:space="preserve"> Nombre del responsable de la ejecución y coordinación del retiro.</w:t>
            </w:r>
          </w:p>
        </w:tc>
        <w:tc>
          <w:tcPr>
            <w:tcW w:w="4421" w:type="dxa"/>
            <w:shd w:val="clear" w:color="auto" w:fill="auto"/>
          </w:tcPr>
          <w:p w14:paraId="05C51C6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13.3.1 </w:t>
            </w:r>
            <w:r w:rsidRPr="00D429B4">
              <w:rPr>
                <w:rFonts w:ascii="Verdana" w:hAnsi="Verdana"/>
                <w:sz w:val="16"/>
                <w:szCs w:val="16"/>
                <w:lang w:val="en-US"/>
              </w:rPr>
              <w:t xml:space="preserve">The person responsible for the performance and coordination of the withdrawal. </w:t>
            </w:r>
          </w:p>
        </w:tc>
      </w:tr>
      <w:tr w:rsidR="00CD67E0" w:rsidRPr="00B838EC" w14:paraId="354A026D" w14:textId="77777777" w:rsidTr="00335F65">
        <w:tc>
          <w:tcPr>
            <w:tcW w:w="4421" w:type="dxa"/>
          </w:tcPr>
          <w:p w14:paraId="3141FB0A"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13.3.2 </w:t>
            </w:r>
            <w:r w:rsidRPr="00D429B4">
              <w:rPr>
                <w:rFonts w:ascii="Verdana" w:hAnsi="Verdana"/>
                <w:sz w:val="16"/>
                <w:szCs w:val="16"/>
                <w:lang w:val="es-MX"/>
              </w:rPr>
              <w:t>Las actividades de retiro de producto del mercado, que permita que sean iniciadas rápidamente a todos los niveles.</w:t>
            </w:r>
          </w:p>
        </w:tc>
        <w:tc>
          <w:tcPr>
            <w:tcW w:w="4421" w:type="dxa"/>
            <w:shd w:val="clear" w:color="auto" w:fill="auto"/>
          </w:tcPr>
          <w:p w14:paraId="4B4871F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13.3.2 </w:t>
            </w:r>
            <w:r w:rsidRPr="00D429B4">
              <w:rPr>
                <w:rFonts w:ascii="Verdana" w:hAnsi="Verdana"/>
                <w:sz w:val="16"/>
                <w:szCs w:val="16"/>
                <w:lang w:val="en-US"/>
              </w:rPr>
              <w:t xml:space="preserve">Activities of the withdrawal of the product from the market, which allows for them to be quickly initiated at all levels. </w:t>
            </w:r>
          </w:p>
        </w:tc>
      </w:tr>
      <w:tr w:rsidR="00CD67E0" w:rsidRPr="00B838EC" w14:paraId="249805C9" w14:textId="77777777" w:rsidTr="00335F65">
        <w:tc>
          <w:tcPr>
            <w:tcW w:w="4421" w:type="dxa"/>
          </w:tcPr>
          <w:p w14:paraId="734BF1AD"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13.3.3 </w:t>
            </w:r>
            <w:r w:rsidRPr="00D429B4">
              <w:rPr>
                <w:rFonts w:ascii="Verdana" w:hAnsi="Verdana"/>
                <w:sz w:val="16"/>
                <w:szCs w:val="16"/>
                <w:lang w:val="es-MX"/>
              </w:rPr>
              <w:t>Las instrucciones para los consumidores o clientes, así como las actividades de confinamiento del producto retirado.</w:t>
            </w:r>
          </w:p>
        </w:tc>
        <w:tc>
          <w:tcPr>
            <w:tcW w:w="4421" w:type="dxa"/>
            <w:shd w:val="clear" w:color="auto" w:fill="auto"/>
          </w:tcPr>
          <w:p w14:paraId="4383712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13.3.3 </w:t>
            </w:r>
            <w:r w:rsidRPr="00D429B4">
              <w:rPr>
                <w:rFonts w:ascii="Verdana" w:hAnsi="Verdana"/>
                <w:sz w:val="16"/>
                <w:szCs w:val="16"/>
                <w:lang w:val="en-US"/>
              </w:rPr>
              <w:t xml:space="preserve">The instructions for the consumers or clients as well as the activities of confinement of the withdrawn product. </w:t>
            </w:r>
          </w:p>
        </w:tc>
      </w:tr>
      <w:tr w:rsidR="00CD67E0" w:rsidRPr="00B838EC" w14:paraId="1022117B" w14:textId="77777777" w:rsidTr="00335F65">
        <w:tc>
          <w:tcPr>
            <w:tcW w:w="4421" w:type="dxa"/>
          </w:tcPr>
          <w:p w14:paraId="7722C117"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13.3.4 </w:t>
            </w:r>
            <w:r w:rsidRPr="00D429B4">
              <w:rPr>
                <w:rFonts w:ascii="Verdana" w:hAnsi="Verdana"/>
                <w:sz w:val="16"/>
                <w:szCs w:val="16"/>
                <w:lang w:val="es-MX"/>
              </w:rPr>
              <w:t>Autoridades que deben de ser notificadas de acuerdo a la distribución del producto.</w:t>
            </w:r>
          </w:p>
        </w:tc>
        <w:tc>
          <w:tcPr>
            <w:tcW w:w="4421" w:type="dxa"/>
            <w:shd w:val="clear" w:color="auto" w:fill="auto"/>
          </w:tcPr>
          <w:p w14:paraId="0B567DB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13.3.4 </w:t>
            </w:r>
            <w:r w:rsidRPr="00D429B4">
              <w:rPr>
                <w:rFonts w:ascii="Verdana" w:hAnsi="Verdana"/>
                <w:sz w:val="16"/>
                <w:szCs w:val="16"/>
                <w:lang w:val="en-US"/>
              </w:rPr>
              <w:t>Authorities that must be notified in accordance with the distribution of the product.</w:t>
            </w:r>
          </w:p>
        </w:tc>
      </w:tr>
      <w:tr w:rsidR="00CD67E0" w:rsidRPr="00B838EC" w14:paraId="30E621D4" w14:textId="77777777" w:rsidTr="00335F65">
        <w:tc>
          <w:tcPr>
            <w:tcW w:w="4421" w:type="dxa"/>
          </w:tcPr>
          <w:p w14:paraId="0605450C"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13.3.5 </w:t>
            </w:r>
            <w:r w:rsidRPr="00D429B4">
              <w:rPr>
                <w:rFonts w:ascii="Verdana" w:hAnsi="Verdana"/>
                <w:sz w:val="16"/>
                <w:szCs w:val="16"/>
                <w:lang w:val="es-MX"/>
              </w:rPr>
              <w:t>La revisión de los registros de distribución de producto para venta, muestras médicas o para estudios clínicos que permitan un retiro efectivo del producto.</w:t>
            </w:r>
          </w:p>
        </w:tc>
        <w:tc>
          <w:tcPr>
            <w:tcW w:w="4421" w:type="dxa"/>
            <w:shd w:val="clear" w:color="auto" w:fill="auto"/>
          </w:tcPr>
          <w:p w14:paraId="13369B0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13.3.5 </w:t>
            </w:r>
            <w:r w:rsidRPr="00D429B4">
              <w:rPr>
                <w:rFonts w:ascii="Verdana" w:hAnsi="Verdana"/>
                <w:sz w:val="16"/>
                <w:szCs w:val="16"/>
                <w:lang w:val="en-US"/>
              </w:rPr>
              <w:t>The review of the distribution records of products for sale, medical samples or clinical studies which allow effective withdrawal of the product.</w:t>
            </w:r>
          </w:p>
        </w:tc>
      </w:tr>
      <w:tr w:rsidR="00CD67E0" w:rsidRPr="00B838EC" w14:paraId="5F591197" w14:textId="77777777" w:rsidTr="00335F65">
        <w:tc>
          <w:tcPr>
            <w:tcW w:w="4421" w:type="dxa"/>
          </w:tcPr>
          <w:p w14:paraId="07AC8408"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13.3.6 </w:t>
            </w:r>
            <w:r w:rsidRPr="00D429B4">
              <w:rPr>
                <w:rFonts w:ascii="Verdana" w:hAnsi="Verdana"/>
                <w:sz w:val="16"/>
                <w:szCs w:val="16"/>
                <w:lang w:val="es-MX"/>
              </w:rPr>
              <w:t>La evaluación continua del proceso de retiro.</w:t>
            </w:r>
          </w:p>
        </w:tc>
        <w:tc>
          <w:tcPr>
            <w:tcW w:w="4421" w:type="dxa"/>
            <w:shd w:val="clear" w:color="auto" w:fill="auto"/>
          </w:tcPr>
          <w:p w14:paraId="0051DB5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13.3.6 </w:t>
            </w:r>
            <w:r w:rsidRPr="00D429B4">
              <w:rPr>
                <w:rFonts w:ascii="Verdana" w:hAnsi="Verdana"/>
                <w:sz w:val="16"/>
                <w:szCs w:val="16"/>
                <w:lang w:val="en-US"/>
              </w:rPr>
              <w:t>The continuous evaluation of the withdrawal process.</w:t>
            </w:r>
          </w:p>
        </w:tc>
      </w:tr>
      <w:tr w:rsidR="00CD67E0" w:rsidRPr="00B838EC" w14:paraId="5797DDBF" w14:textId="77777777" w:rsidTr="00335F65">
        <w:tc>
          <w:tcPr>
            <w:tcW w:w="4421" w:type="dxa"/>
          </w:tcPr>
          <w:p w14:paraId="7704BE65"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13.3.7 </w:t>
            </w:r>
            <w:r w:rsidRPr="00D429B4">
              <w:rPr>
                <w:rFonts w:ascii="Verdana" w:hAnsi="Verdana"/>
                <w:sz w:val="16"/>
                <w:szCs w:val="16"/>
                <w:lang w:val="es-MX"/>
              </w:rPr>
              <w:t>El reporte final incluyendo una conciliación entre la cantidad distribuida y la cantidad recuperada, las acciones que deberán tomarse para evitar recurrencia y destrucción del producto.</w:t>
            </w:r>
          </w:p>
        </w:tc>
        <w:tc>
          <w:tcPr>
            <w:tcW w:w="4421" w:type="dxa"/>
            <w:shd w:val="clear" w:color="auto" w:fill="auto"/>
          </w:tcPr>
          <w:p w14:paraId="0C09308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13.3.7 </w:t>
            </w:r>
            <w:r w:rsidRPr="00D429B4">
              <w:rPr>
                <w:rFonts w:ascii="Verdana" w:hAnsi="Verdana"/>
                <w:sz w:val="16"/>
                <w:szCs w:val="16"/>
                <w:lang w:val="en-US"/>
              </w:rPr>
              <w:t>The final report, including conciliation between the distributed and recovered amount, action take in order to prevent recurrence and destruction of the product.</w:t>
            </w:r>
          </w:p>
        </w:tc>
      </w:tr>
      <w:tr w:rsidR="00CD67E0" w:rsidRPr="00B838EC" w14:paraId="51C4F492" w14:textId="77777777" w:rsidTr="00335F65">
        <w:tc>
          <w:tcPr>
            <w:tcW w:w="4421" w:type="dxa"/>
          </w:tcPr>
          <w:p w14:paraId="7822CA64"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13.4 </w:t>
            </w:r>
            <w:r w:rsidRPr="00D429B4">
              <w:rPr>
                <w:rFonts w:ascii="Verdana" w:hAnsi="Verdana"/>
                <w:sz w:val="16"/>
                <w:szCs w:val="16"/>
                <w:lang w:val="es-MX"/>
              </w:rPr>
              <w:t>La efectividad del proceso de retiro del producto del mercado debe ser evaluada anualmente mediante simulacros o en los casos en los que se haya presentado.</w:t>
            </w:r>
          </w:p>
        </w:tc>
        <w:tc>
          <w:tcPr>
            <w:tcW w:w="4421" w:type="dxa"/>
            <w:shd w:val="clear" w:color="auto" w:fill="auto"/>
          </w:tcPr>
          <w:p w14:paraId="69BB4EA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13.4 </w:t>
            </w:r>
            <w:r w:rsidRPr="00D429B4">
              <w:rPr>
                <w:rFonts w:ascii="Verdana" w:hAnsi="Verdana"/>
                <w:sz w:val="16"/>
                <w:szCs w:val="16"/>
                <w:lang w:val="en-US"/>
              </w:rPr>
              <w:t xml:space="preserve">The effectiveness of the process of the withdrawal of the product from the market must be evaluated annually through simulations or in the cases in which it is present. </w:t>
            </w:r>
          </w:p>
        </w:tc>
      </w:tr>
      <w:tr w:rsidR="00CD67E0" w:rsidRPr="00DD29AF" w14:paraId="306F29B5" w14:textId="77777777" w:rsidTr="00335F65">
        <w:tc>
          <w:tcPr>
            <w:tcW w:w="4421" w:type="dxa"/>
          </w:tcPr>
          <w:p w14:paraId="0BE75CB5" w14:textId="77777777" w:rsidR="00CD67E0" w:rsidRPr="00D429B4" w:rsidRDefault="00CD67E0" w:rsidP="00CD67E0">
            <w:pPr>
              <w:pStyle w:val="Texto"/>
              <w:spacing w:after="90" w:line="276" w:lineRule="auto"/>
              <w:ind w:firstLine="0"/>
              <w:rPr>
                <w:rFonts w:ascii="Verdana" w:hAnsi="Verdana"/>
                <w:b/>
                <w:sz w:val="16"/>
                <w:szCs w:val="16"/>
                <w:lang w:val="es-MX"/>
              </w:rPr>
            </w:pPr>
            <w:r w:rsidRPr="00D429B4">
              <w:rPr>
                <w:rFonts w:ascii="Verdana" w:hAnsi="Verdana"/>
                <w:b/>
                <w:sz w:val="16"/>
                <w:szCs w:val="16"/>
                <w:lang w:val="es-MX"/>
              </w:rPr>
              <w:t>14. Actividades subcontratadas</w:t>
            </w:r>
          </w:p>
        </w:tc>
        <w:tc>
          <w:tcPr>
            <w:tcW w:w="4421" w:type="dxa"/>
          </w:tcPr>
          <w:p w14:paraId="45DC5329" w14:textId="77777777" w:rsidR="00CD67E0" w:rsidRPr="00D429B4" w:rsidRDefault="00CD67E0" w:rsidP="00CD67E0">
            <w:pPr>
              <w:pStyle w:val="Texto"/>
              <w:spacing w:after="90" w:line="276" w:lineRule="auto"/>
              <w:ind w:firstLine="0"/>
              <w:rPr>
                <w:rFonts w:ascii="Verdana" w:hAnsi="Verdana"/>
                <w:b/>
                <w:sz w:val="16"/>
                <w:szCs w:val="16"/>
                <w:lang w:val="en-US"/>
              </w:rPr>
            </w:pPr>
            <w:r w:rsidRPr="00D429B4">
              <w:rPr>
                <w:rFonts w:ascii="Verdana" w:hAnsi="Verdana"/>
                <w:b/>
                <w:sz w:val="16"/>
                <w:szCs w:val="16"/>
                <w:lang w:val="en-US"/>
              </w:rPr>
              <w:t>14. Subcontracted activities</w:t>
            </w:r>
          </w:p>
        </w:tc>
      </w:tr>
      <w:tr w:rsidR="00CD67E0" w:rsidRPr="00DD29AF" w14:paraId="36947305" w14:textId="77777777" w:rsidTr="00335F65">
        <w:tc>
          <w:tcPr>
            <w:tcW w:w="4421" w:type="dxa"/>
          </w:tcPr>
          <w:p w14:paraId="339FC81E"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sz w:val="16"/>
                <w:szCs w:val="16"/>
                <w:lang w:val="es-MX"/>
              </w:rPr>
              <w:t>Fundamentos.</w:t>
            </w:r>
          </w:p>
        </w:tc>
        <w:tc>
          <w:tcPr>
            <w:tcW w:w="4421" w:type="dxa"/>
          </w:tcPr>
          <w:p w14:paraId="13CCE5B1" w14:textId="77777777" w:rsidR="00CD67E0" w:rsidRPr="00D429B4" w:rsidRDefault="00CD67E0" w:rsidP="00CD67E0">
            <w:pPr>
              <w:pStyle w:val="Texto"/>
              <w:spacing w:after="90" w:line="276" w:lineRule="auto"/>
              <w:ind w:firstLine="0"/>
              <w:rPr>
                <w:rFonts w:ascii="Verdana" w:hAnsi="Verdana"/>
                <w:sz w:val="16"/>
                <w:szCs w:val="16"/>
                <w:lang w:val="en-US"/>
              </w:rPr>
            </w:pPr>
            <w:r w:rsidRPr="00D429B4">
              <w:rPr>
                <w:rFonts w:ascii="Verdana" w:hAnsi="Verdana"/>
                <w:sz w:val="16"/>
                <w:szCs w:val="16"/>
                <w:lang w:val="en-US"/>
              </w:rPr>
              <w:t xml:space="preserve">Fundamentals </w:t>
            </w:r>
          </w:p>
        </w:tc>
      </w:tr>
      <w:tr w:rsidR="00CD67E0" w:rsidRPr="00B838EC" w14:paraId="1B4E3FDE" w14:textId="77777777" w:rsidTr="00335F65">
        <w:tc>
          <w:tcPr>
            <w:tcW w:w="4421" w:type="dxa"/>
          </w:tcPr>
          <w:p w14:paraId="780D57BC"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sz w:val="16"/>
                <w:szCs w:val="16"/>
                <w:lang w:val="es-MX"/>
              </w:rPr>
              <w:t>Cualquier actividad incluida en esta Norma que sea subcontratada debe estar definida, acordada y controlada para evitar imprecisiones que puedan dar como resultado un producto u operación de calidad insatisfactoria.</w:t>
            </w:r>
          </w:p>
        </w:tc>
        <w:tc>
          <w:tcPr>
            <w:tcW w:w="4421" w:type="dxa"/>
          </w:tcPr>
          <w:p w14:paraId="32EBCE18" w14:textId="77777777" w:rsidR="00CD67E0" w:rsidRPr="00D429B4" w:rsidRDefault="00CD67E0" w:rsidP="00CD67E0">
            <w:pPr>
              <w:pStyle w:val="Texto"/>
              <w:spacing w:after="90" w:line="276" w:lineRule="auto"/>
              <w:ind w:firstLine="0"/>
              <w:rPr>
                <w:rFonts w:ascii="Verdana" w:hAnsi="Verdana"/>
                <w:sz w:val="16"/>
                <w:szCs w:val="16"/>
                <w:lang w:val="en-US"/>
              </w:rPr>
            </w:pPr>
            <w:r w:rsidRPr="00D429B4">
              <w:rPr>
                <w:rFonts w:ascii="Verdana" w:hAnsi="Verdana"/>
                <w:sz w:val="16"/>
                <w:szCs w:val="16"/>
                <w:lang w:val="en-US"/>
              </w:rPr>
              <w:t xml:space="preserve">Any activity included in this Standard that is subcontracted must be defined, negotiated and controlled to avoid a lack of precision that can give as a result a product or operation of unsatisfactory quality.  </w:t>
            </w:r>
          </w:p>
        </w:tc>
      </w:tr>
      <w:tr w:rsidR="00CD67E0" w:rsidRPr="00B838EC" w14:paraId="0AAD06E0" w14:textId="77777777" w:rsidTr="00335F65">
        <w:tc>
          <w:tcPr>
            <w:tcW w:w="4421" w:type="dxa"/>
          </w:tcPr>
          <w:p w14:paraId="23F4F6A0"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sz w:val="16"/>
                <w:szCs w:val="16"/>
                <w:lang w:val="es-MX"/>
              </w:rPr>
              <w:t>Se debe formalizar en un contrato por escrito entre el agente contratante y el agente contratado que establezca claramente las responsabilidades de cada parte.</w:t>
            </w:r>
          </w:p>
        </w:tc>
        <w:tc>
          <w:tcPr>
            <w:tcW w:w="4421" w:type="dxa"/>
          </w:tcPr>
          <w:p w14:paraId="07A61CD7" w14:textId="77777777" w:rsidR="00CD67E0" w:rsidRPr="00D429B4" w:rsidRDefault="00CD67E0" w:rsidP="00CD67E0">
            <w:pPr>
              <w:pStyle w:val="Texto"/>
              <w:spacing w:after="90" w:line="276" w:lineRule="auto"/>
              <w:ind w:firstLine="0"/>
              <w:rPr>
                <w:rFonts w:ascii="Verdana" w:hAnsi="Verdana"/>
                <w:sz w:val="16"/>
                <w:szCs w:val="16"/>
                <w:lang w:val="en-US"/>
              </w:rPr>
            </w:pPr>
            <w:r w:rsidRPr="00D429B4">
              <w:rPr>
                <w:rFonts w:ascii="Verdana" w:hAnsi="Verdana"/>
                <w:sz w:val="16"/>
                <w:szCs w:val="16"/>
                <w:lang w:val="en-US"/>
              </w:rPr>
              <w:t xml:space="preserve">A contract in writing must be formalized between the contracting agent and the contracted agent that establishes clearly the responsibilities of each party. </w:t>
            </w:r>
          </w:p>
        </w:tc>
      </w:tr>
      <w:tr w:rsidR="00CD67E0" w:rsidRPr="00B838EC" w14:paraId="52503C4B" w14:textId="77777777" w:rsidTr="00335F65">
        <w:tc>
          <w:tcPr>
            <w:tcW w:w="4421" w:type="dxa"/>
          </w:tcPr>
          <w:p w14:paraId="2AED7DA4" w14:textId="77777777" w:rsidR="00CD67E0" w:rsidRPr="00D429B4" w:rsidRDefault="00CD67E0" w:rsidP="00CD67E0">
            <w:pPr>
              <w:pStyle w:val="Texto"/>
              <w:spacing w:after="90" w:line="276" w:lineRule="auto"/>
              <w:ind w:firstLine="0"/>
              <w:rPr>
                <w:rFonts w:ascii="Verdana" w:hAnsi="Verdana"/>
                <w:b/>
                <w:sz w:val="16"/>
                <w:szCs w:val="16"/>
                <w:lang w:val="es-MX"/>
              </w:rPr>
            </w:pPr>
            <w:r w:rsidRPr="00D429B4">
              <w:rPr>
                <w:rFonts w:ascii="Verdana" w:hAnsi="Verdana"/>
                <w:sz w:val="16"/>
                <w:szCs w:val="16"/>
                <w:lang w:val="es-MX"/>
              </w:rPr>
              <w:t>El sistema de gestión de calidad del agente contratante debe reflejar claramente el modo en el que el Responsable Sanitario o persona que Autoriza la liberación de cada lote de producto contempla las actividades subcontratadas en su responsabilidad.</w:t>
            </w:r>
          </w:p>
        </w:tc>
        <w:tc>
          <w:tcPr>
            <w:tcW w:w="4421" w:type="dxa"/>
          </w:tcPr>
          <w:p w14:paraId="73F9D43E" w14:textId="77777777" w:rsidR="00CD67E0" w:rsidRPr="00D429B4" w:rsidRDefault="00CD67E0" w:rsidP="00CD67E0">
            <w:pPr>
              <w:pStyle w:val="Texto"/>
              <w:spacing w:after="90" w:line="276" w:lineRule="auto"/>
              <w:ind w:firstLine="0"/>
              <w:rPr>
                <w:rFonts w:ascii="Verdana" w:hAnsi="Verdana"/>
                <w:sz w:val="16"/>
                <w:szCs w:val="16"/>
                <w:lang w:val="en-US"/>
              </w:rPr>
            </w:pPr>
            <w:r w:rsidRPr="00D429B4">
              <w:rPr>
                <w:rFonts w:ascii="Verdana" w:hAnsi="Verdana"/>
                <w:sz w:val="16"/>
                <w:szCs w:val="16"/>
                <w:lang w:val="en-US"/>
              </w:rPr>
              <w:t xml:space="preserve">The Quality Management System of the contracting agent must clearly reflect the way in which the Person responsible for sanitary compliance or person that authorizes the release of each product lot includes the subcontracted activities under his/her responsibility. </w:t>
            </w:r>
          </w:p>
        </w:tc>
      </w:tr>
      <w:tr w:rsidR="00CD67E0" w:rsidRPr="00DD29AF" w14:paraId="0D7F6D3F" w14:textId="77777777" w:rsidTr="00335F65">
        <w:tc>
          <w:tcPr>
            <w:tcW w:w="4421" w:type="dxa"/>
          </w:tcPr>
          <w:p w14:paraId="6B25E721" w14:textId="77777777" w:rsidR="00CD67E0" w:rsidRPr="00D429B4" w:rsidRDefault="00CD67E0" w:rsidP="00CD67E0">
            <w:pPr>
              <w:pStyle w:val="Texto"/>
              <w:spacing w:after="90" w:line="276" w:lineRule="auto"/>
              <w:ind w:firstLine="0"/>
              <w:rPr>
                <w:rFonts w:ascii="Verdana" w:hAnsi="Verdana"/>
                <w:b/>
                <w:sz w:val="16"/>
                <w:szCs w:val="16"/>
                <w:lang w:val="es-MX"/>
              </w:rPr>
            </w:pPr>
            <w:r w:rsidRPr="00D429B4">
              <w:rPr>
                <w:rFonts w:ascii="Verdana" w:hAnsi="Verdana"/>
                <w:b/>
                <w:sz w:val="16"/>
                <w:szCs w:val="16"/>
                <w:lang w:val="es-MX"/>
              </w:rPr>
              <w:t xml:space="preserve">14.1 </w:t>
            </w:r>
            <w:r w:rsidRPr="00D429B4">
              <w:rPr>
                <w:rFonts w:ascii="Verdana" w:hAnsi="Verdana"/>
                <w:sz w:val="16"/>
                <w:szCs w:val="16"/>
                <w:lang w:val="es-MX"/>
              </w:rPr>
              <w:t>Generalidades.</w:t>
            </w:r>
          </w:p>
        </w:tc>
        <w:tc>
          <w:tcPr>
            <w:tcW w:w="4421" w:type="dxa"/>
          </w:tcPr>
          <w:p w14:paraId="2820CDAF" w14:textId="77777777" w:rsidR="00CD67E0" w:rsidRPr="00D429B4" w:rsidRDefault="00CD67E0" w:rsidP="00CD67E0">
            <w:pPr>
              <w:pStyle w:val="Texto"/>
              <w:spacing w:after="90" w:line="276" w:lineRule="auto"/>
              <w:ind w:firstLine="0"/>
              <w:rPr>
                <w:rFonts w:ascii="Verdana" w:hAnsi="Verdana"/>
                <w:sz w:val="16"/>
                <w:szCs w:val="16"/>
                <w:lang w:val="en-US"/>
              </w:rPr>
            </w:pPr>
            <w:r w:rsidRPr="00D429B4">
              <w:rPr>
                <w:rFonts w:ascii="Verdana" w:hAnsi="Verdana"/>
                <w:b/>
                <w:sz w:val="16"/>
                <w:szCs w:val="16"/>
                <w:lang w:val="en-US"/>
              </w:rPr>
              <w:t xml:space="preserve">14.1 </w:t>
            </w:r>
            <w:r w:rsidRPr="00D429B4">
              <w:rPr>
                <w:rFonts w:ascii="Verdana" w:hAnsi="Verdana"/>
                <w:sz w:val="16"/>
                <w:szCs w:val="16"/>
                <w:lang w:val="en-US"/>
              </w:rPr>
              <w:t xml:space="preserve">General provisions. </w:t>
            </w:r>
          </w:p>
        </w:tc>
      </w:tr>
      <w:tr w:rsidR="00CD67E0" w:rsidRPr="00B838EC" w14:paraId="16B97566" w14:textId="77777777" w:rsidTr="00335F65">
        <w:tc>
          <w:tcPr>
            <w:tcW w:w="4421" w:type="dxa"/>
          </w:tcPr>
          <w:p w14:paraId="6C8EC5FA"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14.1.1 </w:t>
            </w:r>
            <w:r w:rsidRPr="00D429B4">
              <w:rPr>
                <w:rFonts w:ascii="Verdana" w:hAnsi="Verdana"/>
                <w:sz w:val="16"/>
                <w:szCs w:val="16"/>
                <w:lang w:val="es-MX"/>
              </w:rPr>
              <w:t>Se formalizará un contrato por escrito que contemple las actividades subcontratadas, los productos u operaciones relacionadas y cualquier acuerdo técnico relacionado con éstas.</w:t>
            </w:r>
          </w:p>
        </w:tc>
        <w:tc>
          <w:tcPr>
            <w:tcW w:w="4421" w:type="dxa"/>
          </w:tcPr>
          <w:p w14:paraId="3C4DFB96" w14:textId="77777777" w:rsidR="00CD67E0" w:rsidRPr="00D429B4" w:rsidRDefault="00CD67E0" w:rsidP="00CD67E0">
            <w:pPr>
              <w:pStyle w:val="Texto"/>
              <w:spacing w:after="90" w:line="276" w:lineRule="auto"/>
              <w:ind w:firstLine="0"/>
              <w:rPr>
                <w:rFonts w:ascii="Verdana" w:hAnsi="Verdana"/>
                <w:sz w:val="16"/>
                <w:szCs w:val="16"/>
                <w:lang w:val="en-US"/>
              </w:rPr>
            </w:pPr>
            <w:r w:rsidRPr="00D429B4">
              <w:rPr>
                <w:rFonts w:ascii="Verdana" w:hAnsi="Verdana"/>
                <w:b/>
                <w:sz w:val="16"/>
                <w:szCs w:val="16"/>
                <w:lang w:val="en-US"/>
              </w:rPr>
              <w:t xml:space="preserve">14.1.1 </w:t>
            </w:r>
            <w:r w:rsidRPr="00D429B4">
              <w:rPr>
                <w:rFonts w:ascii="Verdana" w:hAnsi="Verdana"/>
                <w:sz w:val="16"/>
                <w:szCs w:val="16"/>
                <w:lang w:val="en-US"/>
              </w:rPr>
              <w:t xml:space="preserve">A contract in writing will be formalized that includes the subcontracted activities, the related products or operations and any technical agreement related to them. </w:t>
            </w:r>
          </w:p>
        </w:tc>
      </w:tr>
      <w:tr w:rsidR="00CD67E0" w:rsidRPr="00B838EC" w14:paraId="0C03EE8D" w14:textId="77777777" w:rsidTr="00335F65">
        <w:tc>
          <w:tcPr>
            <w:tcW w:w="4421" w:type="dxa"/>
          </w:tcPr>
          <w:p w14:paraId="63D97D9A" w14:textId="77777777" w:rsidR="00CD67E0" w:rsidRPr="00D429B4" w:rsidRDefault="00CD67E0" w:rsidP="00CD67E0">
            <w:pPr>
              <w:pStyle w:val="Texto"/>
              <w:spacing w:after="90" w:line="276" w:lineRule="auto"/>
              <w:ind w:firstLine="0"/>
              <w:rPr>
                <w:rFonts w:ascii="Verdana" w:hAnsi="Verdana"/>
                <w:sz w:val="16"/>
                <w:szCs w:val="16"/>
                <w:lang w:val="es-MX"/>
              </w:rPr>
            </w:pPr>
            <w:r w:rsidRPr="00D429B4">
              <w:rPr>
                <w:rFonts w:ascii="Verdana" w:hAnsi="Verdana"/>
                <w:b/>
                <w:sz w:val="16"/>
                <w:szCs w:val="16"/>
                <w:lang w:val="es-MX"/>
              </w:rPr>
              <w:t xml:space="preserve">14.1.2 </w:t>
            </w:r>
            <w:r w:rsidRPr="00D429B4">
              <w:rPr>
                <w:rFonts w:ascii="Verdana" w:hAnsi="Verdana"/>
                <w:sz w:val="16"/>
                <w:szCs w:val="16"/>
                <w:lang w:val="es-MX"/>
              </w:rPr>
              <w:t>Todos los acuerdos para las actividades subcontratadas incluyendo cualquier modificación de tipo técnico u otros acuerdos que se propongan deberán estar en concordancia con las disposiciones jurídicas vigentes y con las condiciones autorizadas en el Registro Sanitario del producto en cuestión, cuando sea aplicable.</w:t>
            </w:r>
          </w:p>
        </w:tc>
        <w:tc>
          <w:tcPr>
            <w:tcW w:w="4421" w:type="dxa"/>
          </w:tcPr>
          <w:p w14:paraId="29B47BF3" w14:textId="77777777" w:rsidR="00CD67E0" w:rsidRPr="00D429B4" w:rsidRDefault="00CD67E0" w:rsidP="00CD67E0">
            <w:pPr>
              <w:pStyle w:val="Texto"/>
              <w:spacing w:after="90" w:line="276" w:lineRule="auto"/>
              <w:ind w:firstLine="0"/>
              <w:rPr>
                <w:rFonts w:ascii="Verdana" w:hAnsi="Verdana"/>
                <w:sz w:val="16"/>
                <w:szCs w:val="16"/>
                <w:lang w:val="en-US"/>
              </w:rPr>
            </w:pPr>
            <w:r w:rsidRPr="00D429B4">
              <w:rPr>
                <w:rFonts w:ascii="Verdana" w:hAnsi="Verdana"/>
                <w:b/>
                <w:sz w:val="16"/>
                <w:szCs w:val="16"/>
                <w:lang w:val="en-US"/>
              </w:rPr>
              <w:t xml:space="preserve">14.1.2 </w:t>
            </w:r>
            <w:r w:rsidRPr="00D429B4">
              <w:rPr>
                <w:rFonts w:ascii="Verdana" w:hAnsi="Verdana"/>
                <w:sz w:val="16"/>
                <w:szCs w:val="16"/>
                <w:lang w:val="en-US"/>
              </w:rPr>
              <w:t xml:space="preserve">All the agreements for the subcontracted activities including any modification of a technical type or other agreements that are proposed must be in concordance with the current legal provisions and with the conditions authorized in the Sanitary Registration of the product in question, when applicable. </w:t>
            </w:r>
          </w:p>
        </w:tc>
      </w:tr>
      <w:tr w:rsidR="00CD67E0" w:rsidRPr="00B838EC" w14:paraId="28BB4ED2" w14:textId="77777777" w:rsidTr="00335F65">
        <w:tc>
          <w:tcPr>
            <w:tcW w:w="4421" w:type="dxa"/>
          </w:tcPr>
          <w:p w14:paraId="0DE33F76"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14.1.3 </w:t>
            </w:r>
            <w:r w:rsidRPr="00D429B4">
              <w:rPr>
                <w:rFonts w:ascii="Verdana" w:hAnsi="Verdana"/>
                <w:sz w:val="16"/>
                <w:szCs w:val="16"/>
                <w:lang w:val="es-MX"/>
              </w:rPr>
              <w:t>Cuando el titular del Registro Sanitario y el fabricante no sean el mismo, se debe disponer de acuerdos que tengan en cuenta los principios descritos en este capítulo.</w:t>
            </w:r>
          </w:p>
        </w:tc>
        <w:tc>
          <w:tcPr>
            <w:tcW w:w="4421" w:type="dxa"/>
          </w:tcPr>
          <w:p w14:paraId="62065A1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14.1.3 </w:t>
            </w:r>
            <w:r w:rsidRPr="00D429B4">
              <w:rPr>
                <w:rFonts w:ascii="Verdana" w:hAnsi="Verdana"/>
                <w:sz w:val="16"/>
                <w:szCs w:val="16"/>
                <w:lang w:val="en-US"/>
              </w:rPr>
              <w:t xml:space="preserve">When the holder of the Sanitary registration and the manufacturer are not the same, agreements must be available that take into account the principles described in this chapter. </w:t>
            </w:r>
          </w:p>
        </w:tc>
      </w:tr>
      <w:tr w:rsidR="00CD67E0" w:rsidRPr="009B1C12" w14:paraId="70625CC0" w14:textId="77777777" w:rsidTr="00335F65">
        <w:tc>
          <w:tcPr>
            <w:tcW w:w="4421" w:type="dxa"/>
          </w:tcPr>
          <w:p w14:paraId="34CB8AAF"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14.2 </w:t>
            </w:r>
            <w:r w:rsidRPr="00D429B4">
              <w:rPr>
                <w:rFonts w:ascii="Verdana" w:hAnsi="Verdana"/>
                <w:sz w:val="16"/>
                <w:szCs w:val="16"/>
                <w:lang w:val="es-MX"/>
              </w:rPr>
              <w:t>Agente contratante.</w:t>
            </w:r>
          </w:p>
        </w:tc>
        <w:tc>
          <w:tcPr>
            <w:tcW w:w="4421" w:type="dxa"/>
          </w:tcPr>
          <w:p w14:paraId="7F941E7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14.2 </w:t>
            </w:r>
            <w:r w:rsidRPr="00D429B4">
              <w:rPr>
                <w:rFonts w:ascii="Verdana" w:hAnsi="Verdana"/>
                <w:sz w:val="16"/>
                <w:szCs w:val="16"/>
                <w:lang w:val="en-US"/>
              </w:rPr>
              <w:t xml:space="preserve">Contracting Agent. </w:t>
            </w:r>
          </w:p>
        </w:tc>
      </w:tr>
      <w:tr w:rsidR="00CD67E0" w:rsidRPr="00B838EC" w14:paraId="4FD30132" w14:textId="77777777" w:rsidTr="00335F65">
        <w:tc>
          <w:tcPr>
            <w:tcW w:w="4421" w:type="dxa"/>
          </w:tcPr>
          <w:p w14:paraId="088D2C90"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14.2.1 </w:t>
            </w:r>
            <w:r w:rsidRPr="00D429B4">
              <w:rPr>
                <w:rFonts w:ascii="Verdana" w:hAnsi="Verdana"/>
                <w:sz w:val="16"/>
                <w:szCs w:val="16"/>
                <w:lang w:val="es-MX"/>
              </w:rPr>
              <w:t>El sistema de gestión de calidad del contratante debe incluir el control y la revisión de cualquier actividad subcontratada. El contratante es el último responsable de asegurar que hay procesos establecidos para asegurar el control de las actividades subcontratadas. Estos procesos deben incorporar los principios de la gestión de riesgos e incluir en particular:</w:t>
            </w:r>
          </w:p>
        </w:tc>
        <w:tc>
          <w:tcPr>
            <w:tcW w:w="4421" w:type="dxa"/>
          </w:tcPr>
          <w:p w14:paraId="2AF338B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14.2.1 </w:t>
            </w:r>
            <w:r w:rsidRPr="00D429B4">
              <w:rPr>
                <w:rFonts w:ascii="Verdana" w:hAnsi="Verdana"/>
                <w:sz w:val="16"/>
                <w:szCs w:val="16"/>
                <w:lang w:val="en-US"/>
              </w:rPr>
              <w:t xml:space="preserve">The Quality Management System of the contracting party must include the control and review of any subcontracted activity. The contracting party has the final responsibility for assuring that there are established processes for assuring the control of the subcontracted activities. These processes must incorporate the principles of the management of risks and include in particular: </w:t>
            </w:r>
          </w:p>
        </w:tc>
      </w:tr>
      <w:tr w:rsidR="00CD67E0" w:rsidRPr="00B838EC" w14:paraId="0A786A01" w14:textId="77777777" w:rsidTr="00335F65">
        <w:tc>
          <w:tcPr>
            <w:tcW w:w="4421" w:type="dxa"/>
          </w:tcPr>
          <w:p w14:paraId="6CE1B0A8"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lastRenderedPageBreak/>
              <w:t xml:space="preserve">14.2.1.1 </w:t>
            </w:r>
            <w:r w:rsidRPr="00D429B4">
              <w:rPr>
                <w:rFonts w:ascii="Verdana" w:hAnsi="Verdana"/>
                <w:sz w:val="16"/>
                <w:szCs w:val="16"/>
                <w:lang w:val="es-MX"/>
              </w:rPr>
              <w:t>Previamente a las actividades subcontratadas, el contratante es responsable de evaluar la legalidad, idoneidad y la competencia del contratado para llevar a cabo con éxito las actividades subcontratadas. El contratante también es responsable de asegurar por medio del contrato que se siguen los principios y directrices de esta Norma.</w:t>
            </w:r>
          </w:p>
        </w:tc>
        <w:tc>
          <w:tcPr>
            <w:tcW w:w="4421" w:type="dxa"/>
          </w:tcPr>
          <w:p w14:paraId="2943008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14.2.1.1 </w:t>
            </w:r>
            <w:r w:rsidRPr="00D429B4">
              <w:rPr>
                <w:rFonts w:ascii="Verdana" w:hAnsi="Verdana"/>
                <w:sz w:val="16"/>
                <w:szCs w:val="16"/>
                <w:lang w:val="en-US"/>
              </w:rPr>
              <w:t>Prior to the subcontracted activities, the contracting party is the party responsible for evaluating the legality, suitability and the competency of the contracted party to carry out successfully the subcontracted activities. The contracted party also is responsible for assuring by means of the contract that the principles and directives in this standard are followed.</w:t>
            </w:r>
          </w:p>
        </w:tc>
      </w:tr>
      <w:tr w:rsidR="00CD67E0" w:rsidRPr="00B838EC" w14:paraId="4BC01A5B" w14:textId="77777777" w:rsidTr="00335F65">
        <w:tc>
          <w:tcPr>
            <w:tcW w:w="4421" w:type="dxa"/>
          </w:tcPr>
          <w:p w14:paraId="488760D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14.2.1.2</w:t>
            </w:r>
            <w:r w:rsidRPr="00D429B4">
              <w:rPr>
                <w:rFonts w:ascii="Verdana" w:hAnsi="Verdana"/>
                <w:sz w:val="16"/>
                <w:szCs w:val="16"/>
                <w:lang w:val="es-MX"/>
              </w:rPr>
              <w:t xml:space="preserve"> El contratante debe proporcionar al contratado toda la información y conocimientos necesarios para realizar las operaciones contratadas correctamente de acuerdo con las disposiciones jurídicas aplicables y con las condiciones autorizadas en el Registro Sanitario del producto en cuestión.</w:t>
            </w:r>
          </w:p>
        </w:tc>
        <w:tc>
          <w:tcPr>
            <w:tcW w:w="4421" w:type="dxa"/>
          </w:tcPr>
          <w:p w14:paraId="0C9BB01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14.2.1.2 </w:t>
            </w:r>
            <w:r w:rsidRPr="00D429B4">
              <w:rPr>
                <w:rFonts w:ascii="Verdana" w:hAnsi="Verdana"/>
                <w:sz w:val="16"/>
                <w:szCs w:val="16"/>
                <w:lang w:val="en-US"/>
              </w:rPr>
              <w:t xml:space="preserve">The contracting party must provide the contracted party all the information and knowledge necessary to perform the operations contracted correctly according to the applicable legal provisions and with the conditions authorized in the Sanitary Registration of the product in question. </w:t>
            </w:r>
          </w:p>
        </w:tc>
      </w:tr>
      <w:tr w:rsidR="00CD67E0" w:rsidRPr="00B838EC" w14:paraId="600361C7" w14:textId="77777777" w:rsidTr="00335F65">
        <w:tc>
          <w:tcPr>
            <w:tcW w:w="4421" w:type="dxa"/>
          </w:tcPr>
          <w:p w14:paraId="23BFFC6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14.2.1.3</w:t>
            </w:r>
            <w:r w:rsidRPr="00D429B4">
              <w:rPr>
                <w:rFonts w:ascii="Verdana" w:hAnsi="Verdana"/>
                <w:sz w:val="16"/>
                <w:szCs w:val="16"/>
                <w:lang w:val="es-MX"/>
              </w:rPr>
              <w:t xml:space="preserve"> El contratante debe controlar y revisar el desempeño del contratado y la identificación, implementación y control de cualquier mejora realizada.</w:t>
            </w:r>
          </w:p>
        </w:tc>
        <w:tc>
          <w:tcPr>
            <w:tcW w:w="4421" w:type="dxa"/>
          </w:tcPr>
          <w:p w14:paraId="174227F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14.2.1.3 </w:t>
            </w:r>
            <w:r w:rsidRPr="00D429B4">
              <w:rPr>
                <w:rFonts w:ascii="Verdana" w:hAnsi="Verdana"/>
                <w:sz w:val="16"/>
                <w:szCs w:val="16"/>
                <w:lang w:val="en-US"/>
              </w:rPr>
              <w:t xml:space="preserve">The contracting party must control and review the performance of the contracted party and the identification and control of any improvement made. </w:t>
            </w:r>
          </w:p>
        </w:tc>
      </w:tr>
      <w:tr w:rsidR="00CD67E0" w:rsidRPr="00B838EC" w14:paraId="17B8132C" w14:textId="77777777" w:rsidTr="00335F65">
        <w:tc>
          <w:tcPr>
            <w:tcW w:w="4421" w:type="dxa"/>
          </w:tcPr>
          <w:p w14:paraId="7CCAFA9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14.2.1.4</w:t>
            </w:r>
            <w:r w:rsidRPr="00D429B4">
              <w:rPr>
                <w:rFonts w:ascii="Verdana" w:hAnsi="Verdana"/>
                <w:sz w:val="16"/>
                <w:szCs w:val="16"/>
                <w:lang w:val="es-MX"/>
              </w:rPr>
              <w:t xml:space="preserve"> El contratante debe ser responsable de la revisión y evaluación de los registros y de los resultados relacionados con las actividades subcontratadas.</w:t>
            </w:r>
          </w:p>
        </w:tc>
        <w:tc>
          <w:tcPr>
            <w:tcW w:w="4421" w:type="dxa"/>
          </w:tcPr>
          <w:p w14:paraId="11FC50E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14.2.1.4 </w:t>
            </w:r>
            <w:r w:rsidRPr="00D429B4">
              <w:rPr>
                <w:rFonts w:ascii="Verdana" w:hAnsi="Verdana"/>
                <w:sz w:val="16"/>
                <w:szCs w:val="16"/>
                <w:lang w:val="en-US"/>
              </w:rPr>
              <w:t xml:space="preserve">The contracting party must be responsible for the review and evaluation of the records and the results related with the subcontracted activities. </w:t>
            </w:r>
          </w:p>
        </w:tc>
      </w:tr>
      <w:tr w:rsidR="00CD67E0" w:rsidRPr="00DD29AF" w14:paraId="67E5F6E2" w14:textId="77777777" w:rsidTr="00335F65">
        <w:tc>
          <w:tcPr>
            <w:tcW w:w="4421" w:type="dxa"/>
          </w:tcPr>
          <w:p w14:paraId="0BC4386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14.3 </w:t>
            </w:r>
            <w:r w:rsidRPr="00D429B4">
              <w:rPr>
                <w:rFonts w:ascii="Verdana" w:hAnsi="Verdana"/>
                <w:sz w:val="16"/>
                <w:szCs w:val="16"/>
                <w:lang w:val="es-MX"/>
              </w:rPr>
              <w:t>Agente contratado.</w:t>
            </w:r>
          </w:p>
        </w:tc>
        <w:tc>
          <w:tcPr>
            <w:tcW w:w="4421" w:type="dxa"/>
          </w:tcPr>
          <w:p w14:paraId="01B3C05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14.3 </w:t>
            </w:r>
            <w:r w:rsidRPr="00D429B4">
              <w:rPr>
                <w:rFonts w:ascii="Verdana" w:hAnsi="Verdana"/>
                <w:sz w:val="16"/>
                <w:szCs w:val="16"/>
                <w:lang w:val="en-US"/>
              </w:rPr>
              <w:t xml:space="preserve">Contracted Agent. </w:t>
            </w:r>
          </w:p>
        </w:tc>
      </w:tr>
      <w:tr w:rsidR="00CD67E0" w:rsidRPr="00B838EC" w14:paraId="7442723A" w14:textId="77777777" w:rsidTr="00335F65">
        <w:tc>
          <w:tcPr>
            <w:tcW w:w="4421" w:type="dxa"/>
          </w:tcPr>
          <w:p w14:paraId="7C3D27E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14.3.1</w:t>
            </w:r>
            <w:r w:rsidRPr="00D429B4">
              <w:rPr>
                <w:rFonts w:ascii="Verdana" w:hAnsi="Verdana"/>
                <w:sz w:val="16"/>
                <w:szCs w:val="16"/>
                <w:lang w:val="es-MX"/>
              </w:rPr>
              <w:t xml:space="preserve"> El contratado debe ser capaz de realizar satisfactoriamente el trabajo encargado por el contratante, teniendo para ello instalaciones adecuadas, equipos, conocimiento, experiencia y personal competente.</w:t>
            </w:r>
          </w:p>
        </w:tc>
        <w:tc>
          <w:tcPr>
            <w:tcW w:w="4421" w:type="dxa"/>
          </w:tcPr>
          <w:p w14:paraId="5131883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14.3.1 </w:t>
            </w:r>
            <w:r w:rsidRPr="00D429B4">
              <w:rPr>
                <w:rFonts w:ascii="Verdana" w:hAnsi="Verdana"/>
                <w:sz w:val="16"/>
                <w:szCs w:val="16"/>
                <w:lang w:val="en-US"/>
              </w:rPr>
              <w:t xml:space="preserve">The contracted party must be capable of performing satisfactorily the work commissioned by the contracting party, having, for the purpose, adequate installations, equipment, knowledge, experience and competent personnel. </w:t>
            </w:r>
          </w:p>
        </w:tc>
      </w:tr>
      <w:tr w:rsidR="00CD67E0" w:rsidRPr="00B838EC" w14:paraId="2EE19126" w14:textId="77777777" w:rsidTr="00335F65">
        <w:tc>
          <w:tcPr>
            <w:tcW w:w="4421" w:type="dxa"/>
          </w:tcPr>
          <w:p w14:paraId="3424FE4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14.3.2</w:t>
            </w:r>
            <w:r w:rsidRPr="00D429B4">
              <w:rPr>
                <w:rFonts w:ascii="Verdana" w:hAnsi="Verdana"/>
                <w:sz w:val="16"/>
                <w:szCs w:val="16"/>
                <w:lang w:val="es-MX"/>
              </w:rPr>
              <w:t xml:space="preserve"> El contratado debe asegurar que todos los productos, materiales y conocimiento que le sean entregados son adecuados para su fin previsto.</w:t>
            </w:r>
          </w:p>
        </w:tc>
        <w:tc>
          <w:tcPr>
            <w:tcW w:w="4421" w:type="dxa"/>
          </w:tcPr>
          <w:p w14:paraId="0A3BB02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14.3.2 </w:t>
            </w:r>
            <w:r w:rsidRPr="00D429B4">
              <w:rPr>
                <w:rFonts w:ascii="Verdana" w:hAnsi="Verdana"/>
                <w:sz w:val="16"/>
                <w:szCs w:val="16"/>
                <w:lang w:val="en-US"/>
              </w:rPr>
              <w:t xml:space="preserve">The contracted party must assure that all the products, materials and knowledge that are delivered are adequate for their purpose. </w:t>
            </w:r>
          </w:p>
        </w:tc>
      </w:tr>
      <w:tr w:rsidR="00CD67E0" w:rsidRPr="00B838EC" w14:paraId="40BA7804" w14:textId="77777777" w:rsidTr="00335F65">
        <w:tc>
          <w:tcPr>
            <w:tcW w:w="4421" w:type="dxa"/>
          </w:tcPr>
          <w:p w14:paraId="1E8A358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14.3.3</w:t>
            </w:r>
            <w:r w:rsidRPr="00D429B4">
              <w:rPr>
                <w:rFonts w:ascii="Verdana" w:hAnsi="Verdana"/>
                <w:sz w:val="16"/>
                <w:szCs w:val="16"/>
                <w:lang w:val="es-MX"/>
              </w:rPr>
              <w:t xml:space="preserve"> El contratado no subcontratará a un tercero ninguna parte del trabajo que le haya sido confiado con respecto al contrato sin que el contratante lo haya evaluado y aprobado previamente. Los acuerdos celebrados entre el contratado y cualquier tercero deberán garantizar que la información y conocimiento, incluida la de la evaluación de la idoneidad del tercero, estén disponibles de la misma manera que lo están entre el contratante original y el contratado.</w:t>
            </w:r>
          </w:p>
        </w:tc>
        <w:tc>
          <w:tcPr>
            <w:tcW w:w="4421" w:type="dxa"/>
          </w:tcPr>
          <w:p w14:paraId="3733290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14.3.3 </w:t>
            </w:r>
            <w:r w:rsidRPr="00D429B4">
              <w:rPr>
                <w:rFonts w:ascii="Verdana" w:hAnsi="Verdana"/>
                <w:sz w:val="16"/>
                <w:szCs w:val="16"/>
                <w:lang w:val="en-US"/>
              </w:rPr>
              <w:t xml:space="preserve">The contracted party will not subcontract to a third party any part of the work entrusted to them with respect to the contract, unless the contracting party evaluated it and approved it beforehand. The agreements entered into between the contracted party and any third party must guarantee that the information and knowledge, including that of the evaluation of the competency of the third party, are available of the same that they are between the original contracting party and contracted party. </w:t>
            </w:r>
          </w:p>
        </w:tc>
      </w:tr>
      <w:tr w:rsidR="00CD67E0" w:rsidRPr="00B838EC" w14:paraId="294A97B1" w14:textId="77777777" w:rsidTr="00335F65">
        <w:tc>
          <w:tcPr>
            <w:tcW w:w="4421" w:type="dxa"/>
          </w:tcPr>
          <w:p w14:paraId="4C9B164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14.3.4 </w:t>
            </w:r>
            <w:r w:rsidRPr="00D429B4">
              <w:rPr>
                <w:rFonts w:ascii="Verdana" w:hAnsi="Verdana"/>
                <w:sz w:val="16"/>
                <w:szCs w:val="16"/>
                <w:lang w:val="es-MX"/>
              </w:rPr>
              <w:t>El contratado no deberá hacer cambios sin autorización, fuera de los términos del contrato, que puedan afectar negativamente a la calidad de las actividades subcontratadas por el contratante.</w:t>
            </w:r>
          </w:p>
        </w:tc>
        <w:tc>
          <w:tcPr>
            <w:tcW w:w="4421" w:type="dxa"/>
          </w:tcPr>
          <w:p w14:paraId="74B39AE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14.3.4 </w:t>
            </w:r>
            <w:r w:rsidRPr="00D429B4">
              <w:rPr>
                <w:rFonts w:ascii="Verdana" w:hAnsi="Verdana"/>
                <w:sz w:val="16"/>
                <w:szCs w:val="16"/>
                <w:lang w:val="en-US"/>
              </w:rPr>
              <w:t xml:space="preserve">The contracted party must not make changes without authorization, outside of the terms of the contract, that can affect negatively on the quality of activities subcontracted by the contracting party </w:t>
            </w:r>
          </w:p>
        </w:tc>
      </w:tr>
      <w:tr w:rsidR="00CD67E0" w:rsidRPr="00B838EC" w14:paraId="6FE2E8AF" w14:textId="77777777" w:rsidTr="00335F65">
        <w:tc>
          <w:tcPr>
            <w:tcW w:w="4421" w:type="dxa"/>
          </w:tcPr>
          <w:p w14:paraId="2DAA19E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14.3.5</w:t>
            </w:r>
            <w:r w:rsidRPr="00D429B4">
              <w:rPr>
                <w:rFonts w:ascii="Verdana" w:hAnsi="Verdana"/>
                <w:sz w:val="16"/>
                <w:szCs w:val="16"/>
                <w:lang w:val="es-MX"/>
              </w:rPr>
              <w:t xml:space="preserve"> El contratado deberá entender que las actividades subcontratadas, incluyendo la revisión del contrato, pueden estar sujetas a inspección por parte de las autoridades competentes.</w:t>
            </w:r>
          </w:p>
        </w:tc>
        <w:tc>
          <w:tcPr>
            <w:tcW w:w="4421" w:type="dxa"/>
          </w:tcPr>
          <w:p w14:paraId="71AF5F2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14.3.5 </w:t>
            </w:r>
            <w:r w:rsidRPr="00D429B4">
              <w:rPr>
                <w:rFonts w:ascii="Verdana" w:hAnsi="Verdana"/>
                <w:sz w:val="16"/>
                <w:szCs w:val="16"/>
                <w:lang w:val="en-US"/>
              </w:rPr>
              <w:t xml:space="preserve">The contracted party must understand that the subcontracted activities, including the review of the contract, can be subject to inspection on the part of the appropriate authorities. </w:t>
            </w:r>
          </w:p>
        </w:tc>
      </w:tr>
      <w:tr w:rsidR="00CD67E0" w:rsidRPr="007C6DC8" w14:paraId="5AC864B5" w14:textId="77777777" w:rsidTr="00335F65">
        <w:tc>
          <w:tcPr>
            <w:tcW w:w="4421" w:type="dxa"/>
          </w:tcPr>
          <w:p w14:paraId="6F05695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14.4 </w:t>
            </w:r>
            <w:r w:rsidRPr="00D429B4">
              <w:rPr>
                <w:rFonts w:ascii="Verdana" w:hAnsi="Verdana"/>
                <w:sz w:val="16"/>
                <w:szCs w:val="16"/>
                <w:lang w:val="es-MX"/>
              </w:rPr>
              <w:t>Contrato.</w:t>
            </w:r>
          </w:p>
        </w:tc>
        <w:tc>
          <w:tcPr>
            <w:tcW w:w="4421" w:type="dxa"/>
          </w:tcPr>
          <w:p w14:paraId="3DA76B3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14.4 </w:t>
            </w:r>
            <w:r w:rsidRPr="00D429B4">
              <w:rPr>
                <w:rFonts w:ascii="Verdana" w:hAnsi="Verdana"/>
                <w:sz w:val="16"/>
                <w:szCs w:val="16"/>
                <w:lang w:val="en-US"/>
              </w:rPr>
              <w:t xml:space="preserve">Contract. </w:t>
            </w:r>
          </w:p>
        </w:tc>
      </w:tr>
      <w:tr w:rsidR="00CD67E0" w:rsidRPr="00B838EC" w14:paraId="44B9324F" w14:textId="77777777" w:rsidTr="00335F65">
        <w:tc>
          <w:tcPr>
            <w:tcW w:w="4421" w:type="dxa"/>
          </w:tcPr>
          <w:p w14:paraId="54CC642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14.4.1</w:t>
            </w:r>
            <w:r w:rsidRPr="00D429B4">
              <w:rPr>
                <w:rFonts w:ascii="Verdana" w:hAnsi="Verdana"/>
                <w:sz w:val="16"/>
                <w:szCs w:val="16"/>
                <w:lang w:val="es-MX"/>
              </w:rPr>
              <w:t xml:space="preserve"> Deberá redactarse un contrato entre el contratante y el contratado que especifique sus responsabilidades respectivas y formas de </w:t>
            </w:r>
            <w:r w:rsidRPr="00D429B4">
              <w:rPr>
                <w:rFonts w:ascii="Verdana" w:hAnsi="Verdana"/>
                <w:sz w:val="16"/>
                <w:szCs w:val="16"/>
                <w:lang w:val="es-MX"/>
              </w:rPr>
              <w:lastRenderedPageBreak/>
              <w:t>comunicación en relación con las actividades subcontratadas. Los aspectos técnicos del contrato deberán ser elaborados por personas competentes con un conocimiento adecuado en relación con las actividades subcontratadas y las Buenas Prácticas de Fabricación. Todos los acuerdos para las actividades subcontratadas deben ser conformes con la legislación vigente y las condiciones autorizadas en el Registro Sanitario del producto en cuestión y recibir la aprobación de ambas partes, tanto por el Representante Legal como por el Responsable Sanitario.</w:t>
            </w:r>
          </w:p>
        </w:tc>
        <w:tc>
          <w:tcPr>
            <w:tcW w:w="4421" w:type="dxa"/>
          </w:tcPr>
          <w:p w14:paraId="402ACAF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14.4.1 </w:t>
            </w:r>
            <w:r w:rsidRPr="00D429B4">
              <w:rPr>
                <w:rFonts w:ascii="Verdana" w:hAnsi="Verdana"/>
                <w:sz w:val="16"/>
                <w:szCs w:val="16"/>
                <w:lang w:val="en-US"/>
              </w:rPr>
              <w:t xml:space="preserve">A contract must be redacted between the contracting party and the contracted party that specifies their respective responsibilities and forms </w:t>
            </w:r>
            <w:r w:rsidRPr="00D429B4">
              <w:rPr>
                <w:rFonts w:ascii="Verdana" w:hAnsi="Verdana"/>
                <w:sz w:val="16"/>
                <w:szCs w:val="16"/>
                <w:lang w:val="en-US"/>
              </w:rPr>
              <w:lastRenderedPageBreak/>
              <w:t xml:space="preserve">of communication with respect to the subcontracted activities. The technical aspects of the contract must be prepared by appropriate persons with an adequate knowledge with respect to subcontracted activities and the GMP (Good Manufacturing Practices). All the agreements for the subcontracted activities must comply with the current legislation and the conditions authorized in the Sanitary Registration of the product in question and receive the approval of both parties, the Legal Representative as well as the Person responsible for sanitary compliance. </w:t>
            </w:r>
          </w:p>
        </w:tc>
      </w:tr>
      <w:tr w:rsidR="00CD67E0" w:rsidRPr="00B838EC" w14:paraId="5D081590" w14:textId="77777777" w:rsidTr="00335F65">
        <w:tc>
          <w:tcPr>
            <w:tcW w:w="4421" w:type="dxa"/>
          </w:tcPr>
          <w:p w14:paraId="0FCBCC9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14.4.2</w:t>
            </w:r>
            <w:r w:rsidRPr="00D429B4">
              <w:rPr>
                <w:rFonts w:ascii="Verdana" w:hAnsi="Verdana"/>
                <w:sz w:val="16"/>
                <w:szCs w:val="16"/>
                <w:lang w:val="es-MX"/>
              </w:rPr>
              <w:t xml:space="preserve"> El contrato debe describir claramente quién asume la responsabilidad de cada etapa de la actividad subcontratada, tal como: gestión de conocimiento, transferencia tecnológica, cadena de suministro, subcontratación, calidad y adquisición de materiales, análisis y liberación de materiales, responsabilidad de la producción y controles de calidad (incluyendo controles en proceso, muestreo y análisis).</w:t>
            </w:r>
          </w:p>
        </w:tc>
        <w:tc>
          <w:tcPr>
            <w:tcW w:w="4421" w:type="dxa"/>
          </w:tcPr>
          <w:p w14:paraId="187509D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14.4.2 </w:t>
            </w:r>
            <w:r w:rsidRPr="00D429B4">
              <w:rPr>
                <w:rFonts w:ascii="Verdana" w:hAnsi="Verdana"/>
                <w:sz w:val="16"/>
                <w:szCs w:val="16"/>
                <w:lang w:val="en-US"/>
              </w:rPr>
              <w:t xml:space="preserve">The contract must clearly describe the party who assumes the responsibility for each stage of the subcontracted activity, such as: management of knowledge, technological transfer, supply chain, subcontracting, quality and acquisition of materials, analysis and release of materials, responsibility for the production and quality controls (including controls in process, sampling and analysis). </w:t>
            </w:r>
          </w:p>
        </w:tc>
      </w:tr>
      <w:tr w:rsidR="00CD67E0" w:rsidRPr="00B838EC" w14:paraId="2B12022B" w14:textId="77777777" w:rsidTr="00335F65">
        <w:tc>
          <w:tcPr>
            <w:tcW w:w="4421" w:type="dxa"/>
          </w:tcPr>
          <w:p w14:paraId="1A300A9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14.4.3</w:t>
            </w:r>
            <w:r w:rsidRPr="00D429B4">
              <w:rPr>
                <w:rFonts w:ascii="Verdana" w:hAnsi="Verdana"/>
                <w:sz w:val="16"/>
                <w:szCs w:val="16"/>
                <w:lang w:val="es-MX"/>
              </w:rPr>
              <w:t xml:space="preserve"> El contratante deberá conservar o tener a su disposición, todos los registros relacionados con las actividades subcontratadas, tal como: registros de producción, análisis y distribución, así como las muestras de referencia. Cualquier dato importante para evaluar la calidad de un producto en caso de reclamaciones o sospecha de algún defecto, o para investigar en el caso de sospecha de producto falsificado debe estar accesible y especificado en los procedimientos pertinentes del contratante.</w:t>
            </w:r>
          </w:p>
        </w:tc>
        <w:tc>
          <w:tcPr>
            <w:tcW w:w="4421" w:type="dxa"/>
          </w:tcPr>
          <w:p w14:paraId="4012C4B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14.4.3 </w:t>
            </w:r>
            <w:r w:rsidRPr="00D429B4">
              <w:rPr>
                <w:rFonts w:ascii="Verdana" w:hAnsi="Verdana"/>
                <w:sz w:val="16"/>
                <w:szCs w:val="16"/>
                <w:lang w:val="en-US"/>
              </w:rPr>
              <w:t xml:space="preserve">The contracting party must conserve or have at their disposition, all the records related to the subcontracted activities, such as: production records, analysis and distribution, as well as the reference samples. Any important data for evaluating the quality of a product in the case of complaints or suspicion of a defect, or to investigate in the case of the suspicion of a falsified product must be accessible and specified in the pertinent procedures of the contracting party. </w:t>
            </w:r>
          </w:p>
        </w:tc>
      </w:tr>
      <w:tr w:rsidR="00CD67E0" w:rsidRPr="00B838EC" w14:paraId="5A1EAEF7" w14:textId="77777777" w:rsidTr="00335F65">
        <w:tc>
          <w:tcPr>
            <w:tcW w:w="4421" w:type="dxa"/>
          </w:tcPr>
          <w:p w14:paraId="6CE9E2F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14.4.4</w:t>
            </w:r>
            <w:r w:rsidRPr="00D429B4">
              <w:rPr>
                <w:rFonts w:ascii="Verdana" w:hAnsi="Verdana"/>
                <w:sz w:val="16"/>
                <w:szCs w:val="16"/>
                <w:lang w:val="es-MX"/>
              </w:rPr>
              <w:t xml:space="preserve"> El contrato debe permitir al contratante auditar las actividades subcontratadas, por medio del contratado o por subcontratados de mutuo acuerdo.</w:t>
            </w:r>
          </w:p>
        </w:tc>
        <w:tc>
          <w:tcPr>
            <w:tcW w:w="4421" w:type="dxa"/>
          </w:tcPr>
          <w:p w14:paraId="63B60D0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14.4.4 </w:t>
            </w:r>
            <w:r w:rsidRPr="00D429B4">
              <w:rPr>
                <w:rFonts w:ascii="Verdana" w:hAnsi="Verdana"/>
                <w:sz w:val="16"/>
                <w:szCs w:val="16"/>
                <w:lang w:val="en-US"/>
              </w:rPr>
              <w:t xml:space="preserve">The contract must permit the contracting party to audit the subcontracted activities by means of the contracted party or by subcontracted parties by mutual agreement. </w:t>
            </w:r>
          </w:p>
        </w:tc>
      </w:tr>
      <w:tr w:rsidR="00CD67E0" w:rsidRPr="00BE72FE" w14:paraId="291212B1" w14:textId="77777777" w:rsidTr="00335F65">
        <w:tc>
          <w:tcPr>
            <w:tcW w:w="4421" w:type="dxa"/>
          </w:tcPr>
          <w:p w14:paraId="662B295F" w14:textId="77777777" w:rsidR="00CD67E0" w:rsidRPr="00D429B4" w:rsidRDefault="00CD67E0" w:rsidP="00CD67E0">
            <w:pPr>
              <w:pStyle w:val="Texto"/>
              <w:spacing w:after="80" w:line="276" w:lineRule="auto"/>
              <w:ind w:firstLine="0"/>
              <w:rPr>
                <w:rFonts w:ascii="Verdana" w:hAnsi="Verdana"/>
                <w:b/>
                <w:sz w:val="16"/>
                <w:szCs w:val="16"/>
                <w:lang w:val="es-MX"/>
              </w:rPr>
            </w:pPr>
            <w:r w:rsidRPr="00D429B4">
              <w:rPr>
                <w:rFonts w:ascii="Verdana" w:hAnsi="Verdana"/>
                <w:b/>
                <w:sz w:val="16"/>
                <w:szCs w:val="16"/>
                <w:lang w:val="es-MX"/>
              </w:rPr>
              <w:t xml:space="preserve">14.5 </w:t>
            </w:r>
            <w:r w:rsidRPr="00D429B4">
              <w:rPr>
                <w:rFonts w:ascii="Verdana" w:hAnsi="Verdana"/>
                <w:sz w:val="16"/>
                <w:szCs w:val="16"/>
                <w:lang w:val="es-MX"/>
              </w:rPr>
              <w:t>Servicios subcontratados.</w:t>
            </w:r>
          </w:p>
        </w:tc>
        <w:tc>
          <w:tcPr>
            <w:tcW w:w="4421" w:type="dxa"/>
          </w:tcPr>
          <w:p w14:paraId="20DF1414" w14:textId="77777777" w:rsidR="00CD67E0" w:rsidRPr="00D429B4" w:rsidRDefault="00CD67E0" w:rsidP="00CD67E0">
            <w:pPr>
              <w:pStyle w:val="Texto"/>
              <w:spacing w:after="80" w:line="276" w:lineRule="auto"/>
              <w:ind w:firstLine="0"/>
              <w:rPr>
                <w:rFonts w:ascii="Verdana" w:hAnsi="Verdana"/>
                <w:sz w:val="16"/>
                <w:szCs w:val="16"/>
                <w:lang w:val="en-US"/>
              </w:rPr>
            </w:pPr>
            <w:r w:rsidRPr="00D429B4">
              <w:rPr>
                <w:rFonts w:ascii="Verdana" w:hAnsi="Verdana"/>
                <w:b/>
                <w:sz w:val="16"/>
                <w:szCs w:val="16"/>
                <w:lang w:val="en-US"/>
              </w:rPr>
              <w:t>14.5</w:t>
            </w:r>
            <w:r w:rsidRPr="00D429B4">
              <w:rPr>
                <w:rFonts w:ascii="Verdana" w:hAnsi="Verdana"/>
                <w:sz w:val="16"/>
                <w:szCs w:val="16"/>
                <w:lang w:val="en-US"/>
              </w:rPr>
              <w:t xml:space="preserve"> Subcontracted services. </w:t>
            </w:r>
          </w:p>
        </w:tc>
      </w:tr>
      <w:tr w:rsidR="00CD67E0" w:rsidRPr="00B838EC" w14:paraId="411658F1" w14:textId="77777777" w:rsidTr="00335F65">
        <w:tc>
          <w:tcPr>
            <w:tcW w:w="4421" w:type="dxa"/>
          </w:tcPr>
          <w:p w14:paraId="3563D875"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 xml:space="preserve">14.5.1 </w:t>
            </w:r>
            <w:r w:rsidRPr="00D429B4">
              <w:rPr>
                <w:rFonts w:ascii="Verdana" w:hAnsi="Verdana"/>
                <w:sz w:val="16"/>
                <w:szCs w:val="16"/>
                <w:lang w:val="es-MX"/>
              </w:rPr>
              <w:t>Todos los contratistas para servicios de maquila de procesos de fabricación de medicamentos, servicios de laboratorio de análisis, servicios a sistemas críticos y equipos que impactan la calidad del producto, deben ser evaluados y calificados como proveedores.</w:t>
            </w:r>
          </w:p>
        </w:tc>
        <w:tc>
          <w:tcPr>
            <w:tcW w:w="4421" w:type="dxa"/>
          </w:tcPr>
          <w:p w14:paraId="5273D745" w14:textId="77777777" w:rsidR="00CD67E0" w:rsidRPr="00D429B4" w:rsidRDefault="00CD67E0" w:rsidP="00CD67E0">
            <w:pPr>
              <w:pStyle w:val="Texto"/>
              <w:spacing w:after="80" w:line="276" w:lineRule="auto"/>
              <w:ind w:firstLine="0"/>
              <w:rPr>
                <w:rFonts w:ascii="Verdana" w:hAnsi="Verdana"/>
                <w:sz w:val="16"/>
                <w:szCs w:val="16"/>
                <w:lang w:val="en-US"/>
              </w:rPr>
            </w:pPr>
            <w:r w:rsidRPr="00D429B4">
              <w:rPr>
                <w:rFonts w:ascii="Verdana" w:hAnsi="Verdana"/>
                <w:b/>
                <w:sz w:val="16"/>
                <w:szCs w:val="16"/>
                <w:lang w:val="en-US"/>
              </w:rPr>
              <w:t xml:space="preserve">14.5.1 </w:t>
            </w:r>
            <w:r w:rsidRPr="00D429B4">
              <w:rPr>
                <w:rFonts w:ascii="Verdana" w:hAnsi="Verdana"/>
                <w:sz w:val="16"/>
                <w:szCs w:val="16"/>
                <w:lang w:val="en-US"/>
              </w:rPr>
              <w:t xml:space="preserve">All the contractors for maquiladora services in the manufacturing processes of drug products, laboratory analysis services, services to critical systems and equipment that impact the quality of the product must be evaluated and qualified as suppliers. </w:t>
            </w:r>
          </w:p>
        </w:tc>
      </w:tr>
      <w:tr w:rsidR="00CD67E0" w:rsidRPr="00B838EC" w14:paraId="35007A6A" w14:textId="77777777" w:rsidTr="00335F65">
        <w:tc>
          <w:tcPr>
            <w:tcW w:w="4421" w:type="dxa"/>
          </w:tcPr>
          <w:p w14:paraId="115EFE74"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 xml:space="preserve">14.5.2 </w:t>
            </w:r>
            <w:r w:rsidRPr="00D429B4">
              <w:rPr>
                <w:rFonts w:ascii="Verdana" w:hAnsi="Verdana"/>
                <w:sz w:val="16"/>
                <w:szCs w:val="16"/>
                <w:lang w:val="es-MX"/>
              </w:rPr>
              <w:t>Debe haber un procedimiento que describa los criterios para evaluar a los contratistas antes de ser aprobados.</w:t>
            </w:r>
          </w:p>
        </w:tc>
        <w:tc>
          <w:tcPr>
            <w:tcW w:w="4421" w:type="dxa"/>
          </w:tcPr>
          <w:p w14:paraId="04546702" w14:textId="77777777" w:rsidR="00CD67E0" w:rsidRPr="00D429B4" w:rsidRDefault="00CD67E0" w:rsidP="00CD67E0">
            <w:pPr>
              <w:pStyle w:val="Texto"/>
              <w:spacing w:after="80" w:line="276" w:lineRule="auto"/>
              <w:ind w:firstLine="0"/>
              <w:rPr>
                <w:rFonts w:ascii="Verdana" w:hAnsi="Verdana"/>
                <w:sz w:val="16"/>
                <w:szCs w:val="16"/>
                <w:lang w:val="en-US"/>
              </w:rPr>
            </w:pPr>
            <w:r w:rsidRPr="00D429B4">
              <w:rPr>
                <w:rFonts w:ascii="Verdana" w:hAnsi="Verdana"/>
                <w:b/>
                <w:sz w:val="16"/>
                <w:szCs w:val="16"/>
                <w:lang w:val="en-US"/>
              </w:rPr>
              <w:t xml:space="preserve">14.5.2 </w:t>
            </w:r>
            <w:r w:rsidRPr="00D429B4">
              <w:rPr>
                <w:rFonts w:ascii="Verdana" w:hAnsi="Verdana"/>
                <w:sz w:val="16"/>
                <w:szCs w:val="16"/>
                <w:lang w:val="en-US"/>
              </w:rPr>
              <w:t xml:space="preserve">There must be a procedure that describes the criteria for evaluating the contractors before being approved. </w:t>
            </w:r>
          </w:p>
        </w:tc>
      </w:tr>
      <w:tr w:rsidR="00CD67E0" w:rsidRPr="00B838EC" w14:paraId="1C4F8CC8" w14:textId="77777777" w:rsidTr="00335F65">
        <w:tc>
          <w:tcPr>
            <w:tcW w:w="4421" w:type="dxa"/>
          </w:tcPr>
          <w:p w14:paraId="6E65014F"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 xml:space="preserve">14.5.3 </w:t>
            </w:r>
            <w:r w:rsidRPr="00D429B4">
              <w:rPr>
                <w:rFonts w:ascii="Verdana" w:hAnsi="Verdana"/>
                <w:sz w:val="16"/>
                <w:szCs w:val="16"/>
                <w:lang w:val="es-MX"/>
              </w:rPr>
              <w:t>El contratista no debe subcontratar servicios de maquila de procesos de fabricación de medicamentos, ni servicios de laboratorio de análisis.</w:t>
            </w:r>
          </w:p>
        </w:tc>
        <w:tc>
          <w:tcPr>
            <w:tcW w:w="4421" w:type="dxa"/>
          </w:tcPr>
          <w:p w14:paraId="33F01482" w14:textId="77777777" w:rsidR="00CD67E0" w:rsidRPr="00D429B4" w:rsidRDefault="00CD67E0" w:rsidP="00CD67E0">
            <w:pPr>
              <w:pStyle w:val="Texto"/>
              <w:spacing w:after="80" w:line="276" w:lineRule="auto"/>
              <w:ind w:firstLine="0"/>
              <w:rPr>
                <w:rFonts w:ascii="Verdana" w:hAnsi="Verdana"/>
                <w:sz w:val="16"/>
                <w:szCs w:val="16"/>
                <w:lang w:val="en-US"/>
              </w:rPr>
            </w:pPr>
            <w:r w:rsidRPr="00D429B4">
              <w:rPr>
                <w:rFonts w:ascii="Verdana" w:hAnsi="Verdana"/>
                <w:b/>
                <w:sz w:val="16"/>
                <w:szCs w:val="16"/>
                <w:lang w:val="en-US"/>
              </w:rPr>
              <w:t xml:space="preserve">14.5.3 </w:t>
            </w:r>
            <w:r w:rsidRPr="00D429B4">
              <w:rPr>
                <w:rFonts w:ascii="Verdana" w:hAnsi="Verdana"/>
                <w:sz w:val="16"/>
                <w:szCs w:val="16"/>
                <w:lang w:val="en-US"/>
              </w:rPr>
              <w:t xml:space="preserve">The contractor must not subcontract maquiladora services in the manufacturing processes of drug products, nor services of laboratory analysis. </w:t>
            </w:r>
          </w:p>
        </w:tc>
      </w:tr>
      <w:tr w:rsidR="00CD67E0" w:rsidRPr="00DD29AF" w14:paraId="6B701FAD" w14:textId="77777777" w:rsidTr="00335F65">
        <w:tc>
          <w:tcPr>
            <w:tcW w:w="4421" w:type="dxa"/>
          </w:tcPr>
          <w:p w14:paraId="32D8880F"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14.6</w:t>
            </w:r>
            <w:r w:rsidRPr="00D429B4">
              <w:rPr>
                <w:rFonts w:ascii="Verdana" w:hAnsi="Verdana"/>
                <w:sz w:val="16"/>
                <w:szCs w:val="16"/>
                <w:lang w:val="es-MX"/>
              </w:rPr>
              <w:t xml:space="preserve"> Maquilas.</w:t>
            </w:r>
          </w:p>
        </w:tc>
        <w:tc>
          <w:tcPr>
            <w:tcW w:w="4421" w:type="dxa"/>
            <w:shd w:val="clear" w:color="auto" w:fill="auto"/>
          </w:tcPr>
          <w:p w14:paraId="37E8722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14.6 </w:t>
            </w:r>
            <w:r w:rsidRPr="00D429B4">
              <w:rPr>
                <w:rFonts w:ascii="Verdana" w:hAnsi="Verdana"/>
                <w:sz w:val="16"/>
                <w:szCs w:val="16"/>
                <w:lang w:val="en-US"/>
              </w:rPr>
              <w:t>Maquilas.</w:t>
            </w:r>
          </w:p>
        </w:tc>
      </w:tr>
      <w:tr w:rsidR="00CD67E0" w:rsidRPr="00B838EC" w14:paraId="54839172" w14:textId="77777777" w:rsidTr="00335F65">
        <w:tc>
          <w:tcPr>
            <w:tcW w:w="4421" w:type="dxa"/>
          </w:tcPr>
          <w:p w14:paraId="477C2410"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14.6.1</w:t>
            </w:r>
            <w:r w:rsidRPr="00D429B4">
              <w:rPr>
                <w:rFonts w:ascii="Verdana" w:hAnsi="Verdana"/>
                <w:sz w:val="16"/>
                <w:szCs w:val="16"/>
                <w:lang w:val="es-MX"/>
              </w:rPr>
              <w:t xml:space="preserve"> Los maquiladores de procesos de fabricación de medicamentos están obligados a contar con el Certificado de Buenas Prácticas de Fabricación vigente, cumplir con esta Norma y con las demás </w:t>
            </w:r>
            <w:r w:rsidRPr="00D429B4">
              <w:rPr>
                <w:rFonts w:ascii="Verdana" w:hAnsi="Verdana"/>
                <w:sz w:val="16"/>
                <w:szCs w:val="16"/>
                <w:lang w:val="es-MX"/>
              </w:rPr>
              <w:lastRenderedPageBreak/>
              <w:t>disposiciones jurídicas aplicables, documento que deberá ser anexado al aviso de maquila para ser presentado ante la COFEPRIS.</w:t>
            </w:r>
          </w:p>
        </w:tc>
        <w:tc>
          <w:tcPr>
            <w:tcW w:w="4421" w:type="dxa"/>
            <w:shd w:val="clear" w:color="auto" w:fill="auto"/>
          </w:tcPr>
          <w:p w14:paraId="0080492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14.6.1 </w:t>
            </w:r>
            <w:r w:rsidRPr="00D429B4">
              <w:rPr>
                <w:rFonts w:ascii="Verdana" w:hAnsi="Verdana"/>
                <w:sz w:val="16"/>
                <w:szCs w:val="16"/>
                <w:lang w:val="en-US"/>
              </w:rPr>
              <w:t xml:space="preserve">The maquiladoras of manufacturing processes of drug products are obligated to have the current Certificate of Good Manufacturing Practices to comply with this Standard and with all other </w:t>
            </w:r>
            <w:r w:rsidRPr="00D429B4">
              <w:rPr>
                <w:rFonts w:ascii="Verdana" w:hAnsi="Verdana"/>
                <w:sz w:val="16"/>
                <w:szCs w:val="16"/>
                <w:lang w:val="en-US"/>
              </w:rPr>
              <w:lastRenderedPageBreak/>
              <w:t>applicable legal provisions, document that must be attached to the notice of maqu</w:t>
            </w:r>
            <w:r>
              <w:rPr>
                <w:rFonts w:ascii="Verdana" w:hAnsi="Verdana"/>
                <w:sz w:val="16"/>
                <w:szCs w:val="16"/>
                <w:lang w:val="en-US"/>
              </w:rPr>
              <w:t>ila</w:t>
            </w:r>
            <w:r w:rsidRPr="00D429B4">
              <w:rPr>
                <w:rFonts w:ascii="Verdana" w:hAnsi="Verdana"/>
                <w:sz w:val="16"/>
                <w:szCs w:val="16"/>
                <w:lang w:val="en-US"/>
              </w:rPr>
              <w:t xml:space="preserve"> to be presented to COFEPRIS. </w:t>
            </w:r>
          </w:p>
        </w:tc>
      </w:tr>
      <w:tr w:rsidR="00CD67E0" w:rsidRPr="00B838EC" w14:paraId="7CE2CF97" w14:textId="77777777" w:rsidTr="00335F65">
        <w:tc>
          <w:tcPr>
            <w:tcW w:w="4421" w:type="dxa"/>
          </w:tcPr>
          <w:p w14:paraId="566F9D4D"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lastRenderedPageBreak/>
              <w:t>14.6.2</w:t>
            </w:r>
            <w:r w:rsidRPr="00D429B4">
              <w:rPr>
                <w:rFonts w:ascii="Verdana" w:hAnsi="Verdana"/>
                <w:sz w:val="16"/>
                <w:szCs w:val="16"/>
                <w:lang w:val="es-MX"/>
              </w:rPr>
              <w:t xml:space="preserve"> El titular del Registro Sanitario debe asegurar la transferencia de tecnología al contratista, misma que debe ser anexada al aviso de maquila para ser presentada ante la COFEPRIS. Si la forma farmacéutica así lo requiere y las actividades maquiladas lo justifican, deberán anexar también el perfil de disolución comparativo del producto registrado contra el producto fabricado en las instalaciones del contratante.</w:t>
            </w:r>
          </w:p>
        </w:tc>
        <w:tc>
          <w:tcPr>
            <w:tcW w:w="4421" w:type="dxa"/>
            <w:shd w:val="clear" w:color="auto" w:fill="auto"/>
          </w:tcPr>
          <w:p w14:paraId="12F284F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14.6.2 </w:t>
            </w:r>
            <w:r w:rsidRPr="00D429B4">
              <w:rPr>
                <w:rFonts w:ascii="Verdana" w:hAnsi="Verdana"/>
                <w:sz w:val="16"/>
                <w:szCs w:val="16"/>
                <w:lang w:val="en-US"/>
              </w:rPr>
              <w:t xml:space="preserve">The holder of the Sanitary Registration must assure the technology transfer to the contractor, the same that must be attached to the notice of maquila to be presented to COFEPRIS. If the pharmaceutical form requires it and the maquila activities justify it, must attach also the profile of comparative dissolution of the product registered against the product manufactured in the contractor installations. </w:t>
            </w:r>
          </w:p>
        </w:tc>
      </w:tr>
      <w:tr w:rsidR="00CD67E0" w:rsidRPr="00B838EC" w14:paraId="7A589932" w14:textId="77777777" w:rsidTr="00335F65">
        <w:tc>
          <w:tcPr>
            <w:tcW w:w="4421" w:type="dxa"/>
          </w:tcPr>
          <w:p w14:paraId="2442BCFB"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14.6.3</w:t>
            </w:r>
            <w:r w:rsidRPr="00D429B4">
              <w:rPr>
                <w:rFonts w:ascii="Verdana" w:hAnsi="Verdana"/>
                <w:sz w:val="16"/>
                <w:szCs w:val="16"/>
                <w:lang w:val="es-MX"/>
              </w:rPr>
              <w:t xml:space="preserve"> Las etapas a maquilar deben ser validadas en las instalaciones del maquilador.</w:t>
            </w:r>
          </w:p>
        </w:tc>
        <w:tc>
          <w:tcPr>
            <w:tcW w:w="4421" w:type="dxa"/>
            <w:shd w:val="clear" w:color="auto" w:fill="auto"/>
          </w:tcPr>
          <w:p w14:paraId="2F58BD0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14.6.3 </w:t>
            </w:r>
            <w:r w:rsidRPr="00D429B4">
              <w:rPr>
                <w:rFonts w:ascii="Verdana" w:hAnsi="Verdana"/>
                <w:sz w:val="16"/>
                <w:szCs w:val="16"/>
                <w:lang w:val="en-US"/>
              </w:rPr>
              <w:t xml:space="preserve">The manufacturing stages must be validated in the installations of the manufacturer.  </w:t>
            </w:r>
          </w:p>
        </w:tc>
      </w:tr>
      <w:tr w:rsidR="00CD67E0" w:rsidRPr="00B838EC" w14:paraId="5FC282F2" w14:textId="77777777" w:rsidTr="00335F65">
        <w:tc>
          <w:tcPr>
            <w:tcW w:w="4421" w:type="dxa"/>
          </w:tcPr>
          <w:p w14:paraId="33FA0355"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14.6.4</w:t>
            </w:r>
            <w:r w:rsidRPr="00D429B4">
              <w:rPr>
                <w:rFonts w:ascii="Verdana" w:hAnsi="Verdana"/>
                <w:sz w:val="16"/>
                <w:szCs w:val="16"/>
                <w:lang w:val="es-MX"/>
              </w:rPr>
              <w:t xml:space="preserve"> La calidad del producto será responsabilidad del titular del Registro Sanitario.</w:t>
            </w:r>
          </w:p>
        </w:tc>
        <w:tc>
          <w:tcPr>
            <w:tcW w:w="4421" w:type="dxa"/>
            <w:shd w:val="clear" w:color="auto" w:fill="auto"/>
          </w:tcPr>
          <w:p w14:paraId="195EAA9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14.6.4 </w:t>
            </w:r>
            <w:r w:rsidRPr="00D429B4">
              <w:rPr>
                <w:rFonts w:ascii="Verdana" w:hAnsi="Verdana"/>
                <w:sz w:val="16"/>
                <w:szCs w:val="16"/>
                <w:lang w:val="en-US"/>
              </w:rPr>
              <w:t>The quality of the product will be the responsibility of the Sanitary Registration.</w:t>
            </w:r>
          </w:p>
        </w:tc>
      </w:tr>
      <w:tr w:rsidR="00CD67E0" w:rsidRPr="00B838EC" w14:paraId="2B21D46C" w14:textId="77777777" w:rsidTr="00335F65">
        <w:tc>
          <w:tcPr>
            <w:tcW w:w="4421" w:type="dxa"/>
          </w:tcPr>
          <w:p w14:paraId="44266AEF"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14.6.5</w:t>
            </w:r>
            <w:r w:rsidRPr="00D429B4">
              <w:rPr>
                <w:rFonts w:ascii="Verdana" w:hAnsi="Verdana"/>
                <w:sz w:val="16"/>
                <w:szCs w:val="16"/>
                <w:lang w:val="es-MX"/>
              </w:rPr>
              <w:t xml:space="preserve"> El titular del Registro Sanitario debe supervisar la fabricación de su producto y de auditar las operaciones del maquilador conforme a lo descrito en esta Norma y en las demás disposiciones jurídicas aplicables.</w:t>
            </w:r>
          </w:p>
        </w:tc>
        <w:tc>
          <w:tcPr>
            <w:tcW w:w="4421" w:type="dxa"/>
            <w:shd w:val="clear" w:color="auto" w:fill="auto"/>
          </w:tcPr>
          <w:p w14:paraId="10E137A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14.6.5 </w:t>
            </w:r>
            <w:r w:rsidRPr="00D429B4">
              <w:rPr>
                <w:rFonts w:ascii="Verdana" w:hAnsi="Verdana"/>
                <w:sz w:val="16"/>
                <w:szCs w:val="16"/>
                <w:lang w:val="en-US"/>
              </w:rPr>
              <w:t>The holder of the Sanitary Registration must supervise the manufacture of its product and to audit the operations of the manufacturer in accordance with that described in this Standard and in the other applicable legal provisions.</w:t>
            </w:r>
          </w:p>
        </w:tc>
      </w:tr>
      <w:tr w:rsidR="00CD67E0" w:rsidRPr="00B838EC" w14:paraId="29BDD6BB" w14:textId="77777777" w:rsidTr="00335F65">
        <w:tc>
          <w:tcPr>
            <w:tcW w:w="4421" w:type="dxa"/>
          </w:tcPr>
          <w:p w14:paraId="4BDEEE47"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14.6.6</w:t>
            </w:r>
            <w:r w:rsidRPr="00D429B4">
              <w:rPr>
                <w:rFonts w:ascii="Verdana" w:hAnsi="Verdana"/>
                <w:sz w:val="16"/>
                <w:szCs w:val="16"/>
                <w:lang w:val="es-MX"/>
              </w:rPr>
              <w:t xml:space="preserve"> El maquilador debe entregar el producto maquilado al titular del Registro Sanitario, junto con la documentación original de las etapas maquiladas incluyendo los registros de los controles en proceso. El maquilador debe conservar una copia de esta documentación por el tiempo especificado en esta Norma.</w:t>
            </w:r>
          </w:p>
        </w:tc>
        <w:tc>
          <w:tcPr>
            <w:tcW w:w="4421" w:type="dxa"/>
            <w:shd w:val="clear" w:color="auto" w:fill="auto"/>
          </w:tcPr>
          <w:p w14:paraId="4267F8B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14.6.6 </w:t>
            </w:r>
            <w:r w:rsidRPr="00D429B4">
              <w:rPr>
                <w:rFonts w:ascii="Verdana" w:hAnsi="Verdana"/>
                <w:sz w:val="16"/>
                <w:szCs w:val="16"/>
                <w:lang w:val="en-US"/>
              </w:rPr>
              <w:t>The manufacturer must deliver the product manufactured to the holder of the Sanitary Registration, together with the original documentation of the manufactured stages including in-process control records. The manufacturer must keep a copy of this documentation for the time specified in this Standard.</w:t>
            </w:r>
          </w:p>
        </w:tc>
      </w:tr>
      <w:tr w:rsidR="00CD67E0" w:rsidRPr="00B838EC" w14:paraId="6231990C" w14:textId="77777777" w:rsidTr="00335F65">
        <w:tc>
          <w:tcPr>
            <w:tcW w:w="4421" w:type="dxa"/>
          </w:tcPr>
          <w:p w14:paraId="72E391A2"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14.6.7</w:t>
            </w:r>
            <w:r w:rsidRPr="00D429B4">
              <w:rPr>
                <w:rFonts w:ascii="Verdana" w:hAnsi="Verdana"/>
                <w:sz w:val="16"/>
                <w:szCs w:val="16"/>
                <w:lang w:val="es-MX"/>
              </w:rPr>
              <w:t xml:space="preserve"> Es responsabilidad del titular del Registro Sanitario efectuar el análisis completo para la liberación del producto maquilado.</w:t>
            </w:r>
          </w:p>
        </w:tc>
        <w:tc>
          <w:tcPr>
            <w:tcW w:w="4421" w:type="dxa"/>
            <w:shd w:val="clear" w:color="auto" w:fill="auto"/>
          </w:tcPr>
          <w:p w14:paraId="1F56DB8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14.6.7 </w:t>
            </w:r>
            <w:r w:rsidRPr="00D429B4">
              <w:rPr>
                <w:rFonts w:ascii="Verdana" w:hAnsi="Verdana"/>
                <w:sz w:val="16"/>
                <w:szCs w:val="16"/>
                <w:lang w:val="en-US"/>
              </w:rPr>
              <w:t>It is the responsibility of the holder of the Sanitary Registration to perform the complete analysis for the release of the manufactured product.</w:t>
            </w:r>
          </w:p>
        </w:tc>
      </w:tr>
      <w:tr w:rsidR="00CD67E0" w:rsidRPr="00B838EC" w14:paraId="13D01678" w14:textId="77777777" w:rsidTr="00335F65">
        <w:tc>
          <w:tcPr>
            <w:tcW w:w="4421" w:type="dxa"/>
          </w:tcPr>
          <w:p w14:paraId="23C93F9F"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14.6.8</w:t>
            </w:r>
            <w:r w:rsidRPr="00D429B4">
              <w:rPr>
                <w:rFonts w:ascii="Verdana" w:hAnsi="Verdana"/>
                <w:sz w:val="16"/>
                <w:szCs w:val="16"/>
                <w:lang w:val="es-MX"/>
              </w:rPr>
              <w:t xml:space="preserve"> El titular del Registro Sanitario debe garantizar que el producto a ser maquilado será fabricado en las mismas condiciones en que fue otorgado el Registro Sanitario.</w:t>
            </w:r>
          </w:p>
        </w:tc>
        <w:tc>
          <w:tcPr>
            <w:tcW w:w="4421" w:type="dxa"/>
            <w:shd w:val="clear" w:color="auto" w:fill="auto"/>
          </w:tcPr>
          <w:p w14:paraId="7A9A7D9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14.6.8 </w:t>
            </w:r>
            <w:r w:rsidRPr="00D429B4">
              <w:rPr>
                <w:rFonts w:ascii="Verdana" w:hAnsi="Verdana"/>
                <w:sz w:val="16"/>
                <w:szCs w:val="16"/>
                <w:lang w:val="en-US"/>
              </w:rPr>
              <w:t xml:space="preserve">The holder of the Sanitary Registration must guarantee that the product to be manufactured will be so in the same conditions in which the Sanitary Registration was granted. </w:t>
            </w:r>
          </w:p>
        </w:tc>
      </w:tr>
      <w:tr w:rsidR="00CD67E0" w:rsidRPr="00B838EC" w14:paraId="255CA2B4" w14:textId="77777777" w:rsidTr="00335F65">
        <w:tc>
          <w:tcPr>
            <w:tcW w:w="4421" w:type="dxa"/>
          </w:tcPr>
          <w:p w14:paraId="30FAB790" w14:textId="77777777" w:rsidR="00CD67E0" w:rsidRPr="00D429B4" w:rsidRDefault="00CD67E0" w:rsidP="00CD67E0">
            <w:pPr>
              <w:pStyle w:val="Texto"/>
              <w:spacing w:after="80" w:line="276" w:lineRule="auto"/>
              <w:ind w:firstLine="0"/>
              <w:rPr>
                <w:rFonts w:ascii="Verdana" w:hAnsi="Verdana"/>
                <w:b/>
                <w:sz w:val="16"/>
                <w:szCs w:val="16"/>
                <w:lang w:val="es-MX"/>
              </w:rPr>
            </w:pPr>
            <w:r w:rsidRPr="00D429B4">
              <w:rPr>
                <w:rFonts w:ascii="Verdana" w:hAnsi="Verdana"/>
                <w:b/>
                <w:sz w:val="16"/>
                <w:szCs w:val="16"/>
                <w:lang w:val="es-MX"/>
              </w:rPr>
              <w:t xml:space="preserve">14.6.9 </w:t>
            </w:r>
            <w:r w:rsidRPr="00D429B4">
              <w:rPr>
                <w:rFonts w:ascii="Verdana" w:hAnsi="Verdana"/>
                <w:sz w:val="16"/>
                <w:szCs w:val="16"/>
                <w:lang w:val="es-MX"/>
              </w:rPr>
              <w:t>Para el caso de medicamentos biológicos y biotecnológicos no pueden ser maquiladas las etapas de: fabricación del biofármaco, antígenos, graneles monovalentes o cualquier etapa previa a la formulación  y llenado.</w:t>
            </w:r>
          </w:p>
        </w:tc>
        <w:tc>
          <w:tcPr>
            <w:tcW w:w="4421" w:type="dxa"/>
            <w:shd w:val="clear" w:color="auto" w:fill="auto"/>
          </w:tcPr>
          <w:p w14:paraId="1D60CB1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14.6.9</w:t>
            </w:r>
            <w:r w:rsidRPr="00D429B4">
              <w:rPr>
                <w:rFonts w:ascii="Verdana" w:hAnsi="Verdana"/>
                <w:sz w:val="16"/>
                <w:szCs w:val="16"/>
                <w:lang w:val="en-US"/>
              </w:rPr>
              <w:t xml:space="preserve"> For the case of biological and biotechnical drug products, the stages cannot be manufactured: the manufacturer of bio drug substance, antigens, monovalent bulks or any stage prior to the formulation and filling cannot be manufactured. </w:t>
            </w:r>
          </w:p>
        </w:tc>
      </w:tr>
      <w:tr w:rsidR="00CD67E0" w:rsidRPr="00646C17" w14:paraId="18AFFDA6" w14:textId="77777777" w:rsidTr="00335F65">
        <w:tc>
          <w:tcPr>
            <w:tcW w:w="4421" w:type="dxa"/>
          </w:tcPr>
          <w:p w14:paraId="6DDA8956"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14.7</w:t>
            </w:r>
            <w:r w:rsidRPr="00D429B4">
              <w:rPr>
                <w:rFonts w:ascii="Verdana" w:hAnsi="Verdana"/>
                <w:sz w:val="16"/>
                <w:szCs w:val="16"/>
                <w:lang w:val="es-MX"/>
              </w:rPr>
              <w:t xml:space="preserve"> Servicios de laboratorios de análisis.</w:t>
            </w:r>
          </w:p>
        </w:tc>
        <w:tc>
          <w:tcPr>
            <w:tcW w:w="4421" w:type="dxa"/>
            <w:shd w:val="clear" w:color="auto" w:fill="auto"/>
          </w:tcPr>
          <w:p w14:paraId="73D3A00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14.7 </w:t>
            </w:r>
            <w:r w:rsidRPr="00D429B4">
              <w:rPr>
                <w:rFonts w:ascii="Verdana" w:hAnsi="Verdana"/>
                <w:sz w:val="16"/>
                <w:szCs w:val="16"/>
                <w:lang w:val="en-US"/>
              </w:rPr>
              <w:t>Analysis laboratory services.</w:t>
            </w:r>
          </w:p>
        </w:tc>
      </w:tr>
      <w:tr w:rsidR="00CD67E0" w:rsidRPr="00B838EC" w14:paraId="5B5B3288" w14:textId="77777777" w:rsidTr="00335F65">
        <w:tc>
          <w:tcPr>
            <w:tcW w:w="4421" w:type="dxa"/>
          </w:tcPr>
          <w:p w14:paraId="32A28493"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14.7.1</w:t>
            </w:r>
            <w:r w:rsidRPr="00D429B4">
              <w:rPr>
                <w:rFonts w:ascii="Verdana" w:hAnsi="Verdana"/>
                <w:sz w:val="16"/>
                <w:szCs w:val="16"/>
                <w:lang w:val="es-MX"/>
              </w:rPr>
              <w:t xml:space="preserve"> El titular del Registro Sanitario debe asegurar la transferencia de tecnología al laboratorio contratado.</w:t>
            </w:r>
          </w:p>
        </w:tc>
        <w:tc>
          <w:tcPr>
            <w:tcW w:w="4421" w:type="dxa"/>
            <w:shd w:val="clear" w:color="auto" w:fill="auto"/>
          </w:tcPr>
          <w:p w14:paraId="1FC4C8E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14.7.1 </w:t>
            </w:r>
            <w:r w:rsidRPr="00D429B4">
              <w:rPr>
                <w:rFonts w:ascii="Verdana" w:hAnsi="Verdana"/>
                <w:sz w:val="16"/>
                <w:szCs w:val="16"/>
                <w:lang w:val="en-US"/>
              </w:rPr>
              <w:t>The holder of the Sanitary Registration must assure the technology transfer to the hired laboratory.</w:t>
            </w:r>
          </w:p>
        </w:tc>
      </w:tr>
      <w:tr w:rsidR="00CD67E0" w:rsidRPr="00B838EC" w14:paraId="12E7886F" w14:textId="77777777" w:rsidTr="00335F65">
        <w:tc>
          <w:tcPr>
            <w:tcW w:w="4421" w:type="dxa"/>
          </w:tcPr>
          <w:p w14:paraId="54AE8098"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 xml:space="preserve">14.7.2 </w:t>
            </w:r>
            <w:r w:rsidRPr="00D429B4">
              <w:rPr>
                <w:rFonts w:ascii="Verdana" w:hAnsi="Verdana"/>
                <w:sz w:val="16"/>
                <w:szCs w:val="16"/>
                <w:lang w:val="es-MX"/>
              </w:rPr>
              <w:t>Se debe establecer un sistema para el traslado de muestras que asegure la integridad de las mismas.</w:t>
            </w:r>
          </w:p>
        </w:tc>
        <w:tc>
          <w:tcPr>
            <w:tcW w:w="4421" w:type="dxa"/>
            <w:shd w:val="clear" w:color="auto" w:fill="auto"/>
          </w:tcPr>
          <w:p w14:paraId="4588245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14.7.2 </w:t>
            </w:r>
            <w:r w:rsidRPr="00D429B4">
              <w:rPr>
                <w:rFonts w:ascii="Verdana" w:hAnsi="Verdana"/>
                <w:sz w:val="16"/>
                <w:szCs w:val="16"/>
                <w:lang w:val="en-US"/>
              </w:rPr>
              <w:t>A system for transferring samples which assure the integrity of the same must be established.</w:t>
            </w:r>
          </w:p>
        </w:tc>
      </w:tr>
      <w:tr w:rsidR="00CD67E0" w:rsidRPr="00B838EC" w14:paraId="5EC9592E" w14:textId="77777777" w:rsidTr="00335F65">
        <w:tc>
          <w:tcPr>
            <w:tcW w:w="4421" w:type="dxa"/>
          </w:tcPr>
          <w:p w14:paraId="5769C7D7"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14.8</w:t>
            </w:r>
            <w:r w:rsidRPr="00D429B4">
              <w:rPr>
                <w:rFonts w:ascii="Verdana" w:hAnsi="Verdana"/>
                <w:sz w:val="16"/>
                <w:szCs w:val="16"/>
                <w:lang w:val="es-MX"/>
              </w:rPr>
              <w:t xml:space="preserve"> Servicios a sistemas críticos y equipos.</w:t>
            </w:r>
          </w:p>
        </w:tc>
        <w:tc>
          <w:tcPr>
            <w:tcW w:w="4421" w:type="dxa"/>
          </w:tcPr>
          <w:p w14:paraId="102461D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14.8 </w:t>
            </w:r>
            <w:r w:rsidRPr="00D429B4">
              <w:rPr>
                <w:rFonts w:ascii="Verdana" w:hAnsi="Verdana"/>
                <w:sz w:val="16"/>
                <w:szCs w:val="16"/>
                <w:lang w:val="en-US"/>
              </w:rPr>
              <w:t>Services to critical systems and equipment.</w:t>
            </w:r>
          </w:p>
        </w:tc>
      </w:tr>
      <w:tr w:rsidR="00CD67E0" w:rsidRPr="00B838EC" w14:paraId="65803D53" w14:textId="77777777" w:rsidTr="00335F65">
        <w:tc>
          <w:tcPr>
            <w:tcW w:w="4421" w:type="dxa"/>
          </w:tcPr>
          <w:p w14:paraId="6D6F13C6"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14.8.1</w:t>
            </w:r>
            <w:r w:rsidRPr="00D429B4">
              <w:rPr>
                <w:rFonts w:ascii="Verdana" w:hAnsi="Verdana"/>
                <w:sz w:val="16"/>
                <w:szCs w:val="16"/>
                <w:lang w:val="es-MX"/>
              </w:rPr>
              <w:t xml:space="preserve"> Se debe evaluar la formación académica, entrenamiento técnico y experiencia del personal que preste este tipo de servicios.</w:t>
            </w:r>
          </w:p>
        </w:tc>
        <w:tc>
          <w:tcPr>
            <w:tcW w:w="4421" w:type="dxa"/>
          </w:tcPr>
          <w:p w14:paraId="5956798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14.8.1 </w:t>
            </w:r>
            <w:r w:rsidRPr="00D429B4">
              <w:rPr>
                <w:rFonts w:ascii="Verdana" w:hAnsi="Verdana"/>
                <w:sz w:val="16"/>
                <w:szCs w:val="16"/>
                <w:lang w:val="en-US"/>
              </w:rPr>
              <w:t>The academic formation, technical training and experience of personnel who lends these types of services must be evaluated.</w:t>
            </w:r>
          </w:p>
        </w:tc>
      </w:tr>
      <w:tr w:rsidR="00CD67E0" w:rsidRPr="00DD29AF" w14:paraId="32E1B377" w14:textId="77777777" w:rsidTr="00335F65">
        <w:tc>
          <w:tcPr>
            <w:tcW w:w="4421" w:type="dxa"/>
          </w:tcPr>
          <w:p w14:paraId="03BD95D6" w14:textId="77777777" w:rsidR="00CD67E0" w:rsidRPr="00D429B4" w:rsidRDefault="00CD67E0" w:rsidP="00CD67E0">
            <w:pPr>
              <w:pStyle w:val="Texto"/>
              <w:spacing w:after="80" w:line="276" w:lineRule="auto"/>
              <w:ind w:firstLine="0"/>
              <w:rPr>
                <w:rFonts w:ascii="Verdana" w:hAnsi="Verdana"/>
                <w:b/>
                <w:sz w:val="16"/>
                <w:szCs w:val="16"/>
                <w:lang w:val="es-MX"/>
              </w:rPr>
            </w:pPr>
            <w:r w:rsidRPr="00D429B4">
              <w:rPr>
                <w:rFonts w:ascii="Verdana" w:hAnsi="Verdana"/>
                <w:b/>
                <w:sz w:val="16"/>
                <w:szCs w:val="16"/>
                <w:lang w:val="es-MX"/>
              </w:rPr>
              <w:lastRenderedPageBreak/>
              <w:t>15. Destino final de residuos</w:t>
            </w:r>
          </w:p>
        </w:tc>
        <w:tc>
          <w:tcPr>
            <w:tcW w:w="4421" w:type="dxa"/>
            <w:shd w:val="clear" w:color="auto" w:fill="auto"/>
          </w:tcPr>
          <w:p w14:paraId="1B29EFD0"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15. Final destination of wastes</w:t>
            </w:r>
          </w:p>
        </w:tc>
      </w:tr>
      <w:tr w:rsidR="00CD67E0" w:rsidRPr="00B838EC" w14:paraId="1C9579A7" w14:textId="77777777" w:rsidTr="00335F65">
        <w:tc>
          <w:tcPr>
            <w:tcW w:w="4421" w:type="dxa"/>
          </w:tcPr>
          <w:p w14:paraId="17AE98DA"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15.1</w:t>
            </w:r>
            <w:r w:rsidRPr="00D429B4">
              <w:rPr>
                <w:rFonts w:ascii="Verdana" w:hAnsi="Verdana"/>
                <w:sz w:val="16"/>
                <w:szCs w:val="16"/>
                <w:lang w:val="es-MX"/>
              </w:rPr>
              <w:t xml:space="preserve"> Se debe contar con un sistema documentado en un procedimiento que asegure el cumplimiento de las disposiciones jurídicas aplicables en materia ecológica y sanitaria para el destino final de residuos.</w:t>
            </w:r>
          </w:p>
        </w:tc>
        <w:tc>
          <w:tcPr>
            <w:tcW w:w="4421" w:type="dxa"/>
            <w:shd w:val="clear" w:color="auto" w:fill="auto"/>
          </w:tcPr>
          <w:p w14:paraId="202A94A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15.1 </w:t>
            </w:r>
            <w:r w:rsidRPr="00D429B4">
              <w:rPr>
                <w:rFonts w:ascii="Verdana" w:hAnsi="Verdana"/>
                <w:sz w:val="16"/>
                <w:szCs w:val="16"/>
                <w:lang w:val="en-US"/>
              </w:rPr>
              <w:t>There must be a documented system in a procedure which assures compliance with the applicable legal provisions in ecology and sanitary matters for the final destination of wastes.</w:t>
            </w:r>
          </w:p>
        </w:tc>
      </w:tr>
      <w:tr w:rsidR="00CD67E0" w:rsidRPr="00B838EC" w14:paraId="1E41CE29" w14:textId="77777777" w:rsidTr="00335F65">
        <w:tc>
          <w:tcPr>
            <w:tcW w:w="4421" w:type="dxa"/>
          </w:tcPr>
          <w:p w14:paraId="2D68AAE0"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15.2</w:t>
            </w:r>
            <w:r w:rsidRPr="00D429B4">
              <w:rPr>
                <w:rFonts w:ascii="Verdana" w:hAnsi="Verdana"/>
                <w:sz w:val="16"/>
                <w:szCs w:val="16"/>
                <w:lang w:val="es-MX"/>
              </w:rPr>
              <w:t xml:space="preserve"> Se debe dar aviso a las autoridades competentes del destino final de los mismos.</w:t>
            </w:r>
          </w:p>
        </w:tc>
        <w:tc>
          <w:tcPr>
            <w:tcW w:w="4421" w:type="dxa"/>
            <w:shd w:val="clear" w:color="auto" w:fill="auto"/>
          </w:tcPr>
          <w:p w14:paraId="2370177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15.2 </w:t>
            </w:r>
            <w:r w:rsidRPr="00D429B4">
              <w:rPr>
                <w:rFonts w:ascii="Verdana" w:hAnsi="Verdana"/>
                <w:sz w:val="16"/>
                <w:szCs w:val="16"/>
                <w:lang w:val="en-US"/>
              </w:rPr>
              <w:t>Notice must be given to the appropriate authorities of the final destination of the same.</w:t>
            </w:r>
          </w:p>
        </w:tc>
      </w:tr>
      <w:tr w:rsidR="00CD67E0" w:rsidRPr="00B838EC" w14:paraId="19466098" w14:textId="77777777" w:rsidTr="00335F65">
        <w:tc>
          <w:tcPr>
            <w:tcW w:w="4421" w:type="dxa"/>
          </w:tcPr>
          <w:p w14:paraId="5D8EB3C3" w14:textId="77777777" w:rsidR="00CD67E0" w:rsidRPr="00D429B4" w:rsidRDefault="00CD67E0" w:rsidP="00CD67E0">
            <w:pPr>
              <w:pStyle w:val="Texto"/>
              <w:spacing w:after="80" w:line="276" w:lineRule="auto"/>
              <w:ind w:firstLine="0"/>
              <w:rPr>
                <w:rFonts w:ascii="Verdana" w:hAnsi="Verdana"/>
                <w:b/>
                <w:sz w:val="16"/>
                <w:szCs w:val="16"/>
                <w:lang w:val="es-MX"/>
              </w:rPr>
            </w:pPr>
            <w:r w:rsidRPr="00D429B4">
              <w:rPr>
                <w:rFonts w:ascii="Verdana" w:hAnsi="Verdana"/>
                <w:b/>
                <w:sz w:val="16"/>
                <w:szCs w:val="16"/>
                <w:lang w:val="es-MX"/>
              </w:rPr>
              <w:t>16. Buenas prácticas de almacenamiento y distribución</w:t>
            </w:r>
          </w:p>
        </w:tc>
        <w:tc>
          <w:tcPr>
            <w:tcW w:w="4421" w:type="dxa"/>
            <w:shd w:val="clear" w:color="auto" w:fill="auto"/>
          </w:tcPr>
          <w:p w14:paraId="46933ADF" w14:textId="77777777" w:rsidR="00CD67E0" w:rsidRPr="00D429B4" w:rsidRDefault="00CD67E0" w:rsidP="00CD67E0">
            <w:pPr>
              <w:pStyle w:val="Texto"/>
              <w:spacing w:after="90" w:line="276" w:lineRule="auto"/>
              <w:ind w:firstLine="0"/>
              <w:rPr>
                <w:rFonts w:ascii="Verdana" w:hAnsi="Verdana"/>
                <w:b/>
                <w:sz w:val="16"/>
                <w:szCs w:val="16"/>
                <w:lang w:val="en-US"/>
              </w:rPr>
            </w:pPr>
            <w:r w:rsidRPr="00D429B4">
              <w:rPr>
                <w:rFonts w:ascii="Verdana" w:hAnsi="Verdana"/>
                <w:b/>
                <w:sz w:val="16"/>
                <w:szCs w:val="16"/>
                <w:lang w:val="en-US"/>
              </w:rPr>
              <w:t>16. Good Storage and Distribution Practices - GSDP</w:t>
            </w:r>
          </w:p>
        </w:tc>
      </w:tr>
      <w:tr w:rsidR="00CD67E0" w:rsidRPr="00B838EC" w14:paraId="42D5F838" w14:textId="77777777" w:rsidTr="00335F65">
        <w:tc>
          <w:tcPr>
            <w:tcW w:w="4421" w:type="dxa"/>
          </w:tcPr>
          <w:p w14:paraId="3BF46A0E"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 xml:space="preserve">16.1 </w:t>
            </w:r>
            <w:r w:rsidRPr="00D429B4">
              <w:rPr>
                <w:rFonts w:ascii="Verdana" w:hAnsi="Verdana"/>
                <w:sz w:val="16"/>
                <w:szCs w:val="16"/>
                <w:lang w:val="es-MX"/>
              </w:rPr>
              <w:t>Generalidades y Sistema de Gestión de Calidad.</w:t>
            </w:r>
          </w:p>
        </w:tc>
        <w:tc>
          <w:tcPr>
            <w:tcW w:w="4421" w:type="dxa"/>
            <w:shd w:val="clear" w:color="auto" w:fill="auto"/>
          </w:tcPr>
          <w:p w14:paraId="2A9575D3" w14:textId="77777777" w:rsidR="00CD67E0" w:rsidRPr="00D429B4" w:rsidRDefault="00CD67E0" w:rsidP="00CD67E0">
            <w:pPr>
              <w:pStyle w:val="Texto"/>
              <w:spacing w:after="90" w:line="276" w:lineRule="auto"/>
              <w:ind w:firstLine="0"/>
              <w:rPr>
                <w:rFonts w:ascii="Verdana" w:hAnsi="Verdana"/>
                <w:sz w:val="16"/>
                <w:szCs w:val="16"/>
                <w:lang w:val="en-US"/>
              </w:rPr>
            </w:pPr>
            <w:r w:rsidRPr="00D429B4">
              <w:rPr>
                <w:rFonts w:ascii="Verdana" w:hAnsi="Verdana"/>
                <w:b/>
                <w:sz w:val="16"/>
                <w:szCs w:val="16"/>
                <w:lang w:val="en-US"/>
              </w:rPr>
              <w:t>16.1</w:t>
            </w:r>
            <w:r w:rsidRPr="00D429B4">
              <w:rPr>
                <w:rFonts w:ascii="Verdana" w:hAnsi="Verdana"/>
                <w:sz w:val="16"/>
                <w:szCs w:val="16"/>
                <w:lang w:val="en-US"/>
              </w:rPr>
              <w:t xml:space="preserve"> General Provisions and Quality Management System </w:t>
            </w:r>
          </w:p>
        </w:tc>
      </w:tr>
      <w:tr w:rsidR="00CD67E0" w:rsidRPr="00B838EC" w14:paraId="220E379E" w14:textId="77777777" w:rsidTr="00335F65">
        <w:tc>
          <w:tcPr>
            <w:tcW w:w="4421" w:type="dxa"/>
          </w:tcPr>
          <w:p w14:paraId="25A04AA5"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b/>
                <w:sz w:val="16"/>
                <w:szCs w:val="16"/>
                <w:lang w:val="es-MX"/>
              </w:rPr>
              <w:t xml:space="preserve">16.1.1 </w:t>
            </w:r>
            <w:r w:rsidRPr="00D429B4">
              <w:rPr>
                <w:rFonts w:ascii="Verdana" w:hAnsi="Verdana"/>
                <w:sz w:val="16"/>
                <w:szCs w:val="16"/>
                <w:lang w:val="es-MX"/>
              </w:rPr>
              <w:t>La distribución de los medicamentos es una actividad importante en el manejo integral de la cadena de suministro. La red de distribución actual de los medicamentos es cada vez más compleja. El contar con BPAD asiste a los distribuidores en la realización de sus actividades, previene que medicamentos falsificados ingresen en la cadena de suministro, asegura el control de la cadena de distribución y mantiene la calidad  e integridad de los medicamentos.</w:t>
            </w:r>
          </w:p>
        </w:tc>
        <w:tc>
          <w:tcPr>
            <w:tcW w:w="4421" w:type="dxa"/>
          </w:tcPr>
          <w:p w14:paraId="115C6EAA" w14:textId="77777777" w:rsidR="00CD67E0" w:rsidRPr="00D429B4" w:rsidRDefault="00CD67E0" w:rsidP="00CD67E0">
            <w:pPr>
              <w:pStyle w:val="Texto"/>
              <w:spacing w:after="80" w:line="276" w:lineRule="auto"/>
              <w:ind w:firstLine="0"/>
              <w:rPr>
                <w:rFonts w:ascii="Verdana" w:hAnsi="Verdana"/>
                <w:sz w:val="16"/>
                <w:szCs w:val="16"/>
                <w:lang w:val="en-US"/>
              </w:rPr>
            </w:pPr>
            <w:r w:rsidRPr="00D429B4">
              <w:rPr>
                <w:rFonts w:ascii="Verdana" w:hAnsi="Verdana"/>
                <w:b/>
                <w:sz w:val="16"/>
                <w:szCs w:val="16"/>
                <w:lang w:val="en-US"/>
              </w:rPr>
              <w:t xml:space="preserve">16.1.1 </w:t>
            </w:r>
            <w:r w:rsidRPr="00D429B4">
              <w:rPr>
                <w:rFonts w:ascii="Verdana" w:hAnsi="Verdana"/>
                <w:sz w:val="16"/>
                <w:szCs w:val="16"/>
                <w:lang w:val="en-US"/>
              </w:rPr>
              <w:t xml:space="preserve">The distribution of the drug products is an important activity in the integral management of the supply chain. The present distribution network of the drug products is ever more complex. Having GSDP assists the distributors in the performance of their activities prevents falsified drug products from entering the supply chain, assures the control of the distribution chain and maintains the quality and integrity of the drug products. </w:t>
            </w:r>
          </w:p>
        </w:tc>
      </w:tr>
      <w:tr w:rsidR="00CD67E0" w:rsidRPr="00B838EC" w14:paraId="678402EC" w14:textId="77777777" w:rsidTr="00335F65">
        <w:tc>
          <w:tcPr>
            <w:tcW w:w="4421" w:type="dxa"/>
          </w:tcPr>
          <w:p w14:paraId="1678634C" w14:textId="77777777" w:rsidR="00CD67E0" w:rsidRPr="00D429B4" w:rsidRDefault="00CD67E0" w:rsidP="00CD67E0">
            <w:pPr>
              <w:pStyle w:val="Texto"/>
              <w:spacing w:after="80" w:line="276" w:lineRule="auto"/>
              <w:ind w:firstLine="0"/>
              <w:rPr>
                <w:rFonts w:ascii="Verdana" w:hAnsi="Verdana"/>
                <w:sz w:val="16"/>
                <w:szCs w:val="16"/>
                <w:lang w:val="es-MX"/>
              </w:rPr>
            </w:pPr>
            <w:r w:rsidRPr="00D429B4">
              <w:rPr>
                <w:rFonts w:ascii="Verdana" w:hAnsi="Verdana"/>
                <w:sz w:val="16"/>
                <w:szCs w:val="16"/>
                <w:lang w:val="es-MX"/>
              </w:rPr>
              <w:t>Este capítulo aplica a los almacenes de depósito y distribución de medicamentos.</w:t>
            </w:r>
          </w:p>
        </w:tc>
        <w:tc>
          <w:tcPr>
            <w:tcW w:w="4421" w:type="dxa"/>
          </w:tcPr>
          <w:p w14:paraId="2386053F" w14:textId="77777777" w:rsidR="00CD67E0" w:rsidRPr="00D429B4" w:rsidRDefault="00CD67E0" w:rsidP="00CD67E0">
            <w:pPr>
              <w:pStyle w:val="Texto"/>
              <w:spacing w:after="80" w:line="276" w:lineRule="auto"/>
              <w:ind w:firstLine="0"/>
              <w:rPr>
                <w:rFonts w:ascii="Verdana" w:hAnsi="Verdana"/>
                <w:sz w:val="16"/>
                <w:szCs w:val="16"/>
                <w:lang w:val="en-US"/>
              </w:rPr>
            </w:pPr>
            <w:r w:rsidRPr="00D429B4">
              <w:rPr>
                <w:rFonts w:ascii="Verdana" w:hAnsi="Verdana"/>
                <w:sz w:val="16"/>
                <w:szCs w:val="16"/>
                <w:lang w:val="en-US"/>
              </w:rPr>
              <w:t xml:space="preserve">This chapter applies to the warehouses for deposit and distribution of drug products. </w:t>
            </w:r>
          </w:p>
        </w:tc>
      </w:tr>
      <w:tr w:rsidR="00CD67E0" w:rsidRPr="00DD29AF" w14:paraId="600D631E" w14:textId="77777777" w:rsidTr="00335F65">
        <w:tc>
          <w:tcPr>
            <w:tcW w:w="4421" w:type="dxa"/>
          </w:tcPr>
          <w:p w14:paraId="4E710B0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16.1.2 </w:t>
            </w:r>
            <w:r w:rsidRPr="00D429B4">
              <w:rPr>
                <w:rFonts w:ascii="Verdana" w:hAnsi="Verdana"/>
                <w:sz w:val="16"/>
                <w:szCs w:val="16"/>
                <w:lang w:val="es-MX"/>
              </w:rPr>
              <w:t>Gestión de Calidad.</w:t>
            </w:r>
          </w:p>
        </w:tc>
        <w:tc>
          <w:tcPr>
            <w:tcW w:w="4421" w:type="dxa"/>
          </w:tcPr>
          <w:p w14:paraId="61C1BA1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 16.1.2 </w:t>
            </w:r>
            <w:r w:rsidRPr="00D429B4">
              <w:rPr>
                <w:rFonts w:ascii="Verdana" w:hAnsi="Verdana"/>
                <w:sz w:val="16"/>
                <w:szCs w:val="16"/>
                <w:lang w:val="en-US"/>
              </w:rPr>
              <w:t>Management of Quality.</w:t>
            </w:r>
          </w:p>
        </w:tc>
      </w:tr>
      <w:tr w:rsidR="00CD67E0" w:rsidRPr="00B838EC" w14:paraId="1A0E6A5D" w14:textId="77777777" w:rsidTr="00335F65">
        <w:tc>
          <w:tcPr>
            <w:tcW w:w="4421" w:type="dxa"/>
          </w:tcPr>
          <w:p w14:paraId="7CA0506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Los distribuidores deberán mantener un Sistema de Gestión de Calidad que establezca las responsabilidades, procesos y principios de gestión de riesgos en relación con sus actividades. Todas  las actividades de distribución deben estar claramente definidas en los procedimientos y ser revisados sistemáticamente. Deben de justificarse todas las etapas críticas de los procesos de distribución y los cambios significativos y cuando se aplique deben validarse. El Sistema de Gestión de Calidad debe estar bajo la responsabilidad de la dirección de la organización y requiere de su liderazgo y participación activa, así como del compromiso del personal.</w:t>
            </w:r>
          </w:p>
        </w:tc>
        <w:tc>
          <w:tcPr>
            <w:tcW w:w="4421" w:type="dxa"/>
          </w:tcPr>
          <w:p w14:paraId="2D39B62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The distributors must maintain a Quality Management System that establishes the responsibilities, processes and principles of risk management with regard to their activities. All the activities of distribution must be clearly defined in the procedures and b systematically reviewed. All the critical stages of the distribution processes and significant changes must be justified and when applicable must be validated. The Quality Management System must be under the responsibility of the Office of the organization and require their leadership and active participation, as well as the commitment of personnel. </w:t>
            </w:r>
          </w:p>
        </w:tc>
      </w:tr>
      <w:tr w:rsidR="00CD67E0" w:rsidRPr="00967A55" w14:paraId="36AF3D57" w14:textId="77777777" w:rsidTr="00335F65">
        <w:tc>
          <w:tcPr>
            <w:tcW w:w="4421" w:type="dxa"/>
          </w:tcPr>
          <w:p w14:paraId="361323F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16.1.3 </w:t>
            </w:r>
            <w:r w:rsidRPr="00D429B4">
              <w:rPr>
                <w:rFonts w:ascii="Verdana" w:hAnsi="Verdana"/>
                <w:sz w:val="16"/>
                <w:szCs w:val="16"/>
                <w:lang w:val="es-MX"/>
              </w:rPr>
              <w:t>Sistema de Gestión de Calidad.</w:t>
            </w:r>
          </w:p>
        </w:tc>
        <w:tc>
          <w:tcPr>
            <w:tcW w:w="4421" w:type="dxa"/>
          </w:tcPr>
          <w:p w14:paraId="17586F3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 </w:t>
            </w:r>
            <w:r w:rsidRPr="00D429B4">
              <w:rPr>
                <w:rFonts w:ascii="Verdana" w:hAnsi="Verdana"/>
                <w:sz w:val="16"/>
                <w:szCs w:val="16"/>
                <w:lang w:val="en-US"/>
              </w:rPr>
              <w:t xml:space="preserve">Quality Management System. </w:t>
            </w:r>
          </w:p>
        </w:tc>
      </w:tr>
      <w:tr w:rsidR="00CD67E0" w:rsidRPr="00B838EC" w14:paraId="043236C7" w14:textId="77777777" w:rsidTr="00335F65">
        <w:tc>
          <w:tcPr>
            <w:tcW w:w="4421" w:type="dxa"/>
          </w:tcPr>
          <w:p w14:paraId="7BD0FA7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16.1.3.1</w:t>
            </w:r>
            <w:r w:rsidRPr="00D429B4">
              <w:rPr>
                <w:rFonts w:ascii="Verdana" w:hAnsi="Verdana"/>
                <w:sz w:val="16"/>
                <w:szCs w:val="16"/>
                <w:lang w:val="es-MX"/>
              </w:rPr>
              <w:t xml:space="preserve"> El Sistema de Gestión de Calidad debe incluir la estructura organizacional, procedimientos, procesos y recursos, así como las actividades necesarias para garantizar que el producto entregado mantiene su calidad e integridad durante el almacenamiento y/o transporte.</w:t>
            </w:r>
          </w:p>
        </w:tc>
        <w:tc>
          <w:tcPr>
            <w:tcW w:w="4421" w:type="dxa"/>
          </w:tcPr>
          <w:p w14:paraId="1B25622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16.1.3.1 </w:t>
            </w:r>
            <w:r w:rsidRPr="00D429B4">
              <w:rPr>
                <w:rFonts w:ascii="Verdana" w:hAnsi="Verdana"/>
                <w:sz w:val="16"/>
                <w:szCs w:val="16"/>
                <w:lang w:val="en-US"/>
              </w:rPr>
              <w:t xml:space="preserve">The Quality Management System must include the organizational structure, procedures, processes and resources, as well as the activities necessary for guaranteeing that the product delivered maintains its quality and integrity during storage and/or transport. </w:t>
            </w:r>
          </w:p>
        </w:tc>
      </w:tr>
      <w:tr w:rsidR="00CD67E0" w:rsidRPr="00B838EC" w14:paraId="113E1968" w14:textId="77777777" w:rsidTr="00335F65">
        <w:tc>
          <w:tcPr>
            <w:tcW w:w="4421" w:type="dxa"/>
          </w:tcPr>
          <w:p w14:paraId="156C18E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16.1.3.2</w:t>
            </w:r>
            <w:r w:rsidRPr="00D429B4">
              <w:rPr>
                <w:rFonts w:ascii="Verdana" w:hAnsi="Verdana"/>
                <w:sz w:val="16"/>
                <w:szCs w:val="16"/>
                <w:lang w:val="es-MX"/>
              </w:rPr>
              <w:t xml:space="preserve"> El Sistema de Gestión de Calidad debe estar documentado y se debe monitorear su eficacia. Todas las actividades relacionadas con el Sistema de Gestión de Calidad deben ser definidas y documentadas. Se debe de contar con un manual de calidad con los requisitos aplicables conforme al punto 5 de esta Norma.</w:t>
            </w:r>
          </w:p>
        </w:tc>
        <w:tc>
          <w:tcPr>
            <w:tcW w:w="4421" w:type="dxa"/>
          </w:tcPr>
          <w:p w14:paraId="6F0440F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16.1.3.2 </w:t>
            </w:r>
            <w:r w:rsidRPr="00D429B4">
              <w:rPr>
                <w:rFonts w:ascii="Verdana" w:hAnsi="Verdana"/>
                <w:sz w:val="16"/>
                <w:szCs w:val="16"/>
                <w:lang w:val="en-US"/>
              </w:rPr>
              <w:t xml:space="preserve">The Quality Management System must be documented and its efficiency be monitored. All the activities related to the Quality Management System must be defined and documented. There must be a quality manual with the applicable requirements according to point 5 of this Standard. </w:t>
            </w:r>
          </w:p>
        </w:tc>
      </w:tr>
      <w:tr w:rsidR="00CD67E0" w:rsidRPr="00B838EC" w14:paraId="6FB7D8F2" w14:textId="77777777" w:rsidTr="00335F65">
        <w:tc>
          <w:tcPr>
            <w:tcW w:w="4421" w:type="dxa"/>
          </w:tcPr>
          <w:p w14:paraId="1661690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16.1.3.3 </w:t>
            </w:r>
            <w:r w:rsidRPr="00D429B4">
              <w:rPr>
                <w:rFonts w:ascii="Verdana" w:hAnsi="Verdana"/>
                <w:sz w:val="16"/>
                <w:szCs w:val="16"/>
                <w:lang w:val="es-MX"/>
              </w:rPr>
              <w:t>La dirección debe designar al Responsable Sanitario quien tendrá la autoridad para garantizar que el Sistema de Gestión de Calidad se aplique y se mantenga.</w:t>
            </w:r>
          </w:p>
        </w:tc>
        <w:tc>
          <w:tcPr>
            <w:tcW w:w="4421" w:type="dxa"/>
          </w:tcPr>
          <w:p w14:paraId="3207C90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16.1.3.3 </w:t>
            </w:r>
            <w:r w:rsidRPr="00D429B4">
              <w:rPr>
                <w:rFonts w:ascii="Verdana" w:hAnsi="Verdana"/>
                <w:sz w:val="16"/>
                <w:szCs w:val="16"/>
                <w:lang w:val="en-US"/>
              </w:rPr>
              <w:t>The management must designate the Person responsible for sanitary compliance who will have the authority to guarantee that the Quality Management System is applied and maintained.</w:t>
            </w:r>
          </w:p>
        </w:tc>
      </w:tr>
      <w:tr w:rsidR="00CD67E0" w:rsidRPr="00B838EC" w14:paraId="231A52B6" w14:textId="77777777" w:rsidTr="00335F65">
        <w:tc>
          <w:tcPr>
            <w:tcW w:w="4421" w:type="dxa"/>
          </w:tcPr>
          <w:p w14:paraId="7B0AC01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16.1.3.4 </w:t>
            </w:r>
            <w:r w:rsidRPr="00D429B4">
              <w:rPr>
                <w:rFonts w:ascii="Verdana" w:hAnsi="Verdana"/>
                <w:sz w:val="16"/>
                <w:szCs w:val="16"/>
                <w:lang w:val="es-MX"/>
              </w:rPr>
              <w:t>La dirección debe asegurar que todas las partes del Sistema de Gestión de Calidad cuenten con los recursos adecuados, el personal competente, las instalaciones adecuadas y suficientes, así como equipos de acuerdo al tamaño de la organización.</w:t>
            </w:r>
          </w:p>
        </w:tc>
        <w:tc>
          <w:tcPr>
            <w:tcW w:w="4421" w:type="dxa"/>
          </w:tcPr>
          <w:p w14:paraId="6677F5B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16.1.3.4 </w:t>
            </w:r>
            <w:r w:rsidRPr="00D429B4">
              <w:rPr>
                <w:rFonts w:ascii="Verdana" w:hAnsi="Verdana"/>
                <w:sz w:val="16"/>
                <w:szCs w:val="16"/>
                <w:lang w:val="en-US"/>
              </w:rPr>
              <w:t>Management must assure that all the parties of the Quality Management System have adequate resources, competent personnel, adequate and sufficient installations, as well as equipment according to the size of the organization.</w:t>
            </w:r>
          </w:p>
        </w:tc>
      </w:tr>
      <w:tr w:rsidR="00CD67E0" w:rsidRPr="00B838EC" w14:paraId="234E4F06" w14:textId="77777777" w:rsidTr="00335F65">
        <w:tc>
          <w:tcPr>
            <w:tcW w:w="4421" w:type="dxa"/>
          </w:tcPr>
          <w:p w14:paraId="43E3D2C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16.1.3.5</w:t>
            </w:r>
            <w:r w:rsidRPr="00D429B4">
              <w:rPr>
                <w:rFonts w:ascii="Verdana" w:hAnsi="Verdana"/>
                <w:sz w:val="16"/>
                <w:szCs w:val="16"/>
                <w:lang w:val="es-MX"/>
              </w:rPr>
              <w:t xml:space="preserve"> Al elaborar o modificar el Sistema de Gestión de Calidad deben de tomarse en cuenta el tamaño, la estructura y la complejidad de las actividades del distribuidor.</w:t>
            </w:r>
          </w:p>
        </w:tc>
        <w:tc>
          <w:tcPr>
            <w:tcW w:w="4421" w:type="dxa"/>
          </w:tcPr>
          <w:p w14:paraId="161AF5A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16.1.3.5 </w:t>
            </w:r>
            <w:r w:rsidRPr="00D429B4">
              <w:rPr>
                <w:rFonts w:ascii="Verdana" w:hAnsi="Verdana"/>
                <w:sz w:val="16"/>
                <w:szCs w:val="16"/>
                <w:lang w:val="en-US"/>
              </w:rPr>
              <w:t xml:space="preserve">When preparing or modifying the Quality Management System, the size, structure and complexity of the activities of the distributor must be taken into account. </w:t>
            </w:r>
          </w:p>
        </w:tc>
      </w:tr>
      <w:tr w:rsidR="00CD67E0" w:rsidRPr="00B838EC" w14:paraId="6D42B6BA" w14:textId="77777777" w:rsidTr="00335F65">
        <w:tc>
          <w:tcPr>
            <w:tcW w:w="4421" w:type="dxa"/>
          </w:tcPr>
          <w:p w14:paraId="0E3A66B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16.1.3.6</w:t>
            </w:r>
            <w:r w:rsidRPr="00D429B4">
              <w:rPr>
                <w:rFonts w:ascii="Verdana" w:hAnsi="Verdana"/>
                <w:sz w:val="16"/>
                <w:szCs w:val="16"/>
                <w:lang w:val="es-MX"/>
              </w:rPr>
              <w:t xml:space="preserve"> Se debe de contar con un sistema de control de cambios que incorpore principios de gestión de riesgos, y sea documentado y eficaz.</w:t>
            </w:r>
          </w:p>
        </w:tc>
        <w:tc>
          <w:tcPr>
            <w:tcW w:w="4421" w:type="dxa"/>
          </w:tcPr>
          <w:p w14:paraId="7183EDB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16.1.3.6 </w:t>
            </w:r>
            <w:r w:rsidRPr="00D429B4">
              <w:rPr>
                <w:rFonts w:ascii="Verdana" w:hAnsi="Verdana"/>
                <w:sz w:val="16"/>
                <w:szCs w:val="16"/>
                <w:lang w:val="en-US"/>
              </w:rPr>
              <w:t xml:space="preserve">There must be a system for the control of changes that incorporates principles of risk management and be documented and efficient. </w:t>
            </w:r>
          </w:p>
        </w:tc>
      </w:tr>
      <w:tr w:rsidR="00CD67E0" w:rsidRPr="00B838EC" w14:paraId="751C89BC" w14:textId="77777777" w:rsidTr="00335F65">
        <w:tc>
          <w:tcPr>
            <w:tcW w:w="4421" w:type="dxa"/>
          </w:tcPr>
          <w:p w14:paraId="3369018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16.1.3.7</w:t>
            </w:r>
            <w:r w:rsidRPr="00D429B4">
              <w:rPr>
                <w:rFonts w:ascii="Verdana" w:hAnsi="Verdana"/>
                <w:sz w:val="16"/>
                <w:szCs w:val="16"/>
                <w:lang w:val="es-MX"/>
              </w:rPr>
              <w:t xml:space="preserve"> El sistema de gestión de calidad debe asegurar que:</w:t>
            </w:r>
          </w:p>
        </w:tc>
        <w:tc>
          <w:tcPr>
            <w:tcW w:w="4421" w:type="dxa"/>
          </w:tcPr>
          <w:p w14:paraId="5E6C203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16.1.3.7 </w:t>
            </w:r>
            <w:r w:rsidRPr="00D429B4">
              <w:rPr>
                <w:rFonts w:ascii="Verdana" w:hAnsi="Verdana"/>
                <w:sz w:val="16"/>
                <w:szCs w:val="16"/>
                <w:lang w:val="en-US"/>
              </w:rPr>
              <w:t xml:space="preserve">The Quality Management System must assure that: </w:t>
            </w:r>
          </w:p>
        </w:tc>
      </w:tr>
      <w:tr w:rsidR="00CD67E0" w:rsidRPr="00B838EC" w14:paraId="7D1D15DE" w14:textId="77777777" w:rsidTr="00335F65">
        <w:tc>
          <w:tcPr>
            <w:tcW w:w="4421" w:type="dxa"/>
          </w:tcPr>
          <w:p w14:paraId="62DCF47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16.1.3.7.1</w:t>
            </w:r>
            <w:r w:rsidRPr="00D429B4">
              <w:rPr>
                <w:rFonts w:ascii="Verdana" w:hAnsi="Verdana"/>
                <w:sz w:val="16"/>
                <w:szCs w:val="16"/>
                <w:lang w:val="es-MX"/>
              </w:rPr>
              <w:t xml:space="preserve"> Los medicamentos se adquieran, conserven, suministren, se exporten o importen de conformidad con los requisitos de las BPAD.</w:t>
            </w:r>
          </w:p>
        </w:tc>
        <w:tc>
          <w:tcPr>
            <w:tcW w:w="4421" w:type="dxa"/>
          </w:tcPr>
          <w:p w14:paraId="519C881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16.1.3.7.1 </w:t>
            </w:r>
            <w:r w:rsidRPr="00D429B4">
              <w:rPr>
                <w:rFonts w:ascii="Verdana" w:hAnsi="Verdana"/>
                <w:sz w:val="16"/>
                <w:szCs w:val="16"/>
                <w:lang w:val="en-US"/>
              </w:rPr>
              <w:t xml:space="preserve">The drug products are acquired, conserved, supplied, exported or imported according to the requirements of the GSDP. </w:t>
            </w:r>
          </w:p>
        </w:tc>
      </w:tr>
      <w:tr w:rsidR="00CD67E0" w:rsidRPr="00B838EC" w14:paraId="20DFB401" w14:textId="77777777" w:rsidTr="00335F65">
        <w:tc>
          <w:tcPr>
            <w:tcW w:w="4421" w:type="dxa"/>
          </w:tcPr>
          <w:p w14:paraId="5FDCE51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16.1.3.7.2 </w:t>
            </w:r>
            <w:r w:rsidRPr="00D429B4">
              <w:rPr>
                <w:rFonts w:ascii="Verdana" w:hAnsi="Verdana"/>
                <w:sz w:val="16"/>
                <w:szCs w:val="16"/>
                <w:lang w:val="es-MX"/>
              </w:rPr>
              <w:t>Las responsabilidades de la dirección se especifiquen claramente.</w:t>
            </w:r>
          </w:p>
        </w:tc>
        <w:tc>
          <w:tcPr>
            <w:tcW w:w="4421" w:type="dxa"/>
          </w:tcPr>
          <w:p w14:paraId="384DEF3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16.1.3.7.2 </w:t>
            </w:r>
            <w:r w:rsidRPr="00D429B4">
              <w:rPr>
                <w:rFonts w:ascii="Verdana" w:hAnsi="Verdana"/>
                <w:sz w:val="16"/>
                <w:szCs w:val="16"/>
                <w:lang w:val="en-US"/>
              </w:rPr>
              <w:t xml:space="preserve">The responsibilities of the management are clearly specified. </w:t>
            </w:r>
          </w:p>
        </w:tc>
      </w:tr>
      <w:tr w:rsidR="00CD67E0" w:rsidRPr="00B838EC" w14:paraId="1C771222" w14:textId="77777777" w:rsidTr="00335F65">
        <w:tc>
          <w:tcPr>
            <w:tcW w:w="4421" w:type="dxa"/>
          </w:tcPr>
          <w:p w14:paraId="410950B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16.1.3.7.3</w:t>
            </w:r>
            <w:r w:rsidRPr="00D429B4">
              <w:rPr>
                <w:rFonts w:ascii="Verdana" w:hAnsi="Verdana"/>
                <w:sz w:val="16"/>
                <w:szCs w:val="16"/>
                <w:lang w:val="es-MX"/>
              </w:rPr>
              <w:t xml:space="preserve"> Los productos se entreguen a sus destinatarios asegurando su calidad y condiciones de conservación.</w:t>
            </w:r>
          </w:p>
        </w:tc>
        <w:tc>
          <w:tcPr>
            <w:tcW w:w="4421" w:type="dxa"/>
          </w:tcPr>
          <w:p w14:paraId="1D6A923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16.1.3.7.3 </w:t>
            </w:r>
            <w:r w:rsidRPr="00D429B4">
              <w:rPr>
                <w:rFonts w:ascii="Verdana" w:hAnsi="Verdana"/>
                <w:sz w:val="16"/>
                <w:szCs w:val="16"/>
                <w:lang w:val="en-US"/>
              </w:rPr>
              <w:t xml:space="preserve">The products that are delivered to their recipients assuring their quality and conditions of conservation. </w:t>
            </w:r>
          </w:p>
        </w:tc>
      </w:tr>
      <w:tr w:rsidR="00CD67E0" w:rsidRPr="00B838EC" w14:paraId="401FF579" w14:textId="77777777" w:rsidTr="00335F65">
        <w:tc>
          <w:tcPr>
            <w:tcW w:w="4421" w:type="dxa"/>
          </w:tcPr>
          <w:p w14:paraId="1EFF5BE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16.1.3.7.4 </w:t>
            </w:r>
            <w:r w:rsidRPr="00D429B4">
              <w:rPr>
                <w:rFonts w:ascii="Verdana" w:hAnsi="Verdana"/>
                <w:sz w:val="16"/>
                <w:szCs w:val="16"/>
                <w:lang w:val="es-MX"/>
              </w:rPr>
              <w:t>Los registros se realicen cuando se lleve a cabo la actividad.</w:t>
            </w:r>
          </w:p>
        </w:tc>
        <w:tc>
          <w:tcPr>
            <w:tcW w:w="4421" w:type="dxa"/>
          </w:tcPr>
          <w:p w14:paraId="45754D3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16.1.3.7.4 </w:t>
            </w:r>
            <w:r w:rsidRPr="00D429B4">
              <w:rPr>
                <w:rFonts w:ascii="Verdana" w:hAnsi="Verdana"/>
                <w:sz w:val="16"/>
                <w:szCs w:val="16"/>
                <w:lang w:val="en-US"/>
              </w:rPr>
              <w:t xml:space="preserve">The records are made when the activity is carried out. </w:t>
            </w:r>
          </w:p>
        </w:tc>
      </w:tr>
      <w:tr w:rsidR="00CD67E0" w:rsidRPr="00947A46" w14:paraId="253945B2" w14:textId="77777777" w:rsidTr="00335F65">
        <w:tc>
          <w:tcPr>
            <w:tcW w:w="4421" w:type="dxa"/>
          </w:tcPr>
          <w:p w14:paraId="2518E92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16.1.3.7.5 </w:t>
            </w:r>
            <w:r w:rsidRPr="00D429B4">
              <w:rPr>
                <w:rFonts w:ascii="Verdana" w:hAnsi="Verdana"/>
                <w:sz w:val="16"/>
                <w:szCs w:val="16"/>
                <w:lang w:val="es-MX"/>
              </w:rPr>
              <w:t>Se documenten e investiguen las desviaciones a los procedimientos documentados.</w:t>
            </w:r>
          </w:p>
        </w:tc>
        <w:tc>
          <w:tcPr>
            <w:tcW w:w="4421" w:type="dxa"/>
          </w:tcPr>
          <w:p w14:paraId="47B5D1A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16.1.3.7.5 </w:t>
            </w:r>
            <w:r w:rsidRPr="00D429B4">
              <w:rPr>
                <w:rFonts w:ascii="Verdana" w:hAnsi="Verdana"/>
                <w:sz w:val="16"/>
                <w:szCs w:val="16"/>
                <w:lang w:val="en-US"/>
              </w:rPr>
              <w:t xml:space="preserve">The deviations to the documented procedures are documented and investigated. </w:t>
            </w:r>
          </w:p>
        </w:tc>
      </w:tr>
      <w:tr w:rsidR="00CD67E0" w:rsidRPr="00947A46" w14:paraId="15235461" w14:textId="77777777" w:rsidTr="00335F65">
        <w:tc>
          <w:tcPr>
            <w:tcW w:w="4421" w:type="dxa"/>
          </w:tcPr>
          <w:p w14:paraId="2133767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16.1.3.7.6</w:t>
            </w:r>
            <w:r w:rsidRPr="00D429B4">
              <w:rPr>
                <w:rFonts w:ascii="Verdana" w:hAnsi="Verdana"/>
                <w:sz w:val="16"/>
                <w:szCs w:val="16"/>
                <w:lang w:val="es-MX"/>
              </w:rPr>
              <w:t xml:space="preserve"> Se tomen las acciones correctivas y preventivas adecuadas (CAPA) para corregir las desviaciones y prevenirlas de acuerdo con los principios de la gestión de riesgos de calidad.</w:t>
            </w:r>
          </w:p>
        </w:tc>
        <w:tc>
          <w:tcPr>
            <w:tcW w:w="4421" w:type="dxa"/>
          </w:tcPr>
          <w:p w14:paraId="4E545A9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16.1.3.7.6 </w:t>
            </w:r>
            <w:r w:rsidRPr="00D429B4">
              <w:rPr>
                <w:rFonts w:ascii="Verdana" w:hAnsi="Verdana"/>
                <w:sz w:val="16"/>
                <w:szCs w:val="16"/>
                <w:lang w:val="en-US"/>
              </w:rPr>
              <w:t xml:space="preserve">Adequate corrective and preventive actions are taken (CAPA) to correct the deviations and prevent them according to the principles of the risk management of quality. </w:t>
            </w:r>
          </w:p>
        </w:tc>
      </w:tr>
      <w:tr w:rsidR="00CD67E0" w:rsidRPr="00DD29AF" w14:paraId="7FE6B1B0" w14:textId="77777777" w:rsidTr="00335F65">
        <w:tc>
          <w:tcPr>
            <w:tcW w:w="4421" w:type="dxa"/>
          </w:tcPr>
          <w:p w14:paraId="0768CFB4"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16.2 </w:t>
            </w:r>
            <w:r w:rsidRPr="00D429B4">
              <w:rPr>
                <w:rFonts w:ascii="Verdana" w:hAnsi="Verdana"/>
                <w:sz w:val="16"/>
                <w:szCs w:val="16"/>
                <w:lang w:val="es-MX"/>
              </w:rPr>
              <w:t>Gestión de actividades contratadas.</w:t>
            </w:r>
          </w:p>
        </w:tc>
        <w:tc>
          <w:tcPr>
            <w:tcW w:w="4421" w:type="dxa"/>
          </w:tcPr>
          <w:p w14:paraId="5AF4E44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16.2 </w:t>
            </w:r>
            <w:r w:rsidRPr="00D429B4">
              <w:rPr>
                <w:rFonts w:ascii="Verdana" w:hAnsi="Verdana"/>
                <w:sz w:val="16"/>
                <w:szCs w:val="16"/>
                <w:lang w:val="en-US"/>
              </w:rPr>
              <w:t>Management of contracted activities</w:t>
            </w:r>
          </w:p>
        </w:tc>
      </w:tr>
      <w:tr w:rsidR="00CD67E0" w:rsidRPr="00947A46" w14:paraId="2A2307B6" w14:textId="77777777" w:rsidTr="00335F65">
        <w:tc>
          <w:tcPr>
            <w:tcW w:w="4421" w:type="dxa"/>
          </w:tcPr>
          <w:p w14:paraId="503B9FB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16.2.1</w:t>
            </w:r>
            <w:r w:rsidRPr="00D429B4">
              <w:rPr>
                <w:rFonts w:ascii="Verdana" w:hAnsi="Verdana"/>
                <w:sz w:val="16"/>
                <w:szCs w:val="16"/>
                <w:lang w:val="es-MX"/>
              </w:rPr>
              <w:t xml:space="preserve"> El sistema de gestión de calidad debe abarcar el control y revisión de todas las actividades subcontratadas relacionadas con la adquisición, conservación, suministro, importación o exportación de los medicamentos. Estos procesos deben incorporar la gestión de riesgo de calidad e incluir:</w:t>
            </w:r>
          </w:p>
        </w:tc>
        <w:tc>
          <w:tcPr>
            <w:tcW w:w="4421" w:type="dxa"/>
          </w:tcPr>
          <w:p w14:paraId="1A6B86E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16.2.1 </w:t>
            </w:r>
            <w:r w:rsidRPr="00D429B4">
              <w:rPr>
                <w:rFonts w:ascii="Verdana" w:hAnsi="Verdana"/>
                <w:sz w:val="16"/>
                <w:szCs w:val="16"/>
                <w:lang w:val="en-US"/>
              </w:rPr>
              <w:t xml:space="preserve">The Quality Management System must cover the control and review of all the subcontracted activities related to the acquisition, conservation, supply, importation or exportation of the drug products. These processes must incorporate the risk management of quality and include: </w:t>
            </w:r>
          </w:p>
        </w:tc>
      </w:tr>
      <w:tr w:rsidR="00CD67E0" w:rsidRPr="00947A46" w14:paraId="2AB8E715" w14:textId="77777777" w:rsidTr="00335F65">
        <w:tc>
          <w:tcPr>
            <w:tcW w:w="4421" w:type="dxa"/>
          </w:tcPr>
          <w:p w14:paraId="1CEBA90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16.2.1.1 </w:t>
            </w:r>
            <w:r w:rsidRPr="00D429B4">
              <w:rPr>
                <w:rFonts w:ascii="Verdana" w:hAnsi="Verdana"/>
                <w:sz w:val="16"/>
                <w:szCs w:val="16"/>
                <w:lang w:val="es-MX"/>
              </w:rPr>
              <w:t>Evaluar la idoneidad y competencia del contratista para llevar a cabo la actividad, preservar la integridad y seguridad de los medicamentos.</w:t>
            </w:r>
          </w:p>
        </w:tc>
        <w:tc>
          <w:tcPr>
            <w:tcW w:w="4421" w:type="dxa"/>
          </w:tcPr>
          <w:p w14:paraId="17BF8E0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16.2.1.1 </w:t>
            </w:r>
            <w:r w:rsidRPr="00D429B4">
              <w:rPr>
                <w:rFonts w:ascii="Verdana" w:hAnsi="Verdana"/>
                <w:sz w:val="16"/>
                <w:szCs w:val="16"/>
                <w:lang w:val="en-US"/>
              </w:rPr>
              <w:t xml:space="preserve">Evaluate the suitability and competence of the contractor to carry out the activity, preserve the integrity and safety of the drug products. </w:t>
            </w:r>
          </w:p>
        </w:tc>
      </w:tr>
      <w:tr w:rsidR="00CD67E0" w:rsidRPr="00947A46" w14:paraId="42385A41" w14:textId="77777777" w:rsidTr="00335F65">
        <w:tc>
          <w:tcPr>
            <w:tcW w:w="4421" w:type="dxa"/>
          </w:tcPr>
          <w:p w14:paraId="1285D51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16.2.1.2 </w:t>
            </w:r>
            <w:r w:rsidRPr="00D429B4">
              <w:rPr>
                <w:rFonts w:ascii="Verdana" w:hAnsi="Verdana"/>
                <w:sz w:val="16"/>
                <w:szCs w:val="16"/>
                <w:lang w:val="es-MX"/>
              </w:rPr>
              <w:t>Definir las responsabilidades y los procesos de comunicación para las actividades relacionadas a la calidad de las partes involucradas.</w:t>
            </w:r>
          </w:p>
        </w:tc>
        <w:tc>
          <w:tcPr>
            <w:tcW w:w="4421" w:type="dxa"/>
          </w:tcPr>
          <w:p w14:paraId="334D942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16.2.1.2 </w:t>
            </w:r>
            <w:r w:rsidRPr="00D429B4">
              <w:rPr>
                <w:rFonts w:ascii="Verdana" w:hAnsi="Verdana"/>
                <w:sz w:val="16"/>
                <w:szCs w:val="16"/>
                <w:lang w:val="en-US"/>
              </w:rPr>
              <w:t>Define the responsibilities and the processes of communication for the activities related to the quality of the parts involved.</w:t>
            </w:r>
          </w:p>
        </w:tc>
      </w:tr>
      <w:tr w:rsidR="00CD67E0" w:rsidRPr="00947A46" w14:paraId="173DA9C4" w14:textId="77777777" w:rsidTr="00335F65">
        <w:tc>
          <w:tcPr>
            <w:tcW w:w="4421" w:type="dxa"/>
          </w:tcPr>
          <w:p w14:paraId="06EB462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16.2.1.3 </w:t>
            </w:r>
            <w:r w:rsidRPr="00D429B4">
              <w:rPr>
                <w:rFonts w:ascii="Verdana" w:hAnsi="Verdana"/>
                <w:sz w:val="16"/>
                <w:szCs w:val="16"/>
                <w:lang w:val="es-MX"/>
              </w:rPr>
              <w:t>Seguimiento y revisión de la actuación del contratista, y la identificación e implementación de las mejoras necesarias.</w:t>
            </w:r>
          </w:p>
        </w:tc>
        <w:tc>
          <w:tcPr>
            <w:tcW w:w="4421" w:type="dxa"/>
          </w:tcPr>
          <w:p w14:paraId="0AEF3E8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16.2.1.3 </w:t>
            </w:r>
            <w:r w:rsidRPr="00D429B4">
              <w:rPr>
                <w:rFonts w:ascii="Verdana" w:hAnsi="Verdana"/>
                <w:sz w:val="16"/>
                <w:szCs w:val="16"/>
                <w:lang w:val="en-US"/>
              </w:rPr>
              <w:t xml:space="preserve">Follow-up and review of the actions of the contractor and the identification and implementation of the necessary improvements. </w:t>
            </w:r>
          </w:p>
        </w:tc>
      </w:tr>
      <w:tr w:rsidR="00CD67E0" w:rsidRPr="00947A46" w14:paraId="7E64A582" w14:textId="77777777" w:rsidTr="00335F65">
        <w:tc>
          <w:tcPr>
            <w:tcW w:w="4421" w:type="dxa"/>
          </w:tcPr>
          <w:p w14:paraId="33A681F2"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lastRenderedPageBreak/>
              <w:t xml:space="preserve">16.3 </w:t>
            </w:r>
            <w:r w:rsidRPr="00D429B4">
              <w:rPr>
                <w:rFonts w:ascii="Verdana" w:hAnsi="Verdana"/>
                <w:sz w:val="16"/>
                <w:szCs w:val="16"/>
                <w:lang w:val="es-MX"/>
              </w:rPr>
              <w:t>Revisión y seguimiento por parte de la dirección</w:t>
            </w:r>
          </w:p>
        </w:tc>
        <w:tc>
          <w:tcPr>
            <w:tcW w:w="4421" w:type="dxa"/>
          </w:tcPr>
          <w:p w14:paraId="15D3EE2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16.3 </w:t>
            </w:r>
            <w:r w:rsidRPr="00D429B4">
              <w:rPr>
                <w:rFonts w:ascii="Verdana" w:hAnsi="Verdana"/>
                <w:sz w:val="16"/>
                <w:szCs w:val="16"/>
                <w:lang w:val="en-US"/>
              </w:rPr>
              <w:t xml:space="preserve">Review and follow-up on the part of the management. </w:t>
            </w:r>
          </w:p>
        </w:tc>
      </w:tr>
      <w:tr w:rsidR="00CD67E0" w:rsidRPr="00DD29AF" w14:paraId="335D3738" w14:textId="77777777" w:rsidTr="00335F65">
        <w:tc>
          <w:tcPr>
            <w:tcW w:w="4421" w:type="dxa"/>
          </w:tcPr>
          <w:p w14:paraId="762E6DC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16.3.1</w:t>
            </w:r>
            <w:r w:rsidRPr="00D429B4">
              <w:rPr>
                <w:rFonts w:ascii="Verdana" w:hAnsi="Verdana"/>
                <w:sz w:val="16"/>
                <w:szCs w:val="16"/>
                <w:lang w:val="es-MX"/>
              </w:rPr>
              <w:t xml:space="preserve"> La dirección debe tener un proceso formal para revisar el Sistema de Gestión de Calidad de forma periódica. La revisión debe incluir:</w:t>
            </w:r>
          </w:p>
        </w:tc>
        <w:tc>
          <w:tcPr>
            <w:tcW w:w="4421" w:type="dxa"/>
          </w:tcPr>
          <w:p w14:paraId="6E36476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16.3.1 </w:t>
            </w:r>
            <w:r w:rsidRPr="00D429B4">
              <w:rPr>
                <w:rFonts w:ascii="Verdana" w:hAnsi="Verdana"/>
                <w:sz w:val="16"/>
                <w:szCs w:val="16"/>
                <w:lang w:val="en-US"/>
              </w:rPr>
              <w:t xml:space="preserve">The management must have a formal process to review the Quality Management System periodically. The review must include: </w:t>
            </w:r>
          </w:p>
        </w:tc>
      </w:tr>
      <w:tr w:rsidR="00CD67E0" w:rsidRPr="00947A46" w14:paraId="0E1F649F" w14:textId="77777777" w:rsidTr="00335F65">
        <w:tc>
          <w:tcPr>
            <w:tcW w:w="4421" w:type="dxa"/>
          </w:tcPr>
          <w:p w14:paraId="1A1C373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16.3.1.1 </w:t>
            </w:r>
            <w:r w:rsidRPr="00D429B4">
              <w:rPr>
                <w:rFonts w:ascii="Verdana" w:hAnsi="Verdana"/>
                <w:sz w:val="16"/>
                <w:szCs w:val="16"/>
                <w:lang w:val="es-MX"/>
              </w:rPr>
              <w:t>La medición del cumplimiento de los objetivos del Sistema de Gestión de Calidad;</w:t>
            </w:r>
          </w:p>
        </w:tc>
        <w:tc>
          <w:tcPr>
            <w:tcW w:w="4421" w:type="dxa"/>
          </w:tcPr>
          <w:p w14:paraId="477FD51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16.3.1.1 </w:t>
            </w:r>
            <w:r w:rsidRPr="00D429B4">
              <w:rPr>
                <w:rFonts w:ascii="Verdana" w:hAnsi="Verdana"/>
                <w:sz w:val="16"/>
                <w:szCs w:val="16"/>
                <w:lang w:val="en-US"/>
              </w:rPr>
              <w:t xml:space="preserve">The measurement of the compliance to the objectives of the Quality Management System; </w:t>
            </w:r>
          </w:p>
        </w:tc>
      </w:tr>
      <w:tr w:rsidR="00CD67E0" w:rsidRPr="00947A46" w14:paraId="360A9DF3" w14:textId="77777777" w:rsidTr="00335F65">
        <w:tc>
          <w:tcPr>
            <w:tcW w:w="4421" w:type="dxa"/>
          </w:tcPr>
          <w:p w14:paraId="6563EC3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16.3.1.2 </w:t>
            </w:r>
            <w:r w:rsidRPr="00D429B4">
              <w:rPr>
                <w:rFonts w:ascii="Verdana" w:hAnsi="Verdana"/>
                <w:sz w:val="16"/>
                <w:szCs w:val="16"/>
                <w:lang w:val="es-MX"/>
              </w:rPr>
              <w:t>La evaluación de los indicadores de desempeño que se pueden utilizar para monitorear la eficacia de los procesos dentro del sistema de gestión de calidad, tales como quejas, retiro de producto, devoluciones, desviaciones, CAPA, cambios en los procesos; retroalimentación de las actividades contratadas; procesos de autoevaluación incluyendo análisis de riesgos y auditorías; y las evaluaciones externas, tales como inspecciones, resultados y auditorías de los clientes;</w:t>
            </w:r>
          </w:p>
        </w:tc>
        <w:tc>
          <w:tcPr>
            <w:tcW w:w="4421" w:type="dxa"/>
          </w:tcPr>
          <w:p w14:paraId="456B077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16.3.1.2 </w:t>
            </w:r>
            <w:r w:rsidRPr="00D429B4">
              <w:rPr>
                <w:rFonts w:ascii="Verdana" w:hAnsi="Verdana"/>
                <w:sz w:val="16"/>
                <w:szCs w:val="16"/>
                <w:lang w:val="en-US"/>
              </w:rPr>
              <w:t xml:space="preserve">The evaluation of the indicators of performance that can be used for monitoring the efficiency of the processes within the Quality Management System, such as complaints, withdrawal of product, returns, deviations, CAPA, changes in the processes; feedback of the contracted activities; processes of self-evaluation including risk analysis and audits; and the external evaluations, such as inspections, results, and audits of the clients; </w:t>
            </w:r>
          </w:p>
        </w:tc>
      </w:tr>
      <w:tr w:rsidR="00CD67E0" w:rsidRPr="00947A46" w14:paraId="42F20C3D" w14:textId="77777777" w:rsidTr="00335F65">
        <w:tc>
          <w:tcPr>
            <w:tcW w:w="4421" w:type="dxa"/>
          </w:tcPr>
          <w:p w14:paraId="505A49D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16.3.1.3 </w:t>
            </w:r>
            <w:r w:rsidRPr="00D429B4">
              <w:rPr>
                <w:rFonts w:ascii="Verdana" w:hAnsi="Verdana"/>
                <w:sz w:val="16"/>
                <w:szCs w:val="16"/>
                <w:lang w:val="es-MX"/>
              </w:rPr>
              <w:t>Normas, directrices y las cuestiones de calidad que surjan y pueden impactar en el Sistema de Gestión de Calidad;</w:t>
            </w:r>
          </w:p>
        </w:tc>
        <w:tc>
          <w:tcPr>
            <w:tcW w:w="4421" w:type="dxa"/>
          </w:tcPr>
          <w:p w14:paraId="32CECF4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16.3.1.3 </w:t>
            </w:r>
            <w:r w:rsidRPr="00D429B4">
              <w:rPr>
                <w:rFonts w:ascii="Verdana" w:hAnsi="Verdana"/>
                <w:sz w:val="16"/>
                <w:szCs w:val="16"/>
                <w:lang w:val="en-US"/>
              </w:rPr>
              <w:t>Standards, directives and the quality questions that arise and can impact on the Quality Management System;</w:t>
            </w:r>
          </w:p>
        </w:tc>
      </w:tr>
      <w:tr w:rsidR="00CD67E0" w:rsidRPr="00947A46" w14:paraId="2867E1E5" w14:textId="77777777" w:rsidTr="00335F65">
        <w:tc>
          <w:tcPr>
            <w:tcW w:w="4421" w:type="dxa"/>
          </w:tcPr>
          <w:p w14:paraId="5ACC644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16.3.1.4 </w:t>
            </w:r>
            <w:r w:rsidRPr="00D429B4">
              <w:rPr>
                <w:rFonts w:ascii="Verdana" w:hAnsi="Verdana"/>
                <w:sz w:val="16"/>
                <w:szCs w:val="16"/>
                <w:lang w:val="es-MX"/>
              </w:rPr>
              <w:t>Las innovaciones que puedan mejorar el Sistema de Gestión de Calidad;</w:t>
            </w:r>
          </w:p>
        </w:tc>
        <w:tc>
          <w:tcPr>
            <w:tcW w:w="4421" w:type="dxa"/>
          </w:tcPr>
          <w:p w14:paraId="6E2F51F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16.3.1.4 </w:t>
            </w:r>
            <w:r w:rsidRPr="00D429B4">
              <w:rPr>
                <w:rFonts w:ascii="Verdana" w:hAnsi="Verdana"/>
                <w:sz w:val="16"/>
                <w:szCs w:val="16"/>
                <w:lang w:val="en-US"/>
              </w:rPr>
              <w:t xml:space="preserve">The innovations that can improve the Quality Management System; </w:t>
            </w:r>
          </w:p>
        </w:tc>
      </w:tr>
      <w:tr w:rsidR="00CD67E0" w:rsidRPr="00947A46" w14:paraId="45E9E8F8" w14:textId="77777777" w:rsidTr="00335F65">
        <w:tc>
          <w:tcPr>
            <w:tcW w:w="4421" w:type="dxa"/>
          </w:tcPr>
          <w:p w14:paraId="3451E98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16.3.1.5 </w:t>
            </w:r>
            <w:r w:rsidRPr="00D429B4">
              <w:rPr>
                <w:rFonts w:ascii="Verdana" w:hAnsi="Verdana"/>
                <w:sz w:val="16"/>
                <w:szCs w:val="16"/>
                <w:lang w:val="es-MX"/>
              </w:rPr>
              <w:t>Los cambios en objetivo y el entorno empresarial.</w:t>
            </w:r>
          </w:p>
        </w:tc>
        <w:tc>
          <w:tcPr>
            <w:tcW w:w="4421" w:type="dxa"/>
          </w:tcPr>
          <w:p w14:paraId="4578C9F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16.3.1.5 </w:t>
            </w:r>
            <w:r w:rsidRPr="00D429B4">
              <w:rPr>
                <w:rFonts w:ascii="Verdana" w:hAnsi="Verdana"/>
                <w:sz w:val="16"/>
                <w:szCs w:val="16"/>
                <w:lang w:val="en-US"/>
              </w:rPr>
              <w:t xml:space="preserve">The changes in objective and the business environment. </w:t>
            </w:r>
          </w:p>
        </w:tc>
      </w:tr>
      <w:tr w:rsidR="00CD67E0" w:rsidRPr="00947A46" w14:paraId="5902DE8A" w14:textId="77777777" w:rsidTr="00335F65">
        <w:tc>
          <w:tcPr>
            <w:tcW w:w="4421" w:type="dxa"/>
          </w:tcPr>
          <w:p w14:paraId="399B47D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16.3.2 </w:t>
            </w:r>
            <w:r w:rsidRPr="00D429B4">
              <w:rPr>
                <w:rFonts w:ascii="Verdana" w:hAnsi="Verdana"/>
                <w:sz w:val="16"/>
                <w:szCs w:val="16"/>
                <w:lang w:val="es-MX"/>
              </w:rPr>
              <w:t>El resultado de cada revisión del Sistema de Gestión de Calidad debe documentarse de manera oportuna y comunicada internamente de manera eficaz.</w:t>
            </w:r>
          </w:p>
        </w:tc>
        <w:tc>
          <w:tcPr>
            <w:tcW w:w="4421" w:type="dxa"/>
          </w:tcPr>
          <w:p w14:paraId="151EC89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16.3.2 </w:t>
            </w:r>
            <w:r w:rsidRPr="00D429B4">
              <w:rPr>
                <w:rFonts w:ascii="Verdana" w:hAnsi="Verdana"/>
                <w:sz w:val="16"/>
                <w:szCs w:val="16"/>
                <w:lang w:val="en-US"/>
              </w:rPr>
              <w:t xml:space="preserve">The results of each review of the Quality Management System must be documented opportunely and internally communicated efficiently. </w:t>
            </w:r>
          </w:p>
        </w:tc>
      </w:tr>
      <w:tr w:rsidR="00CD67E0" w:rsidRPr="00DD29AF" w14:paraId="7B5E6569" w14:textId="77777777" w:rsidTr="00335F65">
        <w:tc>
          <w:tcPr>
            <w:tcW w:w="4421" w:type="dxa"/>
          </w:tcPr>
          <w:p w14:paraId="5E20341D"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16.4 </w:t>
            </w:r>
            <w:r w:rsidRPr="00D429B4">
              <w:rPr>
                <w:rFonts w:ascii="Verdana" w:hAnsi="Verdana"/>
                <w:sz w:val="16"/>
                <w:szCs w:val="16"/>
                <w:lang w:val="es-MX"/>
              </w:rPr>
              <w:t>Gestión de riesgos de la calidad.</w:t>
            </w:r>
          </w:p>
        </w:tc>
        <w:tc>
          <w:tcPr>
            <w:tcW w:w="4421" w:type="dxa"/>
          </w:tcPr>
          <w:p w14:paraId="147C308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16.4 </w:t>
            </w:r>
            <w:r w:rsidRPr="00D429B4">
              <w:rPr>
                <w:rFonts w:ascii="Verdana" w:hAnsi="Verdana"/>
                <w:sz w:val="16"/>
                <w:szCs w:val="16"/>
                <w:lang w:val="en-US"/>
              </w:rPr>
              <w:t xml:space="preserve">Management of quality risks. </w:t>
            </w:r>
          </w:p>
        </w:tc>
      </w:tr>
      <w:tr w:rsidR="00CD67E0" w:rsidRPr="00947A46" w14:paraId="4BEE8EAB" w14:textId="77777777" w:rsidTr="00335F65">
        <w:tc>
          <w:tcPr>
            <w:tcW w:w="4421" w:type="dxa"/>
          </w:tcPr>
          <w:p w14:paraId="6F655A1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La gestión de riesgos de calidad es un proceso sistemático y se debe realizar conforme a lo indicado en el punto 6 de esta Norma.</w:t>
            </w:r>
          </w:p>
        </w:tc>
        <w:tc>
          <w:tcPr>
            <w:tcW w:w="4421" w:type="dxa"/>
          </w:tcPr>
          <w:p w14:paraId="1E3E026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The management of quality risks is a systematic process and must be done according to that indicated in point 6 of this Standard. </w:t>
            </w:r>
          </w:p>
        </w:tc>
      </w:tr>
      <w:tr w:rsidR="00CD67E0" w:rsidRPr="00DD29AF" w14:paraId="47F26062" w14:textId="77777777" w:rsidTr="00335F65">
        <w:tc>
          <w:tcPr>
            <w:tcW w:w="4421" w:type="dxa"/>
          </w:tcPr>
          <w:p w14:paraId="19E415E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 </w:t>
            </w:r>
            <w:r w:rsidRPr="00D429B4">
              <w:rPr>
                <w:rFonts w:ascii="Verdana" w:hAnsi="Verdana"/>
                <w:sz w:val="16"/>
                <w:szCs w:val="16"/>
                <w:lang w:val="es-MX"/>
              </w:rPr>
              <w:t>Personal.</w:t>
            </w:r>
          </w:p>
        </w:tc>
        <w:tc>
          <w:tcPr>
            <w:tcW w:w="4421" w:type="dxa"/>
          </w:tcPr>
          <w:p w14:paraId="5E2837D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 </w:t>
            </w:r>
            <w:r w:rsidRPr="00D429B4">
              <w:rPr>
                <w:rFonts w:ascii="Verdana" w:hAnsi="Verdana"/>
                <w:sz w:val="16"/>
                <w:szCs w:val="16"/>
                <w:lang w:val="en-US"/>
              </w:rPr>
              <w:t xml:space="preserve">Personnel. </w:t>
            </w:r>
          </w:p>
        </w:tc>
      </w:tr>
      <w:tr w:rsidR="00CD67E0" w:rsidRPr="00DD29AF" w14:paraId="77FA095A" w14:textId="77777777" w:rsidTr="00335F65">
        <w:tc>
          <w:tcPr>
            <w:tcW w:w="4421" w:type="dxa"/>
          </w:tcPr>
          <w:p w14:paraId="38687B6D"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16.5.1 </w:t>
            </w:r>
            <w:r w:rsidRPr="00D429B4">
              <w:rPr>
                <w:rFonts w:ascii="Verdana" w:hAnsi="Verdana"/>
                <w:sz w:val="16"/>
                <w:szCs w:val="16"/>
                <w:lang w:val="es-MX"/>
              </w:rPr>
              <w:t>Generalidades.</w:t>
            </w:r>
          </w:p>
        </w:tc>
        <w:tc>
          <w:tcPr>
            <w:tcW w:w="4421" w:type="dxa"/>
          </w:tcPr>
          <w:p w14:paraId="1B53C6B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16.5.1 </w:t>
            </w:r>
            <w:r w:rsidRPr="00D429B4">
              <w:rPr>
                <w:rFonts w:ascii="Verdana" w:hAnsi="Verdana"/>
                <w:sz w:val="16"/>
                <w:szCs w:val="16"/>
                <w:lang w:val="en-US"/>
              </w:rPr>
              <w:t xml:space="preserve">General provisions. </w:t>
            </w:r>
          </w:p>
        </w:tc>
      </w:tr>
      <w:tr w:rsidR="00CD67E0" w:rsidRPr="00947A46" w14:paraId="7F214829" w14:textId="77777777" w:rsidTr="00335F65">
        <w:tc>
          <w:tcPr>
            <w:tcW w:w="4421" w:type="dxa"/>
          </w:tcPr>
          <w:p w14:paraId="4E45C37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Se debe contar con personal calificado y suficiente para llevar a cabo todas las tareas que son responsabilidad del distribuidor. El personal debe tener claro cuáles son sus responsabilidades individuales que deben estar por escrito.</w:t>
            </w:r>
          </w:p>
        </w:tc>
        <w:tc>
          <w:tcPr>
            <w:tcW w:w="4421" w:type="dxa"/>
          </w:tcPr>
          <w:p w14:paraId="6568C38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There must be personnel qualified and sufficient to carry out all the tasks that are the responsibility of the distributor. The personnel must understand clearly what their individual responsibilities are and must be in writing. </w:t>
            </w:r>
          </w:p>
        </w:tc>
      </w:tr>
      <w:tr w:rsidR="00CD67E0" w:rsidRPr="00947A46" w14:paraId="2F0FBBD7" w14:textId="77777777" w:rsidTr="00335F65">
        <w:tc>
          <w:tcPr>
            <w:tcW w:w="4421" w:type="dxa"/>
          </w:tcPr>
          <w:p w14:paraId="3ADA495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16.5.1.1 </w:t>
            </w:r>
            <w:r w:rsidRPr="00D429B4">
              <w:rPr>
                <w:rFonts w:ascii="Verdana" w:hAnsi="Verdana"/>
                <w:sz w:val="16"/>
                <w:szCs w:val="16"/>
                <w:lang w:val="es-MX"/>
              </w:rPr>
              <w:t>Debe haber un número suficiente de personal calificado involucrado en todas las etapas de las actividades de distribución de medicamentos. El número de personal requerido dependerá del volumen y alcance de las actividades.</w:t>
            </w:r>
          </w:p>
        </w:tc>
        <w:tc>
          <w:tcPr>
            <w:tcW w:w="4421" w:type="dxa"/>
          </w:tcPr>
          <w:p w14:paraId="633CD04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16.5.1.1 </w:t>
            </w:r>
            <w:r w:rsidRPr="00D429B4">
              <w:rPr>
                <w:rFonts w:ascii="Verdana" w:hAnsi="Verdana"/>
                <w:sz w:val="16"/>
                <w:szCs w:val="16"/>
                <w:lang w:val="en-US"/>
              </w:rPr>
              <w:t xml:space="preserve">There must be a sufficient number of qualified personnel involved in all the stages of the activities of drug products. The number of personnel required will depend on the volume and scope of the activities. </w:t>
            </w:r>
          </w:p>
        </w:tc>
      </w:tr>
      <w:tr w:rsidR="00CD67E0" w:rsidRPr="00947A46" w14:paraId="4CB97732" w14:textId="77777777" w:rsidTr="00335F65">
        <w:tc>
          <w:tcPr>
            <w:tcW w:w="4421" w:type="dxa"/>
          </w:tcPr>
          <w:p w14:paraId="09A604D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16.5.1.2 </w:t>
            </w:r>
            <w:r w:rsidRPr="00D429B4">
              <w:rPr>
                <w:rFonts w:ascii="Verdana" w:hAnsi="Verdana"/>
                <w:sz w:val="16"/>
                <w:szCs w:val="16"/>
                <w:lang w:val="es-MX"/>
              </w:rPr>
              <w:t>Se debe establecer en un organigrama la estructura organizacional del distribuidor.</w:t>
            </w:r>
          </w:p>
        </w:tc>
        <w:tc>
          <w:tcPr>
            <w:tcW w:w="4421" w:type="dxa"/>
          </w:tcPr>
          <w:p w14:paraId="41148ED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16.5.1.2 </w:t>
            </w:r>
            <w:r w:rsidRPr="00D429B4">
              <w:rPr>
                <w:rFonts w:ascii="Verdana" w:hAnsi="Verdana"/>
                <w:sz w:val="16"/>
                <w:szCs w:val="16"/>
                <w:lang w:val="en-US"/>
              </w:rPr>
              <w:t xml:space="preserve">The organizational structure of the distributor must be established in an organogram. </w:t>
            </w:r>
          </w:p>
        </w:tc>
      </w:tr>
      <w:tr w:rsidR="00CD67E0" w:rsidRPr="00947A46" w14:paraId="7FFE242D" w14:textId="77777777" w:rsidTr="00335F65">
        <w:tc>
          <w:tcPr>
            <w:tcW w:w="4421" w:type="dxa"/>
          </w:tcPr>
          <w:p w14:paraId="021E9AE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16.5.1.3 </w:t>
            </w:r>
            <w:r w:rsidRPr="00D429B4">
              <w:rPr>
                <w:rFonts w:ascii="Verdana" w:hAnsi="Verdana"/>
                <w:sz w:val="16"/>
                <w:szCs w:val="16"/>
                <w:lang w:val="es-MX"/>
              </w:rPr>
              <w:t>Deben estar claramente indicados los roles, responsabilidades e interrelaciones de todo el personal.</w:t>
            </w:r>
          </w:p>
        </w:tc>
        <w:tc>
          <w:tcPr>
            <w:tcW w:w="4421" w:type="dxa"/>
          </w:tcPr>
          <w:p w14:paraId="6B28317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16.5.1.3 </w:t>
            </w:r>
            <w:r w:rsidRPr="00D429B4">
              <w:rPr>
                <w:rFonts w:ascii="Verdana" w:hAnsi="Verdana"/>
                <w:sz w:val="16"/>
                <w:szCs w:val="16"/>
                <w:lang w:val="en-US"/>
              </w:rPr>
              <w:t xml:space="preserve">The roles, responsibilities and interrelations of all the personnel must be clearly indicated. </w:t>
            </w:r>
          </w:p>
        </w:tc>
      </w:tr>
      <w:tr w:rsidR="00CD67E0" w:rsidRPr="00947A46" w14:paraId="51F8804D" w14:textId="77777777" w:rsidTr="00335F65">
        <w:tc>
          <w:tcPr>
            <w:tcW w:w="4421" w:type="dxa"/>
          </w:tcPr>
          <w:p w14:paraId="53BEDEF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16.5.1.4 </w:t>
            </w:r>
            <w:r w:rsidRPr="00D429B4">
              <w:rPr>
                <w:rFonts w:ascii="Verdana" w:hAnsi="Verdana"/>
                <w:sz w:val="16"/>
                <w:szCs w:val="16"/>
                <w:lang w:val="es-MX"/>
              </w:rPr>
              <w:t>Deben establecerse descripciones de puesto por escrito y las responsabilidades de los empleados que trabajan en puestos clave, incluyendo cualquier acuerdo de suplencia.</w:t>
            </w:r>
          </w:p>
        </w:tc>
        <w:tc>
          <w:tcPr>
            <w:tcW w:w="4421" w:type="dxa"/>
          </w:tcPr>
          <w:p w14:paraId="5C7D678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16.5.1.4 </w:t>
            </w:r>
            <w:r w:rsidRPr="00D429B4">
              <w:rPr>
                <w:rFonts w:ascii="Verdana" w:hAnsi="Verdana"/>
                <w:sz w:val="16"/>
                <w:szCs w:val="16"/>
                <w:lang w:val="en-US"/>
              </w:rPr>
              <w:t xml:space="preserve">Job position descriptions and the responsibilities of the employees that work in key positions must be established in writing, including any agreement for substitution. </w:t>
            </w:r>
          </w:p>
        </w:tc>
      </w:tr>
      <w:tr w:rsidR="00CD67E0" w:rsidRPr="00DD29AF" w14:paraId="696AA760" w14:textId="77777777" w:rsidTr="00335F65">
        <w:tc>
          <w:tcPr>
            <w:tcW w:w="4421" w:type="dxa"/>
          </w:tcPr>
          <w:p w14:paraId="455EEBE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16.5.2 </w:t>
            </w:r>
            <w:r w:rsidRPr="00D429B4">
              <w:rPr>
                <w:rFonts w:ascii="Verdana" w:hAnsi="Verdana"/>
                <w:sz w:val="16"/>
                <w:szCs w:val="16"/>
                <w:lang w:val="es-MX"/>
              </w:rPr>
              <w:t>Designación de responsabilidades.</w:t>
            </w:r>
          </w:p>
        </w:tc>
        <w:tc>
          <w:tcPr>
            <w:tcW w:w="4421" w:type="dxa"/>
          </w:tcPr>
          <w:p w14:paraId="658CE64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 </w:t>
            </w:r>
            <w:r w:rsidRPr="00D429B4">
              <w:rPr>
                <w:rFonts w:ascii="Verdana" w:hAnsi="Verdana"/>
                <w:sz w:val="16"/>
                <w:szCs w:val="16"/>
                <w:lang w:val="en-US"/>
              </w:rPr>
              <w:t xml:space="preserve">Designation of responsibilities. </w:t>
            </w:r>
          </w:p>
        </w:tc>
      </w:tr>
      <w:tr w:rsidR="00CD67E0" w:rsidRPr="00947A46" w14:paraId="7805D676" w14:textId="77777777" w:rsidTr="00335F65">
        <w:tc>
          <w:tcPr>
            <w:tcW w:w="4421" w:type="dxa"/>
          </w:tcPr>
          <w:p w14:paraId="3BA4049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16.5.2.1 </w:t>
            </w:r>
            <w:r w:rsidRPr="00D429B4">
              <w:rPr>
                <w:rFonts w:ascii="Verdana" w:hAnsi="Verdana"/>
                <w:sz w:val="16"/>
                <w:szCs w:val="16"/>
                <w:lang w:val="es-MX"/>
              </w:rPr>
              <w:t>La dirección debe designar a un Responsable Sanitario, el cual deberá tener competencia y experiencia, así como el conocimiento y la formación en las BPAD y su perfil deberá cumplir con el marco jurídico aplicable.</w:t>
            </w:r>
          </w:p>
        </w:tc>
        <w:tc>
          <w:tcPr>
            <w:tcW w:w="4421" w:type="dxa"/>
          </w:tcPr>
          <w:p w14:paraId="1E4FD75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16.5.2.1 </w:t>
            </w:r>
            <w:r w:rsidRPr="00D429B4">
              <w:rPr>
                <w:rFonts w:ascii="Verdana" w:hAnsi="Verdana"/>
                <w:sz w:val="16"/>
                <w:szCs w:val="16"/>
                <w:lang w:val="en-US"/>
              </w:rPr>
              <w:t>The management must designate a Person responsible for sanitary compliance which must be competent and have experience, as well as the knowledge and formation in the GSDP and his/her profile must comply with the applicable legal framework.</w:t>
            </w:r>
          </w:p>
        </w:tc>
      </w:tr>
      <w:tr w:rsidR="00CD67E0" w:rsidRPr="00947A46" w14:paraId="49735C46" w14:textId="77777777" w:rsidTr="00335F65">
        <w:tc>
          <w:tcPr>
            <w:tcW w:w="4421" w:type="dxa"/>
          </w:tcPr>
          <w:p w14:paraId="1301583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16.5.2.2 </w:t>
            </w:r>
            <w:r w:rsidRPr="00D429B4">
              <w:rPr>
                <w:rFonts w:ascii="Verdana" w:hAnsi="Verdana"/>
                <w:sz w:val="16"/>
                <w:szCs w:val="16"/>
                <w:lang w:val="es-MX"/>
              </w:rPr>
              <w:t>El Responsable Sanitario deberá designar a una persona de contacto fuera de las horas de oficina en caso de emergencias y/o retiro de producto.</w:t>
            </w:r>
          </w:p>
        </w:tc>
        <w:tc>
          <w:tcPr>
            <w:tcW w:w="4421" w:type="dxa"/>
          </w:tcPr>
          <w:p w14:paraId="35A3013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16.5.2.2 </w:t>
            </w:r>
            <w:r w:rsidRPr="00D429B4">
              <w:rPr>
                <w:rFonts w:ascii="Verdana" w:hAnsi="Verdana"/>
                <w:sz w:val="16"/>
                <w:szCs w:val="16"/>
                <w:lang w:val="en-US"/>
              </w:rPr>
              <w:t xml:space="preserve">The Person responsible for sanitary compliance must designate a contact person outside of office hours in the case of emergencies and/or withdrawal of product.  </w:t>
            </w:r>
          </w:p>
        </w:tc>
      </w:tr>
      <w:tr w:rsidR="00CD67E0" w:rsidRPr="00947A46" w14:paraId="1D97560D" w14:textId="77777777" w:rsidTr="00335F65">
        <w:tc>
          <w:tcPr>
            <w:tcW w:w="4421" w:type="dxa"/>
          </w:tcPr>
          <w:p w14:paraId="69A7BE7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16.5.2.3 </w:t>
            </w:r>
            <w:r w:rsidRPr="00D429B4">
              <w:rPr>
                <w:rFonts w:ascii="Verdana" w:hAnsi="Verdana"/>
                <w:sz w:val="16"/>
                <w:szCs w:val="16"/>
                <w:lang w:val="es-MX"/>
              </w:rPr>
              <w:t>Se debe contar con una descripción de puesto por escrito del Responsable Sanitario donde se defina su autoridad para la toma de decisiones con respecto a sus responsabilidades. El propietario del establecimiento deberá dar al Responsable Sanitario la autoridad, los recursos adecuados y la responsabilidad necesaria para el cumplimiento de sus funciones.</w:t>
            </w:r>
          </w:p>
        </w:tc>
        <w:tc>
          <w:tcPr>
            <w:tcW w:w="4421" w:type="dxa"/>
          </w:tcPr>
          <w:p w14:paraId="6343080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16.5.2.3 </w:t>
            </w:r>
            <w:r w:rsidRPr="00D429B4">
              <w:rPr>
                <w:rFonts w:ascii="Verdana" w:hAnsi="Verdana"/>
                <w:sz w:val="16"/>
                <w:szCs w:val="16"/>
                <w:lang w:val="en-US"/>
              </w:rPr>
              <w:t xml:space="preserve">There must be a written job description of the Person responsible for sanitary compliance where his/her authority is defined for making decisions with respect to their responsibilities. The owner of the establishment must give to the Person responsible for sanitary compliance the authority, adequate resources and the responsibility necessary for the compliance to their functions. </w:t>
            </w:r>
          </w:p>
        </w:tc>
      </w:tr>
      <w:tr w:rsidR="00CD67E0" w:rsidRPr="00947A46" w14:paraId="0567ADE0" w14:textId="77777777" w:rsidTr="00335F65">
        <w:tc>
          <w:tcPr>
            <w:tcW w:w="4421" w:type="dxa"/>
          </w:tcPr>
          <w:p w14:paraId="51CCE6F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16.5.2.4 </w:t>
            </w:r>
            <w:r w:rsidRPr="00D429B4">
              <w:rPr>
                <w:rFonts w:ascii="Verdana" w:hAnsi="Verdana"/>
                <w:sz w:val="16"/>
                <w:szCs w:val="16"/>
                <w:lang w:val="es-MX"/>
              </w:rPr>
              <w:t>El Responsable Sanitario debe llevar a cabo sus funciones de manera que se garantice que el distribuidor puede demostrar el cumplimiento de las BPAD.</w:t>
            </w:r>
          </w:p>
        </w:tc>
        <w:tc>
          <w:tcPr>
            <w:tcW w:w="4421" w:type="dxa"/>
          </w:tcPr>
          <w:p w14:paraId="3CC5A56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16.5.2.4 </w:t>
            </w:r>
            <w:r w:rsidRPr="00D429B4">
              <w:rPr>
                <w:rFonts w:ascii="Verdana" w:hAnsi="Verdana"/>
                <w:sz w:val="16"/>
                <w:szCs w:val="16"/>
                <w:lang w:val="en-US"/>
              </w:rPr>
              <w:t xml:space="preserve">The Person responsible for sanitary compliance must carry out their functions in way that guarantees that the distributor can demonstrate the compliance to the GSDP. </w:t>
            </w:r>
          </w:p>
        </w:tc>
      </w:tr>
      <w:tr w:rsidR="00CD67E0" w:rsidRPr="00947A46" w14:paraId="141257C3" w14:textId="77777777" w:rsidTr="00335F65">
        <w:tc>
          <w:tcPr>
            <w:tcW w:w="4421" w:type="dxa"/>
          </w:tcPr>
          <w:p w14:paraId="7586201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16.5.2.5 </w:t>
            </w:r>
            <w:r w:rsidRPr="00D429B4">
              <w:rPr>
                <w:rFonts w:ascii="Verdana" w:hAnsi="Verdana"/>
                <w:sz w:val="16"/>
                <w:szCs w:val="16"/>
                <w:lang w:val="es-MX"/>
              </w:rPr>
              <w:t>El Responsable Sanitario debe, entre otras cosas:</w:t>
            </w:r>
          </w:p>
        </w:tc>
        <w:tc>
          <w:tcPr>
            <w:tcW w:w="4421" w:type="dxa"/>
          </w:tcPr>
          <w:p w14:paraId="358A41F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16.5.2.5 </w:t>
            </w:r>
            <w:r w:rsidRPr="00D429B4">
              <w:rPr>
                <w:rFonts w:ascii="Verdana" w:hAnsi="Verdana"/>
                <w:sz w:val="16"/>
                <w:szCs w:val="16"/>
                <w:lang w:val="en-US"/>
              </w:rPr>
              <w:t xml:space="preserve">The Person responsible for sanitary compliance must, among other things: </w:t>
            </w:r>
          </w:p>
        </w:tc>
      </w:tr>
      <w:tr w:rsidR="00CD67E0" w:rsidRPr="00947A46" w14:paraId="48998705" w14:textId="77777777" w:rsidTr="00335F65">
        <w:tc>
          <w:tcPr>
            <w:tcW w:w="4421" w:type="dxa"/>
          </w:tcPr>
          <w:p w14:paraId="1EBD86F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16.5.2.5.1</w:t>
            </w:r>
            <w:r w:rsidRPr="00D429B4">
              <w:rPr>
                <w:rFonts w:ascii="Verdana" w:hAnsi="Verdana"/>
                <w:sz w:val="16"/>
                <w:szCs w:val="16"/>
                <w:lang w:val="es-MX"/>
              </w:rPr>
              <w:t xml:space="preserve"> Garantizar que se aplica y se mantiene el sistema de gestión de calidad;</w:t>
            </w:r>
          </w:p>
        </w:tc>
        <w:tc>
          <w:tcPr>
            <w:tcW w:w="4421" w:type="dxa"/>
          </w:tcPr>
          <w:p w14:paraId="67EEA0B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16.5.2.5.1 </w:t>
            </w:r>
            <w:r w:rsidRPr="00D429B4">
              <w:rPr>
                <w:rFonts w:ascii="Verdana" w:hAnsi="Verdana"/>
                <w:sz w:val="16"/>
                <w:szCs w:val="16"/>
                <w:lang w:val="en-US"/>
              </w:rPr>
              <w:t xml:space="preserve">Guarantee that the Quality Management System is applied and maintained; </w:t>
            </w:r>
          </w:p>
        </w:tc>
      </w:tr>
      <w:tr w:rsidR="00CD67E0" w:rsidRPr="00F70181" w14:paraId="22406876" w14:textId="77777777" w:rsidTr="00335F65">
        <w:tc>
          <w:tcPr>
            <w:tcW w:w="4421" w:type="dxa"/>
          </w:tcPr>
          <w:p w14:paraId="44DD972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16.5.2.5.2</w:t>
            </w:r>
            <w:r w:rsidRPr="00D429B4">
              <w:rPr>
                <w:rFonts w:ascii="Verdana" w:hAnsi="Verdana"/>
                <w:sz w:val="16"/>
                <w:szCs w:val="16"/>
                <w:lang w:val="es-MX"/>
              </w:rPr>
              <w:t xml:space="preserve"> Asegurar que se aplican y se mantienen los programas de capacitación inicial y continua;</w:t>
            </w:r>
          </w:p>
        </w:tc>
        <w:tc>
          <w:tcPr>
            <w:tcW w:w="4421" w:type="dxa"/>
          </w:tcPr>
          <w:p w14:paraId="03FD29F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16.5.2.5.2 </w:t>
            </w:r>
            <w:r w:rsidRPr="00D429B4">
              <w:rPr>
                <w:rFonts w:ascii="Verdana" w:hAnsi="Verdana"/>
                <w:sz w:val="16"/>
                <w:szCs w:val="16"/>
                <w:lang w:val="en-US"/>
              </w:rPr>
              <w:t>Assure that the programs for initial and continuous training is applied and maintained;</w:t>
            </w:r>
          </w:p>
        </w:tc>
      </w:tr>
      <w:tr w:rsidR="00CD67E0" w:rsidRPr="00F70181" w14:paraId="0DC1B961" w14:textId="77777777" w:rsidTr="00335F65">
        <w:tc>
          <w:tcPr>
            <w:tcW w:w="4421" w:type="dxa"/>
          </w:tcPr>
          <w:p w14:paraId="1BF44E6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16.5.2.5.3</w:t>
            </w:r>
            <w:r w:rsidRPr="00D429B4">
              <w:rPr>
                <w:rFonts w:ascii="Verdana" w:hAnsi="Verdana"/>
                <w:sz w:val="16"/>
                <w:szCs w:val="16"/>
                <w:lang w:val="es-MX"/>
              </w:rPr>
              <w:t xml:space="preserve"> Coordinar las operaciones de retiro de producto, en apego al procedimiento;</w:t>
            </w:r>
          </w:p>
        </w:tc>
        <w:tc>
          <w:tcPr>
            <w:tcW w:w="4421" w:type="dxa"/>
          </w:tcPr>
          <w:p w14:paraId="066FE57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16.5.2.5.2 </w:t>
            </w:r>
            <w:r w:rsidRPr="00D429B4">
              <w:rPr>
                <w:rFonts w:ascii="Verdana" w:hAnsi="Verdana"/>
                <w:sz w:val="16"/>
                <w:szCs w:val="16"/>
                <w:lang w:val="en-US"/>
              </w:rPr>
              <w:t>Coordinate the operation of product withdrawal, following the procedure;</w:t>
            </w:r>
          </w:p>
        </w:tc>
      </w:tr>
      <w:tr w:rsidR="00CD67E0" w:rsidRPr="00F70181" w14:paraId="35737E79" w14:textId="77777777" w:rsidTr="00335F65">
        <w:tc>
          <w:tcPr>
            <w:tcW w:w="4421" w:type="dxa"/>
          </w:tcPr>
          <w:p w14:paraId="5BF180D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16.5.2.5.4</w:t>
            </w:r>
            <w:r w:rsidRPr="00D429B4">
              <w:rPr>
                <w:rFonts w:ascii="Verdana" w:hAnsi="Verdana"/>
                <w:sz w:val="16"/>
                <w:szCs w:val="16"/>
                <w:lang w:val="es-MX"/>
              </w:rPr>
              <w:t xml:space="preserve"> Asegurar que se atiendan las reclamaciones o quejas de los clientes;</w:t>
            </w:r>
          </w:p>
        </w:tc>
        <w:tc>
          <w:tcPr>
            <w:tcW w:w="4421" w:type="dxa"/>
          </w:tcPr>
          <w:p w14:paraId="5AE8F10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16.5.2.5.4 </w:t>
            </w:r>
            <w:r w:rsidRPr="00D429B4">
              <w:rPr>
                <w:rFonts w:ascii="Verdana" w:hAnsi="Verdana"/>
                <w:sz w:val="16"/>
                <w:szCs w:val="16"/>
                <w:lang w:val="en-US"/>
              </w:rPr>
              <w:t xml:space="preserve">Assure that the objections and complaints of the clients are addressed; </w:t>
            </w:r>
          </w:p>
        </w:tc>
      </w:tr>
      <w:tr w:rsidR="00CD67E0" w:rsidRPr="00F70181" w14:paraId="2D776A86" w14:textId="77777777" w:rsidTr="00335F65">
        <w:tc>
          <w:tcPr>
            <w:tcW w:w="4421" w:type="dxa"/>
          </w:tcPr>
          <w:p w14:paraId="2AC7B52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16.5.2.5.5</w:t>
            </w:r>
            <w:r w:rsidRPr="00D429B4">
              <w:rPr>
                <w:rFonts w:ascii="Verdana" w:hAnsi="Verdana"/>
                <w:sz w:val="16"/>
                <w:szCs w:val="16"/>
                <w:lang w:val="es-MX"/>
              </w:rPr>
              <w:t xml:space="preserve"> Asegurar que los proveedores estén aprobados y que los clientes cuenten con Licencia o aviso de funcionamiento y aviso de responsable sanitario;</w:t>
            </w:r>
          </w:p>
        </w:tc>
        <w:tc>
          <w:tcPr>
            <w:tcW w:w="4421" w:type="dxa"/>
          </w:tcPr>
          <w:p w14:paraId="4A7CB6A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16.5.2.5.5 </w:t>
            </w:r>
            <w:r w:rsidRPr="00D429B4">
              <w:rPr>
                <w:rFonts w:ascii="Verdana" w:hAnsi="Verdana"/>
                <w:sz w:val="16"/>
                <w:szCs w:val="16"/>
                <w:lang w:val="en-US"/>
              </w:rPr>
              <w:t xml:space="preserve">Assure that the suppliers are approved and that the clients have the License or Notice of Operation and notice of Person responsible for sanitary compliance; </w:t>
            </w:r>
          </w:p>
        </w:tc>
      </w:tr>
      <w:tr w:rsidR="00CD67E0" w:rsidRPr="00F70181" w14:paraId="63C203AC" w14:textId="77777777" w:rsidTr="00335F65">
        <w:tc>
          <w:tcPr>
            <w:tcW w:w="4421" w:type="dxa"/>
          </w:tcPr>
          <w:p w14:paraId="593E725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16.5.2.5.6</w:t>
            </w:r>
            <w:r w:rsidRPr="00D429B4">
              <w:rPr>
                <w:rFonts w:ascii="Verdana" w:hAnsi="Verdana"/>
                <w:sz w:val="16"/>
                <w:szCs w:val="16"/>
                <w:lang w:val="es-MX"/>
              </w:rPr>
              <w:t xml:space="preserve"> Aprobar todas las actividades subcontratadas que pueden tener impacto en las BPAD;</w:t>
            </w:r>
          </w:p>
        </w:tc>
        <w:tc>
          <w:tcPr>
            <w:tcW w:w="4421" w:type="dxa"/>
          </w:tcPr>
          <w:p w14:paraId="4BB46CE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16.5.2.5.6 </w:t>
            </w:r>
            <w:r w:rsidRPr="00D429B4">
              <w:rPr>
                <w:rFonts w:ascii="Verdana" w:hAnsi="Verdana"/>
                <w:sz w:val="16"/>
                <w:szCs w:val="16"/>
                <w:lang w:val="en-US"/>
              </w:rPr>
              <w:t>Approve all the subcontracted activities that can have impact on the GSDP;</w:t>
            </w:r>
          </w:p>
        </w:tc>
      </w:tr>
      <w:tr w:rsidR="00CD67E0" w:rsidRPr="00F70181" w14:paraId="5FC811E3" w14:textId="77777777" w:rsidTr="00335F65">
        <w:tc>
          <w:tcPr>
            <w:tcW w:w="4421" w:type="dxa"/>
          </w:tcPr>
          <w:p w14:paraId="2513DB1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16.5.2.5.7</w:t>
            </w:r>
            <w:r w:rsidRPr="00D429B4">
              <w:rPr>
                <w:rFonts w:ascii="Verdana" w:hAnsi="Verdana"/>
                <w:sz w:val="16"/>
                <w:szCs w:val="16"/>
                <w:lang w:val="es-MX"/>
              </w:rPr>
              <w:t xml:space="preserve"> Asegurar que se realicen auditorías internas según un programa preestablecido y que se adopten las medidas correctivas necesarias;</w:t>
            </w:r>
          </w:p>
        </w:tc>
        <w:tc>
          <w:tcPr>
            <w:tcW w:w="4421" w:type="dxa"/>
          </w:tcPr>
          <w:p w14:paraId="05C7DF2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16.5.2.5.7 </w:t>
            </w:r>
            <w:r w:rsidRPr="00D429B4">
              <w:rPr>
                <w:rFonts w:ascii="Verdana" w:hAnsi="Verdana"/>
                <w:sz w:val="16"/>
                <w:szCs w:val="16"/>
                <w:lang w:val="en-US"/>
              </w:rPr>
              <w:t xml:space="preserve">Assure that internal audits are carried out following a pre-established program and that the corrective measures necessary are adopted; </w:t>
            </w:r>
          </w:p>
        </w:tc>
      </w:tr>
      <w:tr w:rsidR="00CD67E0" w:rsidRPr="00F70181" w14:paraId="3F324B38" w14:textId="77777777" w:rsidTr="00335F65">
        <w:tc>
          <w:tcPr>
            <w:tcW w:w="4421" w:type="dxa"/>
          </w:tcPr>
          <w:p w14:paraId="196318F2"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16.5.2.5.8 </w:t>
            </w:r>
            <w:r w:rsidRPr="00D429B4">
              <w:rPr>
                <w:rFonts w:ascii="Verdana" w:hAnsi="Verdana"/>
                <w:sz w:val="16"/>
                <w:szCs w:val="16"/>
                <w:lang w:val="es-MX"/>
              </w:rPr>
              <w:t>Mantener los registros de cualquier actividad delegada conforme a punto 7.1.6 de la presente Norma;</w:t>
            </w:r>
          </w:p>
        </w:tc>
        <w:tc>
          <w:tcPr>
            <w:tcW w:w="4421" w:type="dxa"/>
          </w:tcPr>
          <w:p w14:paraId="09C0A97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16.5.2.5.8 </w:t>
            </w:r>
            <w:r w:rsidRPr="00D429B4">
              <w:rPr>
                <w:rFonts w:ascii="Verdana" w:hAnsi="Verdana"/>
                <w:sz w:val="16"/>
                <w:szCs w:val="16"/>
                <w:lang w:val="en-US"/>
              </w:rPr>
              <w:t xml:space="preserve">Maintain the records of any activity delegated according to point 7.1.6 of this Standard; </w:t>
            </w:r>
          </w:p>
        </w:tc>
      </w:tr>
      <w:tr w:rsidR="00CD67E0" w:rsidRPr="00F70181" w14:paraId="10124531" w14:textId="77777777" w:rsidTr="00335F65">
        <w:tc>
          <w:tcPr>
            <w:tcW w:w="4421" w:type="dxa"/>
          </w:tcPr>
          <w:p w14:paraId="077C690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16.5.2.5.9</w:t>
            </w:r>
            <w:r w:rsidRPr="00D429B4">
              <w:rPr>
                <w:rFonts w:ascii="Verdana" w:hAnsi="Verdana"/>
                <w:sz w:val="16"/>
                <w:szCs w:val="16"/>
                <w:lang w:val="es-MX"/>
              </w:rPr>
              <w:t xml:space="preserve"> Decidir en acuerdo con el titular del registro sobre el destino final de los productos devueltos, rechazados, retirados o falsificados de acuerdo con lo establecido en el manual de calidad y procedimientos o en el caso de servicios subcontratados, de acuerdo con lo establecido en el marco jurídico aplicable, con los contratos de calidad y distribución que apliquen.</w:t>
            </w:r>
          </w:p>
        </w:tc>
        <w:tc>
          <w:tcPr>
            <w:tcW w:w="4421" w:type="dxa"/>
          </w:tcPr>
          <w:p w14:paraId="4AD6088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16.5.2.5.9 </w:t>
            </w:r>
            <w:r w:rsidRPr="00D429B4">
              <w:rPr>
                <w:rFonts w:ascii="Verdana" w:hAnsi="Verdana"/>
                <w:sz w:val="16"/>
                <w:szCs w:val="16"/>
                <w:lang w:val="en-US"/>
              </w:rPr>
              <w:t xml:space="preserve">Decide in agreement with the holder of the registration on the final destination of the products returned, rejected, withdrawn or falsified according to that established in the quality manual and procedures or in the case of subcontracted services, according to that established in the applicable legal framework, with the quality contracts and distribution that apply. </w:t>
            </w:r>
          </w:p>
        </w:tc>
      </w:tr>
      <w:tr w:rsidR="00CD67E0" w:rsidRPr="00F70181" w14:paraId="29080FAF" w14:textId="77777777" w:rsidTr="00335F65">
        <w:tc>
          <w:tcPr>
            <w:tcW w:w="4421" w:type="dxa"/>
          </w:tcPr>
          <w:p w14:paraId="27F51EF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16.5.2.5.10 </w:t>
            </w:r>
            <w:r w:rsidRPr="00D429B4">
              <w:rPr>
                <w:rFonts w:ascii="Verdana" w:hAnsi="Verdana"/>
                <w:sz w:val="16"/>
                <w:szCs w:val="16"/>
                <w:lang w:val="es-MX"/>
              </w:rPr>
              <w:t>Asegurar el cumplimiento de cualquier otro requisito adicional de acuerdo a características o clasificación de los medicamentos como es el caso de manejo de medicamentos controlados o de origen biológico.</w:t>
            </w:r>
          </w:p>
        </w:tc>
        <w:tc>
          <w:tcPr>
            <w:tcW w:w="4421" w:type="dxa"/>
          </w:tcPr>
          <w:p w14:paraId="01B21CD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16.5.2.5.10 </w:t>
            </w:r>
            <w:r w:rsidRPr="00D429B4">
              <w:rPr>
                <w:rFonts w:ascii="Verdana" w:hAnsi="Verdana"/>
                <w:sz w:val="16"/>
                <w:szCs w:val="16"/>
                <w:lang w:val="en-US"/>
              </w:rPr>
              <w:t xml:space="preserve">Assure the compliance to any other additional requirement according to the characteristics or classification of the drug products as is the case of the handling of controlled drug products or biological origin. </w:t>
            </w:r>
          </w:p>
        </w:tc>
      </w:tr>
      <w:tr w:rsidR="00CD67E0" w:rsidRPr="00DD29AF" w14:paraId="4D2127AA" w14:textId="77777777" w:rsidTr="00335F65">
        <w:tc>
          <w:tcPr>
            <w:tcW w:w="4421" w:type="dxa"/>
          </w:tcPr>
          <w:p w14:paraId="354E884A"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16.5.3 </w:t>
            </w:r>
            <w:r w:rsidRPr="00D429B4">
              <w:rPr>
                <w:rFonts w:ascii="Verdana" w:hAnsi="Verdana"/>
                <w:sz w:val="16"/>
                <w:szCs w:val="16"/>
                <w:lang w:val="es-MX"/>
              </w:rPr>
              <w:t>Capacitación</w:t>
            </w:r>
          </w:p>
        </w:tc>
        <w:tc>
          <w:tcPr>
            <w:tcW w:w="4421" w:type="dxa"/>
          </w:tcPr>
          <w:p w14:paraId="20CF55F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16.5.3 </w:t>
            </w:r>
            <w:r w:rsidRPr="00D429B4">
              <w:rPr>
                <w:rFonts w:ascii="Verdana" w:hAnsi="Verdana"/>
                <w:sz w:val="16"/>
                <w:szCs w:val="16"/>
                <w:lang w:val="en-US"/>
              </w:rPr>
              <w:t>Qualification</w:t>
            </w:r>
          </w:p>
        </w:tc>
      </w:tr>
      <w:tr w:rsidR="00CD67E0" w:rsidRPr="00F70181" w14:paraId="2CAF0C15" w14:textId="77777777" w:rsidTr="00335F65">
        <w:tc>
          <w:tcPr>
            <w:tcW w:w="4421" w:type="dxa"/>
          </w:tcPr>
          <w:p w14:paraId="0BFB7D2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16.5.3.1 </w:t>
            </w:r>
            <w:r w:rsidRPr="00D429B4">
              <w:rPr>
                <w:rFonts w:ascii="Verdana" w:hAnsi="Verdana"/>
                <w:sz w:val="16"/>
                <w:szCs w:val="16"/>
                <w:lang w:val="es-MX"/>
              </w:rPr>
              <w:t>Todo el personal involucrado en las actividades de distribución deberá estar capacitado y calificado en las BPAD. Deben tener la competencia y experiencia adecuada antes de iniciar sus tareas.</w:t>
            </w:r>
          </w:p>
        </w:tc>
        <w:tc>
          <w:tcPr>
            <w:tcW w:w="4421" w:type="dxa"/>
          </w:tcPr>
          <w:p w14:paraId="49FDE7B6" w14:textId="77777777" w:rsidR="00CD67E0" w:rsidRPr="00D429B4"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s-MX"/>
              </w:rPr>
              <w:t xml:space="preserve"> </w:t>
            </w:r>
            <w:r w:rsidRPr="00D429B4">
              <w:rPr>
                <w:rFonts w:ascii="Verdana" w:hAnsi="Verdana"/>
                <w:b/>
                <w:sz w:val="16"/>
                <w:szCs w:val="16"/>
                <w:lang w:val="en-US"/>
              </w:rPr>
              <w:t xml:space="preserve">16.5.3.1 </w:t>
            </w:r>
            <w:r w:rsidRPr="00D429B4">
              <w:rPr>
                <w:rFonts w:ascii="Verdana" w:hAnsi="Verdana"/>
                <w:sz w:val="16"/>
                <w:szCs w:val="16"/>
                <w:lang w:val="en-US"/>
              </w:rPr>
              <w:t xml:space="preserve">All the personnel involved in the distribution activities must be trained and qualified in the GSDP. They must have the competency and experience adequate before initiating their tasks. </w:t>
            </w:r>
          </w:p>
        </w:tc>
      </w:tr>
      <w:tr w:rsidR="00CD67E0" w:rsidRPr="00F70181" w14:paraId="2B8F8D6E" w14:textId="77777777" w:rsidTr="00335F65">
        <w:tc>
          <w:tcPr>
            <w:tcW w:w="4421" w:type="dxa"/>
          </w:tcPr>
          <w:p w14:paraId="526F48B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16.5.3.2 </w:t>
            </w:r>
            <w:r w:rsidRPr="00D429B4">
              <w:rPr>
                <w:rFonts w:ascii="Verdana" w:hAnsi="Verdana"/>
                <w:sz w:val="16"/>
                <w:szCs w:val="16"/>
                <w:lang w:val="es-MX"/>
              </w:rPr>
              <w:t>El personal debe recibir una capacitación inicial y continua de acuerdo a su rol, basado en procedimientos escritos y de acuerdo con un programa de capacitación documentado. Todo el personal debe asegurar la demostración de la competencia en las BPAD a través de una capacitación continua.</w:t>
            </w:r>
          </w:p>
        </w:tc>
        <w:tc>
          <w:tcPr>
            <w:tcW w:w="4421" w:type="dxa"/>
          </w:tcPr>
          <w:p w14:paraId="12463C9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16.5.3.2 </w:t>
            </w:r>
            <w:r w:rsidRPr="00D429B4">
              <w:rPr>
                <w:rFonts w:ascii="Verdana" w:hAnsi="Verdana"/>
                <w:sz w:val="16"/>
                <w:szCs w:val="16"/>
                <w:lang w:val="en-US"/>
              </w:rPr>
              <w:t xml:space="preserve">The personnel must receive an initial and continuous qualification according to their role, based on written procedures and according to a documented qualification program. All personnel must assure the demonstration of the competency of the GSDP through a continuous qualification. </w:t>
            </w:r>
          </w:p>
        </w:tc>
      </w:tr>
      <w:tr w:rsidR="00CD67E0" w:rsidRPr="00F70181" w14:paraId="65526C7C" w14:textId="77777777" w:rsidTr="00335F65">
        <w:tc>
          <w:tcPr>
            <w:tcW w:w="4421" w:type="dxa"/>
          </w:tcPr>
          <w:p w14:paraId="3D31724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16.5.3.3</w:t>
            </w:r>
            <w:r w:rsidRPr="00D429B4">
              <w:rPr>
                <w:rFonts w:ascii="Verdana" w:hAnsi="Verdana"/>
                <w:sz w:val="16"/>
                <w:szCs w:val="16"/>
                <w:lang w:val="es-MX"/>
              </w:rPr>
              <w:t xml:space="preserve"> La capacitación deberá incluir aspectos como la identificación del producto para detectar que medicamentos falsificados entren en la cadena de suministro.</w:t>
            </w:r>
          </w:p>
        </w:tc>
        <w:tc>
          <w:tcPr>
            <w:tcW w:w="4421" w:type="dxa"/>
          </w:tcPr>
          <w:p w14:paraId="2CF8F16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16.5.3.3 </w:t>
            </w:r>
            <w:r w:rsidRPr="00D429B4">
              <w:rPr>
                <w:rFonts w:ascii="Verdana" w:hAnsi="Verdana"/>
                <w:sz w:val="16"/>
                <w:szCs w:val="16"/>
                <w:lang w:val="en-US"/>
              </w:rPr>
              <w:t xml:space="preserve">The qualification must include aspects such as the identification of the product to detect whether falsified drug products enter into the supply chain. </w:t>
            </w:r>
          </w:p>
        </w:tc>
      </w:tr>
      <w:tr w:rsidR="00CD67E0" w:rsidRPr="00F70181" w14:paraId="45402170" w14:textId="77777777" w:rsidTr="00335F65">
        <w:tc>
          <w:tcPr>
            <w:tcW w:w="4421" w:type="dxa"/>
          </w:tcPr>
          <w:p w14:paraId="2618D05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16.5.3.4 </w:t>
            </w:r>
            <w:r w:rsidRPr="00D429B4">
              <w:rPr>
                <w:rFonts w:ascii="Verdana" w:hAnsi="Verdana"/>
                <w:sz w:val="16"/>
                <w:szCs w:val="16"/>
                <w:lang w:val="es-MX"/>
              </w:rPr>
              <w:t>El personal que maneje productos que requieren condiciones más estrictas deben recibir formación específica, tales como productos citotóxicos o de alta potencia, productos que incluyan sustancias estupefacientes y psicotrópicas y productos sensibles a la temperatura.</w:t>
            </w:r>
          </w:p>
        </w:tc>
        <w:tc>
          <w:tcPr>
            <w:tcW w:w="4421" w:type="dxa"/>
          </w:tcPr>
          <w:p w14:paraId="20FDD77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16.5.3.4 </w:t>
            </w:r>
            <w:r w:rsidRPr="00D429B4">
              <w:rPr>
                <w:rFonts w:ascii="Verdana" w:hAnsi="Verdana"/>
                <w:sz w:val="16"/>
                <w:szCs w:val="16"/>
                <w:lang w:val="en-US"/>
              </w:rPr>
              <w:t xml:space="preserve">The personnel that handles products that require stricter conditions must receive specific formation, such as cytotoxic or high potency products, products that include narcotics and psychotropics and products sensitive to temperature. </w:t>
            </w:r>
          </w:p>
        </w:tc>
      </w:tr>
      <w:tr w:rsidR="00CD67E0" w:rsidRPr="00F70181" w14:paraId="70B58A60" w14:textId="77777777" w:rsidTr="00335F65">
        <w:tc>
          <w:tcPr>
            <w:tcW w:w="4421" w:type="dxa"/>
          </w:tcPr>
          <w:p w14:paraId="484F8F6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16.5.3.5</w:t>
            </w:r>
            <w:r w:rsidRPr="00D429B4">
              <w:rPr>
                <w:rFonts w:ascii="Verdana" w:hAnsi="Verdana"/>
                <w:sz w:val="16"/>
                <w:szCs w:val="16"/>
                <w:lang w:val="es-MX"/>
              </w:rPr>
              <w:t xml:space="preserve"> Se deben resguardar los registros de capacitación.</w:t>
            </w:r>
          </w:p>
        </w:tc>
        <w:tc>
          <w:tcPr>
            <w:tcW w:w="4421" w:type="dxa"/>
          </w:tcPr>
          <w:p w14:paraId="2F3DCB8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16.5.3.5 </w:t>
            </w:r>
            <w:r w:rsidRPr="00D429B4">
              <w:rPr>
                <w:rFonts w:ascii="Verdana" w:hAnsi="Verdana"/>
                <w:sz w:val="16"/>
                <w:szCs w:val="16"/>
                <w:lang w:val="en-US"/>
              </w:rPr>
              <w:t xml:space="preserve">The training records must be conserved. </w:t>
            </w:r>
          </w:p>
        </w:tc>
      </w:tr>
      <w:tr w:rsidR="00CD67E0" w:rsidRPr="00DD29AF" w14:paraId="2F1C780C" w14:textId="77777777" w:rsidTr="00335F65">
        <w:tc>
          <w:tcPr>
            <w:tcW w:w="4421" w:type="dxa"/>
          </w:tcPr>
          <w:p w14:paraId="7F8A75A3"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16.5.4 </w:t>
            </w:r>
            <w:r w:rsidRPr="00D429B4">
              <w:rPr>
                <w:rFonts w:ascii="Verdana" w:hAnsi="Verdana"/>
                <w:sz w:val="16"/>
                <w:szCs w:val="16"/>
                <w:lang w:val="es-MX"/>
              </w:rPr>
              <w:t>Higiene y Seguridad</w:t>
            </w:r>
          </w:p>
        </w:tc>
        <w:tc>
          <w:tcPr>
            <w:tcW w:w="4421" w:type="dxa"/>
          </w:tcPr>
          <w:p w14:paraId="7DCFFCA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16.5.4 </w:t>
            </w:r>
            <w:r w:rsidRPr="00D429B4">
              <w:rPr>
                <w:rFonts w:ascii="Verdana" w:hAnsi="Verdana"/>
                <w:sz w:val="16"/>
                <w:szCs w:val="16"/>
                <w:lang w:val="en-US"/>
              </w:rPr>
              <w:t>Health and Safety.</w:t>
            </w:r>
          </w:p>
        </w:tc>
      </w:tr>
      <w:tr w:rsidR="00CD67E0" w:rsidRPr="00F70181" w14:paraId="67D59341" w14:textId="77777777" w:rsidTr="00335F65">
        <w:tc>
          <w:tcPr>
            <w:tcW w:w="4421" w:type="dxa"/>
          </w:tcPr>
          <w:p w14:paraId="7236350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Se deben de establecer procedimientos adecuados de higiene y seguridad personal correspondiente a las actividades que se llevan a cabo, que cubran la salud, higiene y la indumentaria.</w:t>
            </w:r>
          </w:p>
        </w:tc>
        <w:tc>
          <w:tcPr>
            <w:tcW w:w="4421" w:type="dxa"/>
          </w:tcPr>
          <w:p w14:paraId="249E4BF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Adequate health procedures and personal safety corresponding to the activities that are carried out must be established that cover health, hygiene and clothing. </w:t>
            </w:r>
          </w:p>
        </w:tc>
      </w:tr>
      <w:tr w:rsidR="00CD67E0" w:rsidRPr="00DD29AF" w14:paraId="282F1BA3" w14:textId="77777777" w:rsidTr="00335F65">
        <w:tc>
          <w:tcPr>
            <w:tcW w:w="4421" w:type="dxa"/>
          </w:tcPr>
          <w:p w14:paraId="077F11DD"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16.6 </w:t>
            </w:r>
            <w:r w:rsidRPr="00D429B4">
              <w:rPr>
                <w:rFonts w:ascii="Verdana" w:hAnsi="Verdana"/>
                <w:sz w:val="16"/>
                <w:szCs w:val="16"/>
                <w:lang w:val="es-MX"/>
              </w:rPr>
              <w:t>Instalaciones y equipos</w:t>
            </w:r>
          </w:p>
        </w:tc>
        <w:tc>
          <w:tcPr>
            <w:tcW w:w="4421" w:type="dxa"/>
          </w:tcPr>
          <w:p w14:paraId="30DCF85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 </w:t>
            </w:r>
            <w:r w:rsidRPr="00D429B4">
              <w:rPr>
                <w:rFonts w:ascii="Verdana" w:hAnsi="Verdana"/>
                <w:sz w:val="16"/>
                <w:szCs w:val="16"/>
                <w:lang w:val="en-US"/>
              </w:rPr>
              <w:t xml:space="preserve">Installations and equipment </w:t>
            </w:r>
          </w:p>
        </w:tc>
      </w:tr>
      <w:tr w:rsidR="00CD67E0" w:rsidRPr="00DD29AF" w14:paraId="3718672A" w14:textId="77777777" w:rsidTr="00335F65">
        <w:tc>
          <w:tcPr>
            <w:tcW w:w="4421" w:type="dxa"/>
          </w:tcPr>
          <w:p w14:paraId="3243F862"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16.6.1 </w:t>
            </w:r>
            <w:r w:rsidRPr="00D429B4">
              <w:rPr>
                <w:rFonts w:ascii="Verdana" w:hAnsi="Verdana"/>
                <w:sz w:val="16"/>
                <w:szCs w:val="16"/>
                <w:lang w:val="es-MX"/>
              </w:rPr>
              <w:t>Generalidades</w:t>
            </w:r>
          </w:p>
        </w:tc>
        <w:tc>
          <w:tcPr>
            <w:tcW w:w="4421" w:type="dxa"/>
          </w:tcPr>
          <w:p w14:paraId="749C9BF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16.6.1 </w:t>
            </w:r>
            <w:r w:rsidRPr="00D429B4">
              <w:rPr>
                <w:rFonts w:ascii="Verdana" w:hAnsi="Verdana"/>
                <w:sz w:val="16"/>
                <w:szCs w:val="16"/>
                <w:lang w:val="en-US"/>
              </w:rPr>
              <w:t>General provisions</w:t>
            </w:r>
          </w:p>
        </w:tc>
      </w:tr>
      <w:tr w:rsidR="00CD67E0" w:rsidRPr="00F70181" w14:paraId="623192E7" w14:textId="77777777" w:rsidTr="00335F65">
        <w:tc>
          <w:tcPr>
            <w:tcW w:w="4421" w:type="dxa"/>
          </w:tcPr>
          <w:p w14:paraId="3E3A89A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Los distribuidores deben contar con edificios, instalaciones y equipos adecuados y suficientes para asegurar el almacenamiento y distribución adecuado de los medicamentos. Las instalaciones deben estar limpias, secas y mantenidas dentro de los límites aceptables de temperatura y humedad conforme a las condiciones autorizadas en los marbetes de los medicamentos.</w:t>
            </w:r>
          </w:p>
        </w:tc>
        <w:tc>
          <w:tcPr>
            <w:tcW w:w="4421" w:type="dxa"/>
          </w:tcPr>
          <w:p w14:paraId="66BFABE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The distributors must have buildings, installations and equipment, adequate and sufficient, to assure the adequate storage and distribution of the drug products. The installations must be clean, dry and maintained within acceptable limits of temperature and humidity according to the conditions authorized in the labels of the drug products. </w:t>
            </w:r>
          </w:p>
        </w:tc>
      </w:tr>
      <w:tr w:rsidR="00CD67E0" w:rsidRPr="00DD29AF" w14:paraId="73093E31" w14:textId="77777777" w:rsidTr="00335F65">
        <w:tc>
          <w:tcPr>
            <w:tcW w:w="4421" w:type="dxa"/>
          </w:tcPr>
          <w:p w14:paraId="22DDA2A7"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lastRenderedPageBreak/>
              <w:t xml:space="preserve">16.6.2 </w:t>
            </w:r>
            <w:r w:rsidRPr="00D429B4">
              <w:rPr>
                <w:rFonts w:ascii="Verdana" w:hAnsi="Verdana"/>
                <w:sz w:val="16"/>
                <w:szCs w:val="16"/>
                <w:lang w:val="es-MX"/>
              </w:rPr>
              <w:t>Instalaciones</w:t>
            </w:r>
          </w:p>
        </w:tc>
        <w:tc>
          <w:tcPr>
            <w:tcW w:w="4421" w:type="dxa"/>
          </w:tcPr>
          <w:p w14:paraId="2BB5A86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16.6.2 </w:t>
            </w:r>
            <w:r w:rsidRPr="00D429B4">
              <w:rPr>
                <w:rFonts w:ascii="Verdana" w:hAnsi="Verdana"/>
                <w:sz w:val="16"/>
                <w:szCs w:val="16"/>
                <w:lang w:val="en-US"/>
              </w:rPr>
              <w:t>Installations</w:t>
            </w:r>
          </w:p>
        </w:tc>
      </w:tr>
      <w:tr w:rsidR="00CD67E0" w:rsidRPr="00861FCE" w14:paraId="6AF32967" w14:textId="77777777" w:rsidTr="00335F65">
        <w:tc>
          <w:tcPr>
            <w:tcW w:w="4421" w:type="dxa"/>
          </w:tcPr>
          <w:p w14:paraId="44A3DD6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16.6.2.1 </w:t>
            </w:r>
            <w:r w:rsidRPr="00D429B4">
              <w:rPr>
                <w:rFonts w:ascii="Verdana" w:hAnsi="Verdana"/>
                <w:sz w:val="16"/>
                <w:szCs w:val="16"/>
                <w:lang w:val="es-MX"/>
              </w:rPr>
              <w:t>Las instalaciones deben estar diseñadas para asegurar que se mantengan las condiciones de almacenamiento requeridas. Deben ser seguras, estructuralmente firmes y de capacidad suficiente para permitir el almacenamiento y manejo seguro de los medicamentos. Las áreas de almacenamiento deben estar equipadas con iluminación y ventilación para permitir que todas las operaciones puedan llevarse a cabo con precisión y seguridad.</w:t>
            </w:r>
          </w:p>
        </w:tc>
        <w:tc>
          <w:tcPr>
            <w:tcW w:w="4421" w:type="dxa"/>
          </w:tcPr>
          <w:p w14:paraId="5D719F2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16.6.2.1 </w:t>
            </w:r>
            <w:r w:rsidRPr="00D429B4">
              <w:rPr>
                <w:rFonts w:ascii="Verdana" w:hAnsi="Verdana"/>
                <w:sz w:val="16"/>
                <w:szCs w:val="16"/>
                <w:lang w:val="en-US"/>
              </w:rPr>
              <w:t xml:space="preserve">The installations must be designed to assure that the conditions of storage required are maintained. They must be secure, structurally strong and have a capacity sufficient to permit the storage and safe handling of the drug products. The storage areas must be equipped with illumination and ventilation to permit that all the operations can be carried out with precision and safety. </w:t>
            </w:r>
          </w:p>
        </w:tc>
      </w:tr>
      <w:tr w:rsidR="00CD67E0" w:rsidRPr="00861FCE" w14:paraId="2938D7EC" w14:textId="77777777" w:rsidTr="00335F65">
        <w:tc>
          <w:tcPr>
            <w:tcW w:w="4421" w:type="dxa"/>
          </w:tcPr>
          <w:p w14:paraId="0D8841E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16.6.2.2</w:t>
            </w:r>
            <w:r w:rsidRPr="00D429B4">
              <w:rPr>
                <w:rFonts w:ascii="Verdana" w:hAnsi="Verdana"/>
                <w:sz w:val="16"/>
                <w:szCs w:val="16"/>
                <w:lang w:val="es-MX"/>
              </w:rPr>
              <w:t xml:space="preserve"> Cuando las instalaciones no están directamente operadas por el distribuidor se debe de establecer un contrato por escrito.</w:t>
            </w:r>
          </w:p>
        </w:tc>
        <w:tc>
          <w:tcPr>
            <w:tcW w:w="4421" w:type="dxa"/>
          </w:tcPr>
          <w:p w14:paraId="3F5489D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16.6.2.2 </w:t>
            </w:r>
            <w:r w:rsidRPr="00D429B4">
              <w:rPr>
                <w:rFonts w:ascii="Verdana" w:hAnsi="Verdana"/>
                <w:sz w:val="16"/>
                <w:szCs w:val="16"/>
                <w:lang w:val="en-US"/>
              </w:rPr>
              <w:t xml:space="preserve">When the installations are not directly operated by the distributor, a contract in writing must be established. </w:t>
            </w:r>
          </w:p>
        </w:tc>
      </w:tr>
      <w:tr w:rsidR="00CD67E0" w:rsidRPr="00861FCE" w14:paraId="388C90F7" w14:textId="77777777" w:rsidTr="00335F65">
        <w:tc>
          <w:tcPr>
            <w:tcW w:w="4421" w:type="dxa"/>
          </w:tcPr>
          <w:p w14:paraId="04C031E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16.6.2.3</w:t>
            </w:r>
            <w:r w:rsidRPr="00D429B4">
              <w:rPr>
                <w:rFonts w:ascii="Verdana" w:hAnsi="Verdana"/>
                <w:sz w:val="16"/>
                <w:szCs w:val="16"/>
                <w:lang w:val="es-MX"/>
              </w:rPr>
              <w:t xml:space="preserve"> Los medicamentos deben almacenarse en áreas segregadas que están claramente identificadas y con acceso restringido a personal autorizado. Cualquier sistema de sustitución de la segregación física, como la segregación electrónica basada en un sistema informático debe proporcionar una seguridad equivalente y estar validado.</w:t>
            </w:r>
          </w:p>
        </w:tc>
        <w:tc>
          <w:tcPr>
            <w:tcW w:w="4421" w:type="dxa"/>
          </w:tcPr>
          <w:p w14:paraId="5C475B7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16.6.2.3 </w:t>
            </w:r>
            <w:r w:rsidRPr="00D429B4">
              <w:rPr>
                <w:rFonts w:ascii="Verdana" w:hAnsi="Verdana"/>
                <w:sz w:val="16"/>
                <w:szCs w:val="16"/>
                <w:lang w:val="en-US"/>
              </w:rPr>
              <w:t xml:space="preserve">The drug products must be stored in segregated areas that are clearly identified and with access restricted to authorized personnel. Any system of substitution of the physical segregation, such as electronic segregation based on a computerized system must </w:t>
            </w:r>
            <w:r>
              <w:rPr>
                <w:rFonts w:ascii="Verdana" w:hAnsi="Verdana"/>
                <w:sz w:val="16"/>
                <w:szCs w:val="16"/>
                <w:lang w:val="en-US"/>
              </w:rPr>
              <w:t xml:space="preserve">provide </w:t>
            </w:r>
            <w:r w:rsidRPr="00D429B4">
              <w:rPr>
                <w:rFonts w:ascii="Verdana" w:hAnsi="Verdana"/>
                <w:sz w:val="16"/>
                <w:szCs w:val="16"/>
                <w:lang w:val="en-US"/>
              </w:rPr>
              <w:t>an equivalent s</w:t>
            </w:r>
            <w:r>
              <w:rPr>
                <w:rFonts w:ascii="Verdana" w:hAnsi="Verdana"/>
                <w:sz w:val="16"/>
                <w:szCs w:val="16"/>
                <w:lang w:val="en-US"/>
              </w:rPr>
              <w:t>ecurity</w:t>
            </w:r>
            <w:r w:rsidRPr="00D429B4">
              <w:rPr>
                <w:rFonts w:ascii="Verdana" w:hAnsi="Verdana"/>
                <w:sz w:val="16"/>
                <w:szCs w:val="16"/>
                <w:lang w:val="en-US"/>
              </w:rPr>
              <w:t xml:space="preserve"> and be validated.  </w:t>
            </w:r>
          </w:p>
        </w:tc>
      </w:tr>
      <w:tr w:rsidR="00CD67E0" w:rsidRPr="00861FCE" w14:paraId="24CC67E3" w14:textId="77777777" w:rsidTr="00335F65">
        <w:tc>
          <w:tcPr>
            <w:tcW w:w="4421" w:type="dxa"/>
          </w:tcPr>
          <w:p w14:paraId="03A2181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16.6.2.4</w:t>
            </w:r>
            <w:r w:rsidRPr="00D429B4">
              <w:rPr>
                <w:rFonts w:ascii="Verdana" w:hAnsi="Verdana"/>
                <w:sz w:val="16"/>
                <w:szCs w:val="16"/>
                <w:lang w:val="es-MX"/>
              </w:rPr>
              <w:t xml:space="preserve"> Los productos en espera de una decisión en cuanto a su disposición o productos que han sido devueltos deberán estar separados ya sea físicamente o a través de un sistema electrónico equivalente. Deberá evaluarse la segregación física y el almacenamiento en un área especializada usando un enfoque basado en el riesgo. Los medicamentos falsificados, caducados, retirados, rechazados y no autorizados para su comercialización deben estar físicamente separados en áreas identificadas.</w:t>
            </w:r>
          </w:p>
        </w:tc>
        <w:tc>
          <w:tcPr>
            <w:tcW w:w="4421" w:type="dxa"/>
          </w:tcPr>
          <w:p w14:paraId="7C8210D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16.6.2.4 </w:t>
            </w:r>
            <w:r w:rsidRPr="00D429B4">
              <w:rPr>
                <w:rFonts w:ascii="Verdana" w:hAnsi="Verdana"/>
                <w:sz w:val="16"/>
                <w:szCs w:val="16"/>
                <w:lang w:val="en-US"/>
              </w:rPr>
              <w:t xml:space="preserve">The products waiting a decision for their disposition or products that have been returned must be separated, physically or through an equivalent electronic system. The physical segregation and the storage in a specialized area using a focus based on the risk must be evaluated. The falsified drug products, expired, withdrawn, rejected and unauthorized for their commercial distribution must be physically separated in identified areas. </w:t>
            </w:r>
          </w:p>
        </w:tc>
      </w:tr>
      <w:tr w:rsidR="00CD67E0" w:rsidRPr="00861FCE" w14:paraId="111B2ECE" w14:textId="77777777" w:rsidTr="00335F65">
        <w:tc>
          <w:tcPr>
            <w:tcW w:w="4421" w:type="dxa"/>
          </w:tcPr>
          <w:p w14:paraId="50BA456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16.6.2.5</w:t>
            </w:r>
            <w:r w:rsidRPr="00D429B4">
              <w:rPr>
                <w:rFonts w:ascii="Verdana" w:hAnsi="Verdana"/>
                <w:sz w:val="16"/>
                <w:szCs w:val="16"/>
                <w:lang w:val="es-MX"/>
              </w:rPr>
              <w:t xml:space="preserve"> Los productos que presenten riesgo de seguridad especial de incendio o explosión (como los gases medicinales, los combustibles y los líquidos y sólidos inflamables) deben almacenarse en una o más zonas especiales sujetas a las medidas de seguridad y protección adecuada.</w:t>
            </w:r>
          </w:p>
        </w:tc>
        <w:tc>
          <w:tcPr>
            <w:tcW w:w="4421" w:type="dxa"/>
          </w:tcPr>
          <w:p w14:paraId="15058DB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16.6.2.5 </w:t>
            </w:r>
            <w:r w:rsidRPr="00D429B4">
              <w:rPr>
                <w:rFonts w:ascii="Verdana" w:hAnsi="Verdana"/>
                <w:sz w:val="16"/>
                <w:szCs w:val="16"/>
                <w:lang w:val="en-US"/>
              </w:rPr>
              <w:t xml:space="preserve">The products that present a special safety risk of fire or explosion (such as medicinal gases, combustibles and flammable liquids and solids) must be stored in one or more special zones subject to the safety measures and adequate protection. </w:t>
            </w:r>
          </w:p>
        </w:tc>
      </w:tr>
      <w:tr w:rsidR="00CD67E0" w:rsidRPr="00861FCE" w14:paraId="53E58314" w14:textId="77777777" w:rsidTr="00335F65">
        <w:tc>
          <w:tcPr>
            <w:tcW w:w="4421" w:type="dxa"/>
          </w:tcPr>
          <w:p w14:paraId="5ADF4F9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16.6.2.6</w:t>
            </w:r>
            <w:r w:rsidRPr="00D429B4">
              <w:rPr>
                <w:rFonts w:ascii="Verdana" w:hAnsi="Verdana"/>
                <w:sz w:val="16"/>
                <w:szCs w:val="16"/>
                <w:lang w:val="es-MX"/>
              </w:rPr>
              <w:t xml:space="preserve"> Las áreas de recepción y embarque deben proteger a los productos de la intemperie y debe haber una separación adecuada entre las áreas de recepción, embarque y almacenamiento. Se debe contar con procedimientos para mantener el control de los productos entrantes y salientes y de su almacenamiento. Deben designarse áreas de recepción y de embarque debidamente equipadas para revisar los procesos que en ellas se realizan.</w:t>
            </w:r>
          </w:p>
        </w:tc>
        <w:tc>
          <w:tcPr>
            <w:tcW w:w="4421" w:type="dxa"/>
          </w:tcPr>
          <w:p w14:paraId="43FCCA3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16.6.2.6 </w:t>
            </w:r>
            <w:r w:rsidRPr="00D429B4">
              <w:rPr>
                <w:rFonts w:ascii="Verdana" w:hAnsi="Verdana"/>
                <w:sz w:val="16"/>
                <w:szCs w:val="16"/>
                <w:lang w:val="en-US"/>
              </w:rPr>
              <w:t>The reception and shipping areas must protect the products from bad weather and must have an adequate separation between the areas of reception, shipping, and storage. There must be procedures for maintaining the control of the entering and exiting products and their storage. Areas of reception and shipping must be designated duly equipped to review the processes that are carried out in them.</w:t>
            </w:r>
          </w:p>
        </w:tc>
      </w:tr>
      <w:tr w:rsidR="00CD67E0" w:rsidRPr="00861FCE" w14:paraId="5C4C00FE" w14:textId="77777777" w:rsidTr="00335F65">
        <w:tc>
          <w:tcPr>
            <w:tcW w:w="4421" w:type="dxa"/>
          </w:tcPr>
          <w:p w14:paraId="26E288D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16.6.2.7</w:t>
            </w:r>
            <w:r w:rsidRPr="00D429B4">
              <w:rPr>
                <w:rFonts w:ascii="Verdana" w:hAnsi="Verdana"/>
                <w:sz w:val="16"/>
                <w:szCs w:val="16"/>
                <w:lang w:val="es-MX"/>
              </w:rPr>
              <w:t xml:space="preserve"> Debe impedirse el acceso no autorizado a las áreas restringidas, mediante un control adecuado. Los visitantes deberán estar acompañados en todo momento por personal autorizado.</w:t>
            </w:r>
          </w:p>
        </w:tc>
        <w:tc>
          <w:tcPr>
            <w:tcW w:w="4421" w:type="dxa"/>
          </w:tcPr>
          <w:p w14:paraId="5BA822C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16.6.2.7 </w:t>
            </w:r>
            <w:r w:rsidRPr="00D429B4">
              <w:rPr>
                <w:rFonts w:ascii="Verdana" w:hAnsi="Verdana"/>
                <w:sz w:val="16"/>
                <w:szCs w:val="16"/>
                <w:lang w:val="en-US"/>
              </w:rPr>
              <w:t xml:space="preserve">The unauthorized access to the restricted areas must be impeded, through an adequate control. The visitors must be accompanied at all times by authorized personnel. </w:t>
            </w:r>
          </w:p>
        </w:tc>
      </w:tr>
      <w:tr w:rsidR="00CD67E0" w:rsidRPr="00861FCE" w14:paraId="087DD134" w14:textId="77777777" w:rsidTr="00335F65">
        <w:tc>
          <w:tcPr>
            <w:tcW w:w="4421" w:type="dxa"/>
          </w:tcPr>
          <w:p w14:paraId="6ACEE70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16.6.2.8</w:t>
            </w:r>
            <w:r w:rsidRPr="00D429B4">
              <w:rPr>
                <w:rFonts w:ascii="Verdana" w:hAnsi="Verdana"/>
                <w:sz w:val="16"/>
                <w:szCs w:val="16"/>
                <w:lang w:val="es-MX"/>
              </w:rPr>
              <w:t xml:space="preserve"> Los edificios y áreas de almacenamiento deben estar limpias y libres de basura y polvo. Debe existir un procedimiento para la limpieza que incluya </w:t>
            </w:r>
            <w:r w:rsidRPr="00D429B4">
              <w:rPr>
                <w:rFonts w:ascii="Verdana" w:hAnsi="Verdana"/>
                <w:sz w:val="16"/>
                <w:szCs w:val="16"/>
                <w:lang w:val="es-MX"/>
              </w:rPr>
              <w:lastRenderedPageBreak/>
              <w:t>contar con un programa, instrucciones y registros de limpieza. Deben elegirse y utilizarse equipos y agentes de limpieza adecuados para que no sean una fuente de contaminación.</w:t>
            </w:r>
          </w:p>
        </w:tc>
        <w:tc>
          <w:tcPr>
            <w:tcW w:w="4421" w:type="dxa"/>
          </w:tcPr>
          <w:p w14:paraId="1E82518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16.6.2.8 </w:t>
            </w:r>
            <w:r w:rsidRPr="00D429B4">
              <w:rPr>
                <w:rFonts w:ascii="Verdana" w:hAnsi="Verdana"/>
                <w:sz w:val="16"/>
                <w:szCs w:val="16"/>
                <w:lang w:val="en-US"/>
              </w:rPr>
              <w:t xml:space="preserve">The buildings and storage areas must be clean and free of garbage and dust. There must be a procedure for cleaning that includes having a </w:t>
            </w:r>
            <w:r w:rsidRPr="00D429B4">
              <w:rPr>
                <w:rFonts w:ascii="Verdana" w:hAnsi="Verdana"/>
                <w:sz w:val="16"/>
                <w:szCs w:val="16"/>
                <w:lang w:val="en-US"/>
              </w:rPr>
              <w:lastRenderedPageBreak/>
              <w:t xml:space="preserve">program, instructions, and cleaning records. Equipment and adequate cleaning agents must be chosen and used so that they are not a source of contamination. </w:t>
            </w:r>
          </w:p>
        </w:tc>
      </w:tr>
      <w:tr w:rsidR="00CD67E0" w:rsidRPr="00DB2529" w14:paraId="1A7996E5" w14:textId="77777777" w:rsidTr="00335F65">
        <w:tc>
          <w:tcPr>
            <w:tcW w:w="4421" w:type="dxa"/>
          </w:tcPr>
          <w:p w14:paraId="5DCF7DB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16.6.2.9</w:t>
            </w:r>
            <w:r w:rsidRPr="00D429B4">
              <w:rPr>
                <w:rFonts w:ascii="Verdana" w:hAnsi="Verdana"/>
                <w:sz w:val="16"/>
                <w:szCs w:val="16"/>
                <w:lang w:val="es-MX"/>
              </w:rPr>
              <w:t xml:space="preserve"> Las instalaciones deben ser diseñadas y equipadas de manera que no permitan la entrada de insectos, roedores u otros animales. Debe contarse con un programa preventivo de control de plagas a través de un proveedor autorizado por la Secretaría. Los registros de control de plagas deberán ser resguardados.</w:t>
            </w:r>
          </w:p>
        </w:tc>
        <w:tc>
          <w:tcPr>
            <w:tcW w:w="4421" w:type="dxa"/>
          </w:tcPr>
          <w:p w14:paraId="7C17072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16.6.2.9 </w:t>
            </w:r>
            <w:r w:rsidRPr="00D429B4">
              <w:rPr>
                <w:rFonts w:ascii="Verdana" w:hAnsi="Verdana"/>
                <w:sz w:val="16"/>
                <w:szCs w:val="16"/>
                <w:lang w:val="en-US"/>
              </w:rPr>
              <w:t xml:space="preserve">The installations must be designed and equipped in a way that does not permit the entry of insects, rodents or other animals. There must be a preventive program of pest control through a supplier authorized by the Secretary. The control records of pests must be retained. </w:t>
            </w:r>
          </w:p>
        </w:tc>
      </w:tr>
      <w:tr w:rsidR="00CD67E0" w:rsidRPr="00861FCE" w14:paraId="078A3EE4" w14:textId="77777777" w:rsidTr="00335F65">
        <w:tc>
          <w:tcPr>
            <w:tcW w:w="4421" w:type="dxa"/>
          </w:tcPr>
          <w:p w14:paraId="459E864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16.6.2.10</w:t>
            </w:r>
            <w:r w:rsidRPr="00D429B4">
              <w:rPr>
                <w:rFonts w:ascii="Verdana" w:hAnsi="Verdana"/>
                <w:sz w:val="16"/>
                <w:szCs w:val="16"/>
                <w:lang w:val="es-MX"/>
              </w:rPr>
              <w:t xml:space="preserve"> Las salas de descanso o comedor y los sanitarios de los trabajadores deben estar independientes de las zonas de almacenamiento. En las áreas de almacenamiento deben estar prohibidos los alimentos, las bebidas, el tabaco y los medicamentos para uso privado del personal.</w:t>
            </w:r>
          </w:p>
        </w:tc>
        <w:tc>
          <w:tcPr>
            <w:tcW w:w="4421" w:type="dxa"/>
          </w:tcPr>
          <w:p w14:paraId="6D91A59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16.6.2.10 </w:t>
            </w:r>
            <w:r w:rsidRPr="00D429B4">
              <w:rPr>
                <w:rFonts w:ascii="Verdana" w:hAnsi="Verdana"/>
                <w:sz w:val="16"/>
                <w:szCs w:val="16"/>
                <w:lang w:val="en-US"/>
              </w:rPr>
              <w:t xml:space="preserve">The resting and dining rooms and the bathrooms of workers must be independent from the storage zones. In the storage areas food, beverages, tobacco and the drug products for the private use of the personnel must be prohibited. </w:t>
            </w:r>
          </w:p>
        </w:tc>
      </w:tr>
      <w:tr w:rsidR="00CD67E0" w:rsidRPr="00861FCE" w14:paraId="75BD76B6" w14:textId="77777777" w:rsidTr="00335F65">
        <w:tc>
          <w:tcPr>
            <w:tcW w:w="4421" w:type="dxa"/>
          </w:tcPr>
          <w:p w14:paraId="5D9B6AB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16.6.3 </w:t>
            </w:r>
            <w:r w:rsidRPr="00D429B4">
              <w:rPr>
                <w:rFonts w:ascii="Verdana" w:hAnsi="Verdana"/>
                <w:sz w:val="16"/>
                <w:szCs w:val="16"/>
                <w:lang w:val="es-MX"/>
              </w:rPr>
              <w:t>Control y/o monitoreo de temperatura y ambiente.</w:t>
            </w:r>
          </w:p>
        </w:tc>
        <w:tc>
          <w:tcPr>
            <w:tcW w:w="4421" w:type="dxa"/>
          </w:tcPr>
          <w:p w14:paraId="2E5B0AE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16.6.3 </w:t>
            </w:r>
            <w:r w:rsidRPr="00D429B4">
              <w:rPr>
                <w:rFonts w:ascii="Verdana" w:hAnsi="Verdana"/>
                <w:sz w:val="16"/>
                <w:szCs w:val="16"/>
                <w:lang w:val="en-US"/>
              </w:rPr>
              <w:t xml:space="preserve">Control and/or monitoring of environmental temperature. </w:t>
            </w:r>
          </w:p>
        </w:tc>
      </w:tr>
      <w:tr w:rsidR="00CD67E0" w:rsidRPr="00861FCE" w14:paraId="714552E9" w14:textId="77777777" w:rsidTr="00335F65">
        <w:tc>
          <w:tcPr>
            <w:tcW w:w="4421" w:type="dxa"/>
          </w:tcPr>
          <w:p w14:paraId="0080129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16.6.3.1 </w:t>
            </w:r>
            <w:r w:rsidRPr="00D429B4">
              <w:rPr>
                <w:rFonts w:ascii="Verdana" w:hAnsi="Verdana"/>
                <w:sz w:val="16"/>
                <w:szCs w:val="16"/>
                <w:lang w:val="es-MX"/>
              </w:rPr>
              <w:t>Deben existir procedimientos, equipos e instrumentos adecuados para controlar el ambiente en que se almacenan los medicamentos. Entre los factores que deben tenerse en cuenta se encuentran la temperatura, luz, humedad y limpieza de las instalaciones.</w:t>
            </w:r>
          </w:p>
        </w:tc>
        <w:tc>
          <w:tcPr>
            <w:tcW w:w="4421" w:type="dxa"/>
          </w:tcPr>
          <w:p w14:paraId="4C54EE4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16.6.3.1 </w:t>
            </w:r>
            <w:r w:rsidRPr="00D429B4">
              <w:rPr>
                <w:rFonts w:ascii="Verdana" w:hAnsi="Verdana"/>
                <w:sz w:val="16"/>
                <w:szCs w:val="16"/>
                <w:lang w:val="en-US"/>
              </w:rPr>
              <w:t xml:space="preserve">There must be procedures, equipment and instruments adequate for controlling the environment in which the drug products are stored. Among the factors that must be taken into account are the temperature, light, humidity and cleaning of the installations. </w:t>
            </w:r>
          </w:p>
        </w:tc>
      </w:tr>
      <w:tr w:rsidR="00CD67E0" w:rsidRPr="00861FCE" w14:paraId="5F1693D7" w14:textId="77777777" w:rsidTr="00335F65">
        <w:tc>
          <w:tcPr>
            <w:tcW w:w="4421" w:type="dxa"/>
          </w:tcPr>
          <w:p w14:paraId="0B8AA06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16.6.3.2 </w:t>
            </w:r>
            <w:r w:rsidRPr="00D429B4">
              <w:rPr>
                <w:rFonts w:ascii="Verdana" w:hAnsi="Verdana"/>
                <w:sz w:val="16"/>
                <w:szCs w:val="16"/>
                <w:lang w:val="es-MX"/>
              </w:rPr>
              <w:t>Debe llevarse a cabo un mapeo inicial de temperatura y humedad en el área de almacenamiento antes de su uso, en condiciones representativas. Los equipos de monitoreo de temperatura y humedad deberán estar ubicados de acuerdo a los resultados del ejercicio de mapeo, colocándolos en las zonas de mayor fluctuación. El ejercicio de mapeo debe repetirse tras un ejercicio de valoración de riesgos o cuando hayan modificaciones importantes en las instalaciones o en los equipos de control de temperatura.</w:t>
            </w:r>
          </w:p>
        </w:tc>
        <w:tc>
          <w:tcPr>
            <w:tcW w:w="4421" w:type="dxa"/>
          </w:tcPr>
          <w:p w14:paraId="6037FDF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16.6.3.2 </w:t>
            </w:r>
            <w:r w:rsidRPr="00D429B4">
              <w:rPr>
                <w:rFonts w:ascii="Verdana" w:hAnsi="Verdana"/>
                <w:sz w:val="16"/>
                <w:szCs w:val="16"/>
                <w:lang w:val="en-US"/>
              </w:rPr>
              <w:t xml:space="preserve">Initial mapping of temperature and humidity must be carried out in the storage area before their use, under representative conditions. The monitoring equipment of temperature and humidity must be located according to the results of exercise of mapping, placing them in the zones of greater fluctuation. The mapping exercise must be repeated through an evaluation of risks exercise or when important modifications are made in the installations or in the equipment for temperature control. </w:t>
            </w:r>
          </w:p>
        </w:tc>
      </w:tr>
      <w:tr w:rsidR="00CD67E0" w:rsidRPr="00861FCE" w14:paraId="4647132E" w14:textId="77777777" w:rsidTr="00335F65">
        <w:tc>
          <w:tcPr>
            <w:tcW w:w="4421" w:type="dxa"/>
          </w:tcPr>
          <w:p w14:paraId="0032984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16.6.3.3</w:t>
            </w:r>
            <w:r w:rsidRPr="00D429B4">
              <w:rPr>
                <w:rFonts w:ascii="Verdana" w:hAnsi="Verdana"/>
                <w:sz w:val="16"/>
                <w:szCs w:val="16"/>
                <w:lang w:val="es-MX"/>
              </w:rPr>
              <w:t xml:space="preserve"> Debe llevarse a cabo una valoración de riesgos para las instalaciones que están a temperatura ambiente y deberán colocarse monitores de temperatura en función de dicha evaluación.</w:t>
            </w:r>
          </w:p>
        </w:tc>
        <w:tc>
          <w:tcPr>
            <w:tcW w:w="4421" w:type="dxa"/>
          </w:tcPr>
          <w:p w14:paraId="3008378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16.6.3.3 </w:t>
            </w:r>
            <w:r w:rsidRPr="00D429B4">
              <w:rPr>
                <w:rFonts w:ascii="Verdana" w:hAnsi="Verdana"/>
                <w:sz w:val="16"/>
                <w:szCs w:val="16"/>
                <w:lang w:val="en-US"/>
              </w:rPr>
              <w:t xml:space="preserve">A risk evaluation must be carried out for the installations that are at environmental temperature and monitors of temperature must be placed depending on said evaluation. </w:t>
            </w:r>
          </w:p>
        </w:tc>
      </w:tr>
      <w:tr w:rsidR="00CD67E0" w:rsidRPr="00861FCE" w14:paraId="2F2C4EF2" w14:textId="77777777" w:rsidTr="00335F65">
        <w:tc>
          <w:tcPr>
            <w:tcW w:w="4421" w:type="dxa"/>
          </w:tcPr>
          <w:p w14:paraId="2FB7AB7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16.6.3.4 </w:t>
            </w:r>
            <w:r w:rsidRPr="00D429B4">
              <w:rPr>
                <w:rFonts w:ascii="Verdana" w:hAnsi="Verdana"/>
                <w:sz w:val="16"/>
                <w:szCs w:val="16"/>
                <w:lang w:val="es-MX"/>
              </w:rPr>
              <w:t>Si los resultados del mapeo de temperatura y humedad relativa dan como resultado que las condiciones de la zona de almacenamiento no cumplen los requisitos de los marbetes de los medicamentos, se deben implementar medidas para el control de la temperatura que pueden incluir la colocación de aire acondicionado o sistema HVAC.</w:t>
            </w:r>
          </w:p>
        </w:tc>
        <w:tc>
          <w:tcPr>
            <w:tcW w:w="4421" w:type="dxa"/>
          </w:tcPr>
          <w:p w14:paraId="3439F9A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1 6.6.3.4 </w:t>
            </w:r>
            <w:r w:rsidRPr="00D429B4">
              <w:rPr>
                <w:rFonts w:ascii="Verdana" w:hAnsi="Verdana"/>
                <w:sz w:val="16"/>
                <w:szCs w:val="16"/>
                <w:lang w:val="en-US"/>
              </w:rPr>
              <w:t xml:space="preserve">If the results of the temperature and humidity mapping show as a result that the conditions of the storage zone do not comply with the requirements on the labels of the drug products, measures must be implemented to control the temperature that can include the placement of conditioned air or the HVAC system. </w:t>
            </w:r>
          </w:p>
        </w:tc>
      </w:tr>
      <w:tr w:rsidR="00CD67E0" w:rsidRPr="00DD29AF" w14:paraId="12586A27" w14:textId="77777777" w:rsidTr="00335F65">
        <w:tc>
          <w:tcPr>
            <w:tcW w:w="4421" w:type="dxa"/>
          </w:tcPr>
          <w:p w14:paraId="51DD5F5F"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16.6.4 </w:t>
            </w:r>
            <w:r w:rsidRPr="00D429B4">
              <w:rPr>
                <w:rFonts w:ascii="Verdana" w:hAnsi="Verdana"/>
                <w:sz w:val="16"/>
                <w:szCs w:val="16"/>
                <w:lang w:val="es-MX"/>
              </w:rPr>
              <w:t>Equipo.</w:t>
            </w:r>
          </w:p>
        </w:tc>
        <w:tc>
          <w:tcPr>
            <w:tcW w:w="4421" w:type="dxa"/>
          </w:tcPr>
          <w:p w14:paraId="34A0A7F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16.6.4 </w:t>
            </w:r>
            <w:r w:rsidRPr="00D429B4">
              <w:rPr>
                <w:rFonts w:ascii="Verdana" w:hAnsi="Verdana"/>
                <w:sz w:val="16"/>
                <w:szCs w:val="16"/>
                <w:lang w:val="en-US"/>
              </w:rPr>
              <w:t>Equipment.</w:t>
            </w:r>
          </w:p>
        </w:tc>
      </w:tr>
      <w:tr w:rsidR="00CD67E0" w:rsidRPr="001E15A8" w14:paraId="09E8C422" w14:textId="77777777" w:rsidTr="00335F65">
        <w:tc>
          <w:tcPr>
            <w:tcW w:w="4421" w:type="dxa"/>
          </w:tcPr>
          <w:p w14:paraId="64ED0F3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16.6.4.1 </w:t>
            </w:r>
            <w:r w:rsidRPr="00D429B4">
              <w:rPr>
                <w:rFonts w:ascii="Verdana" w:hAnsi="Verdana"/>
                <w:sz w:val="16"/>
                <w:szCs w:val="16"/>
                <w:lang w:val="es-MX"/>
              </w:rPr>
              <w:t xml:space="preserve">Todos los equipos que impacten en el almacenamiento y distribución de medicamentos deben estar diseñados, colocados y mantenidos a un </w:t>
            </w:r>
            <w:r w:rsidRPr="00D429B4">
              <w:rPr>
                <w:rFonts w:ascii="Verdana" w:hAnsi="Verdana"/>
                <w:sz w:val="16"/>
                <w:szCs w:val="16"/>
                <w:lang w:val="es-MX"/>
              </w:rPr>
              <w:lastRenderedPageBreak/>
              <w:t>nivel adecuado para los fines previstos. Se debe de contar con un programa de mantenimiento.</w:t>
            </w:r>
          </w:p>
        </w:tc>
        <w:tc>
          <w:tcPr>
            <w:tcW w:w="4421" w:type="dxa"/>
          </w:tcPr>
          <w:p w14:paraId="756DA1E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16.6.4.1 </w:t>
            </w:r>
            <w:r w:rsidRPr="00D429B4">
              <w:rPr>
                <w:rFonts w:ascii="Verdana" w:hAnsi="Verdana"/>
                <w:sz w:val="16"/>
                <w:szCs w:val="16"/>
                <w:lang w:val="en-US"/>
              </w:rPr>
              <w:t xml:space="preserve">All the equipment that impact on the storage and distribution of drug products must be designed, placed, and maintained at a level </w:t>
            </w:r>
            <w:r w:rsidRPr="00D429B4">
              <w:rPr>
                <w:rFonts w:ascii="Verdana" w:hAnsi="Verdana"/>
                <w:sz w:val="16"/>
                <w:szCs w:val="16"/>
                <w:lang w:val="en-US"/>
              </w:rPr>
              <w:lastRenderedPageBreak/>
              <w:t xml:space="preserve">adequate for the expected purposes. There must be a maintenance program.  </w:t>
            </w:r>
          </w:p>
        </w:tc>
      </w:tr>
      <w:tr w:rsidR="00CD67E0" w:rsidRPr="00861FCE" w14:paraId="5AED1393" w14:textId="77777777" w:rsidTr="00335F65">
        <w:tc>
          <w:tcPr>
            <w:tcW w:w="4421" w:type="dxa"/>
          </w:tcPr>
          <w:p w14:paraId="41B8FC3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16.6.4.2</w:t>
            </w:r>
            <w:r w:rsidRPr="00D429B4">
              <w:rPr>
                <w:rFonts w:ascii="Verdana" w:hAnsi="Verdana"/>
                <w:sz w:val="16"/>
                <w:szCs w:val="16"/>
                <w:lang w:val="es-MX"/>
              </w:rPr>
              <w:t xml:space="preserve"> Los instrumentos utilizados para monitorear el medio ambiente donde se almacenan los medicamentos deben calibrarse a intervalos definidos sobre la base de una valoración de riesgos.</w:t>
            </w:r>
          </w:p>
        </w:tc>
        <w:tc>
          <w:tcPr>
            <w:tcW w:w="4421" w:type="dxa"/>
          </w:tcPr>
          <w:p w14:paraId="70B13FE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16.6.4.2 </w:t>
            </w:r>
            <w:r w:rsidRPr="00D429B4">
              <w:rPr>
                <w:rFonts w:ascii="Verdana" w:hAnsi="Verdana"/>
                <w:sz w:val="16"/>
                <w:szCs w:val="16"/>
                <w:lang w:val="en-US"/>
              </w:rPr>
              <w:t xml:space="preserve">The instruments used for monitoring the environment where the drug products are stored must be calibrated at defined intervals based on the evaluation of risks. </w:t>
            </w:r>
          </w:p>
        </w:tc>
      </w:tr>
      <w:tr w:rsidR="00CD67E0" w:rsidRPr="00861FCE" w14:paraId="22B25AA7" w14:textId="77777777" w:rsidTr="00335F65">
        <w:tc>
          <w:tcPr>
            <w:tcW w:w="4421" w:type="dxa"/>
          </w:tcPr>
          <w:p w14:paraId="5414D11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16.6.4.3 </w:t>
            </w:r>
            <w:r w:rsidRPr="00D429B4">
              <w:rPr>
                <w:rFonts w:ascii="Verdana" w:hAnsi="Verdana"/>
                <w:sz w:val="16"/>
                <w:szCs w:val="16"/>
                <w:lang w:val="es-MX"/>
              </w:rPr>
              <w:t>Los instrumentos de medición deberán de estar calibrados con trazabilidad a los patrones nacionales.</w:t>
            </w:r>
          </w:p>
        </w:tc>
        <w:tc>
          <w:tcPr>
            <w:tcW w:w="4421" w:type="dxa"/>
          </w:tcPr>
          <w:p w14:paraId="3DA5F4E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16.6.4.3 </w:t>
            </w:r>
            <w:r w:rsidRPr="00D429B4">
              <w:rPr>
                <w:rFonts w:ascii="Verdana" w:hAnsi="Verdana"/>
                <w:sz w:val="16"/>
                <w:szCs w:val="16"/>
                <w:lang w:val="en-US"/>
              </w:rPr>
              <w:t xml:space="preserve">The measuring instruments must be calibrated with traceability to the national patterns. </w:t>
            </w:r>
          </w:p>
        </w:tc>
      </w:tr>
      <w:tr w:rsidR="00CD67E0" w:rsidRPr="00861FCE" w14:paraId="2EEDB55D" w14:textId="77777777" w:rsidTr="00335F65">
        <w:tc>
          <w:tcPr>
            <w:tcW w:w="4421" w:type="dxa"/>
          </w:tcPr>
          <w:p w14:paraId="2F4C8CB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16.6.4.4</w:t>
            </w:r>
            <w:r w:rsidRPr="00D429B4">
              <w:rPr>
                <w:rFonts w:ascii="Verdana" w:hAnsi="Verdana"/>
                <w:sz w:val="16"/>
                <w:szCs w:val="16"/>
                <w:lang w:val="es-MX"/>
              </w:rPr>
              <w:t xml:space="preserve"> Se debe contar con sistemas de alarma para proporcionar alertas cuando existan excursiones de las condiciones de almacenamiento predefinidos. Los niveles de alarma se deben establecer de manera adecuada y se deben probar regularmente para asegurar su funcionamiento correcto.</w:t>
            </w:r>
          </w:p>
        </w:tc>
        <w:tc>
          <w:tcPr>
            <w:tcW w:w="4421" w:type="dxa"/>
          </w:tcPr>
          <w:p w14:paraId="26C000D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16.6.4.4 </w:t>
            </w:r>
            <w:r w:rsidRPr="00D429B4">
              <w:rPr>
                <w:rFonts w:ascii="Verdana" w:hAnsi="Verdana"/>
                <w:sz w:val="16"/>
                <w:szCs w:val="16"/>
                <w:lang w:val="en-US"/>
              </w:rPr>
              <w:t xml:space="preserve">There must be alarm systems to provide alerts when there are deviations from the predefined storage conditions. The alarm levels must be established adequately and must be tested regularly to assure their correct functioning.  </w:t>
            </w:r>
          </w:p>
        </w:tc>
      </w:tr>
      <w:tr w:rsidR="00CD67E0" w:rsidRPr="00861FCE" w14:paraId="3270EFB6" w14:textId="77777777" w:rsidTr="00335F65">
        <w:tc>
          <w:tcPr>
            <w:tcW w:w="4421" w:type="dxa"/>
          </w:tcPr>
          <w:p w14:paraId="7053888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16.6.4.5</w:t>
            </w:r>
            <w:r w:rsidRPr="00D429B4">
              <w:rPr>
                <w:rFonts w:ascii="Verdana" w:hAnsi="Verdana"/>
                <w:sz w:val="16"/>
                <w:szCs w:val="16"/>
                <w:lang w:val="es-MX"/>
              </w:rPr>
              <w:t xml:space="preserve"> La reparación de equipos, las operaciones de mantenimiento y calibración deben realizarse de manera que la calidad y la integridad de los productos no se vea comprometida.</w:t>
            </w:r>
          </w:p>
        </w:tc>
        <w:tc>
          <w:tcPr>
            <w:tcW w:w="4421" w:type="dxa"/>
          </w:tcPr>
          <w:p w14:paraId="4FA9716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16.6.4.5 </w:t>
            </w:r>
            <w:r w:rsidRPr="00D429B4">
              <w:rPr>
                <w:rFonts w:ascii="Verdana" w:hAnsi="Verdana"/>
                <w:sz w:val="16"/>
                <w:szCs w:val="16"/>
                <w:lang w:val="en-US"/>
              </w:rPr>
              <w:t xml:space="preserve">The repair of equipment, the maintenance and calibration operations must be made in a way that the quality and integrity of the products are not compromised. </w:t>
            </w:r>
          </w:p>
        </w:tc>
      </w:tr>
      <w:tr w:rsidR="00CD67E0" w:rsidRPr="00861FCE" w14:paraId="28AA1A28" w14:textId="77777777" w:rsidTr="00335F65">
        <w:tc>
          <w:tcPr>
            <w:tcW w:w="4421" w:type="dxa"/>
          </w:tcPr>
          <w:p w14:paraId="31A8EAC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16.6.4.6</w:t>
            </w:r>
            <w:r w:rsidRPr="00D429B4">
              <w:rPr>
                <w:rFonts w:ascii="Verdana" w:hAnsi="Verdana"/>
                <w:sz w:val="16"/>
                <w:szCs w:val="16"/>
                <w:lang w:val="es-MX"/>
              </w:rPr>
              <w:t xml:space="preserve"> Se deben de resguardar los registros de reparación, mantenimiento y actividades de calibración de equipos e instrumentos</w:t>
            </w:r>
          </w:p>
        </w:tc>
        <w:tc>
          <w:tcPr>
            <w:tcW w:w="4421" w:type="dxa"/>
          </w:tcPr>
          <w:p w14:paraId="384420C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16.6.4.6 </w:t>
            </w:r>
            <w:r w:rsidRPr="00D429B4">
              <w:rPr>
                <w:rFonts w:ascii="Verdana" w:hAnsi="Verdana"/>
                <w:sz w:val="16"/>
                <w:szCs w:val="16"/>
                <w:lang w:val="en-US"/>
              </w:rPr>
              <w:t xml:space="preserve">The records of repair, maintenance and activities of calibration of equipment and instruments must be retained. </w:t>
            </w:r>
          </w:p>
        </w:tc>
      </w:tr>
      <w:tr w:rsidR="00CD67E0" w:rsidRPr="00945122" w14:paraId="6D2C5104" w14:textId="77777777" w:rsidTr="00335F65">
        <w:tc>
          <w:tcPr>
            <w:tcW w:w="4421" w:type="dxa"/>
          </w:tcPr>
          <w:p w14:paraId="20BA3C49"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16.6.5 </w:t>
            </w:r>
            <w:r w:rsidRPr="00D429B4">
              <w:rPr>
                <w:rFonts w:ascii="Verdana" w:hAnsi="Verdana"/>
                <w:sz w:val="16"/>
                <w:szCs w:val="16"/>
                <w:lang w:val="es-MX"/>
              </w:rPr>
              <w:t>Calificación y validación.</w:t>
            </w:r>
          </w:p>
        </w:tc>
        <w:tc>
          <w:tcPr>
            <w:tcW w:w="4421" w:type="dxa"/>
          </w:tcPr>
          <w:p w14:paraId="23A7888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16.6.5 </w:t>
            </w:r>
            <w:r w:rsidRPr="00D429B4">
              <w:rPr>
                <w:rFonts w:ascii="Verdana" w:hAnsi="Verdana"/>
                <w:sz w:val="16"/>
                <w:szCs w:val="16"/>
                <w:lang w:val="en-US"/>
              </w:rPr>
              <w:t xml:space="preserve">Calibration and validation. </w:t>
            </w:r>
          </w:p>
        </w:tc>
      </w:tr>
      <w:tr w:rsidR="00CD67E0" w:rsidRPr="00861FCE" w14:paraId="78E9708A" w14:textId="77777777" w:rsidTr="00335F65">
        <w:tc>
          <w:tcPr>
            <w:tcW w:w="4421" w:type="dxa"/>
          </w:tcPr>
          <w:p w14:paraId="582D015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16.6.5.1</w:t>
            </w:r>
            <w:r w:rsidRPr="00D429B4">
              <w:rPr>
                <w:rFonts w:ascii="Verdana" w:hAnsi="Verdana"/>
                <w:sz w:val="16"/>
                <w:szCs w:val="16"/>
                <w:lang w:val="es-MX"/>
              </w:rPr>
              <w:t xml:space="preserve"> Los distribuidores deben identificar los equipos y procesos a calificar y/o validar. El alcance y la extensión de dicha calificación y/o actividades de validación (como el almacenamiento, recepción, embalaje y transporte) deberá determinarse utilizando un enfoque de gestión de riesgos.</w:t>
            </w:r>
          </w:p>
        </w:tc>
        <w:tc>
          <w:tcPr>
            <w:tcW w:w="4421" w:type="dxa"/>
          </w:tcPr>
          <w:p w14:paraId="519915E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16.6.5.1 </w:t>
            </w:r>
            <w:r w:rsidRPr="00D429B4">
              <w:rPr>
                <w:rFonts w:ascii="Verdana" w:hAnsi="Verdana"/>
                <w:sz w:val="16"/>
                <w:szCs w:val="16"/>
                <w:lang w:val="en-US"/>
              </w:rPr>
              <w:t xml:space="preserve">The distributors must identify the equipment and processes to qualify and/or validate. The scope and the extension of said qualification and/or validation activities (such as storage, reception, packaging and transport) must be determined using a focus on risk management. </w:t>
            </w:r>
          </w:p>
        </w:tc>
      </w:tr>
      <w:tr w:rsidR="00CD67E0" w:rsidRPr="00945122" w14:paraId="29C4D00D" w14:textId="77777777" w:rsidTr="00335F65">
        <w:tc>
          <w:tcPr>
            <w:tcW w:w="4421" w:type="dxa"/>
          </w:tcPr>
          <w:p w14:paraId="2E8F5E7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16.6.5.2</w:t>
            </w:r>
            <w:r w:rsidRPr="00D429B4">
              <w:rPr>
                <w:rFonts w:ascii="Verdana" w:hAnsi="Verdana"/>
                <w:sz w:val="16"/>
                <w:szCs w:val="16"/>
                <w:lang w:val="es-MX"/>
              </w:rPr>
              <w:t xml:space="preserve"> La calificación de equipos y la validación de procesos tales como la cadena de frio deberá realizarse conforme al capítulo 9. Calificación y validación de esta Norma.</w:t>
            </w:r>
          </w:p>
        </w:tc>
        <w:tc>
          <w:tcPr>
            <w:tcW w:w="4421" w:type="dxa"/>
          </w:tcPr>
          <w:p w14:paraId="4D289AB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16.6.5.2 </w:t>
            </w:r>
            <w:r w:rsidRPr="00D429B4">
              <w:rPr>
                <w:rFonts w:ascii="Verdana" w:hAnsi="Verdana"/>
                <w:sz w:val="16"/>
                <w:szCs w:val="16"/>
                <w:lang w:val="en-US"/>
              </w:rPr>
              <w:t xml:space="preserve">The qualification of equipment and the validation of processes such as the cold chain must be made according to Chapter 9. Qualification and validation of this Standard. </w:t>
            </w:r>
          </w:p>
        </w:tc>
      </w:tr>
      <w:tr w:rsidR="00CD67E0" w:rsidRPr="00861FCE" w14:paraId="4D3ECFF4" w14:textId="77777777" w:rsidTr="00335F65">
        <w:tc>
          <w:tcPr>
            <w:tcW w:w="4421" w:type="dxa"/>
          </w:tcPr>
          <w:p w14:paraId="7E6E4D9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16.6.5.3</w:t>
            </w:r>
            <w:r w:rsidRPr="00D429B4">
              <w:rPr>
                <w:rFonts w:ascii="Verdana" w:hAnsi="Verdana"/>
                <w:sz w:val="16"/>
                <w:szCs w:val="16"/>
                <w:lang w:val="es-MX"/>
              </w:rPr>
              <w:t xml:space="preserve"> Los sistemas computacionales deberán validarse conforme al punto 9.13 de esta Norma</w:t>
            </w:r>
          </w:p>
        </w:tc>
        <w:tc>
          <w:tcPr>
            <w:tcW w:w="4421" w:type="dxa"/>
          </w:tcPr>
          <w:p w14:paraId="68A2EBD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16.6.5.3 </w:t>
            </w:r>
            <w:r w:rsidRPr="00D429B4">
              <w:rPr>
                <w:rFonts w:ascii="Verdana" w:hAnsi="Verdana"/>
                <w:sz w:val="16"/>
                <w:szCs w:val="16"/>
                <w:lang w:val="en-US"/>
              </w:rPr>
              <w:t xml:space="preserve">The computer systems must be validated according to point 9.13 of this standard. </w:t>
            </w:r>
          </w:p>
        </w:tc>
      </w:tr>
      <w:tr w:rsidR="00CD67E0" w:rsidRPr="00DD29AF" w14:paraId="6615C182" w14:textId="77777777" w:rsidTr="00335F65">
        <w:tc>
          <w:tcPr>
            <w:tcW w:w="4421" w:type="dxa"/>
          </w:tcPr>
          <w:p w14:paraId="7DBCA19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16.7 </w:t>
            </w:r>
            <w:r w:rsidRPr="00D429B4">
              <w:rPr>
                <w:rFonts w:ascii="Verdana" w:hAnsi="Verdana"/>
                <w:sz w:val="16"/>
                <w:szCs w:val="16"/>
                <w:lang w:val="es-MX"/>
              </w:rPr>
              <w:t>Documentación.</w:t>
            </w:r>
          </w:p>
        </w:tc>
        <w:tc>
          <w:tcPr>
            <w:tcW w:w="4421" w:type="dxa"/>
          </w:tcPr>
          <w:p w14:paraId="4890623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16.7 </w:t>
            </w:r>
            <w:r w:rsidRPr="00D429B4">
              <w:rPr>
                <w:rFonts w:ascii="Verdana" w:hAnsi="Verdana"/>
                <w:sz w:val="16"/>
                <w:szCs w:val="16"/>
                <w:lang w:val="en-US"/>
              </w:rPr>
              <w:t>Documentation.</w:t>
            </w:r>
          </w:p>
        </w:tc>
      </w:tr>
      <w:tr w:rsidR="00CD67E0" w:rsidRPr="00DD29AF" w14:paraId="1E7EC403" w14:textId="77777777" w:rsidTr="00335F65">
        <w:tc>
          <w:tcPr>
            <w:tcW w:w="4421" w:type="dxa"/>
          </w:tcPr>
          <w:p w14:paraId="6BAD820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16.7.1 </w:t>
            </w:r>
            <w:r w:rsidRPr="00D429B4">
              <w:rPr>
                <w:rFonts w:ascii="Verdana" w:hAnsi="Verdana"/>
                <w:sz w:val="16"/>
                <w:szCs w:val="16"/>
                <w:lang w:val="es-MX"/>
              </w:rPr>
              <w:t>Generalidades.</w:t>
            </w:r>
          </w:p>
        </w:tc>
        <w:tc>
          <w:tcPr>
            <w:tcW w:w="4421" w:type="dxa"/>
          </w:tcPr>
          <w:p w14:paraId="7A620C4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16.7.1 </w:t>
            </w:r>
            <w:r w:rsidRPr="00D429B4">
              <w:rPr>
                <w:rFonts w:ascii="Verdana" w:hAnsi="Verdana"/>
                <w:sz w:val="16"/>
                <w:szCs w:val="16"/>
                <w:lang w:val="en-US"/>
              </w:rPr>
              <w:t>General provisions.</w:t>
            </w:r>
          </w:p>
        </w:tc>
      </w:tr>
      <w:tr w:rsidR="00CD67E0" w:rsidRPr="00861FCE" w14:paraId="73E96FE8" w14:textId="77777777" w:rsidTr="00335F65">
        <w:tc>
          <w:tcPr>
            <w:tcW w:w="4421" w:type="dxa"/>
          </w:tcPr>
          <w:p w14:paraId="0032591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Una buena documentación es una parte esencial del Sistema de Gestión de Calidad. La documentación escrita debe evitar errores que procedan de la comunicación oral y permitir el seguimiento de las operaciones pertinentes durante la distribución de los medicamentos.</w:t>
            </w:r>
          </w:p>
        </w:tc>
        <w:tc>
          <w:tcPr>
            <w:tcW w:w="4421" w:type="dxa"/>
          </w:tcPr>
          <w:p w14:paraId="268FC0F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A good documentation is an essential part of the Quality Management System. The written documentation must avoid errors that proceed from oral communication and permit the follow-up of the pertinent operations during the distribution of the drug products. </w:t>
            </w:r>
          </w:p>
        </w:tc>
      </w:tr>
      <w:tr w:rsidR="00CD67E0" w:rsidRPr="00861FCE" w14:paraId="72DC7A1E" w14:textId="77777777" w:rsidTr="00335F65">
        <w:tc>
          <w:tcPr>
            <w:tcW w:w="4421" w:type="dxa"/>
          </w:tcPr>
          <w:p w14:paraId="5D7712C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16.7.2</w:t>
            </w:r>
            <w:r w:rsidRPr="00D429B4">
              <w:rPr>
                <w:rFonts w:ascii="Verdana" w:hAnsi="Verdana"/>
                <w:sz w:val="16"/>
                <w:szCs w:val="16"/>
                <w:lang w:val="es-MX"/>
              </w:rPr>
              <w:t xml:space="preserve"> La elaboración y manejo de la documentación deberá realizarse conforme al capítulo 5.2 Sistema de Documentación de esta Norma, el alcance del sistema estará basado en el tamaño y complejidad de la organización.</w:t>
            </w:r>
          </w:p>
        </w:tc>
        <w:tc>
          <w:tcPr>
            <w:tcW w:w="4421" w:type="dxa"/>
          </w:tcPr>
          <w:p w14:paraId="3C17A9D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16.7.2 </w:t>
            </w:r>
            <w:r w:rsidRPr="00D429B4">
              <w:rPr>
                <w:rFonts w:ascii="Verdana" w:hAnsi="Verdana"/>
                <w:sz w:val="16"/>
                <w:szCs w:val="16"/>
                <w:lang w:val="en-US"/>
              </w:rPr>
              <w:t xml:space="preserve">The preparation and handling of the documentation must be made according to Chapter 5.2, System of Documentation of this Standard, the scope of the system must be based on the size and complexity of the organization. </w:t>
            </w:r>
          </w:p>
        </w:tc>
      </w:tr>
      <w:tr w:rsidR="00CD67E0" w:rsidRPr="00861FCE" w14:paraId="7AFC2B90" w14:textId="77777777" w:rsidTr="00335F65">
        <w:tc>
          <w:tcPr>
            <w:tcW w:w="4421" w:type="dxa"/>
          </w:tcPr>
          <w:p w14:paraId="0F45D44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16.7.3</w:t>
            </w:r>
            <w:r w:rsidRPr="00D429B4">
              <w:rPr>
                <w:rFonts w:ascii="Verdana" w:hAnsi="Verdana"/>
                <w:sz w:val="16"/>
                <w:szCs w:val="16"/>
                <w:lang w:val="es-MX"/>
              </w:rPr>
              <w:t xml:space="preserve"> Se deben mantener registros de la transacción de medicamentos ya sea en forma de </w:t>
            </w:r>
            <w:r w:rsidRPr="00D429B4">
              <w:rPr>
                <w:rFonts w:ascii="Verdana" w:hAnsi="Verdana"/>
                <w:sz w:val="16"/>
                <w:szCs w:val="16"/>
                <w:lang w:val="es-MX"/>
              </w:rPr>
              <w:lastRenderedPageBreak/>
              <w:t>facturas de compra o de venta o cualquier documento que ampare la entrega o recepción del medicamento, en forma electrónica o en cualquier otra forma. Los registros deben incluir la siguiente información: fecha; nombre del medicamento; cantidad recibida, cantidad surtida; nombre y dirección del proveedor, cliente o destinatario; número de lote y fecha de caducidad. Los registros deben efectuarse en el momento en que se realiza cada operación.</w:t>
            </w:r>
          </w:p>
        </w:tc>
        <w:tc>
          <w:tcPr>
            <w:tcW w:w="4421" w:type="dxa"/>
          </w:tcPr>
          <w:p w14:paraId="04EC5EC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16.7.3 </w:t>
            </w:r>
            <w:r w:rsidRPr="00D429B4">
              <w:rPr>
                <w:rFonts w:ascii="Verdana" w:hAnsi="Verdana"/>
                <w:sz w:val="16"/>
                <w:szCs w:val="16"/>
                <w:lang w:val="en-US"/>
              </w:rPr>
              <w:t xml:space="preserve">Records of the transaction of drug products must be maintained, in the form of purchase or sale </w:t>
            </w:r>
            <w:r w:rsidRPr="00D429B4">
              <w:rPr>
                <w:rFonts w:ascii="Verdana" w:hAnsi="Verdana"/>
                <w:sz w:val="16"/>
                <w:szCs w:val="16"/>
                <w:lang w:val="en-US"/>
              </w:rPr>
              <w:lastRenderedPageBreak/>
              <w:t xml:space="preserve">invoices or any document that supports the delivery or reception of the drug product, electronically or in some other format. The records must include the following information: date; name of the drug product; quantity received, quantity supplied; name and address of the supplier, client or destination; lot number and expiration date. The records must be made at the moment in which each operation is made.  </w:t>
            </w:r>
          </w:p>
        </w:tc>
      </w:tr>
      <w:tr w:rsidR="00CD67E0" w:rsidRPr="00DD29AF" w14:paraId="67A45362" w14:textId="77777777" w:rsidTr="00335F65">
        <w:tc>
          <w:tcPr>
            <w:tcW w:w="4421" w:type="dxa"/>
          </w:tcPr>
          <w:p w14:paraId="37203384"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lastRenderedPageBreak/>
              <w:t xml:space="preserve">16.8. </w:t>
            </w:r>
            <w:r w:rsidRPr="00D429B4">
              <w:rPr>
                <w:rFonts w:ascii="Verdana" w:hAnsi="Verdana"/>
                <w:sz w:val="16"/>
                <w:szCs w:val="16"/>
                <w:lang w:val="es-MX"/>
              </w:rPr>
              <w:t>Operaciones.</w:t>
            </w:r>
          </w:p>
        </w:tc>
        <w:tc>
          <w:tcPr>
            <w:tcW w:w="4421" w:type="dxa"/>
          </w:tcPr>
          <w:p w14:paraId="696520B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 </w:t>
            </w:r>
            <w:r w:rsidRPr="00D429B4">
              <w:rPr>
                <w:rFonts w:ascii="Verdana" w:hAnsi="Verdana"/>
                <w:sz w:val="16"/>
                <w:szCs w:val="16"/>
                <w:lang w:val="en-US"/>
              </w:rPr>
              <w:t xml:space="preserve">Operations. </w:t>
            </w:r>
          </w:p>
        </w:tc>
      </w:tr>
      <w:tr w:rsidR="00CD67E0" w:rsidRPr="00DD29AF" w14:paraId="1A596D94" w14:textId="77777777" w:rsidTr="00335F65">
        <w:tc>
          <w:tcPr>
            <w:tcW w:w="4421" w:type="dxa"/>
          </w:tcPr>
          <w:p w14:paraId="261FC712"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16.8.1 </w:t>
            </w:r>
            <w:r w:rsidRPr="00D429B4">
              <w:rPr>
                <w:rFonts w:ascii="Verdana" w:hAnsi="Verdana"/>
                <w:sz w:val="16"/>
                <w:szCs w:val="16"/>
                <w:lang w:val="es-MX"/>
              </w:rPr>
              <w:t>Generalidades.</w:t>
            </w:r>
          </w:p>
        </w:tc>
        <w:tc>
          <w:tcPr>
            <w:tcW w:w="4421" w:type="dxa"/>
          </w:tcPr>
          <w:p w14:paraId="2C24C9A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16.8.1 </w:t>
            </w:r>
            <w:r w:rsidRPr="00D429B4">
              <w:rPr>
                <w:rFonts w:ascii="Verdana" w:hAnsi="Verdana"/>
                <w:sz w:val="16"/>
                <w:szCs w:val="16"/>
                <w:lang w:val="en-US"/>
              </w:rPr>
              <w:t xml:space="preserve">General provisions. </w:t>
            </w:r>
          </w:p>
        </w:tc>
      </w:tr>
      <w:tr w:rsidR="00CD67E0" w:rsidRPr="00861FCE" w14:paraId="74B6376F" w14:textId="77777777" w:rsidTr="00335F65">
        <w:tc>
          <w:tcPr>
            <w:tcW w:w="4421" w:type="dxa"/>
          </w:tcPr>
          <w:p w14:paraId="73CD930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Todas las medidas adoptadas por los distribuidores deben asegurar que la identificación del medicamento no se pierda y que la distribución se realice de acuerdo a la información en el empaque secundario.  El distribuidor debe utilizar todos los medios disponibles para reducir al mínimo el riesgo de que medicamentos falsificados entren en la cadena de suministro. Todos los medicamentos distribuidos en el mercado deberán de contar con un Registro Sanitario.</w:t>
            </w:r>
          </w:p>
        </w:tc>
        <w:tc>
          <w:tcPr>
            <w:tcW w:w="4421" w:type="dxa"/>
          </w:tcPr>
          <w:p w14:paraId="308EE36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All the measures adopted by the distributors must assure that the identification of the drug product is not lost and that the distribution is made according to the information on the secondary packaging. The distributor must use all the means available for reducing to the minimum the risk that the falsified drug products enter into the supply chain. All the drug products distributed in the market must have a Sanitary Registration. </w:t>
            </w:r>
          </w:p>
        </w:tc>
      </w:tr>
      <w:tr w:rsidR="00CD67E0" w:rsidRPr="00DD29AF" w14:paraId="6C047AA3" w14:textId="77777777" w:rsidTr="00335F65">
        <w:tc>
          <w:tcPr>
            <w:tcW w:w="4421" w:type="dxa"/>
          </w:tcPr>
          <w:p w14:paraId="0D79A1C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16.8.2 </w:t>
            </w:r>
            <w:r w:rsidRPr="00D429B4">
              <w:rPr>
                <w:rFonts w:ascii="Verdana" w:hAnsi="Verdana"/>
                <w:sz w:val="16"/>
                <w:szCs w:val="16"/>
                <w:lang w:val="es-MX"/>
              </w:rPr>
              <w:t>Calificación de proveedores</w:t>
            </w:r>
          </w:p>
        </w:tc>
        <w:tc>
          <w:tcPr>
            <w:tcW w:w="4421" w:type="dxa"/>
          </w:tcPr>
          <w:p w14:paraId="0E40EE5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16.8.2 </w:t>
            </w:r>
            <w:r w:rsidRPr="00D429B4">
              <w:rPr>
                <w:rFonts w:ascii="Verdana" w:hAnsi="Verdana"/>
                <w:sz w:val="16"/>
                <w:szCs w:val="16"/>
                <w:lang w:val="en-US"/>
              </w:rPr>
              <w:t xml:space="preserve">Qualification of suppliers. </w:t>
            </w:r>
          </w:p>
        </w:tc>
      </w:tr>
      <w:tr w:rsidR="00CD67E0" w:rsidRPr="00861FCE" w14:paraId="1E2BB487" w14:textId="77777777" w:rsidTr="00335F65">
        <w:tc>
          <w:tcPr>
            <w:tcW w:w="4421" w:type="dxa"/>
          </w:tcPr>
          <w:p w14:paraId="02E1A2C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16.8.2.1</w:t>
            </w:r>
            <w:r w:rsidRPr="00D429B4">
              <w:rPr>
                <w:rFonts w:ascii="Verdana" w:hAnsi="Verdana"/>
                <w:sz w:val="16"/>
                <w:szCs w:val="16"/>
                <w:lang w:val="es-MX"/>
              </w:rPr>
              <w:t xml:space="preserve"> Los distribuidores deben obtener los medicamentos de almacenes de depósito y distribución de medicamentos o de Fábricas o laboratorio de medicamentos que cuenten con licencia sanitaria o aviso de funcionamiento según corresponda.</w:t>
            </w:r>
          </w:p>
        </w:tc>
        <w:tc>
          <w:tcPr>
            <w:tcW w:w="4421" w:type="dxa"/>
          </w:tcPr>
          <w:p w14:paraId="252F2F0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16.8.2.1 </w:t>
            </w:r>
            <w:r w:rsidRPr="00D429B4">
              <w:rPr>
                <w:rFonts w:ascii="Verdana" w:hAnsi="Verdana"/>
                <w:sz w:val="16"/>
                <w:szCs w:val="16"/>
                <w:lang w:val="en-US"/>
              </w:rPr>
              <w:t xml:space="preserve">The distributors must obtain the drug products from deposit and distribution warehouses of drug products or from factories or laboratory of drug products that have a sanitary license or notice of functioning as applicable. </w:t>
            </w:r>
          </w:p>
        </w:tc>
      </w:tr>
      <w:tr w:rsidR="00CD67E0" w:rsidRPr="00861FCE" w14:paraId="5320BC9B" w14:textId="77777777" w:rsidTr="00335F65">
        <w:tc>
          <w:tcPr>
            <w:tcW w:w="4421" w:type="dxa"/>
          </w:tcPr>
          <w:p w14:paraId="0DB9642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16.8.2.2 </w:t>
            </w:r>
            <w:r w:rsidRPr="00D429B4">
              <w:rPr>
                <w:rFonts w:ascii="Verdana" w:hAnsi="Verdana"/>
                <w:sz w:val="16"/>
                <w:szCs w:val="16"/>
                <w:lang w:val="es-MX"/>
              </w:rPr>
              <w:t>Debe realizarse la calificación y aprobación de proveedores antes de adquirir cualquier medicamento. Esto debe controlarse mediante un procedimiento, y los resultados deben documentarse y comprobarse periódicamente mediante un enfoque basado en el riesgo.</w:t>
            </w:r>
          </w:p>
        </w:tc>
        <w:tc>
          <w:tcPr>
            <w:tcW w:w="4421" w:type="dxa"/>
          </w:tcPr>
          <w:p w14:paraId="1C430B9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16.8.2.2 </w:t>
            </w:r>
            <w:r w:rsidRPr="00D429B4">
              <w:rPr>
                <w:rFonts w:ascii="Verdana" w:hAnsi="Verdana"/>
                <w:sz w:val="16"/>
                <w:szCs w:val="16"/>
                <w:lang w:val="en-US"/>
              </w:rPr>
              <w:t xml:space="preserve">The qualification and approval of suppliers must be made before acquiring any drug product. This must be controlled through a procedure and the results must be documented and verified periodically through a focused based on risks. </w:t>
            </w:r>
          </w:p>
        </w:tc>
      </w:tr>
      <w:tr w:rsidR="00CD67E0" w:rsidRPr="00861FCE" w14:paraId="7BCC7125" w14:textId="77777777" w:rsidTr="00335F65">
        <w:tc>
          <w:tcPr>
            <w:tcW w:w="4421" w:type="dxa"/>
          </w:tcPr>
          <w:p w14:paraId="29F05FD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16.8.2.3</w:t>
            </w:r>
            <w:r w:rsidRPr="00D429B4">
              <w:rPr>
                <w:rFonts w:ascii="Verdana" w:hAnsi="Verdana"/>
                <w:sz w:val="16"/>
                <w:szCs w:val="16"/>
                <w:lang w:val="es-MX"/>
              </w:rPr>
              <w:t xml:space="preserve"> Cuando se realice un contrato con nuevos proveedores, el distribuidor debe realizar auditorías con el fin de evaluar la idoneidad, competencia y fiabilidad de la otra parte.</w:t>
            </w:r>
          </w:p>
        </w:tc>
        <w:tc>
          <w:tcPr>
            <w:tcW w:w="4421" w:type="dxa"/>
          </w:tcPr>
          <w:p w14:paraId="0599E3F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16.8.2.3 </w:t>
            </w:r>
            <w:r w:rsidRPr="00D429B4">
              <w:rPr>
                <w:rFonts w:ascii="Verdana" w:hAnsi="Verdana"/>
                <w:sz w:val="16"/>
                <w:szCs w:val="16"/>
                <w:lang w:val="en-US"/>
              </w:rPr>
              <w:t xml:space="preserve">When a contract is made with new suppliers, the distributor must perform audits for the purpose of evaluating the suitability, competence and fidelity of the other party. </w:t>
            </w:r>
          </w:p>
        </w:tc>
      </w:tr>
      <w:tr w:rsidR="00CD67E0" w:rsidRPr="00DD29AF" w14:paraId="15BBD4A3" w14:textId="77777777" w:rsidTr="00335F65">
        <w:tc>
          <w:tcPr>
            <w:tcW w:w="4421" w:type="dxa"/>
          </w:tcPr>
          <w:p w14:paraId="6D1D8B8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16.8.3 </w:t>
            </w:r>
            <w:r w:rsidRPr="00D429B4">
              <w:rPr>
                <w:rFonts w:ascii="Verdana" w:hAnsi="Verdana"/>
                <w:sz w:val="16"/>
                <w:szCs w:val="16"/>
                <w:lang w:val="es-MX"/>
              </w:rPr>
              <w:t>Calificación de clientes.</w:t>
            </w:r>
          </w:p>
        </w:tc>
        <w:tc>
          <w:tcPr>
            <w:tcW w:w="4421" w:type="dxa"/>
          </w:tcPr>
          <w:p w14:paraId="217EBA3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16.8.3 </w:t>
            </w:r>
            <w:r w:rsidRPr="00D429B4">
              <w:rPr>
                <w:rFonts w:ascii="Verdana" w:hAnsi="Verdana"/>
                <w:sz w:val="16"/>
                <w:szCs w:val="16"/>
                <w:lang w:val="en-US"/>
              </w:rPr>
              <w:t xml:space="preserve">Qualification of clients. </w:t>
            </w:r>
          </w:p>
        </w:tc>
      </w:tr>
      <w:tr w:rsidR="00CD67E0" w:rsidRPr="00861FCE" w14:paraId="48660556" w14:textId="77777777" w:rsidTr="00335F65">
        <w:tc>
          <w:tcPr>
            <w:tcW w:w="4421" w:type="dxa"/>
          </w:tcPr>
          <w:p w14:paraId="61D92B3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16.8.3.1 </w:t>
            </w:r>
            <w:r w:rsidRPr="00D429B4">
              <w:rPr>
                <w:rFonts w:ascii="Verdana" w:hAnsi="Verdana"/>
                <w:sz w:val="16"/>
                <w:szCs w:val="16"/>
                <w:lang w:val="es-MX"/>
              </w:rPr>
              <w:t>Los distribuidores deben asegurar de que suministran medicamentos a almacenes o farmacias que cuenten con aviso de funcionamiento o en su caso de Licencia Sanitaria.</w:t>
            </w:r>
          </w:p>
        </w:tc>
        <w:tc>
          <w:tcPr>
            <w:tcW w:w="4421" w:type="dxa"/>
          </w:tcPr>
          <w:p w14:paraId="635B80B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16.8.3.1 </w:t>
            </w:r>
            <w:r w:rsidRPr="00D429B4">
              <w:rPr>
                <w:rFonts w:ascii="Verdana" w:hAnsi="Verdana"/>
                <w:sz w:val="16"/>
                <w:szCs w:val="16"/>
                <w:lang w:val="en-US"/>
              </w:rPr>
              <w:t xml:space="preserve">The distributors must assure that they supply drug products to warehouses or pharmacies that have a notice of functioning or when applicable, the Sanitary License. </w:t>
            </w:r>
          </w:p>
        </w:tc>
      </w:tr>
      <w:tr w:rsidR="00CD67E0" w:rsidRPr="00861FCE" w14:paraId="6663A5BA" w14:textId="77777777" w:rsidTr="00335F65">
        <w:tc>
          <w:tcPr>
            <w:tcW w:w="4421" w:type="dxa"/>
          </w:tcPr>
          <w:p w14:paraId="0CE77CB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16.8.3.2</w:t>
            </w:r>
            <w:r w:rsidRPr="00D429B4">
              <w:rPr>
                <w:rFonts w:ascii="Verdana" w:hAnsi="Verdana"/>
                <w:sz w:val="16"/>
                <w:szCs w:val="16"/>
                <w:lang w:val="es-MX"/>
              </w:rPr>
              <w:t xml:space="preserve"> Los distribuidores deben vigilar sus transacciones e investigar cualquier irregularidad en los patrones de ventas de medicamentos en riesgo de desviación (por ejemplo, estupefacientes, sustancias psicotrópicas). Los patrones de ventas inusuales que pueden constituir desvío o uso indebido del medicamento deben ser investigados y denunciados a las autoridades competentes en caso necesario.</w:t>
            </w:r>
          </w:p>
        </w:tc>
        <w:tc>
          <w:tcPr>
            <w:tcW w:w="4421" w:type="dxa"/>
          </w:tcPr>
          <w:p w14:paraId="27A7AB4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16.8.3.2 </w:t>
            </w:r>
            <w:r w:rsidRPr="00D429B4">
              <w:rPr>
                <w:rFonts w:ascii="Verdana" w:hAnsi="Verdana"/>
                <w:sz w:val="16"/>
                <w:szCs w:val="16"/>
                <w:lang w:val="en-US"/>
              </w:rPr>
              <w:t xml:space="preserve">The distributors must oversee their transactions and investigate any irregularity in the patterns of sales of drug products at risk of deviation (for example, narcotics, psychotropic substances). The unusual sales patterns that can constitute a deviation or undue use of the drug product must be investigated and denounced to the appropriate authorities when necessary. </w:t>
            </w:r>
          </w:p>
        </w:tc>
      </w:tr>
      <w:tr w:rsidR="00CD67E0" w:rsidRPr="00DD29AF" w14:paraId="26AB4827" w14:textId="77777777" w:rsidTr="00335F65">
        <w:tc>
          <w:tcPr>
            <w:tcW w:w="4421" w:type="dxa"/>
          </w:tcPr>
          <w:p w14:paraId="17D9BAF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16.8.4 </w:t>
            </w:r>
            <w:r w:rsidRPr="00D429B4">
              <w:rPr>
                <w:rFonts w:ascii="Verdana" w:hAnsi="Verdana"/>
                <w:sz w:val="16"/>
                <w:szCs w:val="16"/>
                <w:lang w:val="es-MX"/>
              </w:rPr>
              <w:t>Recepción de medicamentos.</w:t>
            </w:r>
          </w:p>
        </w:tc>
        <w:tc>
          <w:tcPr>
            <w:tcW w:w="4421" w:type="dxa"/>
          </w:tcPr>
          <w:p w14:paraId="16E6933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16.8.4 </w:t>
            </w:r>
            <w:r w:rsidRPr="00D429B4">
              <w:rPr>
                <w:rFonts w:ascii="Verdana" w:hAnsi="Verdana"/>
                <w:sz w:val="16"/>
                <w:szCs w:val="16"/>
                <w:lang w:val="en-US"/>
              </w:rPr>
              <w:t xml:space="preserve">Reception of drug products. </w:t>
            </w:r>
          </w:p>
        </w:tc>
      </w:tr>
      <w:tr w:rsidR="00CD67E0" w:rsidRPr="00DD29AF" w14:paraId="47A99689" w14:textId="77777777" w:rsidTr="00335F65">
        <w:tc>
          <w:tcPr>
            <w:tcW w:w="4421" w:type="dxa"/>
          </w:tcPr>
          <w:p w14:paraId="13FBD47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16.8.4.1</w:t>
            </w:r>
            <w:r w:rsidRPr="00D429B4">
              <w:rPr>
                <w:rFonts w:ascii="Verdana" w:hAnsi="Verdana"/>
                <w:sz w:val="16"/>
                <w:szCs w:val="16"/>
                <w:lang w:val="es-MX"/>
              </w:rPr>
              <w:t xml:space="preserve"> Generalidades.</w:t>
            </w:r>
          </w:p>
        </w:tc>
        <w:tc>
          <w:tcPr>
            <w:tcW w:w="4421" w:type="dxa"/>
          </w:tcPr>
          <w:p w14:paraId="3F1299F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16.8.4.1 </w:t>
            </w:r>
            <w:r w:rsidRPr="00D429B4">
              <w:rPr>
                <w:rFonts w:ascii="Verdana" w:hAnsi="Verdana"/>
                <w:sz w:val="16"/>
                <w:szCs w:val="16"/>
                <w:lang w:val="en-US"/>
              </w:rPr>
              <w:t xml:space="preserve">General provisions. </w:t>
            </w:r>
          </w:p>
        </w:tc>
      </w:tr>
      <w:tr w:rsidR="00CD67E0" w:rsidRPr="00861FCE" w14:paraId="136AE9C8" w14:textId="77777777" w:rsidTr="00335F65">
        <w:tc>
          <w:tcPr>
            <w:tcW w:w="4421" w:type="dxa"/>
          </w:tcPr>
          <w:p w14:paraId="5000DEA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El propósito de la función de recepción es asegurar que el medicamento recibido sea correcto, que se originan de proveedores aprobados y que no hayan sufrido de daños visibles durante el transporte.</w:t>
            </w:r>
          </w:p>
        </w:tc>
        <w:tc>
          <w:tcPr>
            <w:tcW w:w="4421" w:type="dxa"/>
          </w:tcPr>
          <w:p w14:paraId="4C69D70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 xml:space="preserve">The purpose of the function of reception is to assure that the drug product received is correct, that is originates from approved suppliers and that it has not suffered visible damages during transport. </w:t>
            </w:r>
          </w:p>
        </w:tc>
      </w:tr>
      <w:tr w:rsidR="00CD67E0" w:rsidRPr="00861FCE" w14:paraId="7D3822A4" w14:textId="77777777" w:rsidTr="00335F65">
        <w:tc>
          <w:tcPr>
            <w:tcW w:w="4421" w:type="dxa"/>
          </w:tcPr>
          <w:p w14:paraId="0797670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16.8.4.2</w:t>
            </w:r>
            <w:r w:rsidRPr="00D429B4">
              <w:rPr>
                <w:rFonts w:ascii="Verdana" w:hAnsi="Verdana"/>
                <w:sz w:val="16"/>
                <w:szCs w:val="16"/>
                <w:lang w:val="es-MX"/>
              </w:rPr>
              <w:t xml:space="preserve"> Se debe dar prioridad a los medicamentos que requieren medidas especiales de manejo, almacenamiento o de seguridad y una vez que se haya conducido la revisión deben ser trasladados de inmediato a las instalaciones de almacenamiento adecuadas.</w:t>
            </w:r>
          </w:p>
        </w:tc>
        <w:tc>
          <w:tcPr>
            <w:tcW w:w="4421" w:type="dxa"/>
          </w:tcPr>
          <w:p w14:paraId="5657B14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16.8.4.2 </w:t>
            </w:r>
            <w:r w:rsidRPr="00D429B4">
              <w:rPr>
                <w:rFonts w:ascii="Verdana" w:hAnsi="Verdana"/>
                <w:sz w:val="16"/>
                <w:szCs w:val="16"/>
                <w:lang w:val="en-US"/>
              </w:rPr>
              <w:t xml:space="preserve">Priority must be given to the drug products that require special measures for handling, storage or security and once the review is conducted, they must be transferred immediately to the installations of adequate storage. </w:t>
            </w:r>
          </w:p>
        </w:tc>
      </w:tr>
      <w:tr w:rsidR="00CD67E0" w:rsidRPr="00861FCE" w14:paraId="5FC75A3C" w14:textId="77777777" w:rsidTr="00335F65">
        <w:tc>
          <w:tcPr>
            <w:tcW w:w="4421" w:type="dxa"/>
          </w:tcPr>
          <w:p w14:paraId="6D95DC7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16.8.4.3</w:t>
            </w:r>
            <w:r w:rsidRPr="00D429B4">
              <w:rPr>
                <w:rFonts w:ascii="Verdana" w:hAnsi="Verdana"/>
                <w:sz w:val="16"/>
                <w:szCs w:val="16"/>
                <w:lang w:val="es-MX"/>
              </w:rPr>
              <w:t xml:space="preserve"> Los lotes de medicamentos no deben ponerse disponibles para su distribución antes de asegurarse de que se hayan obtenido de conformidad con los procedimientos escritos.</w:t>
            </w:r>
          </w:p>
        </w:tc>
        <w:tc>
          <w:tcPr>
            <w:tcW w:w="4421" w:type="dxa"/>
          </w:tcPr>
          <w:p w14:paraId="2937E13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16.8.4.3 </w:t>
            </w:r>
            <w:r w:rsidRPr="00D429B4">
              <w:rPr>
                <w:rFonts w:ascii="Verdana" w:hAnsi="Verdana"/>
                <w:sz w:val="16"/>
                <w:szCs w:val="16"/>
                <w:lang w:val="en-US"/>
              </w:rPr>
              <w:t xml:space="preserve">The drug products lots must not be made available for their distribution before assuring that they were obtained according to the written procedures. </w:t>
            </w:r>
          </w:p>
        </w:tc>
      </w:tr>
      <w:tr w:rsidR="00CD67E0" w:rsidRPr="00861FCE" w14:paraId="00BDE80E" w14:textId="77777777" w:rsidTr="00335F65">
        <w:tc>
          <w:tcPr>
            <w:tcW w:w="4421" w:type="dxa"/>
          </w:tcPr>
          <w:p w14:paraId="7DDDA18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16.8.4.4 </w:t>
            </w:r>
            <w:r w:rsidRPr="00D429B4">
              <w:rPr>
                <w:rFonts w:ascii="Verdana" w:hAnsi="Verdana"/>
                <w:sz w:val="16"/>
                <w:szCs w:val="16"/>
                <w:lang w:val="es-MX"/>
              </w:rPr>
              <w:t>Si se sospecha de un producto falsificado, el lote debe ser segregado y reportado a la Secretaría.</w:t>
            </w:r>
          </w:p>
        </w:tc>
        <w:tc>
          <w:tcPr>
            <w:tcW w:w="4421" w:type="dxa"/>
          </w:tcPr>
          <w:p w14:paraId="3A8AFAA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16.8.4.4 </w:t>
            </w:r>
            <w:r w:rsidRPr="00D429B4">
              <w:rPr>
                <w:rFonts w:ascii="Verdana" w:hAnsi="Verdana"/>
                <w:sz w:val="16"/>
                <w:szCs w:val="16"/>
                <w:lang w:val="en-US"/>
              </w:rPr>
              <w:t xml:space="preserve">If it is suspected that a product is falsified, the lot must be segregated and reported to the Secretary. </w:t>
            </w:r>
          </w:p>
        </w:tc>
      </w:tr>
      <w:tr w:rsidR="00CD67E0" w:rsidRPr="008D2740" w14:paraId="3F0BCFC4" w14:textId="77777777" w:rsidTr="00335F65">
        <w:tc>
          <w:tcPr>
            <w:tcW w:w="4421" w:type="dxa"/>
          </w:tcPr>
          <w:p w14:paraId="107C145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16.8.5 </w:t>
            </w:r>
            <w:r w:rsidRPr="00D429B4">
              <w:rPr>
                <w:rFonts w:ascii="Verdana" w:hAnsi="Verdana"/>
                <w:sz w:val="16"/>
                <w:szCs w:val="16"/>
                <w:lang w:val="es-MX"/>
              </w:rPr>
              <w:t>Almacenamiento.</w:t>
            </w:r>
          </w:p>
        </w:tc>
        <w:tc>
          <w:tcPr>
            <w:tcW w:w="4421" w:type="dxa"/>
          </w:tcPr>
          <w:p w14:paraId="03250A6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16.8.5 </w:t>
            </w:r>
            <w:r w:rsidRPr="00D429B4">
              <w:rPr>
                <w:rFonts w:ascii="Verdana" w:hAnsi="Verdana"/>
                <w:sz w:val="16"/>
                <w:szCs w:val="16"/>
                <w:lang w:val="en-US"/>
              </w:rPr>
              <w:t xml:space="preserve">Storage. </w:t>
            </w:r>
          </w:p>
        </w:tc>
      </w:tr>
      <w:tr w:rsidR="00CD67E0" w:rsidRPr="00861FCE" w14:paraId="2DB51516" w14:textId="77777777" w:rsidTr="00335F65">
        <w:tc>
          <w:tcPr>
            <w:tcW w:w="4421" w:type="dxa"/>
          </w:tcPr>
          <w:p w14:paraId="432E6DF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16.8.5.1</w:t>
            </w:r>
            <w:r w:rsidRPr="00D429B4">
              <w:rPr>
                <w:rFonts w:ascii="Verdana" w:hAnsi="Verdana"/>
                <w:sz w:val="16"/>
                <w:szCs w:val="16"/>
                <w:lang w:val="es-MX"/>
              </w:rPr>
              <w:t xml:space="preserve"> Los medicamentos deben almacenarse por separado de otros productos que puedan alterarlos y deben ser protegidos de los efectos nocivos de la luz, la temperatura, la humedad y otros factores externos. Se debe prestar atención a los productos que requieren condiciones específicas de almacenamiento.</w:t>
            </w:r>
          </w:p>
        </w:tc>
        <w:tc>
          <w:tcPr>
            <w:tcW w:w="4421" w:type="dxa"/>
          </w:tcPr>
          <w:p w14:paraId="673D175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16.8.5.1 </w:t>
            </w:r>
            <w:r w:rsidRPr="00D429B4">
              <w:rPr>
                <w:rFonts w:ascii="Verdana" w:hAnsi="Verdana"/>
                <w:sz w:val="16"/>
                <w:szCs w:val="16"/>
                <w:lang w:val="en-US"/>
              </w:rPr>
              <w:t xml:space="preserve">The drug products must be stored separately from other products that can alter them and must be protected from harmful effects of light, temperature, humidity and other external factors. Attention must be paid to products that require specific storage conditions. </w:t>
            </w:r>
          </w:p>
        </w:tc>
      </w:tr>
      <w:tr w:rsidR="00CD67E0" w:rsidRPr="00861FCE" w14:paraId="06E993E7" w14:textId="77777777" w:rsidTr="00335F65">
        <w:tc>
          <w:tcPr>
            <w:tcW w:w="4421" w:type="dxa"/>
          </w:tcPr>
          <w:p w14:paraId="16F6B47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16.8.5.2</w:t>
            </w:r>
            <w:r w:rsidRPr="00D429B4">
              <w:rPr>
                <w:rFonts w:ascii="Verdana" w:hAnsi="Verdana"/>
                <w:sz w:val="16"/>
                <w:szCs w:val="16"/>
                <w:lang w:val="es-MX"/>
              </w:rPr>
              <w:t xml:space="preserve"> Deben limpiarse los contenedores de medicamentos a la recepción antes de su almacenamiento, si es necesario.</w:t>
            </w:r>
          </w:p>
        </w:tc>
        <w:tc>
          <w:tcPr>
            <w:tcW w:w="4421" w:type="dxa"/>
          </w:tcPr>
          <w:p w14:paraId="11766AB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16.8.5.2 </w:t>
            </w:r>
            <w:r w:rsidRPr="00D429B4">
              <w:rPr>
                <w:rFonts w:ascii="Verdana" w:hAnsi="Verdana"/>
                <w:sz w:val="16"/>
                <w:szCs w:val="16"/>
                <w:lang w:val="en-US"/>
              </w:rPr>
              <w:t xml:space="preserve">The containers of drug products must be cleaned on reception before their storage, if necessary. </w:t>
            </w:r>
          </w:p>
        </w:tc>
      </w:tr>
      <w:tr w:rsidR="00CD67E0" w:rsidRPr="00861FCE" w14:paraId="49BE6C1E" w14:textId="77777777" w:rsidTr="00335F65">
        <w:tc>
          <w:tcPr>
            <w:tcW w:w="4421" w:type="dxa"/>
          </w:tcPr>
          <w:p w14:paraId="49DBC41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16.8.5.3</w:t>
            </w:r>
            <w:r w:rsidRPr="00D429B4">
              <w:rPr>
                <w:rFonts w:ascii="Verdana" w:hAnsi="Verdana"/>
                <w:sz w:val="16"/>
                <w:szCs w:val="16"/>
                <w:lang w:val="es-MX"/>
              </w:rPr>
              <w:t xml:space="preserve"> Las operaciones de almacenamiento deben garantizar unas condiciones de almacenamiento adecuadas y permitir una protección adecuada de las existencias.</w:t>
            </w:r>
          </w:p>
        </w:tc>
        <w:tc>
          <w:tcPr>
            <w:tcW w:w="4421" w:type="dxa"/>
          </w:tcPr>
          <w:p w14:paraId="0EFE383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16.8.5.3 </w:t>
            </w:r>
            <w:r w:rsidRPr="00D429B4">
              <w:rPr>
                <w:rFonts w:ascii="Verdana" w:hAnsi="Verdana"/>
                <w:sz w:val="16"/>
                <w:szCs w:val="16"/>
                <w:lang w:val="en-US"/>
              </w:rPr>
              <w:t xml:space="preserve">The storage operations must guarantee adequate storage conditions and permit an adequate protection of the inventories. </w:t>
            </w:r>
          </w:p>
        </w:tc>
      </w:tr>
      <w:tr w:rsidR="00CD67E0" w:rsidRPr="0057752A" w14:paraId="31269BEA" w14:textId="77777777" w:rsidTr="00335F65">
        <w:tc>
          <w:tcPr>
            <w:tcW w:w="4421" w:type="dxa"/>
          </w:tcPr>
          <w:p w14:paraId="29469D3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16.8.5.4</w:t>
            </w:r>
            <w:r w:rsidRPr="00D429B4">
              <w:rPr>
                <w:rFonts w:ascii="Verdana" w:hAnsi="Verdana"/>
                <w:sz w:val="16"/>
                <w:szCs w:val="16"/>
                <w:lang w:val="es-MX"/>
              </w:rPr>
              <w:t xml:space="preserve"> La rotación de las existencias deben efectuarse de manera que se siga el principio de primeras entradas, primeras salidas (PEPS) o primeras caducidades primeras salidas. Las excepciones deben estar documentadas.</w:t>
            </w:r>
          </w:p>
        </w:tc>
        <w:tc>
          <w:tcPr>
            <w:tcW w:w="4421" w:type="dxa"/>
          </w:tcPr>
          <w:p w14:paraId="1509B9B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16.8.5.4 </w:t>
            </w:r>
            <w:r w:rsidRPr="00D429B4">
              <w:rPr>
                <w:rFonts w:ascii="Verdana" w:hAnsi="Verdana"/>
                <w:sz w:val="16"/>
                <w:szCs w:val="16"/>
                <w:lang w:val="en-US"/>
              </w:rPr>
              <w:t xml:space="preserve">The rotation of the inventory must be done in a way that follows the principle of First In, First Out (FIFO) or first expired, first out. The exceptions must be documented. </w:t>
            </w:r>
          </w:p>
        </w:tc>
      </w:tr>
      <w:tr w:rsidR="00CD67E0" w:rsidRPr="0057752A" w14:paraId="7387FC67" w14:textId="77777777" w:rsidTr="00335F65">
        <w:tc>
          <w:tcPr>
            <w:tcW w:w="4421" w:type="dxa"/>
          </w:tcPr>
          <w:p w14:paraId="3138323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16.8.5.5</w:t>
            </w:r>
            <w:r w:rsidRPr="00D429B4">
              <w:rPr>
                <w:rFonts w:ascii="Verdana" w:hAnsi="Verdana"/>
                <w:sz w:val="16"/>
                <w:szCs w:val="16"/>
                <w:lang w:val="es-MX"/>
              </w:rPr>
              <w:t xml:space="preserve"> Los medicamentos deben manipularse y almacenarse de manera que se impidan derrames, roturas, contaminación y mezclas. Los medicamentos no deben almacenarse directamente en el suelo a menos que el empaque esté diseñado para colocarse directamente en el piso manteniendo la calidad y seguridad del mismo. Como en el caso de cilindros de gas medicinal.</w:t>
            </w:r>
          </w:p>
        </w:tc>
        <w:tc>
          <w:tcPr>
            <w:tcW w:w="4421" w:type="dxa"/>
          </w:tcPr>
          <w:p w14:paraId="53EAD8B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16.8.5.5 </w:t>
            </w:r>
            <w:r w:rsidRPr="00D429B4">
              <w:rPr>
                <w:rFonts w:ascii="Verdana" w:hAnsi="Verdana"/>
                <w:sz w:val="16"/>
                <w:szCs w:val="16"/>
                <w:lang w:val="en-US"/>
              </w:rPr>
              <w:t xml:space="preserve">The drug products must be handled and stored in a way that spills, breaks, contamination and mixtures are impeded. The drug products must not be stored directly on the ground unless the packaging is designed to be placed directly on the floor maintaining the quality and security of the same. Such as in the case of medicinal gas cylinders. </w:t>
            </w:r>
          </w:p>
        </w:tc>
      </w:tr>
      <w:tr w:rsidR="00CD67E0" w:rsidRPr="00861FCE" w14:paraId="4AA9F62F" w14:textId="77777777" w:rsidTr="00335F65">
        <w:tc>
          <w:tcPr>
            <w:tcW w:w="4421" w:type="dxa"/>
          </w:tcPr>
          <w:p w14:paraId="42EAF02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16.8.5.6</w:t>
            </w:r>
            <w:r w:rsidRPr="00D429B4">
              <w:rPr>
                <w:rFonts w:ascii="Verdana" w:hAnsi="Verdana"/>
                <w:sz w:val="16"/>
                <w:szCs w:val="16"/>
                <w:lang w:val="es-MX"/>
              </w:rPr>
              <w:t xml:space="preserve"> Se debe contar con instrucciones precisas para el control de los inventarios cuando entren a una vida útil remanente de tres meses y los medicamentos que entren en su último mes de vida útil deben retirarse de las existencias vendibles.</w:t>
            </w:r>
          </w:p>
        </w:tc>
        <w:tc>
          <w:tcPr>
            <w:tcW w:w="4421" w:type="dxa"/>
          </w:tcPr>
          <w:p w14:paraId="4A0C085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16.8.5.6 </w:t>
            </w:r>
            <w:r w:rsidRPr="00D429B4">
              <w:rPr>
                <w:rFonts w:ascii="Verdana" w:hAnsi="Verdana"/>
                <w:sz w:val="16"/>
                <w:szCs w:val="16"/>
                <w:lang w:val="en-US"/>
              </w:rPr>
              <w:t xml:space="preserve">There must be precise instructions for the control of the inventories when they enter a remaining useful life of three months and the drug products that enter into their last month of useful life must be withdrawn from the saleable inventory. </w:t>
            </w:r>
          </w:p>
        </w:tc>
      </w:tr>
      <w:tr w:rsidR="00CD67E0" w:rsidRPr="00861FCE" w14:paraId="0EE55D42" w14:textId="77777777" w:rsidTr="00335F65">
        <w:tc>
          <w:tcPr>
            <w:tcW w:w="4421" w:type="dxa"/>
          </w:tcPr>
          <w:p w14:paraId="7556427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16.8.5.7</w:t>
            </w:r>
            <w:r w:rsidRPr="00D429B4">
              <w:rPr>
                <w:rFonts w:ascii="Verdana" w:hAnsi="Verdana"/>
                <w:sz w:val="16"/>
                <w:szCs w:val="16"/>
                <w:lang w:val="es-MX"/>
              </w:rPr>
              <w:t xml:space="preserve"> Debe realizarse periódicamente un inventario de las existencias. Las irregularidades detectadas en las existencias deben investigarse y documentarse y en el caso de los medicamentos controlados reportarse a la Secretaría.</w:t>
            </w:r>
          </w:p>
        </w:tc>
        <w:tc>
          <w:tcPr>
            <w:tcW w:w="4421" w:type="dxa"/>
          </w:tcPr>
          <w:p w14:paraId="09409D7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16.8.5.7 </w:t>
            </w:r>
            <w:r w:rsidRPr="00D429B4">
              <w:rPr>
                <w:rFonts w:ascii="Verdana" w:hAnsi="Verdana"/>
                <w:sz w:val="16"/>
                <w:szCs w:val="16"/>
                <w:lang w:val="en-US"/>
              </w:rPr>
              <w:t xml:space="preserve">An inventory of the products on hand must be made periodically. The irregularities detected in the inventories must be investigated and documented and in the case of controlled drug products reported to the Secretary.  </w:t>
            </w:r>
          </w:p>
        </w:tc>
      </w:tr>
      <w:tr w:rsidR="00CD67E0" w:rsidRPr="00DD29AF" w14:paraId="0A022E34" w14:textId="77777777" w:rsidTr="00335F65">
        <w:tc>
          <w:tcPr>
            <w:tcW w:w="4421" w:type="dxa"/>
          </w:tcPr>
          <w:p w14:paraId="103778F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16.8.6 </w:t>
            </w:r>
            <w:r w:rsidRPr="00D429B4">
              <w:rPr>
                <w:rFonts w:ascii="Verdana" w:hAnsi="Verdana"/>
                <w:sz w:val="16"/>
                <w:szCs w:val="16"/>
                <w:lang w:val="es-MX"/>
              </w:rPr>
              <w:t>Destrucción de medicamentos.</w:t>
            </w:r>
          </w:p>
        </w:tc>
        <w:tc>
          <w:tcPr>
            <w:tcW w:w="4421" w:type="dxa"/>
          </w:tcPr>
          <w:p w14:paraId="3B28098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16.8.6 </w:t>
            </w:r>
            <w:r w:rsidRPr="00D429B4">
              <w:rPr>
                <w:rFonts w:ascii="Verdana" w:hAnsi="Verdana"/>
                <w:sz w:val="16"/>
                <w:szCs w:val="16"/>
                <w:lang w:val="en-US"/>
              </w:rPr>
              <w:t>Destruction of drug products.</w:t>
            </w:r>
          </w:p>
        </w:tc>
      </w:tr>
      <w:tr w:rsidR="00CD67E0" w:rsidRPr="00861FCE" w14:paraId="08ECE6CE" w14:textId="77777777" w:rsidTr="00335F65">
        <w:tc>
          <w:tcPr>
            <w:tcW w:w="4421" w:type="dxa"/>
          </w:tcPr>
          <w:p w14:paraId="10B3302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16.8.6.1</w:t>
            </w:r>
            <w:r w:rsidRPr="00D429B4">
              <w:rPr>
                <w:rFonts w:ascii="Verdana" w:hAnsi="Verdana"/>
                <w:sz w:val="16"/>
                <w:szCs w:val="16"/>
                <w:lang w:val="es-MX"/>
              </w:rPr>
              <w:t xml:space="preserve"> Los medicamentos destinados a destrucción deben ser identificados, segregados y manejados de acuerdo con un procedimiento escrito.</w:t>
            </w:r>
          </w:p>
        </w:tc>
        <w:tc>
          <w:tcPr>
            <w:tcW w:w="4421" w:type="dxa"/>
          </w:tcPr>
          <w:p w14:paraId="454BD31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16.8.6.1 </w:t>
            </w:r>
            <w:r w:rsidRPr="00D429B4">
              <w:rPr>
                <w:rFonts w:ascii="Verdana" w:hAnsi="Verdana"/>
                <w:sz w:val="16"/>
                <w:szCs w:val="16"/>
                <w:lang w:val="en-US"/>
              </w:rPr>
              <w:t xml:space="preserve">The drug products designated for destruction must be identified, segregated and handled according to a written procedure. </w:t>
            </w:r>
          </w:p>
        </w:tc>
      </w:tr>
      <w:tr w:rsidR="00CD67E0" w:rsidRPr="00861FCE" w14:paraId="0D3DD545" w14:textId="77777777" w:rsidTr="00335F65">
        <w:tc>
          <w:tcPr>
            <w:tcW w:w="4421" w:type="dxa"/>
          </w:tcPr>
          <w:p w14:paraId="035F261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16.8.6.2</w:t>
            </w:r>
            <w:r w:rsidRPr="00D429B4">
              <w:rPr>
                <w:rFonts w:ascii="Verdana" w:hAnsi="Verdana"/>
                <w:sz w:val="16"/>
                <w:szCs w:val="16"/>
                <w:lang w:val="es-MX"/>
              </w:rPr>
              <w:t xml:space="preserve"> La destrucción de medicamentos debe realizarse por una empresa autorizada por la SEMARNAT.</w:t>
            </w:r>
          </w:p>
        </w:tc>
        <w:tc>
          <w:tcPr>
            <w:tcW w:w="4421" w:type="dxa"/>
          </w:tcPr>
          <w:p w14:paraId="7444C4C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16.8.6.2 </w:t>
            </w:r>
            <w:r w:rsidRPr="00D429B4">
              <w:rPr>
                <w:rFonts w:ascii="Verdana" w:hAnsi="Verdana"/>
                <w:sz w:val="16"/>
                <w:szCs w:val="16"/>
                <w:lang w:val="en-US"/>
              </w:rPr>
              <w:t xml:space="preserve">The destruction of drug products must be made by a company authorized by SEMARNAT. </w:t>
            </w:r>
          </w:p>
        </w:tc>
      </w:tr>
      <w:tr w:rsidR="00CD67E0" w:rsidRPr="00861FCE" w14:paraId="41D692A5" w14:textId="77777777" w:rsidTr="00335F65">
        <w:tc>
          <w:tcPr>
            <w:tcW w:w="4421" w:type="dxa"/>
          </w:tcPr>
          <w:p w14:paraId="182B7CE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16.8.6.3</w:t>
            </w:r>
            <w:r w:rsidRPr="00D429B4">
              <w:rPr>
                <w:rFonts w:ascii="Verdana" w:hAnsi="Verdana"/>
                <w:sz w:val="16"/>
                <w:szCs w:val="16"/>
                <w:lang w:val="es-MX"/>
              </w:rPr>
              <w:t xml:space="preserve"> Los registros de todos los medicamentos destruidos deben conservarse durante un periodo  de 5 años.</w:t>
            </w:r>
          </w:p>
        </w:tc>
        <w:tc>
          <w:tcPr>
            <w:tcW w:w="4421" w:type="dxa"/>
          </w:tcPr>
          <w:p w14:paraId="5764672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16.8.6.3 </w:t>
            </w:r>
            <w:r w:rsidRPr="00D429B4">
              <w:rPr>
                <w:rFonts w:ascii="Verdana" w:hAnsi="Verdana"/>
                <w:sz w:val="16"/>
                <w:szCs w:val="16"/>
                <w:lang w:val="en-US"/>
              </w:rPr>
              <w:t xml:space="preserve">The records of all the drug products destroyed must be conserved during a period of 5 years. </w:t>
            </w:r>
          </w:p>
        </w:tc>
      </w:tr>
      <w:tr w:rsidR="00CD67E0" w:rsidRPr="00861FCE" w14:paraId="20AF3AFC" w14:textId="77777777" w:rsidTr="00335F65">
        <w:tc>
          <w:tcPr>
            <w:tcW w:w="4421" w:type="dxa"/>
          </w:tcPr>
          <w:p w14:paraId="5FC49C5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16.8.6.4</w:t>
            </w:r>
            <w:r w:rsidRPr="00D429B4">
              <w:rPr>
                <w:rFonts w:ascii="Verdana" w:hAnsi="Verdana"/>
                <w:sz w:val="16"/>
                <w:szCs w:val="16"/>
                <w:lang w:val="es-MX"/>
              </w:rPr>
              <w:t xml:space="preserve"> La destrucción de medicamentos controlados requiere la autorización de la Secretaría.</w:t>
            </w:r>
          </w:p>
        </w:tc>
        <w:tc>
          <w:tcPr>
            <w:tcW w:w="4421" w:type="dxa"/>
          </w:tcPr>
          <w:p w14:paraId="14AF35C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16.8.6.4 </w:t>
            </w:r>
            <w:r w:rsidRPr="00D429B4">
              <w:rPr>
                <w:rFonts w:ascii="Verdana" w:hAnsi="Verdana"/>
                <w:sz w:val="16"/>
                <w:szCs w:val="16"/>
                <w:lang w:val="en-US"/>
              </w:rPr>
              <w:t xml:space="preserve">The destruction of controlled drug products requires the authorization of the Secretary. </w:t>
            </w:r>
          </w:p>
        </w:tc>
      </w:tr>
      <w:tr w:rsidR="00CD67E0" w:rsidRPr="00DD29AF" w14:paraId="1099EFF1" w14:textId="77777777" w:rsidTr="00335F65">
        <w:tc>
          <w:tcPr>
            <w:tcW w:w="4421" w:type="dxa"/>
          </w:tcPr>
          <w:p w14:paraId="7D769CA7"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16.8.7 </w:t>
            </w:r>
            <w:r w:rsidRPr="00D429B4">
              <w:rPr>
                <w:rFonts w:ascii="Verdana" w:hAnsi="Verdana"/>
                <w:sz w:val="16"/>
                <w:szCs w:val="16"/>
                <w:lang w:val="es-MX"/>
              </w:rPr>
              <w:t>Surtido.</w:t>
            </w:r>
          </w:p>
        </w:tc>
        <w:tc>
          <w:tcPr>
            <w:tcW w:w="4421" w:type="dxa"/>
          </w:tcPr>
          <w:p w14:paraId="4A649AF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16.8.7 </w:t>
            </w:r>
            <w:r w:rsidRPr="00D429B4">
              <w:rPr>
                <w:rFonts w:ascii="Verdana" w:hAnsi="Verdana"/>
                <w:sz w:val="16"/>
                <w:szCs w:val="16"/>
                <w:lang w:val="en-US"/>
              </w:rPr>
              <w:t>Supply.</w:t>
            </w:r>
          </w:p>
        </w:tc>
      </w:tr>
      <w:tr w:rsidR="00CD67E0" w:rsidRPr="00861FCE" w14:paraId="5175B11F" w14:textId="77777777" w:rsidTr="00335F65">
        <w:tc>
          <w:tcPr>
            <w:tcW w:w="4421" w:type="dxa"/>
          </w:tcPr>
          <w:p w14:paraId="7C96ADD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16.8.7.1</w:t>
            </w:r>
            <w:r w:rsidRPr="00D429B4">
              <w:rPr>
                <w:rFonts w:ascii="Verdana" w:hAnsi="Verdana"/>
                <w:sz w:val="16"/>
                <w:szCs w:val="16"/>
                <w:lang w:val="es-MX"/>
              </w:rPr>
              <w:t xml:space="preserve"> Se deben establecer controles para garantizar que se surte el medicamento solicitado. El producto en el momento de ser preparado deberá tener una vida útil remanente que asegure que podrá ser utilizado sin que corra el riesgo de caducar en el proceso de distribución.</w:t>
            </w:r>
          </w:p>
        </w:tc>
        <w:tc>
          <w:tcPr>
            <w:tcW w:w="4421" w:type="dxa"/>
          </w:tcPr>
          <w:p w14:paraId="3B98014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16.8.7.1 </w:t>
            </w:r>
            <w:r w:rsidRPr="00D429B4">
              <w:rPr>
                <w:rFonts w:ascii="Verdana" w:hAnsi="Verdana"/>
                <w:sz w:val="16"/>
                <w:szCs w:val="16"/>
                <w:lang w:val="en-US"/>
              </w:rPr>
              <w:t xml:space="preserve">Controls must be established to guarantee that the drug product requested is supplied. The product at the moment of being prepared must have a remaining useful life that assures that can be used without running the risk of them expiring in the distribution process. </w:t>
            </w:r>
          </w:p>
        </w:tc>
      </w:tr>
      <w:tr w:rsidR="00CD67E0" w:rsidRPr="00861FCE" w14:paraId="28A9806F" w14:textId="77777777" w:rsidTr="00335F65">
        <w:tc>
          <w:tcPr>
            <w:tcW w:w="4421" w:type="dxa"/>
          </w:tcPr>
          <w:p w14:paraId="2B18D22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16.8.7.2</w:t>
            </w:r>
            <w:r w:rsidRPr="00D429B4">
              <w:rPr>
                <w:rFonts w:ascii="Verdana" w:hAnsi="Verdana"/>
                <w:sz w:val="16"/>
                <w:szCs w:val="16"/>
                <w:lang w:val="es-MX"/>
              </w:rPr>
              <w:t xml:space="preserve"> Debe evaluarse la idoneidad del surtido de medicamentos con 3 meses de vida útil remanente.</w:t>
            </w:r>
          </w:p>
        </w:tc>
        <w:tc>
          <w:tcPr>
            <w:tcW w:w="4421" w:type="dxa"/>
          </w:tcPr>
          <w:p w14:paraId="7243A8A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16.8.7.2 </w:t>
            </w:r>
            <w:r w:rsidRPr="00D429B4">
              <w:rPr>
                <w:rFonts w:ascii="Verdana" w:hAnsi="Verdana"/>
                <w:sz w:val="16"/>
                <w:szCs w:val="16"/>
                <w:lang w:val="en-US"/>
              </w:rPr>
              <w:t xml:space="preserve">The suitability of the supplying of drug products with 3 months remaining useful life must be evaluated. </w:t>
            </w:r>
          </w:p>
        </w:tc>
      </w:tr>
      <w:tr w:rsidR="00CD67E0" w:rsidRPr="005574CB" w14:paraId="11C80048" w14:textId="77777777" w:rsidTr="00335F65">
        <w:tc>
          <w:tcPr>
            <w:tcW w:w="4421" w:type="dxa"/>
          </w:tcPr>
          <w:p w14:paraId="09B0E8AF"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16.8.8 </w:t>
            </w:r>
            <w:r w:rsidRPr="00D429B4">
              <w:rPr>
                <w:rFonts w:ascii="Verdana" w:hAnsi="Verdana"/>
                <w:sz w:val="16"/>
                <w:szCs w:val="16"/>
                <w:lang w:val="es-MX"/>
              </w:rPr>
              <w:t>Suministro.</w:t>
            </w:r>
          </w:p>
        </w:tc>
        <w:tc>
          <w:tcPr>
            <w:tcW w:w="4421" w:type="dxa"/>
          </w:tcPr>
          <w:p w14:paraId="62DB4A8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16.8.8 </w:t>
            </w:r>
            <w:r w:rsidRPr="00D429B4">
              <w:rPr>
                <w:rFonts w:ascii="Verdana" w:hAnsi="Verdana"/>
                <w:sz w:val="16"/>
                <w:szCs w:val="16"/>
                <w:lang w:val="en-US"/>
              </w:rPr>
              <w:t xml:space="preserve">Supply. </w:t>
            </w:r>
          </w:p>
        </w:tc>
      </w:tr>
      <w:tr w:rsidR="00CD67E0" w:rsidRPr="00861FCE" w14:paraId="56144C36" w14:textId="77777777" w:rsidTr="00335F65">
        <w:tc>
          <w:tcPr>
            <w:tcW w:w="4421" w:type="dxa"/>
          </w:tcPr>
          <w:p w14:paraId="40BF83B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16.8.8.1</w:t>
            </w:r>
            <w:r w:rsidRPr="00D429B4">
              <w:rPr>
                <w:rFonts w:ascii="Verdana" w:hAnsi="Verdana"/>
                <w:sz w:val="16"/>
                <w:szCs w:val="16"/>
                <w:lang w:val="es-MX"/>
              </w:rPr>
              <w:t xml:space="preserve"> En todos los envíos se debe adjuntar un documento (por ejemplo, la nota de entrega/lista de empaque) indicando la fecha; nombre y la forma farmacéutica del medicamento, el número de lote, fecha de caducidad; cantidad suministrada; nombre y dirección del proveedor, el nombre y dirección de entrega, las condiciones de transporte y almacenamiento aplicables. Se deben mantener los registros para que pueda conocerse la localización real del producto.</w:t>
            </w:r>
          </w:p>
        </w:tc>
        <w:tc>
          <w:tcPr>
            <w:tcW w:w="4421" w:type="dxa"/>
          </w:tcPr>
          <w:p w14:paraId="0E2C570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16.8.8.1 </w:t>
            </w:r>
            <w:r w:rsidRPr="00D429B4">
              <w:rPr>
                <w:rFonts w:ascii="Verdana" w:hAnsi="Verdana"/>
                <w:sz w:val="16"/>
                <w:szCs w:val="16"/>
                <w:lang w:val="en-US"/>
              </w:rPr>
              <w:t xml:space="preserve">In all the shipments, a document must be attached (for example, the delivery note/packing list) indicating the date; name and pharmaceutical form of the drug product, the lot number, expiration date; amount supplied; name and address of the supplier, the name and address of the delivery, the applicable conditions of transport and storage. The records must be maintained so that the real location of the product can be ascertained. </w:t>
            </w:r>
          </w:p>
        </w:tc>
      </w:tr>
      <w:tr w:rsidR="00CD67E0" w:rsidRPr="00DD29AF" w14:paraId="5D5D6767" w14:textId="77777777" w:rsidTr="00335F65">
        <w:tc>
          <w:tcPr>
            <w:tcW w:w="4421" w:type="dxa"/>
          </w:tcPr>
          <w:p w14:paraId="63BCA03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16.8.9 </w:t>
            </w:r>
            <w:r w:rsidRPr="00D429B4">
              <w:rPr>
                <w:rFonts w:ascii="Verdana" w:hAnsi="Verdana"/>
                <w:sz w:val="16"/>
                <w:szCs w:val="16"/>
                <w:lang w:val="es-MX"/>
              </w:rPr>
              <w:t>Importación y Exportación.</w:t>
            </w:r>
          </w:p>
        </w:tc>
        <w:tc>
          <w:tcPr>
            <w:tcW w:w="4421" w:type="dxa"/>
          </w:tcPr>
          <w:p w14:paraId="565A32D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16.8.9 </w:t>
            </w:r>
            <w:r w:rsidRPr="00D429B4">
              <w:rPr>
                <w:rFonts w:ascii="Verdana" w:hAnsi="Verdana"/>
                <w:sz w:val="16"/>
                <w:szCs w:val="16"/>
                <w:lang w:val="en-US"/>
              </w:rPr>
              <w:t>Importation and Exportation.</w:t>
            </w:r>
          </w:p>
        </w:tc>
      </w:tr>
      <w:tr w:rsidR="00CD67E0" w:rsidRPr="00861FCE" w14:paraId="39302CEF" w14:textId="77777777" w:rsidTr="00335F65">
        <w:tc>
          <w:tcPr>
            <w:tcW w:w="4421" w:type="dxa"/>
          </w:tcPr>
          <w:p w14:paraId="6354B99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16.8.9.1</w:t>
            </w:r>
            <w:r w:rsidRPr="00D429B4">
              <w:rPr>
                <w:rFonts w:ascii="Verdana" w:hAnsi="Verdana"/>
                <w:sz w:val="16"/>
                <w:szCs w:val="16"/>
                <w:lang w:val="es-MX"/>
              </w:rPr>
              <w:t xml:space="preserve"> Las actividades de importación y exportación deben llevarse a cabo de conformidad con el marco jurídico aplicable. Los distribuidores deben de tomar las medidas adecuadas para evitar que los medicamentos no autorizados para el mercado interno y para exportación lleguen al mercado interno.</w:t>
            </w:r>
          </w:p>
        </w:tc>
        <w:tc>
          <w:tcPr>
            <w:tcW w:w="4421" w:type="dxa"/>
          </w:tcPr>
          <w:p w14:paraId="4460307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16.8.9.1 </w:t>
            </w:r>
            <w:r w:rsidRPr="00D429B4">
              <w:rPr>
                <w:rFonts w:ascii="Verdana" w:hAnsi="Verdana"/>
                <w:sz w:val="16"/>
                <w:szCs w:val="16"/>
                <w:lang w:val="en-US"/>
              </w:rPr>
              <w:t xml:space="preserve">The activities of importation and exportation must be carried out according to the applicable legal framework. The distributors must take adequate measures to avoid the drug products not authorized for the internal market and so that the drug products for exploration arrive at the internal market.  </w:t>
            </w:r>
          </w:p>
        </w:tc>
      </w:tr>
      <w:tr w:rsidR="00CD67E0" w:rsidRPr="00861FCE" w14:paraId="625FDC76" w14:textId="77777777" w:rsidTr="00335F65">
        <w:tc>
          <w:tcPr>
            <w:tcW w:w="4421" w:type="dxa"/>
          </w:tcPr>
          <w:p w14:paraId="08388F4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16.9 </w:t>
            </w:r>
            <w:r w:rsidRPr="00D429B4">
              <w:rPr>
                <w:rFonts w:ascii="Verdana" w:hAnsi="Verdana"/>
                <w:sz w:val="16"/>
                <w:szCs w:val="16"/>
                <w:lang w:val="es-MX"/>
              </w:rPr>
              <w:t>Quejas, devoluciones, medicamentos falsificados y retiro de producto de mercado.</w:t>
            </w:r>
          </w:p>
        </w:tc>
        <w:tc>
          <w:tcPr>
            <w:tcW w:w="4421" w:type="dxa"/>
          </w:tcPr>
          <w:p w14:paraId="7CDDC1C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 </w:t>
            </w:r>
            <w:r w:rsidRPr="00D429B4">
              <w:rPr>
                <w:rFonts w:ascii="Verdana" w:hAnsi="Verdana"/>
                <w:sz w:val="16"/>
                <w:szCs w:val="16"/>
                <w:lang w:val="en-US"/>
              </w:rPr>
              <w:t>Complaints, returns, falsified drug products and withdrawal of market products.</w:t>
            </w:r>
          </w:p>
        </w:tc>
      </w:tr>
      <w:tr w:rsidR="00CD67E0" w:rsidRPr="00DD29AF" w14:paraId="3763F778" w14:textId="77777777" w:rsidTr="00335F65">
        <w:tc>
          <w:tcPr>
            <w:tcW w:w="4421" w:type="dxa"/>
          </w:tcPr>
          <w:p w14:paraId="12998DBC"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16.9.1 </w:t>
            </w:r>
            <w:r w:rsidRPr="00D429B4">
              <w:rPr>
                <w:rFonts w:ascii="Verdana" w:hAnsi="Verdana"/>
                <w:sz w:val="16"/>
                <w:szCs w:val="16"/>
                <w:lang w:val="es-MX"/>
              </w:rPr>
              <w:t>Introducción.</w:t>
            </w:r>
          </w:p>
        </w:tc>
        <w:tc>
          <w:tcPr>
            <w:tcW w:w="4421" w:type="dxa"/>
          </w:tcPr>
          <w:p w14:paraId="27DF2A3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16.9.1 </w:t>
            </w:r>
            <w:r w:rsidRPr="00D429B4">
              <w:rPr>
                <w:rFonts w:ascii="Verdana" w:hAnsi="Verdana"/>
                <w:sz w:val="16"/>
                <w:szCs w:val="16"/>
                <w:lang w:val="en-US"/>
              </w:rPr>
              <w:t>Introduction.</w:t>
            </w:r>
          </w:p>
        </w:tc>
      </w:tr>
      <w:tr w:rsidR="00CD67E0" w:rsidRPr="00861FCE" w14:paraId="04933754" w14:textId="77777777" w:rsidTr="00335F65">
        <w:tc>
          <w:tcPr>
            <w:tcW w:w="4421" w:type="dxa"/>
          </w:tcPr>
          <w:p w14:paraId="11198ED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 xml:space="preserve">Todas las quejas, devoluciones, sospecha de medicamentos falsificados y retiros de producto </w:t>
            </w:r>
            <w:r w:rsidRPr="00D429B4">
              <w:rPr>
                <w:rFonts w:ascii="Verdana" w:hAnsi="Verdana"/>
                <w:sz w:val="16"/>
                <w:szCs w:val="16"/>
                <w:lang w:val="es-MX"/>
              </w:rPr>
              <w:lastRenderedPageBreak/>
              <w:t>deben ser registrados y manejados de acuerdo a procedimientos escrito y/o los acuerdos de distribución con los titulares del registro sanitario. Los registros deben estar a disposición de las autoridades competentes. Se debe de realizar una evaluación de los medicamentos devueltos antes de cualquier aprobación para su reventa. Se requiere un enfoque coherente por todos los socios en la cadena de suministro con el fin de tener éxito en la lucha contra los medicamentos falsificados</w:t>
            </w:r>
          </w:p>
        </w:tc>
        <w:tc>
          <w:tcPr>
            <w:tcW w:w="4421" w:type="dxa"/>
          </w:tcPr>
          <w:p w14:paraId="1C8A66B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lastRenderedPageBreak/>
              <w:t xml:space="preserve">All the complaints, returns, suspicion of falsified drug products and withdrawal of product must be </w:t>
            </w:r>
            <w:r w:rsidRPr="00D429B4">
              <w:rPr>
                <w:rFonts w:ascii="Verdana" w:hAnsi="Verdana"/>
                <w:sz w:val="16"/>
                <w:szCs w:val="16"/>
                <w:lang w:val="en-US"/>
              </w:rPr>
              <w:lastRenderedPageBreak/>
              <w:t xml:space="preserve">recorded and handled according to written procedures and/or the agreements of distribution with the holders of the Sanitary Registration. The records must be available to the appropriate authorities. An evaluation of the returned drug products must be made before any approval for their resale. A coherent focus is required for all the partners in the supply chain for the purpose of having success in the struggle against falsified drug products. </w:t>
            </w:r>
          </w:p>
        </w:tc>
      </w:tr>
      <w:tr w:rsidR="00CD67E0" w:rsidRPr="003676E9" w14:paraId="6226B2BB" w14:textId="77777777" w:rsidTr="00335F65">
        <w:tc>
          <w:tcPr>
            <w:tcW w:w="4421" w:type="dxa"/>
          </w:tcPr>
          <w:p w14:paraId="1EBE318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 xml:space="preserve">16.9.2 </w:t>
            </w:r>
            <w:r w:rsidRPr="00D429B4">
              <w:rPr>
                <w:rFonts w:ascii="Verdana" w:hAnsi="Verdana"/>
                <w:sz w:val="16"/>
                <w:szCs w:val="16"/>
                <w:lang w:val="es-MX"/>
              </w:rPr>
              <w:t>Quejas</w:t>
            </w:r>
          </w:p>
        </w:tc>
        <w:tc>
          <w:tcPr>
            <w:tcW w:w="4421" w:type="dxa"/>
          </w:tcPr>
          <w:p w14:paraId="017E379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16.9.2 </w:t>
            </w:r>
            <w:r w:rsidRPr="00D429B4">
              <w:rPr>
                <w:rFonts w:ascii="Verdana" w:hAnsi="Verdana"/>
                <w:sz w:val="16"/>
                <w:szCs w:val="16"/>
                <w:lang w:val="en-US"/>
              </w:rPr>
              <w:t>Complaints</w:t>
            </w:r>
          </w:p>
        </w:tc>
      </w:tr>
      <w:tr w:rsidR="00CD67E0" w:rsidRPr="00861FCE" w14:paraId="6AAC34B1" w14:textId="77777777" w:rsidTr="00335F65">
        <w:tc>
          <w:tcPr>
            <w:tcW w:w="4421" w:type="dxa"/>
          </w:tcPr>
          <w:p w14:paraId="01A38FD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16.9.2.1</w:t>
            </w:r>
            <w:r w:rsidRPr="00D429B4">
              <w:rPr>
                <w:rFonts w:ascii="Verdana" w:hAnsi="Verdana"/>
                <w:sz w:val="16"/>
                <w:szCs w:val="16"/>
                <w:lang w:val="es-MX"/>
              </w:rPr>
              <w:t xml:space="preserve"> Las quejas deben ser registradas con todos los detalles originales. Se debe hacer una distinción entre las quejas relacionadas con la calidad de un medicamento y las relacionadas con las de distribución. En el caso de una queja sobre la calidad de un medicamento y un posible defecto del producto, el fabricante y/o titular del registro sanitario debe ser informado. Cualquier queja se debe investigar a fondo para identificar el origen o motivo de la queja.</w:t>
            </w:r>
          </w:p>
        </w:tc>
        <w:tc>
          <w:tcPr>
            <w:tcW w:w="4421" w:type="dxa"/>
          </w:tcPr>
          <w:p w14:paraId="7AD2239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16.9.2.1 </w:t>
            </w:r>
            <w:r w:rsidRPr="00D429B4">
              <w:rPr>
                <w:rFonts w:ascii="Verdana" w:hAnsi="Verdana"/>
                <w:sz w:val="16"/>
                <w:szCs w:val="16"/>
                <w:lang w:val="en-US"/>
              </w:rPr>
              <w:t xml:space="preserve">The complaints must be recorded with all the original details. A distinction must be made between the complaints related to the quality of a drug product and those related to those of distribution. In the case of a complaint on the quality of a drug product and a possible defect of the product, the manufacturer and/or holder of the sanitary registration must be informed. Any complaint must be investigated for the purpose of identifying the origin or the reason for the complaint. </w:t>
            </w:r>
          </w:p>
        </w:tc>
      </w:tr>
      <w:tr w:rsidR="00CD67E0" w:rsidRPr="00861FCE" w14:paraId="08A1E93E" w14:textId="77777777" w:rsidTr="00335F65">
        <w:tc>
          <w:tcPr>
            <w:tcW w:w="4421" w:type="dxa"/>
          </w:tcPr>
          <w:p w14:paraId="6B6E51C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16.9.2.2</w:t>
            </w:r>
            <w:r w:rsidRPr="00D429B4">
              <w:rPr>
                <w:rFonts w:ascii="Verdana" w:hAnsi="Verdana"/>
                <w:sz w:val="16"/>
                <w:szCs w:val="16"/>
                <w:lang w:val="es-MX"/>
              </w:rPr>
              <w:t xml:space="preserve"> Si se descubre o sospecha de un defecto relacionado con el medicamento, deberá extenderse la investigación a otros lotes del producto.</w:t>
            </w:r>
          </w:p>
        </w:tc>
        <w:tc>
          <w:tcPr>
            <w:tcW w:w="4421" w:type="dxa"/>
          </w:tcPr>
          <w:p w14:paraId="0244133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16.9.2.2 </w:t>
            </w:r>
            <w:r w:rsidRPr="00D429B4">
              <w:rPr>
                <w:rFonts w:ascii="Verdana" w:hAnsi="Verdana"/>
                <w:sz w:val="16"/>
                <w:szCs w:val="16"/>
                <w:lang w:val="en-US"/>
              </w:rPr>
              <w:t xml:space="preserve">If a defect related to the drug product is discovered or suspected, the investigation must be extended to other lots of the product. </w:t>
            </w:r>
          </w:p>
        </w:tc>
      </w:tr>
      <w:tr w:rsidR="00CD67E0" w:rsidRPr="00861FCE" w14:paraId="3D192797" w14:textId="77777777" w:rsidTr="00335F65">
        <w:tc>
          <w:tcPr>
            <w:tcW w:w="4421" w:type="dxa"/>
          </w:tcPr>
          <w:p w14:paraId="467DB53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16.9.2.3</w:t>
            </w:r>
            <w:r w:rsidRPr="00D429B4">
              <w:rPr>
                <w:rFonts w:ascii="Verdana" w:hAnsi="Verdana"/>
                <w:sz w:val="16"/>
                <w:szCs w:val="16"/>
                <w:lang w:val="es-MX"/>
              </w:rPr>
              <w:t xml:space="preserve"> Se debe designar a una persona para el manejo de las quejas.</w:t>
            </w:r>
          </w:p>
        </w:tc>
        <w:tc>
          <w:tcPr>
            <w:tcW w:w="4421" w:type="dxa"/>
          </w:tcPr>
          <w:p w14:paraId="5F9DA03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16.9.2.3 </w:t>
            </w:r>
            <w:r w:rsidRPr="00D429B4">
              <w:rPr>
                <w:rFonts w:ascii="Verdana" w:hAnsi="Verdana"/>
                <w:sz w:val="16"/>
                <w:szCs w:val="16"/>
                <w:lang w:val="en-US"/>
              </w:rPr>
              <w:t xml:space="preserve">A person for the handling of complaints must be designated. </w:t>
            </w:r>
          </w:p>
        </w:tc>
      </w:tr>
      <w:tr w:rsidR="00CD67E0" w:rsidRPr="00861FCE" w14:paraId="0742EB8F" w14:textId="77777777" w:rsidTr="00335F65">
        <w:tc>
          <w:tcPr>
            <w:tcW w:w="4421" w:type="dxa"/>
          </w:tcPr>
          <w:p w14:paraId="0910A71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16.9.2.4</w:t>
            </w:r>
            <w:r w:rsidRPr="00D429B4">
              <w:rPr>
                <w:rFonts w:ascii="Verdana" w:hAnsi="Verdana"/>
                <w:sz w:val="16"/>
                <w:szCs w:val="16"/>
                <w:lang w:val="es-MX"/>
              </w:rPr>
              <w:t xml:space="preserve"> Cuando sea necesario, se deben tomar acciones de seguimiento (CAPA) después de la investigación y evaluación de la queja, incluyendo si es necesario la notificación a las autoridades nacionales competentes.</w:t>
            </w:r>
          </w:p>
        </w:tc>
        <w:tc>
          <w:tcPr>
            <w:tcW w:w="4421" w:type="dxa"/>
          </w:tcPr>
          <w:p w14:paraId="5EE80CE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16.9.2.4 </w:t>
            </w:r>
            <w:r w:rsidRPr="00D429B4">
              <w:rPr>
                <w:rFonts w:ascii="Verdana" w:hAnsi="Verdana"/>
                <w:sz w:val="16"/>
                <w:szCs w:val="16"/>
                <w:lang w:val="en-US"/>
              </w:rPr>
              <w:t xml:space="preserve">When necessary, follow up actions must be taken (CAPA) after the investigation and evaluation of the complaint, including whether the notification to appropriate national authorities is necessary. </w:t>
            </w:r>
          </w:p>
        </w:tc>
      </w:tr>
      <w:tr w:rsidR="00CD67E0" w:rsidRPr="003676E9" w14:paraId="2C070A05" w14:textId="77777777" w:rsidTr="00335F65">
        <w:tc>
          <w:tcPr>
            <w:tcW w:w="4421" w:type="dxa"/>
          </w:tcPr>
          <w:p w14:paraId="2D537BE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w:t>
            </w:r>
            <w:r w:rsidRPr="00D429B4">
              <w:rPr>
                <w:rFonts w:ascii="Verdana" w:hAnsi="Verdana"/>
                <w:sz w:val="16"/>
                <w:szCs w:val="16"/>
                <w:lang w:val="es-MX"/>
              </w:rPr>
              <w:t xml:space="preserve"> Medicamentos devueltos</w:t>
            </w:r>
          </w:p>
        </w:tc>
        <w:tc>
          <w:tcPr>
            <w:tcW w:w="4421" w:type="dxa"/>
          </w:tcPr>
          <w:p w14:paraId="76C62F0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16.9.3 </w:t>
            </w:r>
            <w:r w:rsidRPr="00D429B4">
              <w:rPr>
                <w:rFonts w:ascii="Verdana" w:hAnsi="Verdana"/>
                <w:sz w:val="16"/>
                <w:szCs w:val="16"/>
                <w:lang w:val="en-US"/>
              </w:rPr>
              <w:t xml:space="preserve">Returned drug products. </w:t>
            </w:r>
          </w:p>
        </w:tc>
      </w:tr>
      <w:tr w:rsidR="00CD67E0" w:rsidRPr="00861FCE" w14:paraId="135EA16C" w14:textId="77777777" w:rsidTr="00335F65">
        <w:tc>
          <w:tcPr>
            <w:tcW w:w="4421" w:type="dxa"/>
          </w:tcPr>
          <w:p w14:paraId="251819A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16.9.3.1</w:t>
            </w:r>
            <w:r w:rsidRPr="00D429B4">
              <w:rPr>
                <w:rFonts w:ascii="Verdana" w:hAnsi="Verdana"/>
                <w:sz w:val="16"/>
                <w:szCs w:val="16"/>
                <w:lang w:val="es-MX"/>
              </w:rPr>
              <w:t xml:space="preserve"> Los medicamentos devueltos deben manejarse de acuerdo a un procedimiento escrito, basado en el riesgo, que tenga en cuenta al medicamento en cuestión, así como los requisitos específicos de almacenamiento y el tiempo transcurrido desde que el medicamento fue enviado originalmente. Las devoluciones deben realizarse de conformidad con la legislación nacional y a los acuerdos contractuales entre las partes.</w:t>
            </w:r>
          </w:p>
        </w:tc>
        <w:tc>
          <w:tcPr>
            <w:tcW w:w="4421" w:type="dxa"/>
          </w:tcPr>
          <w:p w14:paraId="289C686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16.9.3.1 </w:t>
            </w:r>
            <w:r w:rsidRPr="00D429B4">
              <w:rPr>
                <w:rFonts w:ascii="Verdana" w:hAnsi="Verdana"/>
                <w:sz w:val="16"/>
                <w:szCs w:val="16"/>
                <w:lang w:val="en-US"/>
              </w:rPr>
              <w:t xml:space="preserve">The returned drug products must be handled according to a written procedure based on the risk, that takes into account the drug product in question, as well as the specific storage requirements and the time that has passed since the drug product was originally sent. The returns must be made according to national legislation and to the contractual agreements between the parties. </w:t>
            </w:r>
          </w:p>
        </w:tc>
      </w:tr>
      <w:tr w:rsidR="00CD67E0" w:rsidRPr="00861FCE" w14:paraId="4F6FE803" w14:textId="77777777" w:rsidTr="00335F65">
        <w:tc>
          <w:tcPr>
            <w:tcW w:w="4421" w:type="dxa"/>
          </w:tcPr>
          <w:p w14:paraId="306369D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16.9.3.2</w:t>
            </w:r>
            <w:r w:rsidRPr="00D429B4">
              <w:rPr>
                <w:rFonts w:ascii="Verdana" w:hAnsi="Verdana"/>
                <w:sz w:val="16"/>
                <w:szCs w:val="16"/>
                <w:lang w:val="es-MX"/>
              </w:rPr>
              <w:t xml:space="preserve"> Los medicamentos que hayan salido de las instalaciones del distribuidor sólo serán devueltos a las existencias vendibles si se cumple lo siguiente:</w:t>
            </w:r>
          </w:p>
        </w:tc>
        <w:tc>
          <w:tcPr>
            <w:tcW w:w="4421" w:type="dxa"/>
          </w:tcPr>
          <w:p w14:paraId="70DFA95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16.9.3.2 </w:t>
            </w:r>
            <w:r w:rsidRPr="00D429B4">
              <w:rPr>
                <w:rFonts w:ascii="Verdana" w:hAnsi="Verdana"/>
                <w:sz w:val="16"/>
                <w:szCs w:val="16"/>
                <w:lang w:val="en-US"/>
              </w:rPr>
              <w:t xml:space="preserve">The drug products that left the installations of the distributor only will be returned to the saleable inventories is the following is complied: </w:t>
            </w:r>
          </w:p>
        </w:tc>
      </w:tr>
      <w:tr w:rsidR="00CD67E0" w:rsidRPr="00861FCE" w14:paraId="154680DF" w14:textId="77777777" w:rsidTr="00335F65">
        <w:tc>
          <w:tcPr>
            <w:tcW w:w="4421" w:type="dxa"/>
          </w:tcPr>
          <w:p w14:paraId="1324958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16.9.3.2.1</w:t>
            </w:r>
            <w:r w:rsidRPr="00D429B4">
              <w:rPr>
                <w:rFonts w:ascii="Verdana" w:hAnsi="Verdana"/>
                <w:sz w:val="16"/>
                <w:szCs w:val="16"/>
                <w:lang w:val="es-MX"/>
              </w:rPr>
              <w:t xml:space="preserve"> Los medicamentos se encuentran en su empaque secundario sin abrir y sin daños y están en buenas condiciones; no han expirado y no han sido retirados del mercado;</w:t>
            </w:r>
          </w:p>
        </w:tc>
        <w:tc>
          <w:tcPr>
            <w:tcW w:w="4421" w:type="dxa"/>
          </w:tcPr>
          <w:p w14:paraId="7D893F1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16.9.3.2.1 </w:t>
            </w:r>
            <w:r w:rsidRPr="00D429B4">
              <w:rPr>
                <w:rFonts w:ascii="Verdana" w:hAnsi="Verdana"/>
                <w:sz w:val="16"/>
                <w:szCs w:val="16"/>
                <w:lang w:val="en-US"/>
              </w:rPr>
              <w:t xml:space="preserve">The drug products are found in their secondary packaging without opening and without damages and are in good condition; they have not expired and have not been withdrawn from the market; </w:t>
            </w:r>
          </w:p>
        </w:tc>
      </w:tr>
      <w:tr w:rsidR="00CD67E0" w:rsidRPr="00861FCE" w14:paraId="4CD51E7B" w14:textId="77777777" w:rsidTr="00335F65">
        <w:tc>
          <w:tcPr>
            <w:tcW w:w="4421" w:type="dxa"/>
          </w:tcPr>
          <w:p w14:paraId="4CCA95F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16.9.3.2.2</w:t>
            </w:r>
            <w:r w:rsidRPr="00D429B4">
              <w:rPr>
                <w:rFonts w:ascii="Verdana" w:hAnsi="Verdana"/>
                <w:sz w:val="16"/>
                <w:szCs w:val="16"/>
                <w:lang w:val="es-MX"/>
              </w:rPr>
              <w:t xml:space="preserve"> Si el cliente demuestra que el medicamento se ha transportado, almacenado y manipulado de acuerdo con los requisitos específicos de almacenamiento;</w:t>
            </w:r>
          </w:p>
        </w:tc>
        <w:tc>
          <w:tcPr>
            <w:tcW w:w="4421" w:type="dxa"/>
          </w:tcPr>
          <w:p w14:paraId="12E741D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16.9.3.2.2 </w:t>
            </w:r>
            <w:r w:rsidRPr="00D429B4">
              <w:rPr>
                <w:rFonts w:ascii="Verdana" w:hAnsi="Verdana"/>
                <w:sz w:val="16"/>
                <w:szCs w:val="16"/>
                <w:lang w:val="en-US"/>
              </w:rPr>
              <w:t xml:space="preserve">If the client demonstrates that the drug product has been transported, stored and handled according to the specific requirements of storage. </w:t>
            </w:r>
          </w:p>
        </w:tc>
      </w:tr>
      <w:tr w:rsidR="00CD67E0" w:rsidRPr="00861FCE" w14:paraId="79C0AF64" w14:textId="77777777" w:rsidTr="00335F65">
        <w:tc>
          <w:tcPr>
            <w:tcW w:w="4421" w:type="dxa"/>
          </w:tcPr>
          <w:p w14:paraId="26FF44E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16.9.3.2.3</w:t>
            </w:r>
            <w:r w:rsidRPr="00D429B4">
              <w:rPr>
                <w:rFonts w:ascii="Verdana" w:hAnsi="Verdana"/>
                <w:sz w:val="16"/>
                <w:szCs w:val="16"/>
                <w:lang w:val="es-MX"/>
              </w:rPr>
              <w:t xml:space="preserve"> Que han sido examinados y evaluados por una persona suficientemente capacitada y competente autorizado para ello;</w:t>
            </w:r>
          </w:p>
        </w:tc>
        <w:tc>
          <w:tcPr>
            <w:tcW w:w="4421" w:type="dxa"/>
          </w:tcPr>
          <w:p w14:paraId="2A0415A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16.9.3.2.3 </w:t>
            </w:r>
            <w:r w:rsidRPr="00D429B4">
              <w:rPr>
                <w:rFonts w:ascii="Verdana" w:hAnsi="Verdana"/>
                <w:sz w:val="16"/>
                <w:szCs w:val="16"/>
                <w:lang w:val="en-US"/>
              </w:rPr>
              <w:t xml:space="preserve">That they have been examined and evaluated by a person sufficiently qualified and competently authorized for it; </w:t>
            </w:r>
          </w:p>
        </w:tc>
      </w:tr>
      <w:tr w:rsidR="00CD67E0" w:rsidRPr="00861FCE" w14:paraId="124B7409" w14:textId="77777777" w:rsidTr="00335F65">
        <w:tc>
          <w:tcPr>
            <w:tcW w:w="4421" w:type="dxa"/>
          </w:tcPr>
          <w:p w14:paraId="701580D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16.9.3.2.4</w:t>
            </w:r>
            <w:r w:rsidRPr="00D429B4">
              <w:rPr>
                <w:rFonts w:ascii="Verdana" w:hAnsi="Verdana"/>
                <w:sz w:val="16"/>
                <w:szCs w:val="16"/>
                <w:lang w:val="es-MX"/>
              </w:rPr>
              <w:t xml:space="preserve"> El distribuidor debe tener la evidencia de que suministró el producto a ese cliente (a través de copias de la nota de entrega original o haciendo referencia a los números de factura, números de lote, fecha de caducidad etc., como lo requiere la legislación nacional), y no existe ningún motivo para pensar que el medicamento ha sido falsificado.</w:t>
            </w:r>
          </w:p>
        </w:tc>
        <w:tc>
          <w:tcPr>
            <w:tcW w:w="4421" w:type="dxa"/>
          </w:tcPr>
          <w:p w14:paraId="03FCBF81"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16.9.3.2.4 </w:t>
            </w:r>
            <w:r w:rsidRPr="00D429B4">
              <w:rPr>
                <w:rFonts w:ascii="Verdana" w:hAnsi="Verdana"/>
                <w:sz w:val="16"/>
                <w:szCs w:val="16"/>
                <w:lang w:val="en-US"/>
              </w:rPr>
              <w:t xml:space="preserve">The distributor must have the evidence that it supplied the product to that client (through copies of the original delivery note or making reference to the invoice numbers, lot numbers, expiration date, etc., as required by national legislation), and no reason exists to think that the drug product has been falsified. </w:t>
            </w:r>
          </w:p>
        </w:tc>
      </w:tr>
      <w:tr w:rsidR="00CD67E0" w:rsidRPr="006A32CF" w14:paraId="28CBA3E6" w14:textId="77777777" w:rsidTr="00335F65">
        <w:tc>
          <w:tcPr>
            <w:tcW w:w="4421" w:type="dxa"/>
          </w:tcPr>
          <w:p w14:paraId="73AF2B4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16.9.3.3</w:t>
            </w:r>
            <w:r w:rsidRPr="00D429B4">
              <w:rPr>
                <w:rFonts w:ascii="Verdana" w:hAnsi="Verdana"/>
                <w:sz w:val="16"/>
                <w:szCs w:val="16"/>
                <w:lang w:val="es-MX"/>
              </w:rPr>
              <w:t xml:space="preserve"> Los medicamentos que requieren condiciones de almacenamiento de temperatura específicos, la devolución sólo puede hacerse si hay pruebas documentales de que el producto ha sido almacenado en las condiciones de almacenamiento autorizados en todo el tiempo. Si se produce una desviación se debe realizar una evaluación de riesgos en la cual se demuestre la integridad del producto. La evidencia debe cubrir:</w:t>
            </w:r>
          </w:p>
        </w:tc>
        <w:tc>
          <w:tcPr>
            <w:tcW w:w="4421" w:type="dxa"/>
          </w:tcPr>
          <w:p w14:paraId="221C0A8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16.9.3.3 </w:t>
            </w:r>
            <w:r w:rsidRPr="00D429B4">
              <w:rPr>
                <w:rFonts w:ascii="Verdana" w:hAnsi="Verdana"/>
                <w:sz w:val="16"/>
                <w:szCs w:val="16"/>
                <w:lang w:val="en-US"/>
              </w:rPr>
              <w:t xml:space="preserve">The drug products that require specific temperature storage conditions, the return only can be made if there is documented evidence that the product has been stored under the authorized storage conditions at all times. If a deviation is produced, an evaluation of risks must be made in which the integrity of the product is demonstrated. The evidence must cover: </w:t>
            </w:r>
          </w:p>
        </w:tc>
      </w:tr>
      <w:tr w:rsidR="00CD67E0" w:rsidRPr="00861FCE" w14:paraId="1D4D95DD" w14:textId="77777777" w:rsidTr="00335F65">
        <w:tc>
          <w:tcPr>
            <w:tcW w:w="4421" w:type="dxa"/>
          </w:tcPr>
          <w:p w14:paraId="275B686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16.9.3.3.1</w:t>
            </w:r>
            <w:r w:rsidRPr="00D429B4">
              <w:rPr>
                <w:rFonts w:ascii="Verdana" w:hAnsi="Verdana"/>
                <w:sz w:val="16"/>
                <w:szCs w:val="16"/>
                <w:lang w:val="es-MX"/>
              </w:rPr>
              <w:t xml:space="preserve"> La entrega al cliente;</w:t>
            </w:r>
          </w:p>
        </w:tc>
        <w:tc>
          <w:tcPr>
            <w:tcW w:w="4421" w:type="dxa"/>
          </w:tcPr>
          <w:p w14:paraId="78C0F39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16.9.3.3.1</w:t>
            </w:r>
            <w:r w:rsidRPr="00D429B4">
              <w:rPr>
                <w:rFonts w:ascii="Verdana" w:hAnsi="Verdana"/>
                <w:sz w:val="16"/>
                <w:szCs w:val="16"/>
                <w:lang w:val="en-US"/>
              </w:rPr>
              <w:t xml:space="preserve"> The delivery to the client; </w:t>
            </w:r>
          </w:p>
        </w:tc>
      </w:tr>
      <w:tr w:rsidR="00CD67E0" w:rsidRPr="00861FCE" w14:paraId="78E4A13D" w14:textId="77777777" w:rsidTr="00335F65">
        <w:tc>
          <w:tcPr>
            <w:tcW w:w="4421" w:type="dxa"/>
          </w:tcPr>
          <w:p w14:paraId="447B072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16.9.3.3.2</w:t>
            </w:r>
            <w:r w:rsidRPr="00D429B4">
              <w:rPr>
                <w:rFonts w:ascii="Verdana" w:hAnsi="Verdana"/>
                <w:sz w:val="16"/>
                <w:szCs w:val="16"/>
                <w:lang w:val="es-MX"/>
              </w:rPr>
              <w:t xml:space="preserve"> La inspección por atributos del producto;</w:t>
            </w:r>
          </w:p>
        </w:tc>
        <w:tc>
          <w:tcPr>
            <w:tcW w:w="4421" w:type="dxa"/>
          </w:tcPr>
          <w:p w14:paraId="3ECDD15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16.9.3.3.2</w:t>
            </w:r>
            <w:r w:rsidRPr="00D429B4">
              <w:rPr>
                <w:rFonts w:ascii="Verdana" w:hAnsi="Verdana"/>
                <w:sz w:val="16"/>
                <w:szCs w:val="16"/>
                <w:lang w:val="en-US"/>
              </w:rPr>
              <w:t xml:space="preserve"> The inspection by attributes of the product; </w:t>
            </w:r>
          </w:p>
        </w:tc>
      </w:tr>
      <w:tr w:rsidR="00CD67E0" w:rsidRPr="00861FCE" w14:paraId="7DA6FE28" w14:textId="77777777" w:rsidTr="00335F65">
        <w:tc>
          <w:tcPr>
            <w:tcW w:w="4421" w:type="dxa"/>
          </w:tcPr>
          <w:p w14:paraId="760A888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16.9.3.3.3</w:t>
            </w:r>
            <w:r w:rsidRPr="00D429B4">
              <w:rPr>
                <w:rFonts w:ascii="Verdana" w:hAnsi="Verdana"/>
                <w:sz w:val="16"/>
                <w:szCs w:val="16"/>
                <w:lang w:val="es-MX"/>
              </w:rPr>
              <w:t xml:space="preserve"> La apertura del empaque de transporte;</w:t>
            </w:r>
          </w:p>
        </w:tc>
        <w:tc>
          <w:tcPr>
            <w:tcW w:w="4421" w:type="dxa"/>
          </w:tcPr>
          <w:p w14:paraId="0D25C94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16.9.3.3.3</w:t>
            </w:r>
            <w:r w:rsidRPr="00D429B4">
              <w:rPr>
                <w:rFonts w:ascii="Verdana" w:hAnsi="Verdana"/>
                <w:sz w:val="16"/>
                <w:szCs w:val="16"/>
                <w:lang w:val="en-US"/>
              </w:rPr>
              <w:t xml:space="preserve"> The opening of the transport packaging;  </w:t>
            </w:r>
          </w:p>
        </w:tc>
      </w:tr>
      <w:tr w:rsidR="00CD67E0" w:rsidRPr="00861FCE" w14:paraId="25033204" w14:textId="77777777" w:rsidTr="00335F65">
        <w:tc>
          <w:tcPr>
            <w:tcW w:w="4421" w:type="dxa"/>
          </w:tcPr>
          <w:p w14:paraId="0A71372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16.9.3.3.4</w:t>
            </w:r>
            <w:r w:rsidRPr="00D429B4">
              <w:rPr>
                <w:rFonts w:ascii="Verdana" w:hAnsi="Verdana"/>
                <w:sz w:val="16"/>
                <w:szCs w:val="16"/>
                <w:lang w:val="es-MX"/>
              </w:rPr>
              <w:t xml:space="preserve"> La devolución del producto al embalaje;</w:t>
            </w:r>
          </w:p>
        </w:tc>
        <w:tc>
          <w:tcPr>
            <w:tcW w:w="4421" w:type="dxa"/>
          </w:tcPr>
          <w:p w14:paraId="345E698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16.9.3.3.4</w:t>
            </w:r>
            <w:r w:rsidRPr="00D429B4">
              <w:rPr>
                <w:rFonts w:ascii="Verdana" w:hAnsi="Verdana"/>
                <w:sz w:val="16"/>
                <w:szCs w:val="16"/>
                <w:lang w:val="en-US"/>
              </w:rPr>
              <w:t xml:space="preserve"> The return of the product to the packaging. </w:t>
            </w:r>
          </w:p>
        </w:tc>
      </w:tr>
      <w:tr w:rsidR="00CD67E0" w:rsidRPr="00861FCE" w14:paraId="076F07BA" w14:textId="77777777" w:rsidTr="00335F65">
        <w:tc>
          <w:tcPr>
            <w:tcW w:w="4421" w:type="dxa"/>
          </w:tcPr>
          <w:p w14:paraId="06A2925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16.9.3.3.5</w:t>
            </w:r>
            <w:r w:rsidRPr="00D429B4">
              <w:rPr>
                <w:rFonts w:ascii="Verdana" w:hAnsi="Verdana"/>
                <w:sz w:val="16"/>
                <w:szCs w:val="16"/>
                <w:lang w:val="es-MX"/>
              </w:rPr>
              <w:t xml:space="preserve"> Recepción y devolución al distribuidor;</w:t>
            </w:r>
          </w:p>
        </w:tc>
        <w:tc>
          <w:tcPr>
            <w:tcW w:w="4421" w:type="dxa"/>
          </w:tcPr>
          <w:p w14:paraId="25D56ACD"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16.9.3.3.5</w:t>
            </w:r>
            <w:r w:rsidRPr="00D429B4">
              <w:rPr>
                <w:rFonts w:ascii="Verdana" w:hAnsi="Verdana"/>
                <w:sz w:val="16"/>
                <w:szCs w:val="16"/>
                <w:lang w:val="en-US"/>
              </w:rPr>
              <w:t xml:space="preserve"> Reception and return to the distributor; </w:t>
            </w:r>
          </w:p>
        </w:tc>
      </w:tr>
      <w:tr w:rsidR="00CD67E0" w:rsidRPr="00861FCE" w14:paraId="17127F1A" w14:textId="77777777" w:rsidTr="00335F65">
        <w:tc>
          <w:tcPr>
            <w:tcW w:w="4421" w:type="dxa"/>
          </w:tcPr>
          <w:p w14:paraId="4988287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16.9.3.3.6</w:t>
            </w:r>
            <w:r w:rsidRPr="00D429B4">
              <w:rPr>
                <w:rFonts w:ascii="Verdana" w:hAnsi="Verdana"/>
                <w:sz w:val="16"/>
                <w:szCs w:val="16"/>
                <w:lang w:val="es-MX"/>
              </w:rPr>
              <w:t xml:space="preserve"> El registro de las lecturas de temperatura durante el transporte;</w:t>
            </w:r>
          </w:p>
        </w:tc>
        <w:tc>
          <w:tcPr>
            <w:tcW w:w="4421" w:type="dxa"/>
          </w:tcPr>
          <w:p w14:paraId="0785120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16.9.3.3.6</w:t>
            </w:r>
            <w:r w:rsidRPr="00D429B4">
              <w:rPr>
                <w:rFonts w:ascii="Verdana" w:hAnsi="Verdana"/>
                <w:sz w:val="16"/>
                <w:szCs w:val="16"/>
                <w:lang w:val="en-US"/>
              </w:rPr>
              <w:t xml:space="preserve"> The record of the temperature readings during transport; </w:t>
            </w:r>
          </w:p>
        </w:tc>
      </w:tr>
      <w:tr w:rsidR="00CD67E0" w:rsidRPr="00861FCE" w14:paraId="2E1EEA1C" w14:textId="77777777" w:rsidTr="00335F65">
        <w:tc>
          <w:tcPr>
            <w:tcW w:w="4421" w:type="dxa"/>
          </w:tcPr>
          <w:p w14:paraId="3BA2BE0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16.9.3.3.7</w:t>
            </w:r>
            <w:r w:rsidRPr="00D429B4">
              <w:rPr>
                <w:rFonts w:ascii="Verdana" w:hAnsi="Verdana"/>
                <w:sz w:val="16"/>
                <w:szCs w:val="16"/>
                <w:lang w:val="es-MX"/>
              </w:rPr>
              <w:t xml:space="preserve"> La devolución a la cámara fría del distribuidor.</w:t>
            </w:r>
          </w:p>
        </w:tc>
        <w:tc>
          <w:tcPr>
            <w:tcW w:w="4421" w:type="dxa"/>
          </w:tcPr>
          <w:p w14:paraId="6D609AC8"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16.9.3.3.7</w:t>
            </w:r>
            <w:r w:rsidRPr="00D429B4">
              <w:rPr>
                <w:rFonts w:ascii="Verdana" w:hAnsi="Verdana"/>
                <w:sz w:val="16"/>
                <w:szCs w:val="16"/>
                <w:lang w:val="en-US"/>
              </w:rPr>
              <w:t xml:space="preserve"> The return to the cold chamber of the distributor.  </w:t>
            </w:r>
          </w:p>
        </w:tc>
      </w:tr>
      <w:tr w:rsidR="00CD67E0" w:rsidRPr="00861FCE" w14:paraId="14E2F9C3" w14:textId="77777777" w:rsidTr="00335F65">
        <w:tc>
          <w:tcPr>
            <w:tcW w:w="4421" w:type="dxa"/>
          </w:tcPr>
          <w:p w14:paraId="73080CF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16.9.3.4</w:t>
            </w:r>
            <w:r w:rsidRPr="00D429B4">
              <w:rPr>
                <w:rFonts w:ascii="Verdana" w:hAnsi="Verdana"/>
                <w:sz w:val="16"/>
                <w:szCs w:val="16"/>
                <w:lang w:val="es-MX"/>
              </w:rPr>
              <w:t xml:space="preserve"> Los productos devueltos deben ser colocados siguiendo el sistema de primeras entradas primeras salidas (PEPS).</w:t>
            </w:r>
          </w:p>
        </w:tc>
        <w:tc>
          <w:tcPr>
            <w:tcW w:w="4421" w:type="dxa"/>
          </w:tcPr>
          <w:p w14:paraId="16E61C9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16.9.3.4</w:t>
            </w:r>
            <w:r w:rsidRPr="00D429B4">
              <w:rPr>
                <w:rFonts w:ascii="Verdana" w:hAnsi="Verdana"/>
                <w:sz w:val="16"/>
                <w:szCs w:val="16"/>
                <w:lang w:val="en-US"/>
              </w:rPr>
              <w:t xml:space="preserve"> The returned products must be placed following the system of first ins, first outs (FIFO). </w:t>
            </w:r>
          </w:p>
        </w:tc>
      </w:tr>
      <w:tr w:rsidR="00CD67E0" w:rsidRPr="00861FCE" w14:paraId="198D7918" w14:textId="77777777" w:rsidTr="00335F65">
        <w:tc>
          <w:tcPr>
            <w:tcW w:w="4421" w:type="dxa"/>
          </w:tcPr>
          <w:p w14:paraId="629476D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16.9.3.5</w:t>
            </w:r>
            <w:r w:rsidRPr="00D429B4">
              <w:rPr>
                <w:rFonts w:ascii="Verdana" w:hAnsi="Verdana"/>
                <w:sz w:val="16"/>
                <w:szCs w:val="16"/>
                <w:lang w:val="es-MX"/>
              </w:rPr>
              <w:t xml:space="preserve"> Los productos robados que han sido recuperados no pueden ser devueltos a las existencias vendibles.</w:t>
            </w:r>
          </w:p>
        </w:tc>
        <w:tc>
          <w:tcPr>
            <w:tcW w:w="4421" w:type="dxa"/>
          </w:tcPr>
          <w:p w14:paraId="749F2CF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16.9.3.5</w:t>
            </w:r>
            <w:r w:rsidRPr="00D429B4">
              <w:rPr>
                <w:rFonts w:ascii="Verdana" w:hAnsi="Verdana"/>
                <w:sz w:val="16"/>
                <w:szCs w:val="16"/>
                <w:lang w:val="en-US"/>
              </w:rPr>
              <w:t xml:space="preserve"> The stolen products that have been recovered cannot be returned to the saleable inventories.  </w:t>
            </w:r>
          </w:p>
        </w:tc>
      </w:tr>
      <w:tr w:rsidR="00CD67E0" w:rsidRPr="00DD29AF" w14:paraId="78E48B23" w14:textId="77777777" w:rsidTr="00335F65">
        <w:tc>
          <w:tcPr>
            <w:tcW w:w="4421" w:type="dxa"/>
          </w:tcPr>
          <w:p w14:paraId="636B546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16.9.4 </w:t>
            </w:r>
            <w:r w:rsidRPr="00D429B4">
              <w:rPr>
                <w:rFonts w:ascii="Verdana" w:hAnsi="Verdana"/>
                <w:sz w:val="16"/>
                <w:szCs w:val="16"/>
                <w:lang w:val="es-MX"/>
              </w:rPr>
              <w:t>Medicamentos falsificados</w:t>
            </w:r>
          </w:p>
        </w:tc>
        <w:tc>
          <w:tcPr>
            <w:tcW w:w="4421" w:type="dxa"/>
          </w:tcPr>
          <w:p w14:paraId="2790CBB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16.9.4 </w:t>
            </w:r>
            <w:r w:rsidRPr="00D429B4">
              <w:rPr>
                <w:rFonts w:ascii="Verdana" w:hAnsi="Verdana"/>
                <w:sz w:val="16"/>
                <w:szCs w:val="16"/>
                <w:lang w:val="en-US"/>
              </w:rPr>
              <w:t>Falsified drug products</w:t>
            </w:r>
          </w:p>
        </w:tc>
      </w:tr>
      <w:tr w:rsidR="00CD67E0" w:rsidRPr="00861FCE" w14:paraId="13C6F06C" w14:textId="77777777" w:rsidTr="00335F65">
        <w:tc>
          <w:tcPr>
            <w:tcW w:w="4421" w:type="dxa"/>
          </w:tcPr>
          <w:p w14:paraId="72BAC57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16.9.4.1</w:t>
            </w:r>
            <w:r w:rsidRPr="00D429B4">
              <w:rPr>
                <w:rFonts w:ascii="Verdana" w:hAnsi="Verdana"/>
                <w:sz w:val="16"/>
                <w:szCs w:val="16"/>
                <w:lang w:val="es-MX"/>
              </w:rPr>
              <w:t xml:space="preserve"> La venta y distribución de un medicamento falsificado deben ser suspendidas inmediatamente.</w:t>
            </w:r>
          </w:p>
        </w:tc>
        <w:tc>
          <w:tcPr>
            <w:tcW w:w="4421" w:type="dxa"/>
          </w:tcPr>
          <w:p w14:paraId="023704F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16.9.4.1</w:t>
            </w:r>
            <w:r w:rsidRPr="00D429B4">
              <w:rPr>
                <w:rFonts w:ascii="Verdana" w:hAnsi="Verdana"/>
                <w:sz w:val="16"/>
                <w:szCs w:val="16"/>
                <w:lang w:val="en-US"/>
              </w:rPr>
              <w:t xml:space="preserve"> The sale and distribution of a falsified drug product must be suspended immediately. </w:t>
            </w:r>
          </w:p>
        </w:tc>
      </w:tr>
      <w:tr w:rsidR="00CD67E0" w:rsidRPr="00861FCE" w14:paraId="0F87899E" w14:textId="77777777" w:rsidTr="00335F65">
        <w:tc>
          <w:tcPr>
            <w:tcW w:w="4421" w:type="dxa"/>
          </w:tcPr>
          <w:p w14:paraId="52020D8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16.9.4.2</w:t>
            </w:r>
            <w:r w:rsidRPr="00D429B4">
              <w:rPr>
                <w:rFonts w:ascii="Verdana" w:hAnsi="Verdana"/>
                <w:sz w:val="16"/>
                <w:szCs w:val="16"/>
                <w:lang w:val="es-MX"/>
              </w:rPr>
              <w:t xml:space="preserve"> Se debe de contar con un procedimiento donde los distribuidores informen inmediatamente a la autoridad y al titular del Registro Sanitario de cualquier medicamento falsificado o que se sospeche de ser falsificado y actuar sobre las instrucciones según lo especificado por la autoridad.</w:t>
            </w:r>
          </w:p>
        </w:tc>
        <w:tc>
          <w:tcPr>
            <w:tcW w:w="4421" w:type="dxa"/>
          </w:tcPr>
          <w:p w14:paraId="33CE61B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16.9.4.2 </w:t>
            </w:r>
            <w:r w:rsidRPr="00D429B4">
              <w:rPr>
                <w:rFonts w:ascii="Verdana" w:hAnsi="Verdana"/>
                <w:sz w:val="16"/>
                <w:szCs w:val="16"/>
                <w:lang w:val="en-US"/>
              </w:rPr>
              <w:t>There must be a procedure where the distributors immediately inform the authority and the holder of the Sanitary Registration of any falsified drug product or that is suspected of being falsified and act on the instructions as specified by the authority.</w:t>
            </w:r>
          </w:p>
        </w:tc>
      </w:tr>
      <w:tr w:rsidR="00CD67E0" w:rsidRPr="00861FCE" w14:paraId="2C0B2D3C" w14:textId="77777777" w:rsidTr="00335F65">
        <w:tc>
          <w:tcPr>
            <w:tcW w:w="4421" w:type="dxa"/>
          </w:tcPr>
          <w:p w14:paraId="5DB7279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16.9.4.3</w:t>
            </w:r>
            <w:r w:rsidRPr="00D429B4">
              <w:rPr>
                <w:rFonts w:ascii="Verdana" w:hAnsi="Verdana"/>
                <w:sz w:val="16"/>
                <w:szCs w:val="16"/>
                <w:lang w:val="es-MX"/>
              </w:rPr>
              <w:t xml:space="preserve"> Se debe de separar físicamente cualquier medicamento falsificado que se encuentran en la cadena de suministro y almacenarse en un área específica separada de los demás medicamentos. Todas las actividades relevantes en relación con </w:t>
            </w:r>
            <w:r w:rsidRPr="00D429B4">
              <w:rPr>
                <w:rFonts w:ascii="Verdana" w:hAnsi="Verdana"/>
                <w:sz w:val="16"/>
                <w:szCs w:val="16"/>
                <w:lang w:val="es-MX"/>
              </w:rPr>
              <w:lastRenderedPageBreak/>
              <w:t>tales productos deben ser documentados y los registros resguardados.</w:t>
            </w:r>
          </w:p>
        </w:tc>
        <w:tc>
          <w:tcPr>
            <w:tcW w:w="4421" w:type="dxa"/>
          </w:tcPr>
          <w:p w14:paraId="5676F11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 xml:space="preserve">16.9.4.3 </w:t>
            </w:r>
            <w:r w:rsidRPr="00D429B4">
              <w:rPr>
                <w:rFonts w:ascii="Verdana" w:hAnsi="Verdana"/>
                <w:sz w:val="16"/>
                <w:szCs w:val="16"/>
                <w:lang w:val="en-US"/>
              </w:rPr>
              <w:t xml:space="preserve">Any falsified drug product must be physically separated that are found in the supply chain and stored in a specific separated area from the other drug products. All the relevant activities </w:t>
            </w:r>
            <w:r w:rsidRPr="00D429B4">
              <w:rPr>
                <w:rFonts w:ascii="Verdana" w:hAnsi="Verdana"/>
                <w:sz w:val="16"/>
                <w:szCs w:val="16"/>
                <w:lang w:val="en-US"/>
              </w:rPr>
              <w:lastRenderedPageBreak/>
              <w:t xml:space="preserve">related to such products must be documented and the records retained. </w:t>
            </w:r>
          </w:p>
        </w:tc>
      </w:tr>
      <w:tr w:rsidR="00CD67E0" w:rsidRPr="00861FCE" w14:paraId="3F2A883A" w14:textId="77777777" w:rsidTr="00335F65">
        <w:tc>
          <w:tcPr>
            <w:tcW w:w="4421" w:type="dxa"/>
          </w:tcPr>
          <w:p w14:paraId="43D32DA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16.9.4.4</w:t>
            </w:r>
            <w:r w:rsidRPr="00D429B4">
              <w:rPr>
                <w:rFonts w:ascii="Verdana" w:hAnsi="Verdana"/>
                <w:sz w:val="16"/>
                <w:szCs w:val="16"/>
                <w:lang w:val="es-MX"/>
              </w:rPr>
              <w:t xml:space="preserve"> Tras la confirmación que un medicamento fue falsificado, el titular del Registro Sanitario debe notificar a la COFEPRIS para tomar la decisión en conjunto del retiro de dicho producto del mercado. Si se determina el retiro del producto del mercado se debe asegurar que no vuelva a entrar en la cadena de suministro, incluyendo la retención de las muestras necesarias para la salud pública, regulación, o necesidades legales y disposiciones para su eliminación. Todas las decisiones deben estar debidamente documentadas por el titular del registro sanitario.</w:t>
            </w:r>
          </w:p>
        </w:tc>
        <w:tc>
          <w:tcPr>
            <w:tcW w:w="4421" w:type="dxa"/>
          </w:tcPr>
          <w:p w14:paraId="178AB41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16.9.4.4 </w:t>
            </w:r>
            <w:r w:rsidRPr="00D429B4">
              <w:rPr>
                <w:rFonts w:ascii="Verdana" w:hAnsi="Verdana"/>
                <w:sz w:val="16"/>
                <w:szCs w:val="16"/>
                <w:lang w:val="en-US"/>
              </w:rPr>
              <w:t xml:space="preserve">From the confirmation that a drug product was falsified, the holder of the Sanitary Registration must notify COFEPRIS to take the joint decision for the withdrawal of said product from the market. If the withdrawal of the product from the market is determined, it must be assured that it does not return to the supply chain, including the retention of the samples necessary for public health, regulation or legal necessities and provisions for their elimination. All the decisions must be duly documented by the holder of the Sanitary Registration. </w:t>
            </w:r>
          </w:p>
        </w:tc>
      </w:tr>
      <w:tr w:rsidR="00CD67E0" w:rsidRPr="003C5E22" w14:paraId="61673BA6" w14:textId="77777777" w:rsidTr="00335F65">
        <w:tc>
          <w:tcPr>
            <w:tcW w:w="4421" w:type="dxa"/>
          </w:tcPr>
          <w:p w14:paraId="5DB8FEA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16.9.5 </w:t>
            </w:r>
            <w:r w:rsidRPr="00D429B4">
              <w:rPr>
                <w:rFonts w:ascii="Verdana" w:hAnsi="Verdana"/>
                <w:sz w:val="16"/>
                <w:szCs w:val="16"/>
                <w:lang w:val="es-MX"/>
              </w:rPr>
              <w:t>Retiro de producto</w:t>
            </w:r>
          </w:p>
        </w:tc>
        <w:tc>
          <w:tcPr>
            <w:tcW w:w="4421" w:type="dxa"/>
          </w:tcPr>
          <w:p w14:paraId="1D0EF20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16.9.5 </w:t>
            </w:r>
            <w:r w:rsidRPr="00D429B4">
              <w:rPr>
                <w:rFonts w:ascii="Verdana" w:hAnsi="Verdana"/>
                <w:sz w:val="16"/>
                <w:szCs w:val="16"/>
                <w:lang w:val="en-US"/>
              </w:rPr>
              <w:t>Withdrawal of product.</w:t>
            </w:r>
          </w:p>
        </w:tc>
      </w:tr>
      <w:tr w:rsidR="00CD67E0" w:rsidRPr="00861FCE" w14:paraId="1E0CFB06" w14:textId="77777777" w:rsidTr="00335F65">
        <w:tc>
          <w:tcPr>
            <w:tcW w:w="4421" w:type="dxa"/>
          </w:tcPr>
          <w:p w14:paraId="506831F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16.9.5.1</w:t>
            </w:r>
            <w:r w:rsidRPr="00D429B4">
              <w:rPr>
                <w:rFonts w:ascii="Verdana" w:hAnsi="Verdana"/>
                <w:sz w:val="16"/>
                <w:szCs w:val="16"/>
                <w:lang w:val="es-MX"/>
              </w:rPr>
              <w:t xml:space="preserve"> Debe existir documentación y procedimientos para garantizar la trazabilidad de los productos recibidos y distribuidos, para facilitar el retiro de productos.</w:t>
            </w:r>
          </w:p>
        </w:tc>
        <w:tc>
          <w:tcPr>
            <w:tcW w:w="4421" w:type="dxa"/>
          </w:tcPr>
          <w:p w14:paraId="485272D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16.9.5.1 </w:t>
            </w:r>
            <w:r w:rsidRPr="00D429B4">
              <w:rPr>
                <w:rFonts w:ascii="Verdana" w:hAnsi="Verdana"/>
                <w:sz w:val="16"/>
                <w:szCs w:val="16"/>
                <w:lang w:val="en-US"/>
              </w:rPr>
              <w:t xml:space="preserve">Documentation and procedures must exist to guarantee the traceability of the products received and distributed to facilitate the withdrawal of products. </w:t>
            </w:r>
          </w:p>
        </w:tc>
      </w:tr>
      <w:tr w:rsidR="00CD67E0" w:rsidRPr="00861FCE" w14:paraId="074A0F4C" w14:textId="77777777" w:rsidTr="00335F65">
        <w:tc>
          <w:tcPr>
            <w:tcW w:w="4421" w:type="dxa"/>
          </w:tcPr>
          <w:p w14:paraId="7306E93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16.9.5.2</w:t>
            </w:r>
            <w:r w:rsidRPr="00D429B4">
              <w:rPr>
                <w:rFonts w:ascii="Verdana" w:hAnsi="Verdana"/>
                <w:sz w:val="16"/>
                <w:szCs w:val="16"/>
                <w:lang w:val="es-MX"/>
              </w:rPr>
              <w:t xml:space="preserve"> En el caso de un retiro de producto deberán ser informados rápidamente todos los clientes a los que el producto se ha distribuido con el apropiado grado de urgencia y con instrucciones claras.</w:t>
            </w:r>
          </w:p>
        </w:tc>
        <w:tc>
          <w:tcPr>
            <w:tcW w:w="4421" w:type="dxa"/>
          </w:tcPr>
          <w:p w14:paraId="6B2F0E7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16.9.5.2 </w:t>
            </w:r>
            <w:r w:rsidRPr="00D429B4">
              <w:rPr>
                <w:rFonts w:ascii="Verdana" w:hAnsi="Verdana"/>
                <w:sz w:val="16"/>
                <w:szCs w:val="16"/>
                <w:lang w:val="en-US"/>
              </w:rPr>
              <w:t xml:space="preserve">In the case of a withdrawal of product, all the clients to whom the product has been distributed must be informed rapidly with the appropriate degree of urgency and with clear instructions. </w:t>
            </w:r>
          </w:p>
        </w:tc>
      </w:tr>
      <w:tr w:rsidR="00CD67E0" w:rsidRPr="00861FCE" w14:paraId="578582EE" w14:textId="77777777" w:rsidTr="00335F65">
        <w:tc>
          <w:tcPr>
            <w:tcW w:w="4421" w:type="dxa"/>
          </w:tcPr>
          <w:p w14:paraId="3F398F0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16.9.5.3 </w:t>
            </w:r>
            <w:r w:rsidRPr="00D429B4">
              <w:rPr>
                <w:rFonts w:ascii="Verdana" w:hAnsi="Verdana"/>
                <w:sz w:val="16"/>
                <w:szCs w:val="16"/>
                <w:lang w:val="es-MX"/>
              </w:rPr>
              <w:t>Deberá ser informado a la autoridad nacional de todas las retiradas de productos. Si se exporta el producto, las contrapartes en el extranjero y/o las autoridades reguladoras deben ser informadas de la retirada como exige la legislación nacional.</w:t>
            </w:r>
          </w:p>
        </w:tc>
        <w:tc>
          <w:tcPr>
            <w:tcW w:w="4421" w:type="dxa"/>
          </w:tcPr>
          <w:p w14:paraId="1E30F72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16.9.5.3 </w:t>
            </w:r>
            <w:r w:rsidRPr="00D429B4">
              <w:rPr>
                <w:rFonts w:ascii="Verdana" w:hAnsi="Verdana"/>
                <w:sz w:val="16"/>
                <w:szCs w:val="16"/>
                <w:lang w:val="en-US"/>
              </w:rPr>
              <w:t xml:space="preserve">The national authority must be informed of all the withdrawal of products. If the product is exported, the counterparts outside of Mexico and/or the regulating authorities must be informed of the withdrawal as required in the national legislation. </w:t>
            </w:r>
          </w:p>
        </w:tc>
      </w:tr>
      <w:tr w:rsidR="00CD67E0" w:rsidRPr="00861FCE" w14:paraId="425A3332" w14:textId="77777777" w:rsidTr="00335F65">
        <w:tc>
          <w:tcPr>
            <w:tcW w:w="4421" w:type="dxa"/>
          </w:tcPr>
          <w:p w14:paraId="37FCCB6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16.9.5.4 </w:t>
            </w:r>
            <w:r w:rsidRPr="00D429B4">
              <w:rPr>
                <w:rFonts w:ascii="Verdana" w:hAnsi="Verdana"/>
                <w:sz w:val="16"/>
                <w:szCs w:val="16"/>
                <w:lang w:val="es-MX"/>
              </w:rPr>
              <w:t>Se debe evaluar la eficacia del proceso de retiro de productos, implementando un simulacro (al menos anualmente), o bien mediante la evaluación con indicadores establecidos por el distribuidor sobre el resultado del retiro de un evento real que se tenga.</w:t>
            </w:r>
          </w:p>
        </w:tc>
        <w:tc>
          <w:tcPr>
            <w:tcW w:w="4421" w:type="dxa"/>
          </w:tcPr>
          <w:p w14:paraId="78146B0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16.9.5.4 </w:t>
            </w:r>
            <w:r w:rsidRPr="00D429B4">
              <w:rPr>
                <w:rFonts w:ascii="Verdana" w:hAnsi="Verdana"/>
                <w:sz w:val="16"/>
                <w:szCs w:val="16"/>
                <w:lang w:val="en-US"/>
              </w:rPr>
              <w:t xml:space="preserve">The efficiency of the process for withdrawal of products must be evaluated, implementing a drill (at least annually) or through the evaluation with indicators established by the distributor on the results of the withdrawal from a real event that occurs. </w:t>
            </w:r>
          </w:p>
        </w:tc>
      </w:tr>
      <w:tr w:rsidR="00CD67E0" w:rsidRPr="00861FCE" w14:paraId="31566AEB" w14:textId="77777777" w:rsidTr="00335F65">
        <w:tc>
          <w:tcPr>
            <w:tcW w:w="4421" w:type="dxa"/>
          </w:tcPr>
          <w:p w14:paraId="196AEE97"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16.9.5.5</w:t>
            </w:r>
            <w:r w:rsidRPr="00D429B4">
              <w:rPr>
                <w:rFonts w:ascii="Verdana" w:hAnsi="Verdana"/>
                <w:sz w:val="16"/>
                <w:szCs w:val="16"/>
                <w:lang w:val="es-MX"/>
              </w:rPr>
              <w:t xml:space="preserve"> Las operaciones del retiro deben ser capaces de iniciarse de inmediato y en cualquier momento.</w:t>
            </w:r>
          </w:p>
        </w:tc>
        <w:tc>
          <w:tcPr>
            <w:tcW w:w="4421" w:type="dxa"/>
          </w:tcPr>
          <w:p w14:paraId="364FE023" w14:textId="77777777" w:rsidR="00CD67E0" w:rsidRPr="00CB764A"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16.9.5.5 </w:t>
            </w:r>
            <w:r>
              <w:rPr>
                <w:rFonts w:ascii="Verdana" w:hAnsi="Verdana"/>
                <w:sz w:val="16"/>
                <w:szCs w:val="16"/>
                <w:lang w:val="en-US"/>
              </w:rPr>
              <w:t xml:space="preserve">The operations of the withdrawal must be capable of initiating immediately and at all moments. </w:t>
            </w:r>
          </w:p>
        </w:tc>
      </w:tr>
      <w:tr w:rsidR="00CD67E0" w:rsidRPr="00861FCE" w14:paraId="07D58179" w14:textId="77777777" w:rsidTr="00335F65">
        <w:tc>
          <w:tcPr>
            <w:tcW w:w="4421" w:type="dxa"/>
          </w:tcPr>
          <w:p w14:paraId="5B5088CB"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s-MX"/>
              </w:rPr>
              <w:t>16.9.5.6</w:t>
            </w:r>
            <w:r w:rsidRPr="00C73D15">
              <w:rPr>
                <w:rFonts w:ascii="Verdana" w:hAnsi="Verdana"/>
                <w:sz w:val="16"/>
                <w:szCs w:val="16"/>
                <w:lang w:val="es-MX"/>
              </w:rPr>
              <w:t xml:space="preserve"> El distribuidor debe seguir las instrucciones </w:t>
            </w:r>
            <w:r w:rsidRPr="00D429B4">
              <w:rPr>
                <w:rFonts w:ascii="Verdana" w:hAnsi="Verdana"/>
                <w:sz w:val="16"/>
                <w:szCs w:val="16"/>
                <w:lang w:val="es-MX"/>
              </w:rPr>
              <w:t>de una alerta de retiro, que debe ser aprobado, si es necesario, por las autoridades competentes.</w:t>
            </w:r>
          </w:p>
        </w:tc>
        <w:tc>
          <w:tcPr>
            <w:tcW w:w="4421" w:type="dxa"/>
          </w:tcPr>
          <w:p w14:paraId="3B9CC244" w14:textId="77777777" w:rsidR="00CD67E0" w:rsidRPr="00CB764A"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16.9.5.6 </w:t>
            </w:r>
            <w:r>
              <w:rPr>
                <w:rFonts w:ascii="Verdana" w:hAnsi="Verdana"/>
                <w:sz w:val="16"/>
                <w:szCs w:val="16"/>
                <w:lang w:val="en-US"/>
              </w:rPr>
              <w:t xml:space="preserve">The distributor must follow the instructions of a withdrawal alert that must be approved, if necessary, by the appropriate authorities. </w:t>
            </w:r>
          </w:p>
        </w:tc>
      </w:tr>
      <w:tr w:rsidR="00CD67E0" w:rsidRPr="00DD29AF" w14:paraId="083D9201" w14:textId="77777777" w:rsidTr="00335F65">
        <w:tc>
          <w:tcPr>
            <w:tcW w:w="4421" w:type="dxa"/>
          </w:tcPr>
          <w:p w14:paraId="24D4BF79"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s-MX"/>
              </w:rPr>
              <w:t>16.9.5.7</w:t>
            </w:r>
            <w:r w:rsidRPr="00C73D15">
              <w:rPr>
                <w:rFonts w:ascii="Verdana" w:hAnsi="Verdana"/>
                <w:sz w:val="16"/>
                <w:szCs w:val="16"/>
                <w:lang w:val="es-MX"/>
              </w:rPr>
              <w:t xml:space="preserve"> Cualquier operación de retiro se debe registrar en el momen</w:t>
            </w:r>
            <w:r w:rsidRPr="00D429B4">
              <w:rPr>
                <w:rFonts w:ascii="Verdana" w:hAnsi="Verdana"/>
                <w:sz w:val="16"/>
                <w:szCs w:val="16"/>
                <w:lang w:val="es-MX"/>
              </w:rPr>
              <w:t>to en que se lleva a cabo. Los registros deberán ponerse a disposición de las autoridades.</w:t>
            </w:r>
          </w:p>
        </w:tc>
        <w:tc>
          <w:tcPr>
            <w:tcW w:w="4421" w:type="dxa"/>
          </w:tcPr>
          <w:p w14:paraId="10C2477F" w14:textId="77777777" w:rsidR="00CD67E0" w:rsidRPr="00CB764A"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16.9.5.7 </w:t>
            </w:r>
            <w:r>
              <w:rPr>
                <w:rFonts w:ascii="Verdana" w:hAnsi="Verdana"/>
                <w:sz w:val="16"/>
                <w:szCs w:val="16"/>
                <w:lang w:val="en-US"/>
              </w:rPr>
              <w:t xml:space="preserve">Any withdrawal operation must be recorded at all times when it is carried out. The records must be made available to the authorities. </w:t>
            </w:r>
          </w:p>
        </w:tc>
      </w:tr>
      <w:tr w:rsidR="00CD67E0" w:rsidRPr="00861FCE" w14:paraId="5542237C" w14:textId="77777777" w:rsidTr="00335F65">
        <w:tc>
          <w:tcPr>
            <w:tcW w:w="4421" w:type="dxa"/>
          </w:tcPr>
          <w:p w14:paraId="3D16F30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16.9.5.8 </w:t>
            </w:r>
            <w:r w:rsidRPr="00D429B4">
              <w:rPr>
                <w:rFonts w:ascii="Verdana" w:hAnsi="Verdana"/>
                <w:sz w:val="16"/>
                <w:szCs w:val="16"/>
                <w:lang w:val="es-MX"/>
              </w:rPr>
              <w:t xml:space="preserve">Los registros de distribución deben ser fácilmente accesibles a la persona(s) responsable del retiro y deben contener información suficiente sobre los distribuidores y los clientes suministrados directamente (con direcciones, teléfono y/o números de fax dentro y fuera de las horas de trabajo, </w:t>
            </w:r>
            <w:r w:rsidRPr="00D429B4">
              <w:rPr>
                <w:rFonts w:ascii="Verdana" w:hAnsi="Verdana"/>
                <w:sz w:val="16"/>
                <w:szCs w:val="16"/>
                <w:lang w:val="es-MX"/>
              </w:rPr>
              <w:lastRenderedPageBreak/>
              <w:t>números de lote como lo requiere la legislación nacional y las cantidades entregadas), incluyendo los de los productos exportados y muestras medicinales (si lo permite la legislación nacional).</w:t>
            </w:r>
          </w:p>
        </w:tc>
        <w:tc>
          <w:tcPr>
            <w:tcW w:w="4421" w:type="dxa"/>
          </w:tcPr>
          <w:p w14:paraId="34770686" w14:textId="77777777" w:rsidR="00CD67E0" w:rsidRPr="00CB764A"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lastRenderedPageBreak/>
              <w:t xml:space="preserve">16.9.5.8 </w:t>
            </w:r>
            <w:r>
              <w:rPr>
                <w:rFonts w:ascii="Verdana" w:hAnsi="Verdana"/>
                <w:sz w:val="16"/>
                <w:szCs w:val="16"/>
                <w:lang w:val="en-US"/>
              </w:rPr>
              <w:t xml:space="preserve">The distribution records must be easily accessible to the person(s) responsible for the withdrawal and must contain sufficient information on the distributors and the clients directly supplied (with addresses, telephone and/or fax numbers within and outside of the work hours, lot numbers as </w:t>
            </w:r>
            <w:r>
              <w:rPr>
                <w:rFonts w:ascii="Verdana" w:hAnsi="Verdana"/>
                <w:sz w:val="16"/>
                <w:szCs w:val="16"/>
                <w:lang w:val="en-US"/>
              </w:rPr>
              <w:lastRenderedPageBreak/>
              <w:t xml:space="preserve">required in the national legislation and the amounts delivered), including those of the exported products and medicinal samples (if permitted in the national legislation). </w:t>
            </w:r>
          </w:p>
        </w:tc>
      </w:tr>
      <w:tr w:rsidR="00CD67E0" w:rsidRPr="00861FCE" w14:paraId="1717D50F" w14:textId="77777777" w:rsidTr="00335F65">
        <w:tc>
          <w:tcPr>
            <w:tcW w:w="4421" w:type="dxa"/>
          </w:tcPr>
          <w:p w14:paraId="65583FF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16.9.5.9</w:t>
            </w:r>
            <w:r w:rsidRPr="00D429B4">
              <w:rPr>
                <w:rFonts w:ascii="Verdana" w:hAnsi="Verdana"/>
                <w:sz w:val="16"/>
                <w:szCs w:val="16"/>
                <w:lang w:val="es-MX"/>
              </w:rPr>
              <w:t xml:space="preserve"> Se debe registrar el avance del proceso de retiro en un informe final incluyendo la conciliación del producto retirado del mercado.</w:t>
            </w:r>
          </w:p>
        </w:tc>
        <w:tc>
          <w:tcPr>
            <w:tcW w:w="4421" w:type="dxa"/>
          </w:tcPr>
          <w:p w14:paraId="059A9A23" w14:textId="77777777" w:rsidR="00CD67E0" w:rsidRPr="00CB764A"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16.9.5.9 </w:t>
            </w:r>
            <w:r>
              <w:rPr>
                <w:rFonts w:ascii="Verdana" w:hAnsi="Verdana"/>
                <w:sz w:val="16"/>
                <w:szCs w:val="16"/>
                <w:lang w:val="en-US"/>
              </w:rPr>
              <w:t>The advance of the withdrawal process must be recorded in a final report including the conciliation of the product withdrawn from the market.</w:t>
            </w:r>
          </w:p>
        </w:tc>
      </w:tr>
      <w:tr w:rsidR="00CD67E0" w:rsidRPr="00DD29AF" w14:paraId="3A16AF99" w14:textId="77777777" w:rsidTr="00335F65">
        <w:tc>
          <w:tcPr>
            <w:tcW w:w="4421" w:type="dxa"/>
          </w:tcPr>
          <w:p w14:paraId="0855579A"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16.10 </w:t>
            </w:r>
            <w:r w:rsidRPr="00D429B4">
              <w:rPr>
                <w:rFonts w:ascii="Verdana" w:hAnsi="Verdana"/>
                <w:sz w:val="16"/>
                <w:szCs w:val="16"/>
                <w:lang w:val="es-MX"/>
              </w:rPr>
              <w:t>Actividades subcontratadas.</w:t>
            </w:r>
          </w:p>
        </w:tc>
        <w:tc>
          <w:tcPr>
            <w:tcW w:w="4421" w:type="dxa"/>
          </w:tcPr>
          <w:p w14:paraId="4D0E566F" w14:textId="77777777" w:rsidR="00CD67E0" w:rsidRPr="00CB764A" w:rsidRDefault="00CD67E0" w:rsidP="00CD67E0">
            <w:pPr>
              <w:pStyle w:val="Texto"/>
              <w:spacing w:line="276" w:lineRule="auto"/>
              <w:ind w:firstLine="0"/>
              <w:rPr>
                <w:rFonts w:ascii="Verdana" w:hAnsi="Verdana"/>
                <w:sz w:val="16"/>
                <w:szCs w:val="16"/>
                <w:lang w:val="en-US"/>
              </w:rPr>
            </w:pPr>
            <w:r w:rsidRPr="00CB764A">
              <w:rPr>
                <w:rFonts w:ascii="Verdana" w:hAnsi="Verdana"/>
                <w:b/>
                <w:sz w:val="16"/>
                <w:szCs w:val="16"/>
                <w:lang w:val="en-US"/>
              </w:rPr>
              <w:t xml:space="preserve">16.10 </w:t>
            </w:r>
            <w:r w:rsidRPr="00CB764A">
              <w:rPr>
                <w:rFonts w:ascii="Verdana" w:hAnsi="Verdana"/>
                <w:sz w:val="16"/>
                <w:szCs w:val="16"/>
                <w:lang w:val="en-US"/>
              </w:rPr>
              <w:t xml:space="preserve">Subcontracted activities. </w:t>
            </w:r>
          </w:p>
        </w:tc>
      </w:tr>
      <w:tr w:rsidR="00CD67E0" w:rsidRPr="00DD29AF" w14:paraId="51A581D4" w14:textId="77777777" w:rsidTr="00335F65">
        <w:tc>
          <w:tcPr>
            <w:tcW w:w="4421" w:type="dxa"/>
          </w:tcPr>
          <w:p w14:paraId="135B612B"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16.10.1 </w:t>
            </w:r>
            <w:r w:rsidRPr="00D429B4">
              <w:rPr>
                <w:rFonts w:ascii="Verdana" w:hAnsi="Verdana"/>
                <w:sz w:val="16"/>
                <w:szCs w:val="16"/>
                <w:lang w:val="es-MX"/>
              </w:rPr>
              <w:t>Introducción.</w:t>
            </w:r>
          </w:p>
        </w:tc>
        <w:tc>
          <w:tcPr>
            <w:tcW w:w="4421" w:type="dxa"/>
          </w:tcPr>
          <w:p w14:paraId="33AB6745" w14:textId="77777777" w:rsidR="00CD67E0" w:rsidRPr="00CB764A" w:rsidRDefault="00CD67E0" w:rsidP="00CD67E0">
            <w:pPr>
              <w:pStyle w:val="Texto"/>
              <w:spacing w:line="276" w:lineRule="auto"/>
              <w:ind w:firstLine="0"/>
              <w:rPr>
                <w:rFonts w:ascii="Verdana" w:hAnsi="Verdana"/>
                <w:sz w:val="16"/>
                <w:szCs w:val="16"/>
                <w:lang w:val="en-US"/>
              </w:rPr>
            </w:pPr>
            <w:r w:rsidRPr="00CB764A">
              <w:rPr>
                <w:rFonts w:ascii="Verdana" w:hAnsi="Verdana"/>
                <w:b/>
                <w:sz w:val="16"/>
                <w:szCs w:val="16"/>
                <w:lang w:val="en-US"/>
              </w:rPr>
              <w:t xml:space="preserve">16.10.1 </w:t>
            </w:r>
            <w:r w:rsidRPr="00CB764A">
              <w:rPr>
                <w:rFonts w:ascii="Verdana" w:hAnsi="Verdana"/>
                <w:sz w:val="16"/>
                <w:szCs w:val="16"/>
                <w:lang w:val="en-US"/>
              </w:rPr>
              <w:t>Introduction.</w:t>
            </w:r>
          </w:p>
        </w:tc>
      </w:tr>
      <w:tr w:rsidR="00CD67E0" w:rsidRPr="00861FCE" w14:paraId="34B18092" w14:textId="77777777" w:rsidTr="00335F65">
        <w:tc>
          <w:tcPr>
            <w:tcW w:w="4421" w:type="dxa"/>
          </w:tcPr>
          <w:p w14:paraId="557291F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Cualquier actividad que se subcontrate y que cubra actividades de BPAD debe estar definida, acordada y controlada correctamente con el fin de evitar malentendidos que puedan afectar la integridad del producto. Tiene que haber un contrato escrito entre el contratante y el contratista que establezca claramente las obligaciones de cada parte.</w:t>
            </w:r>
          </w:p>
        </w:tc>
        <w:tc>
          <w:tcPr>
            <w:tcW w:w="4421" w:type="dxa"/>
          </w:tcPr>
          <w:p w14:paraId="27564C15" w14:textId="77777777" w:rsidR="00CD67E0" w:rsidRPr="00CB764A" w:rsidRDefault="00CD67E0" w:rsidP="00CD67E0">
            <w:pPr>
              <w:pStyle w:val="Texto"/>
              <w:spacing w:line="276" w:lineRule="auto"/>
              <w:ind w:firstLine="0"/>
              <w:rPr>
                <w:rFonts w:ascii="Verdana" w:hAnsi="Verdana"/>
                <w:sz w:val="16"/>
                <w:szCs w:val="16"/>
                <w:lang w:val="en-US"/>
              </w:rPr>
            </w:pPr>
            <w:r w:rsidRPr="00CB764A">
              <w:rPr>
                <w:rFonts w:ascii="Verdana" w:hAnsi="Verdana"/>
                <w:sz w:val="16"/>
                <w:szCs w:val="16"/>
                <w:lang w:val="en-US"/>
              </w:rPr>
              <w:t xml:space="preserve">Any activity that is subcontracted and that covers activities of the </w:t>
            </w:r>
            <w:r>
              <w:rPr>
                <w:rFonts w:ascii="Verdana" w:hAnsi="Verdana"/>
                <w:sz w:val="16"/>
                <w:szCs w:val="16"/>
                <w:lang w:val="en-US"/>
              </w:rPr>
              <w:t>GPSD must be defined, negotiated, and controlled correctly for the purpose of avoiding misunderstandings that can affect the integrity of the product. There must be a written contract between the contracting party and the contractor that establishes clearly the obligations of each party.</w:t>
            </w:r>
          </w:p>
        </w:tc>
      </w:tr>
      <w:tr w:rsidR="00CD67E0" w:rsidRPr="00DD29AF" w14:paraId="42FE8C27" w14:textId="77777777" w:rsidTr="00335F65">
        <w:tc>
          <w:tcPr>
            <w:tcW w:w="4421" w:type="dxa"/>
          </w:tcPr>
          <w:p w14:paraId="189E2AB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16.10.2 </w:t>
            </w:r>
            <w:r w:rsidRPr="00D429B4">
              <w:rPr>
                <w:rFonts w:ascii="Verdana" w:hAnsi="Verdana"/>
                <w:sz w:val="16"/>
                <w:szCs w:val="16"/>
                <w:lang w:val="es-MX"/>
              </w:rPr>
              <w:t>Agente Contratante</w:t>
            </w:r>
          </w:p>
        </w:tc>
        <w:tc>
          <w:tcPr>
            <w:tcW w:w="4421" w:type="dxa"/>
          </w:tcPr>
          <w:p w14:paraId="06D8B759" w14:textId="77777777" w:rsidR="00CD67E0" w:rsidRPr="00CB764A"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16.10.2 </w:t>
            </w:r>
            <w:r>
              <w:rPr>
                <w:rFonts w:ascii="Verdana" w:hAnsi="Verdana"/>
                <w:sz w:val="16"/>
                <w:szCs w:val="16"/>
                <w:lang w:val="en-US"/>
              </w:rPr>
              <w:t>Contracting Agent.</w:t>
            </w:r>
          </w:p>
        </w:tc>
      </w:tr>
      <w:tr w:rsidR="00CD67E0" w:rsidRPr="00861FCE" w14:paraId="6ABB3F83" w14:textId="77777777" w:rsidTr="00335F65">
        <w:tc>
          <w:tcPr>
            <w:tcW w:w="4421" w:type="dxa"/>
          </w:tcPr>
          <w:p w14:paraId="3A537E3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16.10.2.1</w:t>
            </w:r>
            <w:r w:rsidRPr="00D429B4">
              <w:rPr>
                <w:rFonts w:ascii="Verdana" w:hAnsi="Verdana"/>
                <w:sz w:val="16"/>
                <w:szCs w:val="16"/>
                <w:lang w:val="es-MX"/>
              </w:rPr>
              <w:t xml:space="preserve"> El contratante es responsable de las actividades encomendadas bajo contrato.</w:t>
            </w:r>
          </w:p>
        </w:tc>
        <w:tc>
          <w:tcPr>
            <w:tcW w:w="4421" w:type="dxa"/>
          </w:tcPr>
          <w:p w14:paraId="301D2FB0" w14:textId="77777777" w:rsidR="00CD67E0" w:rsidRPr="00CB764A"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16.10.2.1 </w:t>
            </w:r>
            <w:r>
              <w:rPr>
                <w:rFonts w:ascii="Verdana" w:hAnsi="Verdana"/>
                <w:sz w:val="16"/>
                <w:szCs w:val="16"/>
                <w:lang w:val="en-US"/>
              </w:rPr>
              <w:t xml:space="preserve">The contracting party is responsible for the activities obligated under contract. </w:t>
            </w:r>
          </w:p>
        </w:tc>
      </w:tr>
      <w:tr w:rsidR="00CD67E0" w:rsidRPr="00CB764A" w14:paraId="1412BF9A" w14:textId="77777777" w:rsidTr="00335F65">
        <w:tc>
          <w:tcPr>
            <w:tcW w:w="4421" w:type="dxa"/>
          </w:tcPr>
          <w:p w14:paraId="2C8076D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16.10.2.2</w:t>
            </w:r>
            <w:r w:rsidRPr="00D429B4">
              <w:rPr>
                <w:rFonts w:ascii="Verdana" w:hAnsi="Verdana"/>
                <w:sz w:val="16"/>
                <w:szCs w:val="16"/>
                <w:lang w:val="es-MX"/>
              </w:rPr>
              <w:t xml:space="preserve"> El contratante es responsable de evaluar la competencia del contratado para llevar a cabo con éxito el trabajo requerido y para garantizar mediante contrato y por medio de auditorías que se sigan los principios de las BPD. Debe realizarse una auditoría del contratista antes del comienzo de las actividades subcontratadas y cuando haya ocurrido un cambio. El requisito para la auditoría y la periodicidad debe definirse en función del riesgo dependiendo de la naturaleza de las actividades subcontratadas. Las auditorías deben permitirse en cualquier momento.</w:t>
            </w:r>
          </w:p>
        </w:tc>
        <w:tc>
          <w:tcPr>
            <w:tcW w:w="4421" w:type="dxa"/>
          </w:tcPr>
          <w:p w14:paraId="575C8979" w14:textId="77777777" w:rsidR="00CD67E0" w:rsidRPr="00CB764A" w:rsidRDefault="00CD67E0" w:rsidP="00CD67E0">
            <w:pPr>
              <w:pStyle w:val="Texto"/>
              <w:spacing w:line="276" w:lineRule="auto"/>
              <w:ind w:firstLine="0"/>
              <w:rPr>
                <w:rFonts w:ascii="Verdana" w:hAnsi="Verdana"/>
                <w:sz w:val="16"/>
                <w:szCs w:val="16"/>
                <w:lang w:val="en-US"/>
              </w:rPr>
            </w:pPr>
            <w:r w:rsidRPr="00CB764A">
              <w:rPr>
                <w:rFonts w:ascii="Verdana" w:hAnsi="Verdana"/>
                <w:b/>
                <w:sz w:val="16"/>
                <w:szCs w:val="16"/>
                <w:lang w:val="en-US"/>
              </w:rPr>
              <w:t xml:space="preserve">16.10.2.2 </w:t>
            </w:r>
            <w:r w:rsidRPr="00CB764A">
              <w:rPr>
                <w:rFonts w:ascii="Verdana" w:hAnsi="Verdana"/>
                <w:sz w:val="16"/>
                <w:szCs w:val="16"/>
                <w:lang w:val="en-US"/>
              </w:rPr>
              <w:t xml:space="preserve">The contracting party is responsible for evaluating the competency of the party contracted to carry out successfully the work required and to guarantee through a contract and by means of audits that follow the principles of GPSD. An audit of the contractor must be made before commencing the subcontracted activities and when a change has occurred. The requirement for the audit and the schedule must be defined according to the risk depending on the nature of the subcontracted activities. The audits must be permitted at all times. </w:t>
            </w:r>
          </w:p>
        </w:tc>
      </w:tr>
      <w:tr w:rsidR="00CD67E0" w:rsidRPr="00861FCE" w14:paraId="24895C58" w14:textId="77777777" w:rsidTr="00335F65">
        <w:tc>
          <w:tcPr>
            <w:tcW w:w="4421" w:type="dxa"/>
          </w:tcPr>
          <w:p w14:paraId="2E4D25D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16.10.2.3</w:t>
            </w:r>
            <w:r w:rsidRPr="00D429B4">
              <w:rPr>
                <w:rFonts w:ascii="Verdana" w:hAnsi="Verdana"/>
                <w:sz w:val="16"/>
                <w:szCs w:val="16"/>
                <w:lang w:val="es-MX"/>
              </w:rPr>
              <w:t xml:space="preserve"> El contratista debe proporcionar al contratado toda la información necesaria para llevar a cabo las operaciones contratadas de acuerdo con los requisitos de los productos específicos y otros requisitos relevantes.</w:t>
            </w:r>
          </w:p>
        </w:tc>
        <w:tc>
          <w:tcPr>
            <w:tcW w:w="4421" w:type="dxa"/>
          </w:tcPr>
          <w:p w14:paraId="60B1EACB" w14:textId="77777777" w:rsidR="00CD67E0" w:rsidRPr="00CB764A" w:rsidRDefault="00CD67E0" w:rsidP="00CD67E0">
            <w:pPr>
              <w:pStyle w:val="Texto"/>
              <w:spacing w:line="276" w:lineRule="auto"/>
              <w:ind w:firstLine="0"/>
              <w:rPr>
                <w:rFonts w:ascii="Verdana" w:hAnsi="Verdana"/>
                <w:sz w:val="16"/>
                <w:szCs w:val="16"/>
                <w:lang w:val="en-US"/>
              </w:rPr>
            </w:pPr>
            <w:r w:rsidRPr="00CB764A">
              <w:rPr>
                <w:rFonts w:ascii="Verdana" w:hAnsi="Verdana"/>
                <w:b/>
                <w:sz w:val="16"/>
                <w:szCs w:val="16"/>
                <w:lang w:val="en-US"/>
              </w:rPr>
              <w:t xml:space="preserve">16.10.2.3 </w:t>
            </w:r>
            <w:r w:rsidRPr="00CB764A">
              <w:rPr>
                <w:rFonts w:ascii="Verdana" w:hAnsi="Verdana"/>
                <w:sz w:val="16"/>
                <w:szCs w:val="16"/>
                <w:lang w:val="en-US"/>
              </w:rPr>
              <w:t xml:space="preserve">The contractor must provide the contracted party all the information necessary to carry out the operations contracted according to the requirements of the specific products and other relevant requirements. </w:t>
            </w:r>
          </w:p>
        </w:tc>
      </w:tr>
      <w:tr w:rsidR="00CD67E0" w:rsidRPr="00CB764A" w14:paraId="66FD99B2" w14:textId="77777777" w:rsidTr="00335F65">
        <w:tc>
          <w:tcPr>
            <w:tcW w:w="4421" w:type="dxa"/>
          </w:tcPr>
          <w:p w14:paraId="44A85357" w14:textId="77777777" w:rsidR="00CD67E0" w:rsidRPr="00CB764A" w:rsidRDefault="00CD67E0" w:rsidP="00CD67E0">
            <w:pPr>
              <w:pStyle w:val="Texto"/>
              <w:spacing w:line="276" w:lineRule="auto"/>
              <w:ind w:firstLine="0"/>
              <w:rPr>
                <w:rFonts w:ascii="Verdana" w:hAnsi="Verdana"/>
                <w:sz w:val="16"/>
                <w:szCs w:val="16"/>
                <w:lang w:val="en-US"/>
              </w:rPr>
            </w:pPr>
            <w:r w:rsidRPr="00CB764A">
              <w:rPr>
                <w:rFonts w:ascii="Verdana" w:hAnsi="Verdana"/>
                <w:b/>
                <w:sz w:val="16"/>
                <w:szCs w:val="16"/>
                <w:lang w:val="en-US"/>
              </w:rPr>
              <w:t xml:space="preserve">16.10.3 </w:t>
            </w:r>
            <w:r w:rsidRPr="00CB764A">
              <w:rPr>
                <w:rFonts w:ascii="Verdana" w:hAnsi="Verdana"/>
                <w:sz w:val="16"/>
                <w:szCs w:val="16"/>
                <w:lang w:val="en-US"/>
              </w:rPr>
              <w:t>Agente contratado</w:t>
            </w:r>
          </w:p>
        </w:tc>
        <w:tc>
          <w:tcPr>
            <w:tcW w:w="4421" w:type="dxa"/>
          </w:tcPr>
          <w:p w14:paraId="0892135D" w14:textId="77777777" w:rsidR="00CD67E0" w:rsidRPr="00CB764A" w:rsidRDefault="00CD67E0" w:rsidP="00CD67E0">
            <w:pPr>
              <w:pStyle w:val="Texto"/>
              <w:spacing w:line="276" w:lineRule="auto"/>
              <w:ind w:firstLine="0"/>
              <w:rPr>
                <w:rFonts w:ascii="Verdana" w:hAnsi="Verdana"/>
                <w:sz w:val="16"/>
                <w:szCs w:val="16"/>
                <w:lang w:val="en-US"/>
              </w:rPr>
            </w:pPr>
            <w:r w:rsidRPr="00CB764A">
              <w:rPr>
                <w:rFonts w:ascii="Verdana" w:hAnsi="Verdana"/>
                <w:b/>
                <w:sz w:val="16"/>
                <w:szCs w:val="16"/>
                <w:lang w:val="en-US"/>
              </w:rPr>
              <w:t xml:space="preserve">16.10.3 </w:t>
            </w:r>
            <w:r w:rsidRPr="00CB764A">
              <w:rPr>
                <w:rFonts w:ascii="Verdana" w:hAnsi="Verdana"/>
                <w:sz w:val="16"/>
                <w:szCs w:val="16"/>
                <w:lang w:val="en-US"/>
              </w:rPr>
              <w:t xml:space="preserve">Contracted Agent. </w:t>
            </w:r>
          </w:p>
        </w:tc>
      </w:tr>
      <w:tr w:rsidR="00CD67E0" w:rsidRPr="00861FCE" w14:paraId="2DC6D0AE" w14:textId="77777777" w:rsidTr="00335F65">
        <w:tc>
          <w:tcPr>
            <w:tcW w:w="4421" w:type="dxa"/>
          </w:tcPr>
          <w:p w14:paraId="29FE235F" w14:textId="77777777" w:rsidR="00CD67E0" w:rsidRPr="00D429B4" w:rsidRDefault="00CD67E0" w:rsidP="00CD67E0">
            <w:pPr>
              <w:pStyle w:val="Texto"/>
              <w:spacing w:line="276" w:lineRule="auto"/>
              <w:ind w:firstLine="0"/>
              <w:rPr>
                <w:rFonts w:ascii="Verdana" w:hAnsi="Verdana"/>
                <w:sz w:val="16"/>
                <w:szCs w:val="16"/>
                <w:lang w:val="es-MX"/>
              </w:rPr>
            </w:pPr>
            <w:r w:rsidRPr="00CB764A">
              <w:rPr>
                <w:rFonts w:ascii="Verdana" w:hAnsi="Verdana"/>
                <w:b/>
                <w:sz w:val="16"/>
                <w:szCs w:val="16"/>
                <w:lang w:val="es-MX"/>
              </w:rPr>
              <w:t>16.10.3.1</w:t>
            </w:r>
            <w:r w:rsidRPr="00CB764A">
              <w:rPr>
                <w:rFonts w:ascii="Verdana" w:hAnsi="Verdana"/>
                <w:sz w:val="16"/>
                <w:szCs w:val="16"/>
                <w:lang w:val="es-MX"/>
              </w:rPr>
              <w:t xml:space="preserve"> El contrata</w:t>
            </w:r>
            <w:r w:rsidRPr="00D429B4">
              <w:rPr>
                <w:rFonts w:ascii="Verdana" w:hAnsi="Verdana"/>
                <w:sz w:val="16"/>
                <w:szCs w:val="16"/>
                <w:lang w:val="es-MX"/>
              </w:rPr>
              <w:t>do es responsable de cubrir las actividades de las BPD delegadas por el contratante así como la forma de operar el sistema de gestión de calidad incluyendo el manejo de quejas y devoluciones y retiro del producto del mercado.</w:t>
            </w:r>
          </w:p>
        </w:tc>
        <w:tc>
          <w:tcPr>
            <w:tcW w:w="4421" w:type="dxa"/>
          </w:tcPr>
          <w:p w14:paraId="159FC7F5" w14:textId="77777777" w:rsidR="00CD67E0" w:rsidRPr="00CB764A"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16.10.3.1 </w:t>
            </w:r>
            <w:r>
              <w:rPr>
                <w:rFonts w:ascii="Verdana" w:hAnsi="Verdana"/>
                <w:sz w:val="16"/>
                <w:szCs w:val="16"/>
                <w:lang w:val="en-US"/>
              </w:rPr>
              <w:t xml:space="preserve">The contracted party is responsible for covering the activities of the GPSD delegated by the contracting party as well as the way to operate the Quality Management System including the handling of complaints and returns and withdrawal of the product from the market. </w:t>
            </w:r>
          </w:p>
        </w:tc>
      </w:tr>
      <w:tr w:rsidR="00CD67E0" w:rsidRPr="00861FCE" w14:paraId="7E6D989A" w14:textId="77777777" w:rsidTr="00335F65">
        <w:tc>
          <w:tcPr>
            <w:tcW w:w="4421" w:type="dxa"/>
          </w:tcPr>
          <w:p w14:paraId="3F407269"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s-MX"/>
              </w:rPr>
              <w:t>16.10.3.2</w:t>
            </w:r>
            <w:r w:rsidRPr="00C73D15">
              <w:rPr>
                <w:rFonts w:ascii="Verdana" w:hAnsi="Verdana"/>
                <w:sz w:val="16"/>
                <w:szCs w:val="16"/>
                <w:lang w:val="es-MX"/>
              </w:rPr>
              <w:t xml:space="preserve"> El contratado debe co</w:t>
            </w:r>
            <w:r w:rsidRPr="00D429B4">
              <w:rPr>
                <w:rFonts w:ascii="Verdana" w:hAnsi="Verdana"/>
                <w:sz w:val="16"/>
                <w:szCs w:val="16"/>
                <w:lang w:val="es-MX"/>
              </w:rPr>
              <w:t>ntar con instalaciones y equipos adecuados, procedimientos, conocimientos, experiencia y personal competente para llevar a cabo el trabajo ordenado por la otra parte contratante.</w:t>
            </w:r>
          </w:p>
        </w:tc>
        <w:tc>
          <w:tcPr>
            <w:tcW w:w="4421" w:type="dxa"/>
          </w:tcPr>
          <w:p w14:paraId="2671FFC3" w14:textId="77777777" w:rsidR="00CD67E0" w:rsidRPr="00CB764A"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16.10.3.2 </w:t>
            </w:r>
            <w:r>
              <w:rPr>
                <w:rFonts w:ascii="Verdana" w:hAnsi="Verdana"/>
                <w:sz w:val="16"/>
                <w:szCs w:val="16"/>
                <w:lang w:val="en-US"/>
              </w:rPr>
              <w:t xml:space="preserve">The contracted party must have adequate installations and equipment, procedures, knowledge, experience and competent personal to carry out the work ordered by the other contracting party. </w:t>
            </w:r>
          </w:p>
        </w:tc>
      </w:tr>
      <w:tr w:rsidR="00CD67E0" w:rsidRPr="00861FCE" w14:paraId="6B07E910" w14:textId="77777777" w:rsidTr="00335F65">
        <w:tc>
          <w:tcPr>
            <w:tcW w:w="4421" w:type="dxa"/>
          </w:tcPr>
          <w:p w14:paraId="4D84581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16.10.3.3</w:t>
            </w:r>
            <w:r w:rsidRPr="00D429B4">
              <w:rPr>
                <w:rFonts w:ascii="Verdana" w:hAnsi="Verdana"/>
                <w:sz w:val="16"/>
                <w:szCs w:val="16"/>
                <w:lang w:val="es-MX"/>
              </w:rPr>
              <w:t xml:space="preserve"> El contratado no debe subcontratar cualquier trabajo acordado en el contrato sin una evaluación previa de la parte contratante, la aprobación de los acuerdos y de una auditoría por el </w:t>
            </w:r>
            <w:r w:rsidRPr="00D429B4">
              <w:rPr>
                <w:rFonts w:ascii="Verdana" w:hAnsi="Verdana"/>
                <w:sz w:val="16"/>
                <w:szCs w:val="16"/>
                <w:lang w:val="es-MX"/>
              </w:rPr>
              <w:lastRenderedPageBreak/>
              <w:t>contratante o el contratista. Los acuerdos entre el contratista y subcontratistas deben asegurar que la información de la distribución se pone a disposición de la misma manera que entre el dador original de contrato y contratista.</w:t>
            </w:r>
          </w:p>
        </w:tc>
        <w:tc>
          <w:tcPr>
            <w:tcW w:w="4421" w:type="dxa"/>
          </w:tcPr>
          <w:p w14:paraId="69332B10" w14:textId="77777777" w:rsidR="00CD67E0" w:rsidRPr="00CB764A"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lastRenderedPageBreak/>
              <w:t xml:space="preserve">16.10.3.3 </w:t>
            </w:r>
            <w:r>
              <w:rPr>
                <w:rFonts w:ascii="Verdana" w:hAnsi="Verdana"/>
                <w:sz w:val="16"/>
                <w:szCs w:val="16"/>
                <w:lang w:val="en-US"/>
              </w:rPr>
              <w:t xml:space="preserve">The contracted party must not subcontract any work negotiated in the contract without a prior evaluation of the contracting party, the approval of the agreements and an audit by the </w:t>
            </w:r>
            <w:r>
              <w:rPr>
                <w:rFonts w:ascii="Verdana" w:hAnsi="Verdana"/>
                <w:sz w:val="16"/>
                <w:szCs w:val="16"/>
                <w:lang w:val="en-US"/>
              </w:rPr>
              <w:lastRenderedPageBreak/>
              <w:t xml:space="preserve">contracting party or the contractor. The agreements between the contractor and subcontractors must assure that the information of the distribution is made available in the same way original giver of contract and contractor. </w:t>
            </w:r>
          </w:p>
        </w:tc>
      </w:tr>
      <w:tr w:rsidR="00CD67E0" w:rsidRPr="00861FCE" w14:paraId="355E78EB" w14:textId="77777777" w:rsidTr="00335F65">
        <w:tc>
          <w:tcPr>
            <w:tcW w:w="4421" w:type="dxa"/>
          </w:tcPr>
          <w:p w14:paraId="29850C5D"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s-MX"/>
              </w:rPr>
              <w:lastRenderedPageBreak/>
              <w:t>16.10.3.4</w:t>
            </w:r>
            <w:r w:rsidRPr="00C73D15">
              <w:rPr>
                <w:rFonts w:ascii="Verdana" w:hAnsi="Verdana"/>
                <w:sz w:val="16"/>
                <w:szCs w:val="16"/>
                <w:lang w:val="es-MX"/>
              </w:rPr>
              <w:t xml:space="preserve"> El contratado debe abstenerse de cualquier </w:t>
            </w:r>
            <w:r w:rsidRPr="00D429B4">
              <w:rPr>
                <w:rFonts w:ascii="Verdana" w:hAnsi="Verdana"/>
                <w:sz w:val="16"/>
                <w:szCs w:val="16"/>
                <w:lang w:val="es-MX"/>
              </w:rPr>
              <w:t>actividad que pueda afectar negativamente a la calidad del producto manejado por el contratante.</w:t>
            </w:r>
          </w:p>
        </w:tc>
        <w:tc>
          <w:tcPr>
            <w:tcW w:w="4421" w:type="dxa"/>
          </w:tcPr>
          <w:p w14:paraId="703827DF" w14:textId="77777777" w:rsidR="00CD67E0" w:rsidRPr="00144C44"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16.10.3.4 </w:t>
            </w:r>
            <w:r>
              <w:rPr>
                <w:rFonts w:ascii="Verdana" w:hAnsi="Verdana"/>
                <w:sz w:val="16"/>
                <w:szCs w:val="16"/>
                <w:lang w:val="en-US"/>
              </w:rPr>
              <w:t xml:space="preserve">The contracted party must abstain from any activity that could negatively affect the quality of the product handled by the contracting party. </w:t>
            </w:r>
          </w:p>
        </w:tc>
      </w:tr>
      <w:tr w:rsidR="00CD67E0" w:rsidRPr="00861FCE" w14:paraId="2027A365" w14:textId="77777777" w:rsidTr="00335F65">
        <w:tc>
          <w:tcPr>
            <w:tcW w:w="4421" w:type="dxa"/>
          </w:tcPr>
          <w:p w14:paraId="0451A03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16.10.3.5</w:t>
            </w:r>
            <w:r w:rsidRPr="00D429B4">
              <w:rPr>
                <w:rFonts w:ascii="Verdana" w:hAnsi="Verdana"/>
                <w:sz w:val="16"/>
                <w:szCs w:val="16"/>
                <w:lang w:val="es-MX"/>
              </w:rPr>
              <w:t xml:space="preserve"> El contratado debe remitir cualquier información que pueda influir en la calidad del producto al contratante de conformidad con los requisitos del contrato.</w:t>
            </w:r>
          </w:p>
        </w:tc>
        <w:tc>
          <w:tcPr>
            <w:tcW w:w="4421" w:type="dxa"/>
          </w:tcPr>
          <w:p w14:paraId="4A7C5DCF" w14:textId="77777777" w:rsidR="00CD67E0" w:rsidRPr="00144C44"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16.10.3.5 </w:t>
            </w:r>
            <w:r>
              <w:rPr>
                <w:rFonts w:ascii="Verdana" w:hAnsi="Verdana"/>
                <w:sz w:val="16"/>
                <w:szCs w:val="16"/>
                <w:lang w:val="en-US"/>
              </w:rPr>
              <w:t xml:space="preserve">The contracted party must delivery any information that could influence on the quality of the product to the contracting party according to the contract requirements. </w:t>
            </w:r>
          </w:p>
        </w:tc>
      </w:tr>
      <w:tr w:rsidR="00CD67E0" w:rsidRPr="00861FCE" w14:paraId="1DFDE73A" w14:textId="77777777" w:rsidTr="00335F65">
        <w:tc>
          <w:tcPr>
            <w:tcW w:w="4421" w:type="dxa"/>
          </w:tcPr>
          <w:p w14:paraId="2BB4215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16.10.3.6</w:t>
            </w:r>
            <w:r w:rsidRPr="00D429B4">
              <w:rPr>
                <w:rFonts w:ascii="Verdana" w:hAnsi="Verdana"/>
                <w:sz w:val="16"/>
                <w:szCs w:val="16"/>
                <w:lang w:val="es-MX"/>
              </w:rPr>
              <w:t xml:space="preserve"> El contratante debe proveer información de los medicamentos que asegure al contratado el manejo correcto de los productos almacenados.</w:t>
            </w:r>
          </w:p>
        </w:tc>
        <w:tc>
          <w:tcPr>
            <w:tcW w:w="4421" w:type="dxa"/>
          </w:tcPr>
          <w:p w14:paraId="386F3981" w14:textId="77777777" w:rsidR="00CD67E0" w:rsidRPr="00144C44"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16.10.3.6 </w:t>
            </w:r>
            <w:r>
              <w:rPr>
                <w:rFonts w:ascii="Verdana" w:hAnsi="Verdana"/>
                <w:sz w:val="16"/>
                <w:szCs w:val="16"/>
                <w:lang w:val="en-US"/>
              </w:rPr>
              <w:t xml:space="preserve">The contracting party must provide information on the drug products that assures the contracted party of the correct handling of the stored products. </w:t>
            </w:r>
          </w:p>
        </w:tc>
      </w:tr>
      <w:tr w:rsidR="00CD67E0" w:rsidRPr="00144C44" w14:paraId="7E6607A4" w14:textId="77777777" w:rsidTr="00335F65">
        <w:tc>
          <w:tcPr>
            <w:tcW w:w="4421" w:type="dxa"/>
          </w:tcPr>
          <w:p w14:paraId="309C5BFC" w14:textId="77777777" w:rsidR="00CD67E0" w:rsidRPr="00144C44" w:rsidRDefault="00CD67E0" w:rsidP="00CD67E0">
            <w:pPr>
              <w:pStyle w:val="Texto"/>
              <w:spacing w:line="276" w:lineRule="auto"/>
              <w:ind w:firstLine="0"/>
              <w:rPr>
                <w:rFonts w:ascii="Verdana" w:hAnsi="Verdana"/>
                <w:b/>
                <w:sz w:val="16"/>
                <w:szCs w:val="16"/>
                <w:lang w:val="en-US"/>
              </w:rPr>
            </w:pPr>
            <w:r w:rsidRPr="00144C44">
              <w:rPr>
                <w:rFonts w:ascii="Verdana" w:hAnsi="Verdana"/>
                <w:b/>
                <w:sz w:val="16"/>
                <w:szCs w:val="16"/>
                <w:lang w:val="en-US"/>
              </w:rPr>
              <w:t xml:space="preserve">16.11 </w:t>
            </w:r>
            <w:r w:rsidRPr="00144C44">
              <w:rPr>
                <w:rFonts w:ascii="Verdana" w:hAnsi="Verdana"/>
                <w:sz w:val="16"/>
                <w:szCs w:val="16"/>
                <w:lang w:val="en-US"/>
              </w:rPr>
              <w:t>Autoinspecciones.</w:t>
            </w:r>
          </w:p>
        </w:tc>
        <w:tc>
          <w:tcPr>
            <w:tcW w:w="4421" w:type="dxa"/>
          </w:tcPr>
          <w:p w14:paraId="7981AA0F" w14:textId="77777777" w:rsidR="00CD67E0" w:rsidRPr="00144C44"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16.11 </w:t>
            </w:r>
            <w:r>
              <w:rPr>
                <w:rFonts w:ascii="Verdana" w:hAnsi="Verdana"/>
                <w:sz w:val="16"/>
                <w:szCs w:val="16"/>
                <w:lang w:val="en-US"/>
              </w:rPr>
              <w:t>Self-inspections.</w:t>
            </w:r>
          </w:p>
        </w:tc>
      </w:tr>
      <w:tr w:rsidR="00CD67E0" w:rsidRPr="00144C44" w14:paraId="263D15D9" w14:textId="77777777" w:rsidTr="00335F65">
        <w:tc>
          <w:tcPr>
            <w:tcW w:w="4421" w:type="dxa"/>
          </w:tcPr>
          <w:p w14:paraId="2B402B12" w14:textId="77777777" w:rsidR="00CD67E0" w:rsidRPr="00144C44" w:rsidRDefault="00CD67E0" w:rsidP="00CD67E0">
            <w:pPr>
              <w:pStyle w:val="Texto"/>
              <w:spacing w:line="276" w:lineRule="auto"/>
              <w:ind w:firstLine="0"/>
              <w:rPr>
                <w:rFonts w:ascii="Verdana" w:hAnsi="Verdana"/>
                <w:b/>
                <w:sz w:val="16"/>
                <w:szCs w:val="16"/>
                <w:lang w:val="en-US"/>
              </w:rPr>
            </w:pPr>
            <w:r w:rsidRPr="00144C44">
              <w:rPr>
                <w:rFonts w:ascii="Verdana" w:hAnsi="Verdana"/>
                <w:b/>
                <w:sz w:val="16"/>
                <w:szCs w:val="16"/>
                <w:lang w:val="en-US"/>
              </w:rPr>
              <w:t xml:space="preserve">16.11.1 </w:t>
            </w:r>
            <w:r w:rsidRPr="00144C44">
              <w:rPr>
                <w:rFonts w:ascii="Verdana" w:hAnsi="Verdana"/>
                <w:sz w:val="16"/>
                <w:szCs w:val="16"/>
                <w:lang w:val="en-US"/>
              </w:rPr>
              <w:t>Introducción.</w:t>
            </w:r>
          </w:p>
        </w:tc>
        <w:tc>
          <w:tcPr>
            <w:tcW w:w="4421" w:type="dxa"/>
          </w:tcPr>
          <w:p w14:paraId="57C11B31" w14:textId="77777777" w:rsidR="00CD67E0" w:rsidRPr="00144C44"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16.11.1 </w:t>
            </w:r>
            <w:r>
              <w:rPr>
                <w:rFonts w:ascii="Verdana" w:hAnsi="Verdana"/>
                <w:sz w:val="16"/>
                <w:szCs w:val="16"/>
                <w:lang w:val="en-US"/>
              </w:rPr>
              <w:t>Introduction.</w:t>
            </w:r>
          </w:p>
        </w:tc>
      </w:tr>
      <w:tr w:rsidR="00CD67E0" w:rsidRPr="00861FCE" w14:paraId="1A670830" w14:textId="77777777" w:rsidTr="00335F65">
        <w:tc>
          <w:tcPr>
            <w:tcW w:w="4421" w:type="dxa"/>
          </w:tcPr>
          <w:p w14:paraId="107BE0A7"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sz w:val="16"/>
                <w:szCs w:val="16"/>
                <w:lang w:val="es-MX"/>
              </w:rPr>
              <w:t>Deben llevarse a cabo autoinspecciones con el fin de monitor</w:t>
            </w:r>
            <w:r w:rsidRPr="00D429B4">
              <w:rPr>
                <w:rFonts w:ascii="Verdana" w:hAnsi="Verdana"/>
                <w:sz w:val="16"/>
                <w:szCs w:val="16"/>
                <w:lang w:val="es-MX"/>
              </w:rPr>
              <w:t>ear la implementación y aplicación de las BPD y proponer las medidas correctivas necesarias.</w:t>
            </w:r>
          </w:p>
        </w:tc>
        <w:tc>
          <w:tcPr>
            <w:tcW w:w="4421" w:type="dxa"/>
          </w:tcPr>
          <w:p w14:paraId="7B6630B2" w14:textId="77777777" w:rsidR="00CD67E0" w:rsidRPr="00D429B4" w:rsidRDefault="00CD67E0" w:rsidP="00CD67E0">
            <w:pPr>
              <w:pStyle w:val="Texto"/>
              <w:spacing w:line="276" w:lineRule="auto"/>
              <w:ind w:firstLine="0"/>
              <w:rPr>
                <w:rFonts w:ascii="Verdana" w:hAnsi="Verdana"/>
                <w:sz w:val="16"/>
                <w:szCs w:val="16"/>
                <w:lang w:val="en-US"/>
              </w:rPr>
            </w:pPr>
            <w:r>
              <w:rPr>
                <w:rFonts w:ascii="Verdana" w:hAnsi="Verdana"/>
                <w:sz w:val="16"/>
                <w:szCs w:val="16"/>
                <w:lang w:val="en-US"/>
              </w:rPr>
              <w:t xml:space="preserve">Self-inspections must be carried out for the purpose of monitoring the implementation and application of the GPSD and proposing the necessary corrective measures. </w:t>
            </w:r>
          </w:p>
        </w:tc>
      </w:tr>
      <w:tr w:rsidR="00CD67E0" w:rsidRPr="00DD29AF" w14:paraId="7BB82E02" w14:textId="77777777" w:rsidTr="00335F65">
        <w:tc>
          <w:tcPr>
            <w:tcW w:w="4421" w:type="dxa"/>
          </w:tcPr>
          <w:p w14:paraId="7DB1E61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16.11.2 </w:t>
            </w:r>
            <w:r w:rsidRPr="00D429B4">
              <w:rPr>
                <w:rFonts w:ascii="Verdana" w:hAnsi="Verdana"/>
                <w:sz w:val="16"/>
                <w:szCs w:val="16"/>
                <w:lang w:val="es-MX"/>
              </w:rPr>
              <w:t>Implementación.</w:t>
            </w:r>
          </w:p>
        </w:tc>
        <w:tc>
          <w:tcPr>
            <w:tcW w:w="4421" w:type="dxa"/>
          </w:tcPr>
          <w:p w14:paraId="2CD4D33A" w14:textId="77777777" w:rsidR="00CD67E0" w:rsidRPr="00144C44" w:rsidRDefault="00CD67E0" w:rsidP="00CD67E0">
            <w:pPr>
              <w:pStyle w:val="Texto"/>
              <w:spacing w:line="276" w:lineRule="auto"/>
              <w:ind w:firstLine="0"/>
              <w:rPr>
                <w:rFonts w:ascii="Verdana" w:hAnsi="Verdana"/>
                <w:sz w:val="16"/>
                <w:szCs w:val="16"/>
                <w:lang w:val="es-MX"/>
              </w:rPr>
            </w:pPr>
            <w:r w:rsidRPr="00144C44">
              <w:rPr>
                <w:rFonts w:ascii="Verdana" w:hAnsi="Verdana"/>
                <w:b/>
                <w:sz w:val="16"/>
                <w:szCs w:val="16"/>
                <w:lang w:val="es-MX"/>
              </w:rPr>
              <w:t xml:space="preserve">16.11.2 </w:t>
            </w:r>
            <w:r w:rsidRPr="00144C44">
              <w:rPr>
                <w:rFonts w:ascii="Verdana" w:hAnsi="Verdana"/>
                <w:sz w:val="16"/>
                <w:szCs w:val="16"/>
                <w:lang w:val="es-MX"/>
              </w:rPr>
              <w:t xml:space="preserve">Implementation. </w:t>
            </w:r>
          </w:p>
        </w:tc>
      </w:tr>
      <w:tr w:rsidR="00CD67E0" w:rsidRPr="00861FCE" w14:paraId="0B54B25A" w14:textId="77777777" w:rsidTr="00335F65">
        <w:tc>
          <w:tcPr>
            <w:tcW w:w="4421" w:type="dxa"/>
          </w:tcPr>
          <w:p w14:paraId="63CA100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16.11.2.1</w:t>
            </w:r>
            <w:r w:rsidRPr="00D429B4">
              <w:rPr>
                <w:rFonts w:ascii="Verdana" w:hAnsi="Verdana"/>
                <w:sz w:val="16"/>
                <w:szCs w:val="16"/>
                <w:lang w:val="es-MX"/>
              </w:rPr>
              <w:t xml:space="preserve"> Debe implementarse un programa de autoinspección que cubre todos los aspectos de las BPD así como el cumplimiento de las normas, directrices y procedimientos dentro de un calendario definido. Se pueden dividir en varios auto-inspecciones individuales de alcance limitado.</w:t>
            </w:r>
          </w:p>
        </w:tc>
        <w:tc>
          <w:tcPr>
            <w:tcW w:w="4421" w:type="dxa"/>
          </w:tcPr>
          <w:p w14:paraId="59D63FA6" w14:textId="77777777" w:rsidR="00CD67E0" w:rsidRPr="00144C44"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16.11.2.1 </w:t>
            </w:r>
            <w:r>
              <w:rPr>
                <w:rFonts w:ascii="Verdana" w:hAnsi="Verdana"/>
                <w:sz w:val="16"/>
                <w:szCs w:val="16"/>
                <w:lang w:val="en-US"/>
              </w:rPr>
              <w:t xml:space="preserve">A program of self inspection must be implemented that covers all the aspects of the GPSD as well as the compliance to the standards, directives and procedures within a defined calendar period. They can be divided into several defined self-inspections of a limited scope. </w:t>
            </w:r>
          </w:p>
        </w:tc>
      </w:tr>
      <w:tr w:rsidR="00CD67E0" w:rsidRPr="00861FCE" w14:paraId="1074DEB5" w14:textId="77777777" w:rsidTr="00335F65">
        <w:tc>
          <w:tcPr>
            <w:tcW w:w="4421" w:type="dxa"/>
          </w:tcPr>
          <w:p w14:paraId="4B4AE18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16.11.2.2 </w:t>
            </w:r>
            <w:r w:rsidRPr="00D429B4">
              <w:rPr>
                <w:rFonts w:ascii="Verdana" w:hAnsi="Verdana"/>
                <w:sz w:val="16"/>
                <w:szCs w:val="16"/>
                <w:lang w:val="es-MX"/>
              </w:rPr>
              <w:t>Deben llevarse a cabo autoinspecciones de una manera imparcial y detallada por personal de la empresa competente designada. Auditorías a cargo de expertos externos independientes también pueden ser útiles, pero no pueden ser utilizadas como un sustituto para la autoinspección.</w:t>
            </w:r>
          </w:p>
        </w:tc>
        <w:tc>
          <w:tcPr>
            <w:tcW w:w="4421" w:type="dxa"/>
          </w:tcPr>
          <w:p w14:paraId="12BA4EFC" w14:textId="77777777" w:rsidR="00CD67E0" w:rsidRPr="009176DA"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16.11.2.2 </w:t>
            </w:r>
            <w:r>
              <w:rPr>
                <w:rFonts w:ascii="Verdana" w:hAnsi="Verdana"/>
                <w:sz w:val="16"/>
                <w:szCs w:val="16"/>
                <w:lang w:val="en-US"/>
              </w:rPr>
              <w:t xml:space="preserve">Self-inspections must be carried out impartially and in a detailed manner by competent designated personnel of the company. Audits under independent external experts also can be useful, but cannot be used as a substitute for the self-inspection. </w:t>
            </w:r>
          </w:p>
        </w:tc>
      </w:tr>
      <w:tr w:rsidR="00CD67E0" w:rsidRPr="00861FCE" w14:paraId="36EDDCA5" w14:textId="77777777" w:rsidTr="00335F65">
        <w:tc>
          <w:tcPr>
            <w:tcW w:w="4421" w:type="dxa"/>
          </w:tcPr>
          <w:p w14:paraId="6E909254"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s-MX"/>
              </w:rPr>
              <w:t>16.11.2.3</w:t>
            </w:r>
            <w:r w:rsidRPr="00C73D15">
              <w:rPr>
                <w:rFonts w:ascii="Verdana" w:hAnsi="Verdana"/>
                <w:sz w:val="16"/>
                <w:szCs w:val="16"/>
                <w:lang w:val="es-MX"/>
              </w:rPr>
              <w:t xml:space="preserve"> Se deben documentar todas las autoinspecciones. Los informes </w:t>
            </w:r>
            <w:r w:rsidRPr="00D429B4">
              <w:rPr>
                <w:rFonts w:ascii="Verdana" w:hAnsi="Verdana"/>
                <w:sz w:val="16"/>
                <w:szCs w:val="16"/>
                <w:lang w:val="es-MX"/>
              </w:rPr>
              <w:t>deben contener todas las observaciones realizadas durante la inspección. Se debe proporcionar una copia del informe a la Dirección del establecimiento y otras personas relevantes. En el caso de que se observen irregularidades y/o deficiencias, deben determinarse sus causas y las acciones correctivas y preventivas (CAPA) deben documentarse  y seguido.</w:t>
            </w:r>
          </w:p>
        </w:tc>
        <w:tc>
          <w:tcPr>
            <w:tcW w:w="4421" w:type="dxa"/>
          </w:tcPr>
          <w:p w14:paraId="3B4A92C8" w14:textId="77777777" w:rsidR="00CD67E0" w:rsidRPr="00A4465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16.11.2.3 </w:t>
            </w:r>
            <w:r>
              <w:rPr>
                <w:rFonts w:ascii="Verdana" w:hAnsi="Verdana"/>
                <w:sz w:val="16"/>
                <w:szCs w:val="16"/>
                <w:lang w:val="en-US"/>
              </w:rPr>
              <w:t xml:space="preserve">All the self-inspections must be documented. The reports must contain all the observations made during the inspection. A copy of the report must be provided to the Management of the establishment and other relevant persons. When irregularities and/or deficiencies are observed, their causes must be determined and corrective and preventive actions (CAPA) must be documented and followed. </w:t>
            </w:r>
          </w:p>
        </w:tc>
      </w:tr>
      <w:tr w:rsidR="00CD67E0" w:rsidRPr="00DD29AF" w14:paraId="745B627C" w14:textId="77777777" w:rsidTr="00335F65">
        <w:tc>
          <w:tcPr>
            <w:tcW w:w="4421" w:type="dxa"/>
          </w:tcPr>
          <w:p w14:paraId="5E36858C"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16.12 </w:t>
            </w:r>
            <w:r w:rsidRPr="00D429B4">
              <w:rPr>
                <w:rFonts w:ascii="Verdana" w:hAnsi="Verdana"/>
                <w:sz w:val="16"/>
                <w:szCs w:val="16"/>
                <w:lang w:val="es-MX"/>
              </w:rPr>
              <w:t>Transporte.</w:t>
            </w:r>
          </w:p>
        </w:tc>
        <w:tc>
          <w:tcPr>
            <w:tcW w:w="4421" w:type="dxa"/>
          </w:tcPr>
          <w:p w14:paraId="6CAE435E" w14:textId="77777777" w:rsidR="00CD67E0" w:rsidRPr="00A44659" w:rsidRDefault="00CD67E0" w:rsidP="00CD67E0">
            <w:pPr>
              <w:pStyle w:val="Texto"/>
              <w:spacing w:line="276" w:lineRule="auto"/>
              <w:ind w:firstLine="0"/>
              <w:rPr>
                <w:rFonts w:ascii="Verdana" w:hAnsi="Verdana"/>
                <w:sz w:val="16"/>
                <w:szCs w:val="16"/>
                <w:lang w:val="en-US"/>
              </w:rPr>
            </w:pPr>
            <w:r w:rsidRPr="00A44659">
              <w:rPr>
                <w:rFonts w:ascii="Verdana" w:hAnsi="Verdana"/>
                <w:b/>
                <w:sz w:val="16"/>
                <w:szCs w:val="16"/>
                <w:lang w:val="en-US"/>
              </w:rPr>
              <w:t xml:space="preserve">16.12 </w:t>
            </w:r>
            <w:r w:rsidRPr="00A44659">
              <w:rPr>
                <w:rFonts w:ascii="Verdana" w:hAnsi="Verdana"/>
                <w:sz w:val="16"/>
                <w:szCs w:val="16"/>
                <w:lang w:val="en-US"/>
              </w:rPr>
              <w:t xml:space="preserve">Transport. </w:t>
            </w:r>
          </w:p>
        </w:tc>
      </w:tr>
      <w:tr w:rsidR="00CD67E0" w:rsidRPr="00DD29AF" w14:paraId="60E8F4AF" w14:textId="77777777" w:rsidTr="00335F65">
        <w:tc>
          <w:tcPr>
            <w:tcW w:w="4421" w:type="dxa"/>
          </w:tcPr>
          <w:p w14:paraId="70DE1A44"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16.12.1 </w:t>
            </w:r>
            <w:r w:rsidRPr="00D429B4">
              <w:rPr>
                <w:rFonts w:ascii="Verdana" w:hAnsi="Verdana"/>
                <w:sz w:val="16"/>
                <w:szCs w:val="16"/>
                <w:lang w:val="es-MX"/>
              </w:rPr>
              <w:t>Introducción.</w:t>
            </w:r>
          </w:p>
        </w:tc>
        <w:tc>
          <w:tcPr>
            <w:tcW w:w="4421" w:type="dxa"/>
          </w:tcPr>
          <w:p w14:paraId="13A2A036" w14:textId="77777777" w:rsidR="00CD67E0" w:rsidRPr="00A44659" w:rsidRDefault="00CD67E0" w:rsidP="00CD67E0">
            <w:pPr>
              <w:pStyle w:val="Texto"/>
              <w:spacing w:line="276" w:lineRule="auto"/>
              <w:ind w:firstLine="0"/>
              <w:rPr>
                <w:rFonts w:ascii="Verdana" w:hAnsi="Verdana"/>
                <w:sz w:val="16"/>
                <w:szCs w:val="16"/>
                <w:lang w:val="en-US"/>
              </w:rPr>
            </w:pPr>
            <w:r w:rsidRPr="00A44659">
              <w:rPr>
                <w:rFonts w:ascii="Verdana" w:hAnsi="Verdana"/>
                <w:b/>
                <w:sz w:val="16"/>
                <w:szCs w:val="16"/>
                <w:lang w:val="en-US"/>
              </w:rPr>
              <w:t xml:space="preserve">16.12.1 </w:t>
            </w:r>
            <w:r w:rsidRPr="00A44659">
              <w:rPr>
                <w:rFonts w:ascii="Verdana" w:hAnsi="Verdana"/>
                <w:sz w:val="16"/>
                <w:szCs w:val="16"/>
                <w:lang w:val="en-US"/>
              </w:rPr>
              <w:t xml:space="preserve">Introduction. </w:t>
            </w:r>
          </w:p>
        </w:tc>
      </w:tr>
      <w:tr w:rsidR="00CD67E0" w:rsidRPr="00861FCE" w14:paraId="3D54AD06" w14:textId="77777777" w:rsidTr="00335F65">
        <w:tc>
          <w:tcPr>
            <w:tcW w:w="4421" w:type="dxa"/>
          </w:tcPr>
          <w:p w14:paraId="63FFB8D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16.12.1.1</w:t>
            </w:r>
            <w:r w:rsidRPr="00D429B4">
              <w:rPr>
                <w:rFonts w:ascii="Verdana" w:hAnsi="Verdana"/>
                <w:sz w:val="16"/>
                <w:szCs w:val="16"/>
                <w:lang w:val="es-MX"/>
              </w:rPr>
              <w:t xml:space="preserve"> Es responsabilidad del distribuidor proteger los medicamentos contra la rotura, la adulteración, robo y garantizar que las condiciones </w:t>
            </w:r>
            <w:r w:rsidRPr="00D429B4">
              <w:rPr>
                <w:rFonts w:ascii="Verdana" w:hAnsi="Verdana"/>
                <w:sz w:val="16"/>
                <w:szCs w:val="16"/>
                <w:lang w:val="es-MX"/>
              </w:rPr>
              <w:lastRenderedPageBreak/>
              <w:t>de temperatura se mantienen dentro de límites aceptables durante  el transporte.</w:t>
            </w:r>
          </w:p>
        </w:tc>
        <w:tc>
          <w:tcPr>
            <w:tcW w:w="4421" w:type="dxa"/>
          </w:tcPr>
          <w:p w14:paraId="6462CCB8" w14:textId="77777777" w:rsidR="00CD67E0" w:rsidRPr="00A4465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lastRenderedPageBreak/>
              <w:t xml:space="preserve">16.12.1.1 </w:t>
            </w:r>
            <w:r>
              <w:rPr>
                <w:rFonts w:ascii="Verdana" w:hAnsi="Verdana"/>
                <w:sz w:val="16"/>
                <w:szCs w:val="16"/>
                <w:lang w:val="en-US"/>
              </w:rPr>
              <w:t xml:space="preserve">It is the responsibility of the distributor to protect the drug products from rupture, adulteration, robbery and guarantee that the </w:t>
            </w:r>
            <w:r>
              <w:rPr>
                <w:rFonts w:ascii="Verdana" w:hAnsi="Verdana"/>
                <w:sz w:val="16"/>
                <w:szCs w:val="16"/>
                <w:lang w:val="en-US"/>
              </w:rPr>
              <w:lastRenderedPageBreak/>
              <w:t xml:space="preserve">temperature conditions are maintained within the acceptable limits during transport. </w:t>
            </w:r>
          </w:p>
        </w:tc>
      </w:tr>
      <w:tr w:rsidR="00CD67E0" w:rsidRPr="00861FCE" w14:paraId="2F6D9183" w14:textId="77777777" w:rsidTr="00335F65">
        <w:tc>
          <w:tcPr>
            <w:tcW w:w="4421" w:type="dxa"/>
          </w:tcPr>
          <w:p w14:paraId="747E948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lastRenderedPageBreak/>
              <w:t>16.12.1.2</w:t>
            </w:r>
            <w:r w:rsidRPr="00D429B4">
              <w:rPr>
                <w:rFonts w:ascii="Verdana" w:hAnsi="Verdana"/>
                <w:sz w:val="16"/>
                <w:szCs w:val="16"/>
                <w:lang w:val="es-MX"/>
              </w:rPr>
              <w:t xml:space="preserve"> Independientemente del tipo de transporte, debe demostrarse que los medicamentos no han sido expuestos a condiciones que puedan poner en riesgo la calidad e integridad. Debe utilizarse un enfoque basado en riesgo en la planificación de transporte.</w:t>
            </w:r>
          </w:p>
        </w:tc>
        <w:tc>
          <w:tcPr>
            <w:tcW w:w="4421" w:type="dxa"/>
          </w:tcPr>
          <w:p w14:paraId="3714AE40" w14:textId="77777777" w:rsidR="00CD67E0" w:rsidRPr="00A4465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16.12.1.2 </w:t>
            </w:r>
            <w:r>
              <w:rPr>
                <w:rFonts w:ascii="Verdana" w:hAnsi="Verdana"/>
                <w:sz w:val="16"/>
                <w:szCs w:val="16"/>
                <w:lang w:val="en-US"/>
              </w:rPr>
              <w:t xml:space="preserve">Independent of the type of transport, it must be demonstrated that the drug products have not been exposed to conditions that can place at risk the quality and integrity. A focus based on risk in the planning of transport must be used. </w:t>
            </w:r>
          </w:p>
        </w:tc>
      </w:tr>
      <w:tr w:rsidR="00CD67E0" w:rsidRPr="00A44659" w14:paraId="03F63CA8" w14:textId="77777777" w:rsidTr="00335F65">
        <w:tc>
          <w:tcPr>
            <w:tcW w:w="4421" w:type="dxa"/>
          </w:tcPr>
          <w:p w14:paraId="19741447" w14:textId="77777777" w:rsidR="00CD67E0" w:rsidRPr="003342BC" w:rsidRDefault="00CD67E0" w:rsidP="00CD67E0">
            <w:pPr>
              <w:pStyle w:val="Texto"/>
              <w:spacing w:line="276" w:lineRule="auto"/>
              <w:ind w:firstLine="0"/>
              <w:rPr>
                <w:rFonts w:ascii="Verdana" w:hAnsi="Verdana"/>
                <w:sz w:val="16"/>
                <w:szCs w:val="16"/>
                <w:lang w:val="es-MX"/>
              </w:rPr>
            </w:pPr>
            <w:r w:rsidRPr="003342BC">
              <w:rPr>
                <w:rFonts w:ascii="Verdana" w:hAnsi="Verdana"/>
                <w:b/>
                <w:sz w:val="16"/>
                <w:szCs w:val="16"/>
                <w:lang w:val="es-MX"/>
              </w:rPr>
              <w:t xml:space="preserve">16.12.2 </w:t>
            </w:r>
            <w:r w:rsidRPr="003342BC">
              <w:rPr>
                <w:rFonts w:ascii="Verdana" w:hAnsi="Verdana"/>
                <w:sz w:val="16"/>
                <w:szCs w:val="16"/>
                <w:lang w:val="es-MX"/>
              </w:rPr>
              <w:t>Transporte.</w:t>
            </w:r>
          </w:p>
        </w:tc>
        <w:tc>
          <w:tcPr>
            <w:tcW w:w="4421" w:type="dxa"/>
          </w:tcPr>
          <w:p w14:paraId="153A986D" w14:textId="77777777" w:rsidR="00CD67E0" w:rsidRPr="00A44659" w:rsidRDefault="00CD67E0" w:rsidP="00CD67E0">
            <w:pPr>
              <w:pStyle w:val="Texto"/>
              <w:spacing w:line="276" w:lineRule="auto"/>
              <w:ind w:firstLine="0"/>
              <w:rPr>
                <w:rFonts w:ascii="Verdana" w:hAnsi="Verdana"/>
                <w:b/>
                <w:sz w:val="16"/>
                <w:szCs w:val="16"/>
                <w:lang w:val="en-US"/>
              </w:rPr>
            </w:pPr>
            <w:r w:rsidRPr="00A44659">
              <w:rPr>
                <w:rFonts w:ascii="Verdana" w:hAnsi="Verdana"/>
                <w:b/>
                <w:sz w:val="16"/>
                <w:szCs w:val="16"/>
                <w:lang w:val="en-US"/>
              </w:rPr>
              <w:t xml:space="preserve">16.12.2 </w:t>
            </w:r>
            <w:r>
              <w:rPr>
                <w:rFonts w:ascii="Verdana" w:hAnsi="Verdana"/>
                <w:sz w:val="16"/>
                <w:szCs w:val="16"/>
                <w:lang w:val="en-US"/>
              </w:rPr>
              <w:t>Transport</w:t>
            </w:r>
            <w:r w:rsidRPr="00A44659">
              <w:rPr>
                <w:rFonts w:ascii="Verdana" w:hAnsi="Verdana"/>
                <w:sz w:val="16"/>
                <w:szCs w:val="16"/>
                <w:lang w:val="en-US"/>
              </w:rPr>
              <w:t>.</w:t>
            </w:r>
          </w:p>
        </w:tc>
      </w:tr>
      <w:tr w:rsidR="00CD67E0" w:rsidRPr="00861FCE" w14:paraId="10E5DD03" w14:textId="77777777" w:rsidTr="00335F65">
        <w:tc>
          <w:tcPr>
            <w:tcW w:w="4421" w:type="dxa"/>
          </w:tcPr>
          <w:p w14:paraId="1881AF35" w14:textId="77777777" w:rsidR="00CD67E0" w:rsidRPr="003342BC" w:rsidRDefault="00CD67E0" w:rsidP="00CD67E0">
            <w:pPr>
              <w:pStyle w:val="Texto"/>
              <w:spacing w:line="276" w:lineRule="auto"/>
              <w:ind w:firstLine="0"/>
              <w:rPr>
                <w:rFonts w:ascii="Verdana" w:hAnsi="Verdana"/>
                <w:sz w:val="16"/>
                <w:szCs w:val="16"/>
                <w:lang w:val="es-MX"/>
              </w:rPr>
            </w:pPr>
            <w:r w:rsidRPr="003342BC">
              <w:rPr>
                <w:rFonts w:ascii="Verdana" w:hAnsi="Verdana"/>
                <w:b/>
                <w:sz w:val="16"/>
                <w:szCs w:val="16"/>
                <w:lang w:val="es-MX"/>
              </w:rPr>
              <w:t>16.12.2.1</w:t>
            </w:r>
            <w:r w:rsidRPr="003342BC">
              <w:rPr>
                <w:rFonts w:ascii="Verdana" w:hAnsi="Verdana"/>
                <w:sz w:val="16"/>
                <w:szCs w:val="16"/>
                <w:lang w:val="es-MX"/>
              </w:rPr>
              <w:t xml:space="preserve"> Debe mantenerse las condiciones de almacenamiento necesarias durante el transporte de los medicamentos dentro de los límites definidos como se describe en el empaque exterior y/o información de empaque relevante.</w:t>
            </w:r>
          </w:p>
        </w:tc>
        <w:tc>
          <w:tcPr>
            <w:tcW w:w="4421" w:type="dxa"/>
          </w:tcPr>
          <w:p w14:paraId="422B443E" w14:textId="77777777" w:rsidR="00CD67E0" w:rsidRPr="00A4465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16.12.2.1 </w:t>
            </w:r>
            <w:r>
              <w:rPr>
                <w:rFonts w:ascii="Verdana" w:hAnsi="Verdana"/>
                <w:sz w:val="16"/>
                <w:szCs w:val="16"/>
                <w:lang w:val="en-US"/>
              </w:rPr>
              <w:t xml:space="preserve">The necessary storage conditions must be maintained during the transport of the drug products within the limits defined as described in the external packaging and/or information of relevant packaging. </w:t>
            </w:r>
          </w:p>
        </w:tc>
      </w:tr>
      <w:tr w:rsidR="00CD67E0" w:rsidRPr="00861FCE" w14:paraId="38D589FD" w14:textId="77777777" w:rsidTr="00335F65">
        <w:tc>
          <w:tcPr>
            <w:tcW w:w="4421" w:type="dxa"/>
          </w:tcPr>
          <w:p w14:paraId="5D5C7170" w14:textId="77777777" w:rsidR="00CD67E0" w:rsidRPr="003342BC" w:rsidRDefault="00CD67E0" w:rsidP="00CD67E0">
            <w:pPr>
              <w:pStyle w:val="Texto"/>
              <w:spacing w:line="276" w:lineRule="auto"/>
              <w:ind w:firstLine="0"/>
              <w:rPr>
                <w:rFonts w:ascii="Verdana" w:hAnsi="Verdana"/>
                <w:sz w:val="16"/>
                <w:szCs w:val="16"/>
                <w:lang w:val="es-MX"/>
              </w:rPr>
            </w:pPr>
            <w:r w:rsidRPr="003342BC">
              <w:rPr>
                <w:rFonts w:ascii="Verdana" w:hAnsi="Verdana"/>
                <w:b/>
                <w:sz w:val="16"/>
                <w:szCs w:val="16"/>
                <w:lang w:val="es-MX"/>
              </w:rPr>
              <w:t>16.12.2.2</w:t>
            </w:r>
            <w:r w:rsidRPr="003342BC">
              <w:rPr>
                <w:rFonts w:ascii="Verdana" w:hAnsi="Verdana"/>
                <w:sz w:val="16"/>
                <w:szCs w:val="16"/>
                <w:lang w:val="es-MX"/>
              </w:rPr>
              <w:t xml:space="preserve"> Si se produce una desviación de la temperatura o un daño al producto durante el transporte, se deberá informar al distribuidor y destinatario de los medicamentos afectados. Se debe contar con un procedimiento para la investigación y el manejo de variaciones de temperatura.</w:t>
            </w:r>
          </w:p>
        </w:tc>
        <w:tc>
          <w:tcPr>
            <w:tcW w:w="4421" w:type="dxa"/>
          </w:tcPr>
          <w:p w14:paraId="3E78BC1D" w14:textId="77777777" w:rsidR="00CD67E0" w:rsidRPr="00A4465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16.12.2.2 </w:t>
            </w:r>
            <w:r>
              <w:rPr>
                <w:rFonts w:ascii="Verdana" w:hAnsi="Verdana"/>
                <w:sz w:val="16"/>
                <w:szCs w:val="16"/>
                <w:lang w:val="en-US"/>
              </w:rPr>
              <w:t xml:space="preserve">If a temperature deviation or damage to the product is produced during transport, the distributor and recipient must be informed of the affected drug products. There must be a procedure for the investigation and handling of temperature variations. </w:t>
            </w:r>
          </w:p>
        </w:tc>
      </w:tr>
      <w:tr w:rsidR="00CD67E0" w:rsidRPr="00861FCE" w14:paraId="656842E7" w14:textId="77777777" w:rsidTr="00335F65">
        <w:tc>
          <w:tcPr>
            <w:tcW w:w="4421" w:type="dxa"/>
          </w:tcPr>
          <w:p w14:paraId="731B8680" w14:textId="77777777" w:rsidR="00CD67E0" w:rsidRPr="003342BC" w:rsidRDefault="00CD67E0" w:rsidP="00CD67E0">
            <w:pPr>
              <w:pStyle w:val="Texto"/>
              <w:spacing w:line="276" w:lineRule="auto"/>
              <w:ind w:firstLine="0"/>
              <w:rPr>
                <w:rFonts w:ascii="Verdana" w:hAnsi="Verdana"/>
                <w:sz w:val="16"/>
                <w:szCs w:val="16"/>
                <w:lang w:val="es-MX"/>
              </w:rPr>
            </w:pPr>
            <w:r w:rsidRPr="003342BC">
              <w:rPr>
                <w:rFonts w:ascii="Verdana" w:hAnsi="Verdana"/>
                <w:b/>
                <w:sz w:val="16"/>
                <w:szCs w:val="16"/>
                <w:lang w:val="es-MX"/>
              </w:rPr>
              <w:t>16.12.2.3</w:t>
            </w:r>
            <w:r w:rsidRPr="003342BC">
              <w:rPr>
                <w:rFonts w:ascii="Verdana" w:hAnsi="Verdana"/>
                <w:sz w:val="16"/>
                <w:szCs w:val="16"/>
                <w:lang w:val="es-MX"/>
              </w:rPr>
              <w:t xml:space="preserve"> Es responsabilidad del distribuidor garantizar que los vehículos y equipos utilizados para distribuir, almacenar o manejar medicamentos sean adecuados para su uso y equipados adecuadamente para prevenir la exposición de los productos a las condiciones que podrían afectar su calidad e integridad del empaque.</w:t>
            </w:r>
          </w:p>
        </w:tc>
        <w:tc>
          <w:tcPr>
            <w:tcW w:w="4421" w:type="dxa"/>
          </w:tcPr>
          <w:p w14:paraId="0203C34E" w14:textId="77777777" w:rsidR="00CD67E0" w:rsidRPr="00A4465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16.12.2.3 </w:t>
            </w:r>
            <w:r>
              <w:rPr>
                <w:rFonts w:ascii="Verdana" w:hAnsi="Verdana"/>
                <w:sz w:val="16"/>
                <w:szCs w:val="16"/>
                <w:lang w:val="en-US"/>
              </w:rPr>
              <w:t xml:space="preserve">It is the responsibility of the distributor to guarantee that the vehicles and equipment used to distribute, store or handle drug products are adequate for their use and adequately equipped to prevent the exposure of the products to the conditions that could affect their quality and integrity of the packaging. </w:t>
            </w:r>
          </w:p>
        </w:tc>
      </w:tr>
      <w:tr w:rsidR="00CD67E0" w:rsidRPr="00861FCE" w14:paraId="603D2FDB" w14:textId="77777777" w:rsidTr="00335F65">
        <w:tc>
          <w:tcPr>
            <w:tcW w:w="4421" w:type="dxa"/>
          </w:tcPr>
          <w:p w14:paraId="6BDB814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16.12.2.4</w:t>
            </w:r>
            <w:r w:rsidRPr="00D429B4">
              <w:rPr>
                <w:rFonts w:ascii="Verdana" w:hAnsi="Verdana"/>
                <w:sz w:val="16"/>
                <w:szCs w:val="16"/>
                <w:lang w:val="es-MX"/>
              </w:rPr>
              <w:t xml:space="preserve"> Deben existir procedimientos escritos para la operación y mantenimiento de todos los vehículos y equipos utilizados para el proceso de distribución, incluidas las precauciones de limpieza y de seguridad.</w:t>
            </w:r>
          </w:p>
        </w:tc>
        <w:tc>
          <w:tcPr>
            <w:tcW w:w="4421" w:type="dxa"/>
          </w:tcPr>
          <w:p w14:paraId="5EFB0D61" w14:textId="77777777" w:rsidR="00CD67E0" w:rsidRPr="00A4465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16.12.2.4 </w:t>
            </w:r>
            <w:r>
              <w:rPr>
                <w:rFonts w:ascii="Verdana" w:hAnsi="Verdana"/>
                <w:sz w:val="16"/>
                <w:szCs w:val="16"/>
                <w:lang w:val="en-US"/>
              </w:rPr>
              <w:t xml:space="preserve">There must exist written procedures for the operation and maintenance of all the vehicles and equipment used for the process of distribution, including the cleaning and safety precautions.  </w:t>
            </w:r>
          </w:p>
        </w:tc>
      </w:tr>
      <w:tr w:rsidR="00CD67E0" w:rsidRPr="00861FCE" w14:paraId="707D1D85" w14:textId="77777777" w:rsidTr="00335F65">
        <w:tc>
          <w:tcPr>
            <w:tcW w:w="4421" w:type="dxa"/>
          </w:tcPr>
          <w:p w14:paraId="2661DACC"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16.12.2.5</w:t>
            </w:r>
            <w:r w:rsidRPr="00D429B4">
              <w:rPr>
                <w:rFonts w:ascii="Verdana" w:hAnsi="Verdana"/>
                <w:sz w:val="16"/>
                <w:szCs w:val="16"/>
                <w:lang w:val="es-MX"/>
              </w:rPr>
              <w:t xml:space="preserve"> Se debe utilizar una evaluación de riesgos de las rutas de entrega para determinar dónde se requieren controles de temperatura. El equipo utilizado para monitorear la temperatura durante el transporte dentro de los vehículos y/o contenedores, debe someterse a mantenimiento y calibrarse a intervalos regulares.</w:t>
            </w:r>
          </w:p>
        </w:tc>
        <w:tc>
          <w:tcPr>
            <w:tcW w:w="4421" w:type="dxa"/>
          </w:tcPr>
          <w:p w14:paraId="13138FB7" w14:textId="77777777" w:rsidR="00CD67E0" w:rsidRPr="00A4465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16.12.2.5 </w:t>
            </w:r>
            <w:r>
              <w:rPr>
                <w:rFonts w:ascii="Verdana" w:hAnsi="Verdana"/>
                <w:sz w:val="16"/>
                <w:szCs w:val="16"/>
                <w:lang w:val="en-US"/>
              </w:rPr>
              <w:t xml:space="preserve">An evaluation of risks of the delivery routes must be used to determine where temperature controls are required. The equipment used for monitoring the temperature during transport within the vehicles and/or containers, must be submitted to maintenance and calibrated at regular intervals. </w:t>
            </w:r>
          </w:p>
        </w:tc>
      </w:tr>
      <w:tr w:rsidR="00CD67E0" w:rsidRPr="00861FCE" w14:paraId="2C680ED9" w14:textId="77777777" w:rsidTr="00335F65">
        <w:tc>
          <w:tcPr>
            <w:tcW w:w="4421" w:type="dxa"/>
          </w:tcPr>
          <w:p w14:paraId="0AE26072"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s-MX"/>
              </w:rPr>
              <w:t>16.12.2.6</w:t>
            </w:r>
            <w:r w:rsidRPr="00C73D15">
              <w:rPr>
                <w:rFonts w:ascii="Verdana" w:hAnsi="Verdana"/>
                <w:sz w:val="16"/>
                <w:szCs w:val="16"/>
                <w:lang w:val="es-MX"/>
              </w:rPr>
              <w:t xml:space="preserve"> Siempre </w:t>
            </w:r>
            <w:r w:rsidRPr="00D429B4">
              <w:rPr>
                <w:rFonts w:ascii="Verdana" w:hAnsi="Verdana"/>
                <w:sz w:val="16"/>
                <w:szCs w:val="16"/>
                <w:lang w:val="es-MX"/>
              </w:rPr>
              <w:t>que sea posible deben utilizarse vehículos y equipos dedicados a medicamentos. Cuando se usen vehículos y equipo no dedicados se deberá contar con procedimientos para asegurar que la calidad e integridad del medicamento no se verá comprometida, estableciendo los controles que deben cumplir y las características que deben tener.</w:t>
            </w:r>
          </w:p>
        </w:tc>
        <w:tc>
          <w:tcPr>
            <w:tcW w:w="4421" w:type="dxa"/>
          </w:tcPr>
          <w:p w14:paraId="299AA2E6" w14:textId="77777777" w:rsidR="00CD67E0" w:rsidRPr="00FB7D2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16.12.2.6 </w:t>
            </w:r>
            <w:r>
              <w:rPr>
                <w:rFonts w:ascii="Verdana" w:hAnsi="Verdana"/>
                <w:sz w:val="16"/>
                <w:szCs w:val="16"/>
                <w:lang w:val="en-US"/>
              </w:rPr>
              <w:t xml:space="preserve">Provided it is possible, vehicles and equipment designated for drug products must be used. When vehicles and equipment not designated are used, there must be procedures to assure that the quality and integrity of the drug product will not be seen to be compromised, establishing the controls that must be complied and the characteristics that they must have. </w:t>
            </w:r>
          </w:p>
        </w:tc>
      </w:tr>
      <w:tr w:rsidR="00CD67E0" w:rsidRPr="00861FCE" w14:paraId="2DC89F52" w14:textId="77777777" w:rsidTr="00335F65">
        <w:tc>
          <w:tcPr>
            <w:tcW w:w="4421" w:type="dxa"/>
          </w:tcPr>
          <w:p w14:paraId="2F0E64A3" w14:textId="77777777" w:rsidR="00CD67E0" w:rsidRPr="003342BC" w:rsidRDefault="00CD67E0" w:rsidP="00CD67E0">
            <w:pPr>
              <w:pStyle w:val="Texto"/>
              <w:spacing w:line="276" w:lineRule="auto"/>
              <w:ind w:firstLine="0"/>
              <w:rPr>
                <w:rFonts w:ascii="Verdana" w:hAnsi="Verdana"/>
                <w:sz w:val="16"/>
                <w:szCs w:val="16"/>
                <w:lang w:val="es-MX"/>
              </w:rPr>
            </w:pPr>
            <w:r w:rsidRPr="003342BC">
              <w:rPr>
                <w:rFonts w:ascii="Verdana" w:hAnsi="Verdana"/>
                <w:b/>
                <w:sz w:val="16"/>
                <w:szCs w:val="16"/>
                <w:lang w:val="es-MX"/>
              </w:rPr>
              <w:t>16.12.2.7</w:t>
            </w:r>
            <w:r w:rsidRPr="003342BC">
              <w:rPr>
                <w:rFonts w:ascii="Verdana" w:hAnsi="Verdana"/>
                <w:sz w:val="16"/>
                <w:szCs w:val="16"/>
                <w:lang w:val="es-MX"/>
              </w:rPr>
              <w:t xml:space="preserve"> Deben hacerse las entregas a la dirección indicada en la nota de entrega y en los locales del destinatario. Los medicamentos no se deben dejar en los locales alternativos.</w:t>
            </w:r>
          </w:p>
        </w:tc>
        <w:tc>
          <w:tcPr>
            <w:tcW w:w="4421" w:type="dxa"/>
          </w:tcPr>
          <w:p w14:paraId="563797D5" w14:textId="77777777" w:rsidR="00CD67E0" w:rsidRPr="00FB7D2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16.12.2.7 </w:t>
            </w:r>
            <w:r>
              <w:rPr>
                <w:rFonts w:ascii="Verdana" w:hAnsi="Verdana"/>
                <w:sz w:val="16"/>
                <w:szCs w:val="16"/>
                <w:lang w:val="en-US"/>
              </w:rPr>
              <w:t xml:space="preserve">The deliveries must be made to the address indicated on the delivery note and in the locales of the recipient. The drug products must not be left at alternative locations. </w:t>
            </w:r>
          </w:p>
        </w:tc>
      </w:tr>
      <w:tr w:rsidR="00CD67E0" w:rsidRPr="00861FCE" w14:paraId="7ED85A42" w14:textId="77777777" w:rsidTr="00335F65">
        <w:tc>
          <w:tcPr>
            <w:tcW w:w="4421" w:type="dxa"/>
          </w:tcPr>
          <w:p w14:paraId="0494D792" w14:textId="77777777" w:rsidR="00CD67E0" w:rsidRPr="003342BC" w:rsidRDefault="00CD67E0" w:rsidP="00CD67E0">
            <w:pPr>
              <w:pStyle w:val="Texto"/>
              <w:spacing w:line="276" w:lineRule="auto"/>
              <w:ind w:firstLine="0"/>
              <w:rPr>
                <w:rFonts w:ascii="Verdana" w:hAnsi="Verdana"/>
                <w:sz w:val="16"/>
                <w:szCs w:val="16"/>
                <w:lang w:val="es-MX"/>
              </w:rPr>
            </w:pPr>
            <w:r w:rsidRPr="003342BC">
              <w:rPr>
                <w:rFonts w:ascii="Verdana" w:hAnsi="Verdana"/>
                <w:b/>
                <w:sz w:val="16"/>
                <w:szCs w:val="16"/>
                <w:lang w:val="es-MX"/>
              </w:rPr>
              <w:lastRenderedPageBreak/>
              <w:t>16.12.2.8</w:t>
            </w:r>
            <w:r w:rsidRPr="003342BC">
              <w:rPr>
                <w:rFonts w:ascii="Verdana" w:hAnsi="Verdana"/>
                <w:sz w:val="16"/>
                <w:szCs w:val="16"/>
                <w:lang w:val="es-MX"/>
              </w:rPr>
              <w:t xml:space="preserve"> Se debe designar a una persona y contar con un procedimiento para las entregas de emergencia fuera de las horas normales de trabajo.</w:t>
            </w:r>
          </w:p>
        </w:tc>
        <w:tc>
          <w:tcPr>
            <w:tcW w:w="4421" w:type="dxa"/>
          </w:tcPr>
          <w:p w14:paraId="5D1EBA27" w14:textId="77777777" w:rsidR="00CD67E0" w:rsidRPr="00FB7D2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16.12.2.8 </w:t>
            </w:r>
            <w:r>
              <w:rPr>
                <w:rFonts w:ascii="Verdana" w:hAnsi="Verdana"/>
                <w:sz w:val="16"/>
                <w:szCs w:val="16"/>
                <w:lang w:val="en-US"/>
              </w:rPr>
              <w:t>A person must be designated and there must be a procedure for emergency deliveries outside of the normal working hours.</w:t>
            </w:r>
          </w:p>
        </w:tc>
      </w:tr>
      <w:tr w:rsidR="00CD67E0" w:rsidRPr="00861FCE" w14:paraId="3EBA0BBB" w14:textId="77777777" w:rsidTr="00335F65">
        <w:tc>
          <w:tcPr>
            <w:tcW w:w="4421" w:type="dxa"/>
          </w:tcPr>
          <w:p w14:paraId="4D0B8BFD"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16.12.2.9</w:t>
            </w:r>
            <w:r w:rsidRPr="00D429B4">
              <w:rPr>
                <w:rFonts w:ascii="Verdana" w:hAnsi="Verdana"/>
                <w:sz w:val="16"/>
                <w:szCs w:val="16"/>
                <w:lang w:val="es-MX"/>
              </w:rPr>
              <w:t xml:space="preserve"> Cuando el transporte se lleva a cabo por un tercero, el contrato debe abarcar los requisitos previstos en el punto 16.10, de esta Norma. Los proveedores de transporte deben estar informados por el distribuidor de las condiciones de transporte relevantes aplicables a la consignación. Se debe vigilar la temperatura, la limpieza y la seguridad de las instalaciones cuando la ruta de transporte incluye descarga  y carga.</w:t>
            </w:r>
          </w:p>
        </w:tc>
        <w:tc>
          <w:tcPr>
            <w:tcW w:w="4421" w:type="dxa"/>
          </w:tcPr>
          <w:p w14:paraId="4F06460C" w14:textId="77777777" w:rsidR="00CD67E0" w:rsidRPr="00FB7D2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16.12.2.9 </w:t>
            </w:r>
            <w:r>
              <w:rPr>
                <w:rFonts w:ascii="Verdana" w:hAnsi="Verdana"/>
                <w:sz w:val="16"/>
                <w:szCs w:val="16"/>
                <w:lang w:val="en-US"/>
              </w:rPr>
              <w:t xml:space="preserve">When the transport is carried out by a third party, the contract must include the requirements detailed in point 16.10 of this Standard. The transport suppliers must be informed by the distributor of the relevant transport conditions applicable to the consignment. The temperature, cleaning and security of the installations must be overseen when the transport route includes unloading and loading.  </w:t>
            </w:r>
          </w:p>
        </w:tc>
      </w:tr>
      <w:tr w:rsidR="00CD67E0" w:rsidRPr="00861FCE" w14:paraId="04F111B1" w14:textId="77777777" w:rsidTr="00335F65">
        <w:tc>
          <w:tcPr>
            <w:tcW w:w="4421" w:type="dxa"/>
          </w:tcPr>
          <w:p w14:paraId="0260E8D1"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16.12.2.10</w:t>
            </w:r>
            <w:r w:rsidRPr="00D429B4">
              <w:rPr>
                <w:rFonts w:ascii="Verdana" w:hAnsi="Verdana"/>
                <w:sz w:val="16"/>
                <w:szCs w:val="16"/>
                <w:lang w:val="es-MX"/>
              </w:rPr>
              <w:t xml:space="preserve"> Debe reducirse al mínimo la duración del cruce de andén a la espera de la próxima etapa de la ruta de transporte.</w:t>
            </w:r>
          </w:p>
        </w:tc>
        <w:tc>
          <w:tcPr>
            <w:tcW w:w="4421" w:type="dxa"/>
          </w:tcPr>
          <w:p w14:paraId="5AD05245" w14:textId="77777777" w:rsidR="00CD67E0" w:rsidRPr="003342BC" w:rsidRDefault="00CD67E0" w:rsidP="00CD67E0">
            <w:pPr>
              <w:pStyle w:val="Texto"/>
              <w:spacing w:line="276" w:lineRule="auto"/>
              <w:ind w:firstLine="0"/>
              <w:rPr>
                <w:rFonts w:ascii="Verdana" w:hAnsi="Verdana"/>
                <w:sz w:val="16"/>
                <w:szCs w:val="16"/>
                <w:lang w:val="en-US"/>
              </w:rPr>
            </w:pPr>
            <w:r w:rsidRPr="003342BC">
              <w:rPr>
                <w:rFonts w:ascii="Verdana" w:hAnsi="Verdana"/>
                <w:b/>
                <w:sz w:val="16"/>
                <w:szCs w:val="16"/>
                <w:lang w:val="en-US"/>
              </w:rPr>
              <w:t xml:space="preserve">16.12.2.10 </w:t>
            </w:r>
            <w:r w:rsidRPr="003342BC">
              <w:rPr>
                <w:rFonts w:ascii="Verdana" w:hAnsi="Verdana"/>
                <w:sz w:val="16"/>
                <w:szCs w:val="16"/>
                <w:lang w:val="en-US"/>
              </w:rPr>
              <w:t xml:space="preserve">The duration of the cross dock waiting for the next stage of the transport route must be reduced to a minimum. </w:t>
            </w:r>
          </w:p>
        </w:tc>
      </w:tr>
      <w:tr w:rsidR="00CD67E0" w:rsidRPr="00DD29AF" w14:paraId="092F9C36" w14:textId="77777777" w:rsidTr="00335F65">
        <w:tc>
          <w:tcPr>
            <w:tcW w:w="4421" w:type="dxa"/>
          </w:tcPr>
          <w:p w14:paraId="2F4057A4"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16.12.3 </w:t>
            </w:r>
            <w:r w:rsidRPr="00D429B4">
              <w:rPr>
                <w:rFonts w:ascii="Verdana" w:hAnsi="Verdana"/>
                <w:sz w:val="16"/>
                <w:szCs w:val="16"/>
                <w:lang w:val="es-MX"/>
              </w:rPr>
              <w:t>Contenedores, empaque y etiquetado</w:t>
            </w:r>
          </w:p>
        </w:tc>
        <w:tc>
          <w:tcPr>
            <w:tcW w:w="4421" w:type="dxa"/>
          </w:tcPr>
          <w:p w14:paraId="526F0C16" w14:textId="77777777" w:rsidR="00CD67E0" w:rsidRPr="003342BC" w:rsidRDefault="00CD67E0" w:rsidP="00CD67E0">
            <w:pPr>
              <w:pStyle w:val="Texto"/>
              <w:spacing w:line="276" w:lineRule="auto"/>
              <w:ind w:firstLine="0"/>
              <w:rPr>
                <w:rFonts w:ascii="Verdana" w:hAnsi="Verdana"/>
                <w:sz w:val="16"/>
                <w:szCs w:val="16"/>
                <w:lang w:val="en-US"/>
              </w:rPr>
            </w:pPr>
            <w:r w:rsidRPr="003342BC">
              <w:rPr>
                <w:rFonts w:ascii="Verdana" w:hAnsi="Verdana"/>
                <w:b/>
                <w:sz w:val="16"/>
                <w:szCs w:val="16"/>
                <w:lang w:val="en-US"/>
              </w:rPr>
              <w:t xml:space="preserve">16.12.3 </w:t>
            </w:r>
            <w:r w:rsidRPr="003342BC">
              <w:rPr>
                <w:rFonts w:ascii="Verdana" w:hAnsi="Verdana"/>
                <w:sz w:val="16"/>
                <w:szCs w:val="16"/>
                <w:lang w:val="en-US"/>
              </w:rPr>
              <w:t xml:space="preserve">Containers, packaging and labeling. </w:t>
            </w:r>
          </w:p>
        </w:tc>
      </w:tr>
      <w:tr w:rsidR="00CD67E0" w:rsidRPr="00861FCE" w14:paraId="29067423" w14:textId="77777777" w:rsidTr="00335F65">
        <w:tc>
          <w:tcPr>
            <w:tcW w:w="4421" w:type="dxa"/>
          </w:tcPr>
          <w:p w14:paraId="02886C8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16.12.3.1</w:t>
            </w:r>
            <w:r w:rsidRPr="00D429B4">
              <w:rPr>
                <w:rFonts w:ascii="Verdana" w:hAnsi="Verdana"/>
                <w:sz w:val="16"/>
                <w:szCs w:val="16"/>
                <w:lang w:val="es-MX"/>
              </w:rPr>
              <w:t xml:space="preserve"> Los medicamentos deben ser transportados en contenedores que no tengan ningún efecto adverso en la calidad de los productos, y que ofrecen una protección adecuada de las influencias externas, incluyendo la contaminación.</w:t>
            </w:r>
          </w:p>
        </w:tc>
        <w:tc>
          <w:tcPr>
            <w:tcW w:w="4421" w:type="dxa"/>
          </w:tcPr>
          <w:p w14:paraId="46B857A0" w14:textId="77777777" w:rsidR="00CD67E0" w:rsidRPr="00FB7D2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16.12.3.1 </w:t>
            </w:r>
            <w:r>
              <w:rPr>
                <w:rFonts w:ascii="Verdana" w:hAnsi="Verdana"/>
                <w:sz w:val="16"/>
                <w:szCs w:val="16"/>
                <w:lang w:val="en-US"/>
              </w:rPr>
              <w:t xml:space="preserve">The drug products must be transported in containers that have no adverse effect on the quality of the products, and that offer an adequate protection of the external influences, including contamination. </w:t>
            </w:r>
          </w:p>
        </w:tc>
      </w:tr>
      <w:tr w:rsidR="00CD67E0" w:rsidRPr="00861FCE" w14:paraId="5595F8EC" w14:textId="77777777" w:rsidTr="00335F65">
        <w:tc>
          <w:tcPr>
            <w:tcW w:w="4421" w:type="dxa"/>
          </w:tcPr>
          <w:p w14:paraId="77A2397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16.12.3.2</w:t>
            </w:r>
            <w:r w:rsidRPr="00D429B4">
              <w:rPr>
                <w:rFonts w:ascii="Verdana" w:hAnsi="Verdana"/>
                <w:sz w:val="16"/>
                <w:szCs w:val="16"/>
                <w:lang w:val="es-MX"/>
              </w:rPr>
              <w:t xml:space="preserve"> La selección de un contenedor y el embalaje debe basarse en los requisitos de almacenamiento y transporte de los medicamentos; el espacio necesario para la cantidad de medicamentos; las temperaturas extremas exteriores previstos; el tiempo máximo estimado para el transporte como el almacenamiento de tránsito en la aduana; el estado de calificación del empaque y el estado de validación de los contenedores de transporte.</w:t>
            </w:r>
          </w:p>
        </w:tc>
        <w:tc>
          <w:tcPr>
            <w:tcW w:w="4421" w:type="dxa"/>
          </w:tcPr>
          <w:p w14:paraId="25840A90" w14:textId="77777777" w:rsidR="00CD67E0" w:rsidRPr="00FB7D2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16.12.3.2 </w:t>
            </w:r>
            <w:r>
              <w:rPr>
                <w:rFonts w:ascii="Verdana" w:hAnsi="Verdana"/>
                <w:sz w:val="16"/>
                <w:szCs w:val="16"/>
                <w:lang w:val="en-US"/>
              </w:rPr>
              <w:t xml:space="preserve">The selection of a container and the packaging must be based on the storage and transport requirements of the drug products; the necessary space for the amount of drug products; the expected external extreme temperatures; the maximum time estimated for the transport as well as the storage of transit in customs; the qualification state of the packaging and the validation state of the transport containers. </w:t>
            </w:r>
          </w:p>
        </w:tc>
      </w:tr>
      <w:tr w:rsidR="00CD67E0" w:rsidRPr="00861FCE" w14:paraId="6475E594" w14:textId="77777777" w:rsidTr="00335F65">
        <w:tc>
          <w:tcPr>
            <w:tcW w:w="4421" w:type="dxa"/>
          </w:tcPr>
          <w:p w14:paraId="757B61E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16.12.3.3</w:t>
            </w:r>
            <w:r w:rsidRPr="00D429B4">
              <w:rPr>
                <w:rFonts w:ascii="Verdana" w:hAnsi="Verdana"/>
                <w:sz w:val="16"/>
                <w:szCs w:val="16"/>
                <w:lang w:val="es-MX"/>
              </w:rPr>
              <w:t xml:space="preserve"> Los contenedores deben llevar etiquetas que proporcionen información suficiente sobre los requisitos y precauciones de manipulación y almacenamiento para garantizar que los productos se manipulan y protegidos en todo momento. Los recipientes deben permitir la identificación de los contenidos de los contenedores y la fuente.</w:t>
            </w:r>
          </w:p>
        </w:tc>
        <w:tc>
          <w:tcPr>
            <w:tcW w:w="4421" w:type="dxa"/>
          </w:tcPr>
          <w:p w14:paraId="1968CC64" w14:textId="77777777" w:rsidR="00CD67E0" w:rsidRPr="00FB7D29"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16.12.3.3 </w:t>
            </w:r>
            <w:r>
              <w:rPr>
                <w:rFonts w:ascii="Verdana" w:hAnsi="Verdana"/>
                <w:sz w:val="16"/>
                <w:szCs w:val="16"/>
                <w:lang w:val="en-US"/>
              </w:rPr>
              <w:t xml:space="preserve">The containers must carry labels that provide sufficient information on the requirements, handling precautions and storage to guarantee that the products are handled and protected at all times. The containers must permit the identification of the contents of the containers and the source. </w:t>
            </w:r>
          </w:p>
        </w:tc>
      </w:tr>
      <w:tr w:rsidR="00CD67E0" w:rsidRPr="00861FCE" w14:paraId="6508EC60" w14:textId="77777777" w:rsidTr="00335F65">
        <w:tc>
          <w:tcPr>
            <w:tcW w:w="4421" w:type="dxa"/>
          </w:tcPr>
          <w:p w14:paraId="19F5430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16.12.4 </w:t>
            </w:r>
            <w:r w:rsidRPr="00D429B4">
              <w:rPr>
                <w:rFonts w:ascii="Verdana" w:hAnsi="Verdana"/>
                <w:sz w:val="16"/>
                <w:szCs w:val="16"/>
                <w:lang w:val="es-MX"/>
              </w:rPr>
              <w:t>Medicamentos que requieren condiciones controladas.</w:t>
            </w:r>
          </w:p>
        </w:tc>
        <w:tc>
          <w:tcPr>
            <w:tcW w:w="4421" w:type="dxa"/>
          </w:tcPr>
          <w:p w14:paraId="7118F200" w14:textId="77777777" w:rsidR="00CD67E0" w:rsidRPr="00FB7D29" w:rsidRDefault="00CD67E0" w:rsidP="00CD67E0">
            <w:pPr>
              <w:pStyle w:val="Texto"/>
              <w:spacing w:line="276" w:lineRule="auto"/>
              <w:ind w:firstLine="0"/>
              <w:rPr>
                <w:rFonts w:ascii="Verdana" w:hAnsi="Verdana"/>
                <w:sz w:val="16"/>
                <w:szCs w:val="16"/>
                <w:lang w:val="en-US"/>
              </w:rPr>
            </w:pPr>
            <w:r w:rsidRPr="00FB7D29">
              <w:rPr>
                <w:rFonts w:ascii="Verdana" w:hAnsi="Verdana"/>
                <w:b/>
                <w:sz w:val="16"/>
                <w:szCs w:val="16"/>
                <w:lang w:val="en-US"/>
              </w:rPr>
              <w:t xml:space="preserve">16.12.4 </w:t>
            </w:r>
            <w:r w:rsidRPr="00FB7D29">
              <w:rPr>
                <w:rFonts w:ascii="Verdana" w:hAnsi="Verdana"/>
                <w:sz w:val="16"/>
                <w:szCs w:val="16"/>
                <w:lang w:val="en-US"/>
              </w:rPr>
              <w:t xml:space="preserve">Drug products that require controlled conditions. </w:t>
            </w:r>
          </w:p>
        </w:tc>
      </w:tr>
      <w:tr w:rsidR="00CD67E0" w:rsidRPr="00861FCE" w14:paraId="1ED38480" w14:textId="77777777" w:rsidTr="00335F65">
        <w:tc>
          <w:tcPr>
            <w:tcW w:w="4421" w:type="dxa"/>
          </w:tcPr>
          <w:p w14:paraId="2260FAD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16.12.4.1</w:t>
            </w:r>
            <w:r w:rsidRPr="00D429B4">
              <w:rPr>
                <w:rFonts w:ascii="Verdana" w:hAnsi="Verdana"/>
                <w:sz w:val="16"/>
                <w:szCs w:val="16"/>
                <w:lang w:val="es-MX"/>
              </w:rPr>
              <w:t xml:space="preserve"> En relación con las entregas que contienen medicamentos que requieren condiciones especiales como estupefacientes o sustancias psicotrópicas, el distribuidor debe mantener una cadena de suministro seguro y protegido para estos productos, de conformidad con los requisitos establecidos en la legislación nacional. Debe establecerse sistemas de control adicionales en el lugar para la entrega de estos productos. Debe haber un protocolo para hacer frente a la ocurrencia de cualquier robo.</w:t>
            </w:r>
          </w:p>
        </w:tc>
        <w:tc>
          <w:tcPr>
            <w:tcW w:w="4421" w:type="dxa"/>
          </w:tcPr>
          <w:p w14:paraId="7D82D287" w14:textId="77777777" w:rsidR="00CD67E0" w:rsidRPr="00FB7D29" w:rsidRDefault="00CD67E0" w:rsidP="00CD67E0">
            <w:pPr>
              <w:pStyle w:val="Texto"/>
              <w:spacing w:line="276" w:lineRule="auto"/>
              <w:ind w:firstLine="0"/>
              <w:rPr>
                <w:rFonts w:ascii="Verdana" w:hAnsi="Verdana"/>
                <w:sz w:val="16"/>
                <w:szCs w:val="16"/>
                <w:lang w:val="en-US"/>
              </w:rPr>
            </w:pPr>
            <w:r w:rsidRPr="00FB7D29">
              <w:rPr>
                <w:rFonts w:ascii="Verdana" w:hAnsi="Verdana"/>
                <w:b/>
                <w:sz w:val="16"/>
                <w:szCs w:val="16"/>
                <w:lang w:val="en-US"/>
              </w:rPr>
              <w:t xml:space="preserve">16.12.4.1 </w:t>
            </w:r>
            <w:r>
              <w:rPr>
                <w:rFonts w:ascii="Verdana" w:hAnsi="Verdana"/>
                <w:sz w:val="16"/>
                <w:szCs w:val="16"/>
                <w:lang w:val="en-US"/>
              </w:rPr>
              <w:t xml:space="preserve">With regard to the deliveries that contain drug products that require special conditions, such as narcotics or psychotropic substances, the distributor must maintain a supply chain safe and protected for those products, in conformity with the requirements established in national legislation. Additional control systems must be established in the place for the delivery of these products. There must be a protocol to perform in the event of the occurrence of a robbery. </w:t>
            </w:r>
          </w:p>
        </w:tc>
      </w:tr>
      <w:tr w:rsidR="00CD67E0" w:rsidRPr="00861FCE" w14:paraId="44A055B2" w14:textId="77777777" w:rsidTr="00335F65">
        <w:tc>
          <w:tcPr>
            <w:tcW w:w="4421" w:type="dxa"/>
          </w:tcPr>
          <w:p w14:paraId="338ED4E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16.12.4.2</w:t>
            </w:r>
            <w:r w:rsidRPr="00D429B4">
              <w:rPr>
                <w:rFonts w:ascii="Verdana" w:hAnsi="Verdana"/>
                <w:sz w:val="16"/>
                <w:szCs w:val="16"/>
                <w:lang w:val="es-MX"/>
              </w:rPr>
              <w:t xml:space="preserve"> Los medicamentos que contienen materiales altamente activos y radiactivos deben transportarse en contenedores y vehículos </w:t>
            </w:r>
            <w:r w:rsidRPr="00D429B4">
              <w:rPr>
                <w:rFonts w:ascii="Verdana" w:hAnsi="Verdana"/>
                <w:sz w:val="16"/>
                <w:szCs w:val="16"/>
                <w:lang w:val="es-MX"/>
              </w:rPr>
              <w:lastRenderedPageBreak/>
              <w:t>dedicados y seguros. Las medidas de seguridad pertinentes deben estar en conformidad con los acuerdos internacionales y la legislación nacional.</w:t>
            </w:r>
          </w:p>
        </w:tc>
        <w:tc>
          <w:tcPr>
            <w:tcW w:w="4421" w:type="dxa"/>
          </w:tcPr>
          <w:p w14:paraId="098B6B4E" w14:textId="77777777" w:rsidR="00CD67E0" w:rsidRPr="0010031A"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lastRenderedPageBreak/>
              <w:t xml:space="preserve">16.12.4.2 </w:t>
            </w:r>
            <w:r>
              <w:rPr>
                <w:rFonts w:ascii="Verdana" w:hAnsi="Verdana"/>
                <w:sz w:val="16"/>
                <w:szCs w:val="16"/>
                <w:lang w:val="en-US"/>
              </w:rPr>
              <w:t xml:space="preserve">The drug products that contain highly active and radioactive materials must be transported in containers and vehicles, designated and safe. The </w:t>
            </w:r>
            <w:r>
              <w:rPr>
                <w:rFonts w:ascii="Verdana" w:hAnsi="Verdana"/>
                <w:sz w:val="16"/>
                <w:szCs w:val="16"/>
                <w:lang w:val="en-US"/>
              </w:rPr>
              <w:lastRenderedPageBreak/>
              <w:t xml:space="preserve">pertinent security measures must be in conformity with the international agreements and national legislation. </w:t>
            </w:r>
          </w:p>
        </w:tc>
      </w:tr>
      <w:tr w:rsidR="00CD67E0" w:rsidRPr="00861FCE" w14:paraId="720FFCC2" w14:textId="77777777" w:rsidTr="00335F65">
        <w:tc>
          <w:tcPr>
            <w:tcW w:w="4421" w:type="dxa"/>
          </w:tcPr>
          <w:p w14:paraId="560456A5"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s-MX"/>
              </w:rPr>
              <w:lastRenderedPageBreak/>
              <w:t>16.12.4.3</w:t>
            </w:r>
            <w:r w:rsidRPr="00C73D15">
              <w:rPr>
                <w:rFonts w:ascii="Verdana" w:hAnsi="Verdana"/>
                <w:sz w:val="16"/>
                <w:szCs w:val="16"/>
                <w:lang w:val="es-MX"/>
              </w:rPr>
              <w:t xml:space="preserve"> Para los medicamentos sensibles a la temperatura se de</w:t>
            </w:r>
            <w:r w:rsidRPr="00D429B4">
              <w:rPr>
                <w:rFonts w:ascii="Verdana" w:hAnsi="Verdana"/>
                <w:sz w:val="16"/>
                <w:szCs w:val="16"/>
                <w:lang w:val="es-MX"/>
              </w:rPr>
              <w:t>be utilizar equipo calificado (embalaje térmico, contenedores de temperatura controlada o vehículos de temperatura controlada) y asegurar que las condiciones de transporte correctos se mantienen entre el fabricante, distribuidor y el cliente.</w:t>
            </w:r>
          </w:p>
        </w:tc>
        <w:tc>
          <w:tcPr>
            <w:tcW w:w="4421" w:type="dxa"/>
          </w:tcPr>
          <w:p w14:paraId="7F7CCEA1" w14:textId="77777777" w:rsidR="00CD67E0" w:rsidRPr="008E4CBF"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16.12.4.3 </w:t>
            </w:r>
            <w:r>
              <w:rPr>
                <w:rFonts w:ascii="Verdana" w:hAnsi="Verdana"/>
                <w:sz w:val="16"/>
                <w:szCs w:val="16"/>
                <w:lang w:val="en-US"/>
              </w:rPr>
              <w:t xml:space="preserve">For the drug products that are sensitive to temperature, qualified equipment must be used (thermal packaging, controlled temperature containers or controlled temperature vehicles) and assure that the correct transport conditions are maintained between the manufacturer, distributor and the client. </w:t>
            </w:r>
          </w:p>
        </w:tc>
      </w:tr>
      <w:tr w:rsidR="00CD67E0" w:rsidRPr="00861FCE" w14:paraId="3442955A" w14:textId="77777777" w:rsidTr="00335F65">
        <w:tc>
          <w:tcPr>
            <w:tcW w:w="4421" w:type="dxa"/>
          </w:tcPr>
          <w:p w14:paraId="6A608B7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16.12.4.4</w:t>
            </w:r>
            <w:r w:rsidRPr="00D429B4">
              <w:rPr>
                <w:rFonts w:ascii="Verdana" w:hAnsi="Verdana"/>
                <w:sz w:val="16"/>
                <w:szCs w:val="16"/>
                <w:lang w:val="es-MX"/>
              </w:rPr>
              <w:t xml:space="preserve"> Si se utilizan vehículos con control de temperatura, el equipo de monitoreo de temperatura utilizada durante el transporte debe someterse a mantenimiento y calibrado a intervalos regulares. Debe llevarse a cabo mapeos de temperatura en condiciones representativas y debe tener en cuenta las variaciones estacionales.</w:t>
            </w:r>
          </w:p>
        </w:tc>
        <w:tc>
          <w:tcPr>
            <w:tcW w:w="4421" w:type="dxa"/>
          </w:tcPr>
          <w:p w14:paraId="14D46C11" w14:textId="77777777" w:rsidR="00CD67E0" w:rsidRPr="008E4CBF"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16.12.4.4 </w:t>
            </w:r>
            <w:r>
              <w:rPr>
                <w:rFonts w:ascii="Verdana" w:hAnsi="Verdana"/>
                <w:sz w:val="16"/>
                <w:szCs w:val="16"/>
                <w:lang w:val="en-US"/>
              </w:rPr>
              <w:t xml:space="preserve">If vehicles with temperature control are used, the temperature monitoring equipment used during the transport must be submitted to maintenance and calibrated at regular intervals. Temperature mapping under representative conditions must be carried out and the seasonal variations must be taken into account. </w:t>
            </w:r>
          </w:p>
        </w:tc>
      </w:tr>
      <w:tr w:rsidR="00CD67E0" w:rsidRPr="00861FCE" w14:paraId="75F89368" w14:textId="77777777" w:rsidTr="00335F65">
        <w:tc>
          <w:tcPr>
            <w:tcW w:w="4421" w:type="dxa"/>
          </w:tcPr>
          <w:p w14:paraId="79687AFA"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16.12.4.5 </w:t>
            </w:r>
            <w:r w:rsidRPr="00D429B4">
              <w:rPr>
                <w:rFonts w:ascii="Verdana" w:hAnsi="Verdana"/>
                <w:sz w:val="16"/>
                <w:szCs w:val="16"/>
                <w:lang w:val="es-MX"/>
              </w:rPr>
              <w:t>Si el cliente los solicita se le debe facilitar información para demostrar que los productos han cumplido con las condiciones de almacenamiento de temperatura.</w:t>
            </w:r>
          </w:p>
        </w:tc>
        <w:tc>
          <w:tcPr>
            <w:tcW w:w="4421" w:type="dxa"/>
          </w:tcPr>
          <w:p w14:paraId="3842CE7E" w14:textId="77777777" w:rsidR="00CD67E0" w:rsidRPr="008E4CBF"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16.12.4.5 </w:t>
            </w:r>
            <w:r>
              <w:rPr>
                <w:rFonts w:ascii="Verdana" w:hAnsi="Verdana"/>
                <w:sz w:val="16"/>
                <w:szCs w:val="16"/>
                <w:lang w:val="en-US"/>
              </w:rPr>
              <w:t xml:space="preserve">If the client requests them, information must be facilitated to demonstrate that the products have complied with the temperature storage conditions. </w:t>
            </w:r>
          </w:p>
        </w:tc>
      </w:tr>
      <w:tr w:rsidR="00CD67E0" w:rsidRPr="00861FCE" w14:paraId="055F0047" w14:textId="77777777" w:rsidTr="00335F65">
        <w:tc>
          <w:tcPr>
            <w:tcW w:w="4421" w:type="dxa"/>
          </w:tcPr>
          <w:p w14:paraId="5C3C029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16.12.4.6</w:t>
            </w:r>
            <w:r w:rsidRPr="00D429B4">
              <w:rPr>
                <w:rFonts w:ascii="Verdana" w:hAnsi="Verdana"/>
                <w:sz w:val="16"/>
                <w:szCs w:val="16"/>
                <w:lang w:val="es-MX"/>
              </w:rPr>
              <w:t xml:space="preserve"> Si se utilizan refrigerantes en cajas aisladas, éstas deberán ser colocadas de tal manera que el producto no entra en contacto directo con el refrigerante. El personal debe estar capacitado en los procedimientos de embalaje de las cajas aislantes y en la reutilización de los refrigerantes.</w:t>
            </w:r>
          </w:p>
        </w:tc>
        <w:tc>
          <w:tcPr>
            <w:tcW w:w="4421" w:type="dxa"/>
          </w:tcPr>
          <w:p w14:paraId="053CB7AC" w14:textId="77777777" w:rsidR="00CD67E0" w:rsidRPr="008E4CBF"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16.12.4.6 </w:t>
            </w:r>
            <w:r>
              <w:rPr>
                <w:rFonts w:ascii="Verdana" w:hAnsi="Verdana"/>
                <w:sz w:val="16"/>
                <w:szCs w:val="16"/>
                <w:lang w:val="en-US"/>
              </w:rPr>
              <w:t xml:space="preserve">If refrigerants are used in insulated boxes, they must be placed in such a way that the product does not enter into direct contact with the refrigerant. The personnel must be qualified in the packaging procedures of the insulated boxes and in the reuse of the refrigerants.  </w:t>
            </w:r>
          </w:p>
        </w:tc>
      </w:tr>
      <w:tr w:rsidR="00CD67E0" w:rsidRPr="00861FCE" w14:paraId="012D8307" w14:textId="77777777" w:rsidTr="00335F65">
        <w:tc>
          <w:tcPr>
            <w:tcW w:w="4421" w:type="dxa"/>
          </w:tcPr>
          <w:p w14:paraId="289A5F8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16.12.4.7</w:t>
            </w:r>
            <w:r w:rsidRPr="00D429B4">
              <w:rPr>
                <w:rFonts w:ascii="Verdana" w:hAnsi="Verdana"/>
                <w:sz w:val="16"/>
                <w:szCs w:val="16"/>
                <w:lang w:val="es-MX"/>
              </w:rPr>
              <w:t xml:space="preserve"> Debe haber un sistema para controlar la reutilización de los refrigerantes para garantizar que no se usan por error refrigerantes no fríos. Debe haber una separación física adecuada entre los paquetes congelados y fríos.</w:t>
            </w:r>
          </w:p>
        </w:tc>
        <w:tc>
          <w:tcPr>
            <w:tcW w:w="4421" w:type="dxa"/>
          </w:tcPr>
          <w:p w14:paraId="454EF583" w14:textId="77777777" w:rsidR="00CD67E0" w:rsidRPr="008E4CBF"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16.12.4.7 </w:t>
            </w:r>
            <w:r>
              <w:rPr>
                <w:rFonts w:ascii="Verdana" w:hAnsi="Verdana"/>
                <w:sz w:val="16"/>
                <w:szCs w:val="16"/>
                <w:lang w:val="en-US"/>
              </w:rPr>
              <w:t xml:space="preserve">There must be a system for controlling the reuse of the refrigerants to guarantee that non cold refrigerants are not used by mistake. There must be an adequate physical separation between the frozen and cold packages. </w:t>
            </w:r>
          </w:p>
        </w:tc>
      </w:tr>
      <w:tr w:rsidR="00CD67E0" w:rsidRPr="00861FCE" w14:paraId="3E2C370E" w14:textId="77777777" w:rsidTr="00335F65">
        <w:tc>
          <w:tcPr>
            <w:tcW w:w="4421" w:type="dxa"/>
          </w:tcPr>
          <w:p w14:paraId="4A084E40"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16.12.4.8</w:t>
            </w:r>
            <w:r w:rsidRPr="00D429B4">
              <w:rPr>
                <w:rFonts w:ascii="Verdana" w:hAnsi="Verdana"/>
                <w:sz w:val="16"/>
                <w:szCs w:val="16"/>
                <w:lang w:val="es-MX"/>
              </w:rPr>
              <w:t xml:space="preserve"> Deberán estar descritos en un procedimiento el proceso de entrega de productos sensibles y el control de las variaciones de temperatura estacionales.</w:t>
            </w:r>
          </w:p>
        </w:tc>
        <w:tc>
          <w:tcPr>
            <w:tcW w:w="4421" w:type="dxa"/>
          </w:tcPr>
          <w:p w14:paraId="3BAEDB9F" w14:textId="77777777" w:rsidR="00CD67E0" w:rsidRPr="008E4CBF"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16.12.4.8 </w:t>
            </w:r>
            <w:r>
              <w:rPr>
                <w:rFonts w:ascii="Verdana" w:hAnsi="Verdana"/>
                <w:sz w:val="16"/>
                <w:szCs w:val="16"/>
                <w:lang w:val="en-US"/>
              </w:rPr>
              <w:t xml:space="preserve">The delivery process of sensitive products and the control of the variations of seasonal temperatures must be described in a procedure. </w:t>
            </w:r>
          </w:p>
        </w:tc>
      </w:tr>
      <w:tr w:rsidR="00CD67E0" w:rsidRPr="00861FCE" w14:paraId="53418B9A" w14:textId="77777777" w:rsidTr="00335F65">
        <w:tc>
          <w:tcPr>
            <w:tcW w:w="4421" w:type="dxa"/>
          </w:tcPr>
          <w:p w14:paraId="4148FB30"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17. Concordancia con normas internacionales y mexicanas</w:t>
            </w:r>
          </w:p>
        </w:tc>
        <w:tc>
          <w:tcPr>
            <w:tcW w:w="4421" w:type="dxa"/>
            <w:shd w:val="clear" w:color="auto" w:fill="auto"/>
          </w:tcPr>
          <w:p w14:paraId="27D937E1" w14:textId="77777777" w:rsidR="00CD67E0" w:rsidRPr="00D429B4" w:rsidRDefault="00CD67E0" w:rsidP="00CD67E0">
            <w:pPr>
              <w:pStyle w:val="Texto"/>
              <w:spacing w:after="90" w:line="276" w:lineRule="auto"/>
              <w:ind w:firstLine="0"/>
              <w:rPr>
                <w:rFonts w:ascii="Verdana" w:hAnsi="Verdana"/>
                <w:b/>
                <w:sz w:val="16"/>
                <w:szCs w:val="16"/>
                <w:lang w:val="en-US"/>
              </w:rPr>
            </w:pPr>
            <w:r w:rsidRPr="00D429B4">
              <w:rPr>
                <w:rFonts w:ascii="Verdana" w:hAnsi="Verdana"/>
                <w:b/>
                <w:sz w:val="16"/>
                <w:szCs w:val="16"/>
                <w:lang w:val="en-US"/>
              </w:rPr>
              <w:t>17. Concordance with international and Mexican standards</w:t>
            </w:r>
          </w:p>
        </w:tc>
      </w:tr>
      <w:tr w:rsidR="00CD67E0" w:rsidRPr="00861FCE" w14:paraId="4F6487DB" w14:textId="77777777" w:rsidTr="00335F65">
        <w:tc>
          <w:tcPr>
            <w:tcW w:w="4421" w:type="dxa"/>
          </w:tcPr>
          <w:p w14:paraId="14957D1F"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Esta Norma es parcialmente equivalente a los estándares internacionales:</w:t>
            </w:r>
          </w:p>
        </w:tc>
        <w:tc>
          <w:tcPr>
            <w:tcW w:w="4421" w:type="dxa"/>
            <w:shd w:val="clear" w:color="auto" w:fill="auto"/>
          </w:tcPr>
          <w:p w14:paraId="45EDD080" w14:textId="77777777" w:rsidR="00CD67E0" w:rsidRPr="00D429B4" w:rsidRDefault="00CD67E0" w:rsidP="00CD67E0">
            <w:pPr>
              <w:pStyle w:val="Texto"/>
              <w:spacing w:after="90" w:line="276" w:lineRule="auto"/>
              <w:ind w:firstLine="0"/>
              <w:rPr>
                <w:rFonts w:ascii="Verdana" w:hAnsi="Verdana"/>
                <w:sz w:val="16"/>
                <w:szCs w:val="16"/>
                <w:lang w:val="en-US"/>
              </w:rPr>
            </w:pPr>
            <w:r w:rsidRPr="00D429B4">
              <w:rPr>
                <w:rFonts w:ascii="Verdana" w:hAnsi="Verdana"/>
                <w:sz w:val="16"/>
                <w:szCs w:val="16"/>
                <w:lang w:val="en-US"/>
              </w:rPr>
              <w:t>This Standard is partially equivalent to the following international standards:</w:t>
            </w:r>
          </w:p>
        </w:tc>
      </w:tr>
      <w:tr w:rsidR="00CD67E0" w:rsidRPr="00861FCE" w14:paraId="484840B1" w14:textId="77777777" w:rsidTr="00335F65">
        <w:tc>
          <w:tcPr>
            <w:tcW w:w="4421" w:type="dxa"/>
          </w:tcPr>
          <w:p w14:paraId="5EBCAFBA"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 xml:space="preserve">17.1 </w:t>
            </w:r>
            <w:r w:rsidRPr="00C73D15">
              <w:rPr>
                <w:rFonts w:ascii="Verdana" w:hAnsi="Verdana"/>
                <w:sz w:val="16"/>
                <w:szCs w:val="16"/>
                <w:lang w:val="en-US"/>
              </w:rPr>
              <w:t>EudraLex. Volume 4, Good manufacturing practice (GMP) Guidelines, Introduction, Part I, Part III and Annexes 1, 2, 6, 8, 9, 11, 13, 14, 15 and 19.</w:t>
            </w:r>
          </w:p>
        </w:tc>
        <w:tc>
          <w:tcPr>
            <w:tcW w:w="4421" w:type="dxa"/>
          </w:tcPr>
          <w:p w14:paraId="07AE643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17.1 </w:t>
            </w:r>
            <w:r w:rsidRPr="00D429B4">
              <w:rPr>
                <w:rFonts w:ascii="Verdana" w:hAnsi="Verdana"/>
                <w:sz w:val="16"/>
                <w:szCs w:val="16"/>
                <w:lang w:val="en-US"/>
              </w:rPr>
              <w:t>EudraLex. Volume 4, Good manufacturing practice (GMP) Guidelines, Introduction, Part I, Part III and Annexes 1, 2, 6, 8, 9, 11, 13, 14, 15 and 19.</w:t>
            </w:r>
          </w:p>
        </w:tc>
      </w:tr>
      <w:tr w:rsidR="00CD67E0" w:rsidRPr="00DD29AF" w14:paraId="5BCA76C2" w14:textId="77777777" w:rsidTr="00335F65">
        <w:tc>
          <w:tcPr>
            <w:tcW w:w="4421" w:type="dxa"/>
          </w:tcPr>
          <w:p w14:paraId="16E6998D"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n-US"/>
              </w:rPr>
              <w:t>17.2</w:t>
            </w:r>
            <w:r w:rsidRPr="00C73D15">
              <w:rPr>
                <w:rFonts w:ascii="Verdana" w:hAnsi="Verdana"/>
                <w:sz w:val="16"/>
                <w:szCs w:val="16"/>
                <w:lang w:val="en-US"/>
              </w:rPr>
              <w:t xml:space="preserve"> Pharmaceutical Inspection Convention/Pharmaceutical Inspection Co-operation Scheme. Explanatory notes for Pharmaceutical Manufacturers on the Preparation of a Site Master File. </w:t>
            </w:r>
            <w:r w:rsidRPr="00D429B4">
              <w:rPr>
                <w:rFonts w:ascii="Verdana" w:hAnsi="Verdana"/>
                <w:sz w:val="16"/>
                <w:szCs w:val="16"/>
                <w:lang w:val="es-MX"/>
              </w:rPr>
              <w:t>January 2011.</w:t>
            </w:r>
          </w:p>
        </w:tc>
        <w:tc>
          <w:tcPr>
            <w:tcW w:w="4421" w:type="dxa"/>
          </w:tcPr>
          <w:p w14:paraId="279D6222"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17.2</w:t>
            </w:r>
            <w:r w:rsidRPr="00D429B4">
              <w:rPr>
                <w:rFonts w:ascii="Verdana" w:hAnsi="Verdana"/>
                <w:sz w:val="16"/>
                <w:szCs w:val="16"/>
                <w:lang w:val="en-US"/>
              </w:rPr>
              <w:t xml:space="preserve"> Pharmaceutical Inspection Convention/Pharmaceutical Inspection Co-operation Scheme. Explanatory notes for Pharmaceutical Manufacturers on the Preparation of a Site Master File. January 2011.</w:t>
            </w:r>
          </w:p>
        </w:tc>
      </w:tr>
      <w:tr w:rsidR="00CD67E0" w:rsidRPr="00861FCE" w14:paraId="07C9A692" w14:textId="77777777" w:rsidTr="00335F65">
        <w:tc>
          <w:tcPr>
            <w:tcW w:w="4421" w:type="dxa"/>
          </w:tcPr>
          <w:p w14:paraId="013AEA77" w14:textId="77777777" w:rsidR="00CD67E0" w:rsidRPr="00C73D15" w:rsidRDefault="00CD67E0" w:rsidP="00CD67E0">
            <w:pPr>
              <w:pStyle w:val="Texto"/>
              <w:spacing w:line="276" w:lineRule="auto"/>
              <w:ind w:firstLine="0"/>
              <w:rPr>
                <w:rFonts w:ascii="Verdana" w:hAnsi="Verdana"/>
                <w:b/>
                <w:sz w:val="16"/>
                <w:szCs w:val="16"/>
                <w:lang w:val="en-US"/>
              </w:rPr>
            </w:pPr>
            <w:r w:rsidRPr="00C73D15">
              <w:rPr>
                <w:rFonts w:ascii="Verdana" w:hAnsi="Verdana"/>
                <w:b/>
                <w:sz w:val="16"/>
                <w:szCs w:val="16"/>
                <w:lang w:val="en-US"/>
              </w:rPr>
              <w:t>17.3</w:t>
            </w:r>
            <w:r w:rsidRPr="00C73D15">
              <w:rPr>
                <w:rFonts w:ascii="Verdana" w:hAnsi="Verdana"/>
                <w:sz w:val="16"/>
                <w:szCs w:val="16"/>
                <w:lang w:val="en-US"/>
              </w:rPr>
              <w:t xml:space="preserve"> Pharmaceutical Inspection Convention/Pharmaceutical Inspection Co-operation Scheme. Guide to Good Manufacturing Practice for Medicinal Products Annexes. October 2015.</w:t>
            </w:r>
          </w:p>
        </w:tc>
        <w:tc>
          <w:tcPr>
            <w:tcW w:w="4421" w:type="dxa"/>
          </w:tcPr>
          <w:p w14:paraId="4C417F9E"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17.3</w:t>
            </w:r>
            <w:r w:rsidRPr="00D429B4">
              <w:rPr>
                <w:rFonts w:ascii="Verdana" w:hAnsi="Verdana"/>
                <w:sz w:val="16"/>
                <w:szCs w:val="16"/>
                <w:lang w:val="en-US"/>
              </w:rPr>
              <w:t xml:space="preserve"> Pharmaceutical Inspection Convention/Pharmaceutical Inspection Co-operation Scheme. Guide to Good Manufacturing Practice for Medicinal Products Annexes. October 2015.</w:t>
            </w:r>
          </w:p>
        </w:tc>
      </w:tr>
      <w:tr w:rsidR="00CD67E0" w:rsidRPr="00861FCE" w14:paraId="7CDE2620" w14:textId="77777777" w:rsidTr="00335F65">
        <w:tc>
          <w:tcPr>
            <w:tcW w:w="4421" w:type="dxa"/>
          </w:tcPr>
          <w:p w14:paraId="5E07E9A2"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lastRenderedPageBreak/>
              <w:t>17.4</w:t>
            </w:r>
            <w:r w:rsidRPr="00C73D15">
              <w:rPr>
                <w:rFonts w:ascii="Verdana" w:hAnsi="Verdana"/>
                <w:sz w:val="16"/>
                <w:szCs w:val="16"/>
                <w:lang w:val="en-US"/>
              </w:rPr>
              <w:t xml:space="preserve"> Pharmaceutical Inspection Convention/Pharmaceutical Inspection Co-operation Scheme. Guide to Good Manufacturing Practice for Medicinal Products Part I. October de 2015.</w:t>
            </w:r>
          </w:p>
        </w:tc>
        <w:tc>
          <w:tcPr>
            <w:tcW w:w="4421" w:type="dxa"/>
          </w:tcPr>
          <w:p w14:paraId="709AC75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17.4</w:t>
            </w:r>
            <w:r w:rsidRPr="00D429B4">
              <w:rPr>
                <w:rFonts w:ascii="Verdana" w:hAnsi="Verdana"/>
                <w:sz w:val="16"/>
                <w:szCs w:val="16"/>
                <w:lang w:val="en-US"/>
              </w:rPr>
              <w:t xml:space="preserve"> Pharmaceutical Inspection Convention/Pharmaceutical Inspection Co-operation Scheme. Guide to Good Manufacturing Practice for Medicinal Products Part I. October de 2015.</w:t>
            </w:r>
          </w:p>
        </w:tc>
      </w:tr>
      <w:tr w:rsidR="00CD67E0" w:rsidRPr="00DD29AF" w14:paraId="0CAF4D45" w14:textId="77777777" w:rsidTr="00335F65">
        <w:tc>
          <w:tcPr>
            <w:tcW w:w="4421" w:type="dxa"/>
          </w:tcPr>
          <w:p w14:paraId="71698B70" w14:textId="77777777" w:rsidR="00CD67E0" w:rsidRPr="00D429B4" w:rsidRDefault="00CD67E0" w:rsidP="00CD67E0">
            <w:pPr>
              <w:pStyle w:val="Texto"/>
              <w:spacing w:line="276" w:lineRule="auto"/>
              <w:ind w:firstLine="0"/>
              <w:rPr>
                <w:rFonts w:ascii="Verdana" w:hAnsi="Verdana"/>
                <w:b/>
                <w:sz w:val="16"/>
                <w:szCs w:val="16"/>
                <w:lang w:val="es-MX"/>
              </w:rPr>
            </w:pPr>
            <w:r w:rsidRPr="00C73D15">
              <w:rPr>
                <w:rFonts w:ascii="Verdana" w:hAnsi="Verdana"/>
                <w:b/>
                <w:sz w:val="16"/>
                <w:szCs w:val="16"/>
                <w:lang w:val="en-US"/>
              </w:rPr>
              <w:t>17.5</w:t>
            </w:r>
            <w:r w:rsidRPr="00C73D15">
              <w:rPr>
                <w:rFonts w:ascii="Verdana" w:hAnsi="Verdana"/>
                <w:sz w:val="16"/>
                <w:szCs w:val="16"/>
                <w:lang w:val="en-US"/>
              </w:rPr>
              <w:t xml:space="preserve"> Pharmaceutical Inspection Convention/Pharmaceutical Inspection Co-operation Scheme. Guide to Good Manufacturing Practice for Medicinal Products Part II. </w:t>
            </w:r>
            <w:r w:rsidRPr="00D429B4">
              <w:rPr>
                <w:rFonts w:ascii="Verdana" w:hAnsi="Verdana"/>
                <w:sz w:val="16"/>
                <w:szCs w:val="16"/>
                <w:lang w:val="es-MX"/>
              </w:rPr>
              <w:t>October de 2015</w:t>
            </w:r>
          </w:p>
        </w:tc>
        <w:tc>
          <w:tcPr>
            <w:tcW w:w="4421" w:type="dxa"/>
          </w:tcPr>
          <w:p w14:paraId="79174497"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17.5</w:t>
            </w:r>
            <w:r w:rsidRPr="00D429B4">
              <w:rPr>
                <w:rFonts w:ascii="Verdana" w:hAnsi="Verdana"/>
                <w:sz w:val="16"/>
                <w:szCs w:val="16"/>
                <w:lang w:val="en-US"/>
              </w:rPr>
              <w:t xml:space="preserve"> Pharmaceutical Inspection Convention/Pharmaceutical Inspection Co-operation Scheme. Guide to Good Manufacturing Practice for Medicinal Products Part II. October de 2015</w:t>
            </w:r>
          </w:p>
        </w:tc>
      </w:tr>
      <w:tr w:rsidR="00CD67E0" w:rsidRPr="00DD29AF" w14:paraId="76B071B1" w14:textId="77777777" w:rsidTr="00335F65">
        <w:tc>
          <w:tcPr>
            <w:tcW w:w="4421" w:type="dxa"/>
          </w:tcPr>
          <w:p w14:paraId="3C33FFA5"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n-US"/>
              </w:rPr>
              <w:t>17.6</w:t>
            </w:r>
            <w:r w:rsidRPr="00C73D15">
              <w:rPr>
                <w:rFonts w:ascii="Verdana" w:hAnsi="Verdana"/>
                <w:sz w:val="16"/>
                <w:szCs w:val="16"/>
                <w:lang w:val="en-US"/>
              </w:rPr>
              <w:t xml:space="preserve"> Pharmaceutical Inspection Convention/Pharmaceutical Inspection Co-operation Scheme. </w:t>
            </w:r>
            <w:r w:rsidRPr="00D429B4">
              <w:rPr>
                <w:rFonts w:ascii="Verdana" w:hAnsi="Verdana"/>
                <w:sz w:val="16"/>
                <w:szCs w:val="16"/>
                <w:lang w:val="es-MX"/>
              </w:rPr>
              <w:t>PIC/S GMP Guide for Blood Establishments. September 2007.</w:t>
            </w:r>
          </w:p>
        </w:tc>
        <w:tc>
          <w:tcPr>
            <w:tcW w:w="4421" w:type="dxa"/>
          </w:tcPr>
          <w:p w14:paraId="31E343E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17.6</w:t>
            </w:r>
            <w:r w:rsidRPr="00D429B4">
              <w:rPr>
                <w:rFonts w:ascii="Verdana" w:hAnsi="Verdana"/>
                <w:sz w:val="16"/>
                <w:szCs w:val="16"/>
                <w:lang w:val="en-US"/>
              </w:rPr>
              <w:t xml:space="preserve"> Pharmaceutical Inspection Convention/Pharmaceutical Inspection Co-operation Scheme. PIC/S GMP Guide for Blood Establishments. September 2007.</w:t>
            </w:r>
          </w:p>
        </w:tc>
      </w:tr>
      <w:tr w:rsidR="00CD67E0" w:rsidRPr="00DD29AF" w14:paraId="4AD1B98E" w14:textId="77777777" w:rsidTr="00335F65">
        <w:tc>
          <w:tcPr>
            <w:tcW w:w="4421" w:type="dxa"/>
          </w:tcPr>
          <w:p w14:paraId="6A069AC5"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n-US"/>
              </w:rPr>
              <w:t>17.7</w:t>
            </w:r>
            <w:r w:rsidRPr="00C73D15">
              <w:rPr>
                <w:rFonts w:ascii="Verdana" w:hAnsi="Verdana"/>
                <w:sz w:val="16"/>
                <w:szCs w:val="16"/>
                <w:lang w:val="en-US"/>
              </w:rPr>
              <w:t xml:space="preserve"> Pharmaceutical Inspection Convention/Pharmaceutical Inspection Co-operation Scheme. GMP Annex 1 Revision 2008, Interpretation of most important changes for the Manufacture of Sterile Medicinal Products. </w:t>
            </w:r>
            <w:r w:rsidRPr="00D429B4">
              <w:rPr>
                <w:rFonts w:ascii="Verdana" w:hAnsi="Verdana"/>
                <w:sz w:val="16"/>
                <w:szCs w:val="16"/>
                <w:lang w:val="es-MX"/>
              </w:rPr>
              <w:t>January 2010.</w:t>
            </w:r>
          </w:p>
        </w:tc>
        <w:tc>
          <w:tcPr>
            <w:tcW w:w="4421" w:type="dxa"/>
          </w:tcPr>
          <w:p w14:paraId="1A6C60F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17.7</w:t>
            </w:r>
            <w:r w:rsidRPr="00D429B4">
              <w:rPr>
                <w:rFonts w:ascii="Verdana" w:hAnsi="Verdana"/>
                <w:sz w:val="16"/>
                <w:szCs w:val="16"/>
                <w:lang w:val="en-US"/>
              </w:rPr>
              <w:t xml:space="preserve"> Pharmaceutical Inspection Convention/Pharmaceutical Inspection Co-operation Scheme. GMP Annex 1 Revision 2008, Interpretation of most important changes for the Manufacture of Sterile Medicinal Products. January 2010.</w:t>
            </w:r>
          </w:p>
        </w:tc>
      </w:tr>
      <w:tr w:rsidR="00CD67E0" w:rsidRPr="00DD29AF" w14:paraId="4B32995B" w14:textId="77777777" w:rsidTr="00335F65">
        <w:tc>
          <w:tcPr>
            <w:tcW w:w="4421" w:type="dxa"/>
          </w:tcPr>
          <w:p w14:paraId="6AC848C9"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n-US"/>
              </w:rPr>
              <w:t>17.8</w:t>
            </w:r>
            <w:r w:rsidRPr="00C73D15">
              <w:rPr>
                <w:rFonts w:ascii="Verdana" w:hAnsi="Verdana"/>
                <w:sz w:val="16"/>
                <w:szCs w:val="16"/>
                <w:lang w:val="en-US"/>
              </w:rPr>
              <w:t xml:space="preserve"> World Health Organization. Technical Report Series, No. 961, 2011 Annex 3, good manufacturing practices for pharmaceutical products: main principles y Annex 6, WHO good manufacturing practices for sterile pharmaceutical products. </w:t>
            </w:r>
            <w:r w:rsidRPr="00D429B4">
              <w:rPr>
                <w:rFonts w:ascii="Verdana" w:hAnsi="Verdana"/>
                <w:sz w:val="16"/>
                <w:szCs w:val="16"/>
                <w:lang w:val="es-MX"/>
              </w:rPr>
              <w:t>Geneva, 2011.</w:t>
            </w:r>
          </w:p>
        </w:tc>
        <w:tc>
          <w:tcPr>
            <w:tcW w:w="4421" w:type="dxa"/>
          </w:tcPr>
          <w:p w14:paraId="209D3CC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17.8</w:t>
            </w:r>
            <w:r w:rsidRPr="00D429B4">
              <w:rPr>
                <w:rFonts w:ascii="Verdana" w:hAnsi="Verdana"/>
                <w:sz w:val="16"/>
                <w:szCs w:val="16"/>
                <w:lang w:val="en-US"/>
              </w:rPr>
              <w:t xml:space="preserve"> World Health Organization. Technical Report Series, No. 961, 2011 Annex 3, good manufacturing practices for pharmaceutical products: main principles y Annex 6, WHO good manufacturing practices for sterile pharmaceutical products. Geneva, 2011.</w:t>
            </w:r>
          </w:p>
        </w:tc>
      </w:tr>
      <w:tr w:rsidR="00CD67E0" w:rsidRPr="00DD29AF" w14:paraId="4AAE7304" w14:textId="77777777" w:rsidTr="00335F65">
        <w:tc>
          <w:tcPr>
            <w:tcW w:w="4421" w:type="dxa"/>
          </w:tcPr>
          <w:p w14:paraId="6F320ED3"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n-US"/>
              </w:rPr>
              <w:t>17.9</w:t>
            </w:r>
            <w:r w:rsidRPr="00C73D15">
              <w:rPr>
                <w:rFonts w:ascii="Verdana" w:hAnsi="Verdana"/>
                <w:sz w:val="16"/>
                <w:szCs w:val="16"/>
                <w:lang w:val="en-US"/>
              </w:rPr>
              <w:t xml:space="preserve"> World Health Organization. Technical Report Series, No. 961, 2011 Annex 4, guidelines on good manufacturing practices for blood establishments. </w:t>
            </w:r>
            <w:r w:rsidRPr="00D429B4">
              <w:rPr>
                <w:rFonts w:ascii="Verdana" w:hAnsi="Verdana"/>
                <w:sz w:val="16"/>
                <w:szCs w:val="16"/>
                <w:lang w:val="es-MX"/>
              </w:rPr>
              <w:t>Geneva, 2011.</w:t>
            </w:r>
          </w:p>
        </w:tc>
        <w:tc>
          <w:tcPr>
            <w:tcW w:w="4421" w:type="dxa"/>
          </w:tcPr>
          <w:p w14:paraId="6E6F9B8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17.9</w:t>
            </w:r>
            <w:r w:rsidRPr="00D429B4">
              <w:rPr>
                <w:rFonts w:ascii="Verdana" w:hAnsi="Verdana"/>
                <w:sz w:val="16"/>
                <w:szCs w:val="16"/>
                <w:lang w:val="en-US"/>
              </w:rPr>
              <w:t xml:space="preserve"> World Health Organization. Technical Report Series, No. 961, 2011 Annex 4, guidelines on good manufacturing practices for blood establishments. Geneva, 2011.</w:t>
            </w:r>
          </w:p>
        </w:tc>
      </w:tr>
      <w:tr w:rsidR="00CD67E0" w:rsidRPr="00DD29AF" w14:paraId="7D6171DC" w14:textId="77777777" w:rsidTr="00335F65">
        <w:tc>
          <w:tcPr>
            <w:tcW w:w="4421" w:type="dxa"/>
          </w:tcPr>
          <w:p w14:paraId="217F4CBA"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n-US"/>
              </w:rPr>
              <w:t>17.10</w:t>
            </w:r>
            <w:r w:rsidRPr="00C73D15">
              <w:rPr>
                <w:rFonts w:ascii="Verdana" w:hAnsi="Verdana"/>
                <w:sz w:val="16"/>
                <w:szCs w:val="16"/>
                <w:lang w:val="en-US"/>
              </w:rPr>
              <w:t xml:space="preserve"> World Health Organization. Recommendations for the evaluation of animal cell cultures as substrates for the manufacture of biological medicinal products and for the characterization of cell banks. </w:t>
            </w:r>
            <w:r w:rsidRPr="00D429B4">
              <w:rPr>
                <w:rFonts w:ascii="Verdana" w:hAnsi="Verdana"/>
                <w:sz w:val="16"/>
                <w:szCs w:val="16"/>
                <w:lang w:val="es-MX"/>
              </w:rPr>
              <w:t>2010.</w:t>
            </w:r>
          </w:p>
        </w:tc>
        <w:tc>
          <w:tcPr>
            <w:tcW w:w="4421" w:type="dxa"/>
          </w:tcPr>
          <w:p w14:paraId="2BAF411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17.10</w:t>
            </w:r>
            <w:r w:rsidRPr="00D429B4">
              <w:rPr>
                <w:rFonts w:ascii="Verdana" w:hAnsi="Verdana"/>
                <w:sz w:val="16"/>
                <w:szCs w:val="16"/>
                <w:lang w:val="en-US"/>
              </w:rPr>
              <w:t xml:space="preserve"> World Health Organization. Recommendations for the evaluation of animal cell cultures as substrates for the manufacture of biological medicinal products and for the characterization of cell banks. 2010.</w:t>
            </w:r>
          </w:p>
        </w:tc>
      </w:tr>
      <w:tr w:rsidR="00CD67E0" w:rsidRPr="00DD29AF" w14:paraId="0B380B2B" w14:textId="77777777" w:rsidTr="00335F65">
        <w:tc>
          <w:tcPr>
            <w:tcW w:w="4421" w:type="dxa"/>
          </w:tcPr>
          <w:p w14:paraId="1E5A08F3"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n-US"/>
              </w:rPr>
              <w:t>17.11</w:t>
            </w:r>
            <w:r w:rsidRPr="00C73D15">
              <w:rPr>
                <w:rFonts w:ascii="Verdana" w:hAnsi="Verdana"/>
                <w:sz w:val="16"/>
                <w:szCs w:val="16"/>
                <w:lang w:val="en-US"/>
              </w:rPr>
              <w:t xml:space="preserve"> World Health Organization. Technical Report Series, No. 924, 2004 Annex 4, guidelines on viral inactivation and removal procedures intended to assure the viral safety of human blood plasma products. </w:t>
            </w:r>
            <w:r w:rsidRPr="00D429B4">
              <w:rPr>
                <w:rFonts w:ascii="Verdana" w:hAnsi="Verdana"/>
                <w:sz w:val="16"/>
                <w:szCs w:val="16"/>
                <w:lang w:val="es-MX"/>
              </w:rPr>
              <w:t>Geneva, 2004.</w:t>
            </w:r>
          </w:p>
        </w:tc>
        <w:tc>
          <w:tcPr>
            <w:tcW w:w="4421" w:type="dxa"/>
          </w:tcPr>
          <w:p w14:paraId="7F1607D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17.11</w:t>
            </w:r>
            <w:r w:rsidRPr="00D429B4">
              <w:rPr>
                <w:rFonts w:ascii="Verdana" w:hAnsi="Verdana"/>
                <w:sz w:val="16"/>
                <w:szCs w:val="16"/>
                <w:lang w:val="en-US"/>
              </w:rPr>
              <w:t xml:space="preserve"> World Health Organization. Technical Report Series, No. 924, 2004 Annex 4, guidelines on viral inactivation and removal procedures intended to assure the viral safety of human blood plasma products. Geneva, 2004.</w:t>
            </w:r>
          </w:p>
        </w:tc>
      </w:tr>
      <w:tr w:rsidR="00CD67E0" w:rsidRPr="00861FCE" w14:paraId="04640A62" w14:textId="77777777" w:rsidTr="00335F65">
        <w:tc>
          <w:tcPr>
            <w:tcW w:w="4421" w:type="dxa"/>
          </w:tcPr>
          <w:p w14:paraId="00112380"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17.12</w:t>
            </w:r>
            <w:r w:rsidRPr="00C73D15">
              <w:rPr>
                <w:rFonts w:ascii="Verdana" w:hAnsi="Verdana"/>
                <w:sz w:val="16"/>
                <w:szCs w:val="16"/>
                <w:lang w:val="en-US"/>
              </w:rPr>
              <w:t xml:space="preserve"> U.S. Foods and Drug Administration. “Title 21, parts 11 &amp; 211” Code of Federal Regulations, Washington: Government Printing Office, 2012.</w:t>
            </w:r>
          </w:p>
        </w:tc>
        <w:tc>
          <w:tcPr>
            <w:tcW w:w="4421" w:type="dxa"/>
          </w:tcPr>
          <w:p w14:paraId="2C8BA5C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17.12</w:t>
            </w:r>
            <w:r w:rsidRPr="00D429B4">
              <w:rPr>
                <w:rFonts w:ascii="Verdana" w:hAnsi="Verdana"/>
                <w:sz w:val="16"/>
                <w:szCs w:val="16"/>
                <w:lang w:val="en-US"/>
              </w:rPr>
              <w:t xml:space="preserve"> U.S. Foods and Drug Administration. “Title 21, parts 11 &amp; 211” Code of Federal Regulations, Washington: Government Printing Office, 2012.</w:t>
            </w:r>
          </w:p>
        </w:tc>
      </w:tr>
      <w:tr w:rsidR="00CD67E0" w:rsidRPr="00DD29AF" w14:paraId="0897ED01" w14:textId="77777777" w:rsidTr="00335F65">
        <w:tc>
          <w:tcPr>
            <w:tcW w:w="4421" w:type="dxa"/>
          </w:tcPr>
          <w:p w14:paraId="0CEF041B"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n-US"/>
              </w:rPr>
              <w:t>17.13</w:t>
            </w:r>
            <w:r w:rsidRPr="00C73D15">
              <w:rPr>
                <w:rFonts w:ascii="Verdana" w:hAnsi="Verdana"/>
                <w:sz w:val="16"/>
                <w:szCs w:val="16"/>
                <w:lang w:val="en-US"/>
              </w:rPr>
              <w:t xml:space="preserve"> U.S. Foods and Drug Administration. Guidance for Industry Process Validation: General Principles and Practices. </w:t>
            </w:r>
            <w:r w:rsidRPr="00D429B4">
              <w:rPr>
                <w:rFonts w:ascii="Verdana" w:hAnsi="Verdana"/>
                <w:sz w:val="16"/>
                <w:szCs w:val="16"/>
                <w:lang w:val="es-MX"/>
              </w:rPr>
              <w:t>Washington, January 2011.</w:t>
            </w:r>
          </w:p>
        </w:tc>
        <w:tc>
          <w:tcPr>
            <w:tcW w:w="4421" w:type="dxa"/>
          </w:tcPr>
          <w:p w14:paraId="487D439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17.13</w:t>
            </w:r>
            <w:r w:rsidRPr="00D429B4">
              <w:rPr>
                <w:rFonts w:ascii="Verdana" w:hAnsi="Verdana"/>
                <w:sz w:val="16"/>
                <w:szCs w:val="16"/>
                <w:lang w:val="en-US"/>
              </w:rPr>
              <w:t xml:space="preserve"> U.S. Foods and Drug Administration. Guidance for Industry Process Validation: General Principles and Practices. Washington, January 2011.</w:t>
            </w:r>
          </w:p>
        </w:tc>
      </w:tr>
      <w:tr w:rsidR="00CD67E0" w:rsidRPr="00DD29AF" w14:paraId="38C4F2BD" w14:textId="77777777" w:rsidTr="00335F65">
        <w:tc>
          <w:tcPr>
            <w:tcW w:w="4421" w:type="dxa"/>
          </w:tcPr>
          <w:p w14:paraId="476BE25B"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n-US"/>
              </w:rPr>
              <w:t>17.14</w:t>
            </w:r>
            <w:r w:rsidRPr="00C73D15">
              <w:rPr>
                <w:rFonts w:ascii="Verdana" w:hAnsi="Verdana"/>
                <w:sz w:val="16"/>
                <w:szCs w:val="16"/>
                <w:lang w:val="en-US"/>
              </w:rPr>
              <w:t xml:space="preserve"> U.S. Foods and Drug Administration. Guidance for Industry, CGMP for Phase 1 Investigational Drugs. </w:t>
            </w:r>
            <w:r w:rsidRPr="00D429B4">
              <w:rPr>
                <w:rFonts w:ascii="Verdana" w:hAnsi="Verdana"/>
                <w:sz w:val="16"/>
                <w:szCs w:val="16"/>
                <w:lang w:val="es-MX"/>
              </w:rPr>
              <w:t>Washington, 2008.</w:t>
            </w:r>
          </w:p>
        </w:tc>
        <w:tc>
          <w:tcPr>
            <w:tcW w:w="4421" w:type="dxa"/>
          </w:tcPr>
          <w:p w14:paraId="10D7903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17.14</w:t>
            </w:r>
            <w:r w:rsidRPr="00D429B4">
              <w:rPr>
                <w:rFonts w:ascii="Verdana" w:hAnsi="Verdana"/>
                <w:sz w:val="16"/>
                <w:szCs w:val="16"/>
                <w:lang w:val="en-US"/>
              </w:rPr>
              <w:t xml:space="preserve"> U.S. Foods and Drug Administration. Guidance for Industry, CGMP for Phase 1 Investigational Drugs. Washington, 2008.</w:t>
            </w:r>
          </w:p>
        </w:tc>
      </w:tr>
      <w:tr w:rsidR="00CD67E0" w:rsidRPr="00861FCE" w14:paraId="2FE22AB5" w14:textId="77777777" w:rsidTr="00335F65">
        <w:tc>
          <w:tcPr>
            <w:tcW w:w="4421" w:type="dxa"/>
          </w:tcPr>
          <w:p w14:paraId="76A10530"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17.15</w:t>
            </w:r>
            <w:r w:rsidRPr="00C73D15">
              <w:rPr>
                <w:rFonts w:ascii="Verdana" w:hAnsi="Verdana"/>
                <w:sz w:val="16"/>
                <w:szCs w:val="16"/>
                <w:lang w:val="en-US"/>
              </w:rPr>
              <w:t xml:space="preserve"> ICH Q5A (R1): viral safety evaluation of biotechnology products derived from cell lines of human or animal origin (September 1999).</w:t>
            </w:r>
          </w:p>
        </w:tc>
        <w:tc>
          <w:tcPr>
            <w:tcW w:w="4421" w:type="dxa"/>
          </w:tcPr>
          <w:p w14:paraId="1A50FC0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17.15</w:t>
            </w:r>
            <w:r w:rsidRPr="00D429B4">
              <w:rPr>
                <w:rFonts w:ascii="Verdana" w:hAnsi="Verdana"/>
                <w:sz w:val="16"/>
                <w:szCs w:val="16"/>
                <w:lang w:val="en-US"/>
              </w:rPr>
              <w:t xml:space="preserve"> ICH Q5A (R1): viral safety evaluation of biotechnology products derived from cell lines of human or animal origin (September 1999).</w:t>
            </w:r>
          </w:p>
        </w:tc>
      </w:tr>
      <w:tr w:rsidR="00CD67E0" w:rsidRPr="00861FCE" w14:paraId="7709BA51" w14:textId="77777777" w:rsidTr="00335F65">
        <w:tc>
          <w:tcPr>
            <w:tcW w:w="4421" w:type="dxa"/>
          </w:tcPr>
          <w:p w14:paraId="128D2D23"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17.16</w:t>
            </w:r>
            <w:r w:rsidRPr="00C73D15">
              <w:rPr>
                <w:rFonts w:ascii="Verdana" w:hAnsi="Verdana"/>
                <w:sz w:val="16"/>
                <w:szCs w:val="16"/>
                <w:lang w:val="en-US"/>
              </w:rPr>
              <w:t xml:space="preserve"> ICH Q5B: Quality of biotechnological products: analysis of the expression construct in </w:t>
            </w:r>
            <w:r w:rsidRPr="00C73D15">
              <w:rPr>
                <w:rFonts w:ascii="Verdana" w:hAnsi="Verdana"/>
                <w:sz w:val="16"/>
                <w:szCs w:val="16"/>
                <w:lang w:val="en-US"/>
              </w:rPr>
              <w:lastRenderedPageBreak/>
              <w:t>cells used for production of r-DNA derived protein products (November 1995).</w:t>
            </w:r>
          </w:p>
        </w:tc>
        <w:tc>
          <w:tcPr>
            <w:tcW w:w="4421" w:type="dxa"/>
          </w:tcPr>
          <w:p w14:paraId="4D0940D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lastRenderedPageBreak/>
              <w:t>17.16</w:t>
            </w:r>
            <w:r w:rsidRPr="00D429B4">
              <w:rPr>
                <w:rFonts w:ascii="Verdana" w:hAnsi="Verdana"/>
                <w:sz w:val="16"/>
                <w:szCs w:val="16"/>
                <w:lang w:val="en-US"/>
              </w:rPr>
              <w:t xml:space="preserve"> ICH Q5B: Quality of biotechnological products: analysis of the expression construct in </w:t>
            </w:r>
            <w:r w:rsidRPr="00D429B4">
              <w:rPr>
                <w:rFonts w:ascii="Verdana" w:hAnsi="Verdana"/>
                <w:sz w:val="16"/>
                <w:szCs w:val="16"/>
                <w:lang w:val="en-US"/>
              </w:rPr>
              <w:lastRenderedPageBreak/>
              <w:t>cells used for production of r-DNA derived protein products (November 1995).</w:t>
            </w:r>
          </w:p>
        </w:tc>
      </w:tr>
      <w:tr w:rsidR="00CD67E0" w:rsidRPr="00861FCE" w14:paraId="461A2FA7" w14:textId="77777777" w:rsidTr="00335F65">
        <w:tc>
          <w:tcPr>
            <w:tcW w:w="4421" w:type="dxa"/>
          </w:tcPr>
          <w:p w14:paraId="4B3DAE6F"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lastRenderedPageBreak/>
              <w:t>17.17</w:t>
            </w:r>
            <w:r w:rsidRPr="00C73D15">
              <w:rPr>
                <w:rFonts w:ascii="Verdana" w:hAnsi="Verdana"/>
                <w:sz w:val="16"/>
                <w:szCs w:val="16"/>
                <w:lang w:val="en-US"/>
              </w:rPr>
              <w:t xml:space="preserve"> ICH Q5C: Quality of biotechnological products: stability testing of biotechnological/biological products (November 1995).</w:t>
            </w:r>
          </w:p>
        </w:tc>
        <w:tc>
          <w:tcPr>
            <w:tcW w:w="4421" w:type="dxa"/>
          </w:tcPr>
          <w:p w14:paraId="1859BFA7"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17.17</w:t>
            </w:r>
            <w:r w:rsidRPr="00D429B4">
              <w:rPr>
                <w:rFonts w:ascii="Verdana" w:hAnsi="Verdana"/>
                <w:sz w:val="16"/>
                <w:szCs w:val="16"/>
                <w:lang w:val="en-US"/>
              </w:rPr>
              <w:t xml:space="preserve"> ICH Q5C: Quality of biotechnological products: stability testing of biotechnological/biological products (November 1995).</w:t>
            </w:r>
          </w:p>
        </w:tc>
      </w:tr>
      <w:tr w:rsidR="00CD67E0" w:rsidRPr="00861FCE" w14:paraId="0B951769" w14:textId="77777777" w:rsidTr="00335F65">
        <w:tc>
          <w:tcPr>
            <w:tcW w:w="4421" w:type="dxa"/>
          </w:tcPr>
          <w:p w14:paraId="75A2E62B"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17.18</w:t>
            </w:r>
            <w:r w:rsidRPr="00C73D15">
              <w:rPr>
                <w:rFonts w:ascii="Verdana" w:hAnsi="Verdana"/>
                <w:sz w:val="16"/>
                <w:szCs w:val="16"/>
                <w:lang w:val="en-US"/>
              </w:rPr>
              <w:t xml:space="preserve"> ICH Q5D: Derivation and characterization of cell substrates used for production of biotechnological/biological products (July 1997).</w:t>
            </w:r>
          </w:p>
        </w:tc>
        <w:tc>
          <w:tcPr>
            <w:tcW w:w="4421" w:type="dxa"/>
          </w:tcPr>
          <w:p w14:paraId="0564EAE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17.18</w:t>
            </w:r>
            <w:r w:rsidRPr="00D429B4">
              <w:rPr>
                <w:rFonts w:ascii="Verdana" w:hAnsi="Verdana"/>
                <w:sz w:val="16"/>
                <w:szCs w:val="16"/>
                <w:lang w:val="en-US"/>
              </w:rPr>
              <w:t xml:space="preserve"> ICH Q5D: Derivation and characterization of cell substrates used for production of biotechnological/biological products (July 1997).</w:t>
            </w:r>
          </w:p>
        </w:tc>
      </w:tr>
      <w:tr w:rsidR="00CD67E0" w:rsidRPr="00861FCE" w14:paraId="1D4C5716" w14:textId="77777777" w:rsidTr="00335F65">
        <w:tc>
          <w:tcPr>
            <w:tcW w:w="4421" w:type="dxa"/>
          </w:tcPr>
          <w:p w14:paraId="71AFC90B"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17.19</w:t>
            </w:r>
            <w:r w:rsidRPr="00C73D15">
              <w:rPr>
                <w:rFonts w:ascii="Verdana" w:hAnsi="Verdana"/>
                <w:sz w:val="16"/>
                <w:szCs w:val="16"/>
                <w:lang w:val="en-US"/>
              </w:rPr>
              <w:t xml:space="preserve"> ICH Q5E: Comparability of biotechnological/biological products subject to changes in their manufacturing process (November 2004).</w:t>
            </w:r>
          </w:p>
        </w:tc>
        <w:tc>
          <w:tcPr>
            <w:tcW w:w="4421" w:type="dxa"/>
          </w:tcPr>
          <w:p w14:paraId="7FC0AA25"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17.19</w:t>
            </w:r>
            <w:r w:rsidRPr="00D429B4">
              <w:rPr>
                <w:rFonts w:ascii="Verdana" w:hAnsi="Verdana"/>
                <w:sz w:val="16"/>
                <w:szCs w:val="16"/>
                <w:lang w:val="en-US"/>
              </w:rPr>
              <w:t xml:space="preserve"> ICH Q5E: Comparability of biotechnological/biological products subject to changes in their manufacturing process (November 2004).</w:t>
            </w:r>
          </w:p>
        </w:tc>
      </w:tr>
      <w:tr w:rsidR="00CD67E0" w:rsidRPr="00861FCE" w14:paraId="4E288B43" w14:textId="77777777" w:rsidTr="00335F65">
        <w:tc>
          <w:tcPr>
            <w:tcW w:w="4421" w:type="dxa"/>
          </w:tcPr>
          <w:p w14:paraId="14B5B465"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17.20</w:t>
            </w:r>
            <w:r w:rsidRPr="00C73D15">
              <w:rPr>
                <w:rFonts w:ascii="Verdana" w:hAnsi="Verdana"/>
                <w:sz w:val="16"/>
                <w:szCs w:val="16"/>
                <w:lang w:val="en-US"/>
              </w:rPr>
              <w:t xml:space="preserve"> ICH Q8 (R2): Pharmaceutical Development (August 2009).</w:t>
            </w:r>
          </w:p>
        </w:tc>
        <w:tc>
          <w:tcPr>
            <w:tcW w:w="4421" w:type="dxa"/>
          </w:tcPr>
          <w:p w14:paraId="19D6528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17.20</w:t>
            </w:r>
            <w:r w:rsidRPr="00D429B4">
              <w:rPr>
                <w:rFonts w:ascii="Verdana" w:hAnsi="Verdana"/>
                <w:sz w:val="16"/>
                <w:szCs w:val="16"/>
                <w:lang w:val="en-US"/>
              </w:rPr>
              <w:t xml:space="preserve"> ICH Q8 (R2): Pharmaceutical Development (August 2009).</w:t>
            </w:r>
          </w:p>
        </w:tc>
      </w:tr>
      <w:tr w:rsidR="00CD67E0" w:rsidRPr="00861FCE" w14:paraId="36B283BA" w14:textId="77777777" w:rsidTr="00335F65">
        <w:tc>
          <w:tcPr>
            <w:tcW w:w="4421" w:type="dxa"/>
          </w:tcPr>
          <w:p w14:paraId="0473661B"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17.21</w:t>
            </w:r>
            <w:r w:rsidRPr="00C73D15">
              <w:rPr>
                <w:rFonts w:ascii="Verdana" w:hAnsi="Verdana"/>
                <w:sz w:val="16"/>
                <w:szCs w:val="16"/>
                <w:lang w:val="en-US"/>
              </w:rPr>
              <w:t xml:space="preserve"> ICH Q9: Quality Risk Management (November 2005).</w:t>
            </w:r>
          </w:p>
        </w:tc>
        <w:tc>
          <w:tcPr>
            <w:tcW w:w="4421" w:type="dxa"/>
          </w:tcPr>
          <w:p w14:paraId="5A20C85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17.21</w:t>
            </w:r>
            <w:r w:rsidRPr="00D429B4">
              <w:rPr>
                <w:rFonts w:ascii="Verdana" w:hAnsi="Verdana"/>
                <w:sz w:val="16"/>
                <w:szCs w:val="16"/>
                <w:lang w:val="en-US"/>
              </w:rPr>
              <w:t xml:space="preserve"> ICH Q9: Quality Risk Management (November 2005).</w:t>
            </w:r>
          </w:p>
        </w:tc>
      </w:tr>
      <w:tr w:rsidR="00CD67E0" w:rsidRPr="00861FCE" w14:paraId="57DCC017" w14:textId="77777777" w:rsidTr="00335F65">
        <w:tc>
          <w:tcPr>
            <w:tcW w:w="4421" w:type="dxa"/>
          </w:tcPr>
          <w:p w14:paraId="79745367"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17.22</w:t>
            </w:r>
            <w:r w:rsidRPr="00C73D15">
              <w:rPr>
                <w:rFonts w:ascii="Verdana" w:hAnsi="Verdana"/>
                <w:sz w:val="16"/>
                <w:szCs w:val="16"/>
                <w:lang w:val="en-US"/>
              </w:rPr>
              <w:t xml:space="preserve"> ICH Q10: Pharmaceutical Quality System (June 2008).</w:t>
            </w:r>
          </w:p>
        </w:tc>
        <w:tc>
          <w:tcPr>
            <w:tcW w:w="4421" w:type="dxa"/>
          </w:tcPr>
          <w:p w14:paraId="7EB098A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17.22</w:t>
            </w:r>
            <w:r w:rsidRPr="00D429B4">
              <w:rPr>
                <w:rFonts w:ascii="Verdana" w:hAnsi="Verdana"/>
                <w:sz w:val="16"/>
                <w:szCs w:val="16"/>
                <w:lang w:val="en-US"/>
              </w:rPr>
              <w:t xml:space="preserve"> ICH Q10: Pharmaceutical Quality System (June 2008).</w:t>
            </w:r>
          </w:p>
        </w:tc>
      </w:tr>
      <w:tr w:rsidR="00CD67E0" w:rsidRPr="00DD29AF" w14:paraId="4E4F00C4" w14:textId="77777777" w:rsidTr="00335F65">
        <w:tc>
          <w:tcPr>
            <w:tcW w:w="4421" w:type="dxa"/>
          </w:tcPr>
          <w:p w14:paraId="4AC21D94"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18. Bibliografía</w:t>
            </w:r>
          </w:p>
        </w:tc>
        <w:tc>
          <w:tcPr>
            <w:tcW w:w="4421" w:type="dxa"/>
            <w:shd w:val="clear" w:color="auto" w:fill="auto"/>
          </w:tcPr>
          <w:p w14:paraId="13F58DD6" w14:textId="77777777" w:rsidR="00CD67E0" w:rsidRPr="00D429B4" w:rsidRDefault="00CD67E0" w:rsidP="00CD67E0">
            <w:pPr>
              <w:pStyle w:val="Texto"/>
              <w:spacing w:after="90" w:line="276" w:lineRule="auto"/>
              <w:ind w:firstLine="0"/>
              <w:rPr>
                <w:rFonts w:ascii="Verdana" w:hAnsi="Verdana"/>
                <w:b/>
                <w:sz w:val="16"/>
                <w:szCs w:val="16"/>
                <w:lang w:val="en-US"/>
              </w:rPr>
            </w:pPr>
            <w:r w:rsidRPr="00D429B4">
              <w:rPr>
                <w:rFonts w:ascii="Verdana" w:hAnsi="Verdana"/>
                <w:b/>
                <w:sz w:val="16"/>
                <w:szCs w:val="16"/>
                <w:lang w:val="en-US"/>
              </w:rPr>
              <w:t>18. Bibliography</w:t>
            </w:r>
          </w:p>
        </w:tc>
      </w:tr>
      <w:tr w:rsidR="00CD67E0" w:rsidRPr="00DD29AF" w14:paraId="2C9E9997" w14:textId="77777777" w:rsidTr="00335F65">
        <w:tc>
          <w:tcPr>
            <w:tcW w:w="4421" w:type="dxa"/>
          </w:tcPr>
          <w:p w14:paraId="47DD379E"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18.1</w:t>
            </w:r>
            <w:r w:rsidRPr="00D429B4">
              <w:rPr>
                <w:rFonts w:ascii="Verdana" w:hAnsi="Verdana"/>
                <w:sz w:val="16"/>
                <w:szCs w:val="16"/>
                <w:lang w:val="es-MX"/>
              </w:rPr>
              <w:t xml:space="preserve"> Ley General de Salud.</w:t>
            </w:r>
          </w:p>
        </w:tc>
        <w:tc>
          <w:tcPr>
            <w:tcW w:w="4421" w:type="dxa"/>
            <w:shd w:val="clear" w:color="auto" w:fill="auto"/>
          </w:tcPr>
          <w:p w14:paraId="0CAB8F21" w14:textId="77777777" w:rsidR="00CD67E0" w:rsidRPr="00D429B4" w:rsidRDefault="00CD67E0" w:rsidP="00CD67E0">
            <w:pPr>
              <w:pStyle w:val="Texto"/>
              <w:spacing w:after="90" w:line="276" w:lineRule="auto"/>
              <w:ind w:firstLine="0"/>
              <w:rPr>
                <w:rFonts w:ascii="Verdana" w:hAnsi="Verdana"/>
                <w:sz w:val="16"/>
                <w:szCs w:val="16"/>
                <w:lang w:val="en-US"/>
              </w:rPr>
            </w:pPr>
            <w:r w:rsidRPr="00D429B4">
              <w:rPr>
                <w:rFonts w:ascii="Verdana" w:hAnsi="Verdana"/>
                <w:b/>
                <w:sz w:val="16"/>
                <w:szCs w:val="16"/>
                <w:lang w:val="en-US"/>
              </w:rPr>
              <w:t xml:space="preserve">18.1 </w:t>
            </w:r>
            <w:r w:rsidRPr="00D429B4">
              <w:rPr>
                <w:rFonts w:ascii="Verdana" w:hAnsi="Verdana"/>
                <w:sz w:val="16"/>
                <w:szCs w:val="16"/>
                <w:lang w:val="en-US"/>
              </w:rPr>
              <w:t>General Law of Health</w:t>
            </w:r>
          </w:p>
        </w:tc>
      </w:tr>
      <w:tr w:rsidR="00CD67E0" w:rsidRPr="00861FCE" w14:paraId="0BF0E0F8" w14:textId="77777777" w:rsidTr="00335F65">
        <w:tc>
          <w:tcPr>
            <w:tcW w:w="4421" w:type="dxa"/>
          </w:tcPr>
          <w:p w14:paraId="5B76FCF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18.2</w:t>
            </w:r>
            <w:r w:rsidRPr="00D429B4">
              <w:rPr>
                <w:rFonts w:ascii="Verdana" w:hAnsi="Verdana"/>
                <w:sz w:val="16"/>
                <w:szCs w:val="16"/>
                <w:lang w:val="es-MX"/>
              </w:rPr>
              <w:t xml:space="preserve"> Ley Federal sobre Metrología y Normalización.</w:t>
            </w:r>
          </w:p>
        </w:tc>
        <w:tc>
          <w:tcPr>
            <w:tcW w:w="4421" w:type="dxa"/>
            <w:shd w:val="clear" w:color="auto" w:fill="auto"/>
          </w:tcPr>
          <w:p w14:paraId="7ED351AA" w14:textId="77777777" w:rsidR="00CD67E0" w:rsidRPr="00D429B4" w:rsidRDefault="00CD67E0" w:rsidP="00CD67E0">
            <w:pPr>
              <w:pStyle w:val="Texto"/>
              <w:spacing w:after="90" w:line="276" w:lineRule="auto"/>
              <w:ind w:firstLine="0"/>
              <w:rPr>
                <w:rFonts w:ascii="Verdana" w:hAnsi="Verdana"/>
                <w:b/>
                <w:sz w:val="16"/>
                <w:szCs w:val="16"/>
                <w:lang w:val="en-US"/>
              </w:rPr>
            </w:pPr>
            <w:r w:rsidRPr="00D429B4">
              <w:rPr>
                <w:rFonts w:ascii="Verdana" w:hAnsi="Verdana"/>
                <w:b/>
                <w:sz w:val="16"/>
                <w:szCs w:val="16"/>
                <w:lang w:val="en-US"/>
              </w:rPr>
              <w:t xml:space="preserve">18.2 </w:t>
            </w:r>
            <w:r w:rsidRPr="00D429B4">
              <w:rPr>
                <w:rFonts w:ascii="Verdana" w:hAnsi="Verdana"/>
                <w:sz w:val="16"/>
                <w:szCs w:val="16"/>
                <w:lang w:val="en-US"/>
              </w:rPr>
              <w:t>Federal Law of Metrology and Standardization</w:t>
            </w:r>
          </w:p>
        </w:tc>
      </w:tr>
      <w:tr w:rsidR="00CD67E0" w:rsidRPr="00861FCE" w14:paraId="11814814" w14:textId="77777777" w:rsidTr="00335F65">
        <w:tc>
          <w:tcPr>
            <w:tcW w:w="4421" w:type="dxa"/>
          </w:tcPr>
          <w:p w14:paraId="32F34776"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18.3</w:t>
            </w:r>
            <w:r w:rsidRPr="00D429B4">
              <w:rPr>
                <w:rFonts w:ascii="Verdana" w:hAnsi="Verdana"/>
                <w:sz w:val="16"/>
                <w:szCs w:val="16"/>
                <w:lang w:val="es-MX"/>
              </w:rPr>
              <w:t xml:space="preserve"> Ley General del Equilibrio Ecológico y la Protección al Ambiente.</w:t>
            </w:r>
          </w:p>
        </w:tc>
        <w:tc>
          <w:tcPr>
            <w:tcW w:w="4421" w:type="dxa"/>
            <w:shd w:val="clear" w:color="auto" w:fill="auto"/>
          </w:tcPr>
          <w:p w14:paraId="3A094AA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18.3 </w:t>
            </w:r>
            <w:r w:rsidRPr="00D429B4">
              <w:rPr>
                <w:rFonts w:ascii="Verdana" w:hAnsi="Verdana"/>
                <w:sz w:val="16"/>
                <w:szCs w:val="16"/>
                <w:lang w:val="en-US"/>
              </w:rPr>
              <w:t>General Law of Ecological Equilibrium and Protection of the Environment.</w:t>
            </w:r>
          </w:p>
        </w:tc>
      </w:tr>
      <w:tr w:rsidR="00CD67E0" w:rsidRPr="00861FCE" w14:paraId="69B9ACD1" w14:textId="77777777" w:rsidTr="00335F65">
        <w:tc>
          <w:tcPr>
            <w:tcW w:w="4421" w:type="dxa"/>
          </w:tcPr>
          <w:p w14:paraId="27B6DA3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18.4</w:t>
            </w:r>
            <w:r w:rsidRPr="00D429B4">
              <w:rPr>
                <w:rFonts w:ascii="Verdana" w:hAnsi="Verdana"/>
                <w:sz w:val="16"/>
                <w:szCs w:val="16"/>
                <w:lang w:val="es-MX"/>
              </w:rPr>
              <w:t xml:space="preserve"> Reglamento de Insumos para la Salud.</w:t>
            </w:r>
          </w:p>
        </w:tc>
        <w:tc>
          <w:tcPr>
            <w:tcW w:w="4421" w:type="dxa"/>
            <w:shd w:val="clear" w:color="auto" w:fill="auto"/>
          </w:tcPr>
          <w:p w14:paraId="2CDE5D9A"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18.4 </w:t>
            </w:r>
            <w:r w:rsidRPr="00D429B4">
              <w:rPr>
                <w:rFonts w:ascii="Verdana" w:hAnsi="Verdana"/>
                <w:sz w:val="16"/>
                <w:szCs w:val="16"/>
                <w:lang w:val="en-US"/>
              </w:rPr>
              <w:t>Regulation of Materials for Health</w:t>
            </w:r>
          </w:p>
        </w:tc>
      </w:tr>
      <w:tr w:rsidR="00CD67E0" w:rsidRPr="00861FCE" w14:paraId="5AA02A8F" w14:textId="77777777" w:rsidTr="00335F65">
        <w:tc>
          <w:tcPr>
            <w:tcW w:w="4421" w:type="dxa"/>
          </w:tcPr>
          <w:p w14:paraId="1327BFE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18.5</w:t>
            </w:r>
            <w:r w:rsidRPr="00D429B4">
              <w:rPr>
                <w:rFonts w:ascii="Verdana" w:hAnsi="Verdana"/>
                <w:sz w:val="16"/>
                <w:szCs w:val="16"/>
                <w:lang w:val="es-MX"/>
              </w:rPr>
              <w:t xml:space="preserve"> Reglamento de la Ley Federal sobre Metrología y Normalización.</w:t>
            </w:r>
          </w:p>
        </w:tc>
        <w:tc>
          <w:tcPr>
            <w:tcW w:w="4421" w:type="dxa"/>
            <w:shd w:val="clear" w:color="auto" w:fill="auto"/>
          </w:tcPr>
          <w:p w14:paraId="76F9723B"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18.5 </w:t>
            </w:r>
            <w:r w:rsidRPr="00D429B4">
              <w:rPr>
                <w:rFonts w:ascii="Verdana" w:hAnsi="Verdana"/>
                <w:sz w:val="16"/>
                <w:szCs w:val="16"/>
                <w:lang w:val="en-US"/>
              </w:rPr>
              <w:t>Regulation of the Federal Law of Metrology and Standardization.</w:t>
            </w:r>
          </w:p>
        </w:tc>
      </w:tr>
      <w:tr w:rsidR="00CD67E0" w:rsidRPr="00861FCE" w14:paraId="0264C73A" w14:textId="77777777" w:rsidTr="00335F65">
        <w:tc>
          <w:tcPr>
            <w:tcW w:w="4421" w:type="dxa"/>
          </w:tcPr>
          <w:p w14:paraId="4D8D83CB"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18.6</w:t>
            </w:r>
            <w:r w:rsidRPr="00D429B4">
              <w:rPr>
                <w:rFonts w:ascii="Verdana" w:hAnsi="Verdana"/>
                <w:sz w:val="16"/>
                <w:szCs w:val="16"/>
                <w:lang w:val="es-MX"/>
              </w:rPr>
              <w:t xml:space="preserve"> Reglamento de la Comisión Federal para la Protección contra Riesgos Sanitarios.</w:t>
            </w:r>
          </w:p>
        </w:tc>
        <w:tc>
          <w:tcPr>
            <w:tcW w:w="4421" w:type="dxa"/>
            <w:shd w:val="clear" w:color="auto" w:fill="auto"/>
          </w:tcPr>
          <w:p w14:paraId="4905E667"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18.6 </w:t>
            </w:r>
            <w:r w:rsidRPr="00D429B4">
              <w:rPr>
                <w:rFonts w:ascii="Verdana" w:hAnsi="Verdana"/>
                <w:sz w:val="16"/>
                <w:szCs w:val="16"/>
                <w:lang w:val="en-US"/>
              </w:rPr>
              <w:t>Regulation of the Federal Commission for Protection from Sanitary Risks.</w:t>
            </w:r>
          </w:p>
        </w:tc>
      </w:tr>
      <w:tr w:rsidR="00CD67E0" w:rsidRPr="00DD29AF" w14:paraId="6BEC0B7F" w14:textId="77777777" w:rsidTr="00335F65">
        <w:tc>
          <w:tcPr>
            <w:tcW w:w="4421" w:type="dxa"/>
          </w:tcPr>
          <w:p w14:paraId="6F3BAC52"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18.7</w:t>
            </w:r>
            <w:r w:rsidRPr="00D429B4">
              <w:rPr>
                <w:rFonts w:ascii="Verdana" w:hAnsi="Verdana"/>
                <w:sz w:val="16"/>
                <w:szCs w:val="16"/>
                <w:lang w:val="es-MX"/>
              </w:rPr>
              <w:t xml:space="preserve"> Farmacopea de los Estados Unidos Mexicanos, 11a. Ed. México (2014).</w:t>
            </w:r>
          </w:p>
        </w:tc>
        <w:tc>
          <w:tcPr>
            <w:tcW w:w="4421" w:type="dxa"/>
            <w:shd w:val="clear" w:color="auto" w:fill="auto"/>
          </w:tcPr>
          <w:p w14:paraId="5F4EC518"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18.7 </w:t>
            </w:r>
            <w:r w:rsidRPr="00D429B4">
              <w:rPr>
                <w:rFonts w:ascii="Verdana" w:hAnsi="Verdana"/>
                <w:sz w:val="16"/>
                <w:szCs w:val="16"/>
                <w:lang w:val="en-US"/>
              </w:rPr>
              <w:t>Pharmacopoeia of the United Mexican States. 10</w:t>
            </w:r>
            <w:r w:rsidRPr="00D429B4">
              <w:rPr>
                <w:rFonts w:ascii="Verdana" w:hAnsi="Verdana"/>
                <w:sz w:val="16"/>
                <w:szCs w:val="16"/>
                <w:vertAlign w:val="superscript"/>
                <w:lang w:val="en-US"/>
              </w:rPr>
              <w:t>th</w:t>
            </w:r>
            <w:r w:rsidRPr="00D429B4">
              <w:rPr>
                <w:rFonts w:ascii="Verdana" w:hAnsi="Verdana"/>
                <w:sz w:val="16"/>
                <w:szCs w:val="16"/>
                <w:lang w:val="en-US"/>
              </w:rPr>
              <w:t xml:space="preserve"> edition Mexico (2011).</w:t>
            </w:r>
          </w:p>
        </w:tc>
      </w:tr>
      <w:tr w:rsidR="00CD67E0" w:rsidRPr="008E4CBF" w14:paraId="55073AE3" w14:textId="77777777" w:rsidTr="00335F65">
        <w:tc>
          <w:tcPr>
            <w:tcW w:w="4421" w:type="dxa"/>
          </w:tcPr>
          <w:p w14:paraId="598208E9"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18.8</w:t>
            </w:r>
            <w:r w:rsidRPr="00D429B4">
              <w:rPr>
                <w:rFonts w:ascii="Verdana" w:hAnsi="Verdana"/>
                <w:sz w:val="16"/>
                <w:szCs w:val="16"/>
                <w:lang w:val="es-MX"/>
              </w:rPr>
              <w:t xml:space="preserve"> Suplemento para establecimientos dedicados a la venta y suministro de medicamentos y demás insumos para la salud, 5ª. Ed. (2014).</w:t>
            </w:r>
          </w:p>
        </w:tc>
        <w:tc>
          <w:tcPr>
            <w:tcW w:w="4421" w:type="dxa"/>
          </w:tcPr>
          <w:p w14:paraId="6C9CC38F" w14:textId="77777777" w:rsidR="00CD67E0" w:rsidRPr="008E4CBF"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18.8 </w:t>
            </w:r>
            <w:r>
              <w:rPr>
                <w:rFonts w:ascii="Verdana" w:hAnsi="Verdana"/>
                <w:sz w:val="16"/>
                <w:szCs w:val="16"/>
                <w:lang w:val="en-US"/>
              </w:rPr>
              <w:t>Supplement for establishments designated for the sale and supply of drug products and all other health materials, 5</w:t>
            </w:r>
            <w:r w:rsidRPr="008E4CBF">
              <w:rPr>
                <w:rFonts w:ascii="Verdana" w:hAnsi="Verdana"/>
                <w:sz w:val="16"/>
                <w:szCs w:val="16"/>
                <w:vertAlign w:val="superscript"/>
                <w:lang w:val="en-US"/>
              </w:rPr>
              <w:t>th</w:t>
            </w:r>
            <w:r>
              <w:rPr>
                <w:rFonts w:ascii="Verdana" w:hAnsi="Verdana"/>
                <w:sz w:val="16"/>
                <w:szCs w:val="16"/>
                <w:lang w:val="en-US"/>
              </w:rPr>
              <w:t xml:space="preserve"> Edition. (2014). </w:t>
            </w:r>
          </w:p>
        </w:tc>
      </w:tr>
      <w:tr w:rsidR="00CD67E0" w:rsidRPr="00861FCE" w14:paraId="1932F55E" w14:textId="77777777" w:rsidTr="00335F65">
        <w:tc>
          <w:tcPr>
            <w:tcW w:w="4421" w:type="dxa"/>
          </w:tcPr>
          <w:p w14:paraId="116AECB6"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s-MX"/>
              </w:rPr>
              <w:t xml:space="preserve">18.9 </w:t>
            </w:r>
            <w:r w:rsidRPr="00C73D15">
              <w:rPr>
                <w:rFonts w:ascii="Verdana" w:hAnsi="Verdana"/>
                <w:sz w:val="16"/>
                <w:szCs w:val="16"/>
                <w:lang w:val="es-MX"/>
              </w:rPr>
              <w:t>Suplemen</w:t>
            </w:r>
            <w:r w:rsidRPr="00D429B4">
              <w:rPr>
                <w:rFonts w:ascii="Verdana" w:hAnsi="Verdana"/>
                <w:sz w:val="16"/>
                <w:szCs w:val="16"/>
                <w:lang w:val="es-MX"/>
              </w:rPr>
              <w:t>to de la Farmacopea de los Estados Unidos Mexicanos, México (2015).</w:t>
            </w:r>
          </w:p>
        </w:tc>
        <w:tc>
          <w:tcPr>
            <w:tcW w:w="4421" w:type="dxa"/>
          </w:tcPr>
          <w:p w14:paraId="4E07B837" w14:textId="77777777" w:rsidR="00CD67E0" w:rsidRPr="008E4CBF"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18.9 </w:t>
            </w:r>
            <w:r>
              <w:rPr>
                <w:rFonts w:ascii="Verdana" w:hAnsi="Verdana"/>
                <w:sz w:val="16"/>
                <w:szCs w:val="16"/>
                <w:lang w:val="en-US"/>
              </w:rPr>
              <w:t xml:space="preserve">Supplement of the Pharmacopeia of the United Mexican States, Mexico (2015).  </w:t>
            </w:r>
          </w:p>
        </w:tc>
      </w:tr>
      <w:tr w:rsidR="00CD67E0" w:rsidRPr="00861FCE" w14:paraId="15AD29B6" w14:textId="77777777" w:rsidTr="00335F65">
        <w:tc>
          <w:tcPr>
            <w:tcW w:w="4421" w:type="dxa"/>
          </w:tcPr>
          <w:p w14:paraId="52FBD364"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 xml:space="preserve">18.10 </w:t>
            </w:r>
            <w:r w:rsidRPr="00D429B4">
              <w:rPr>
                <w:rFonts w:ascii="Verdana" w:hAnsi="Verdana"/>
                <w:sz w:val="16"/>
                <w:szCs w:val="16"/>
                <w:lang w:val="es-MX"/>
              </w:rPr>
              <w:t>Farmacopea Homeopática de los Estados Unidos Mexicanos, 3a. Ed. México (2015).</w:t>
            </w:r>
          </w:p>
        </w:tc>
        <w:tc>
          <w:tcPr>
            <w:tcW w:w="4421" w:type="dxa"/>
          </w:tcPr>
          <w:p w14:paraId="21E97EAB" w14:textId="77777777" w:rsidR="00CD67E0" w:rsidRPr="008E4CBF"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18.10 </w:t>
            </w:r>
            <w:r>
              <w:rPr>
                <w:rFonts w:ascii="Verdana" w:hAnsi="Verdana"/>
                <w:sz w:val="16"/>
                <w:szCs w:val="16"/>
                <w:lang w:val="en-US"/>
              </w:rPr>
              <w:t>Homeopathic Pharmacopeia of the United Mexican States, 3</w:t>
            </w:r>
            <w:r w:rsidRPr="008E4CBF">
              <w:rPr>
                <w:rFonts w:ascii="Verdana" w:hAnsi="Verdana"/>
                <w:sz w:val="16"/>
                <w:szCs w:val="16"/>
                <w:vertAlign w:val="superscript"/>
                <w:lang w:val="en-US"/>
              </w:rPr>
              <w:t>rd</w:t>
            </w:r>
            <w:r>
              <w:rPr>
                <w:rFonts w:ascii="Verdana" w:hAnsi="Verdana"/>
                <w:sz w:val="16"/>
                <w:szCs w:val="16"/>
                <w:lang w:val="en-US"/>
              </w:rPr>
              <w:t xml:space="preserve"> Edition Mexico (2015) </w:t>
            </w:r>
          </w:p>
        </w:tc>
      </w:tr>
      <w:tr w:rsidR="00CD67E0" w:rsidRPr="00861FCE" w14:paraId="08C09F30" w14:textId="77777777" w:rsidTr="00335F65">
        <w:tc>
          <w:tcPr>
            <w:tcW w:w="4421" w:type="dxa"/>
          </w:tcPr>
          <w:p w14:paraId="2F25D873"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18.11</w:t>
            </w:r>
            <w:r w:rsidRPr="00C73D15">
              <w:rPr>
                <w:rFonts w:ascii="Verdana" w:hAnsi="Verdana"/>
                <w:sz w:val="16"/>
                <w:szCs w:val="16"/>
                <w:lang w:val="en-US"/>
              </w:rPr>
              <w:t xml:space="preserve"> ISO 9000:2005 Quality management systems-Fundamentals and vocabulary.</w:t>
            </w:r>
          </w:p>
        </w:tc>
        <w:tc>
          <w:tcPr>
            <w:tcW w:w="4421" w:type="dxa"/>
          </w:tcPr>
          <w:p w14:paraId="59ED897E"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18.11</w:t>
            </w:r>
            <w:r w:rsidRPr="00D429B4">
              <w:rPr>
                <w:rFonts w:ascii="Verdana" w:hAnsi="Verdana"/>
                <w:sz w:val="16"/>
                <w:szCs w:val="16"/>
                <w:lang w:val="en-US"/>
              </w:rPr>
              <w:t xml:space="preserve"> ISO 9000:2005 Quality management systems-Fundamentals and vocabulary.</w:t>
            </w:r>
          </w:p>
        </w:tc>
      </w:tr>
      <w:tr w:rsidR="00CD67E0" w:rsidRPr="00861FCE" w14:paraId="05713966" w14:textId="77777777" w:rsidTr="00335F65">
        <w:tc>
          <w:tcPr>
            <w:tcW w:w="4421" w:type="dxa"/>
          </w:tcPr>
          <w:p w14:paraId="60A7A3F1"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18.12</w:t>
            </w:r>
            <w:r w:rsidRPr="00C73D15">
              <w:rPr>
                <w:rFonts w:ascii="Verdana" w:hAnsi="Verdana"/>
                <w:sz w:val="16"/>
                <w:szCs w:val="16"/>
                <w:lang w:val="en-US"/>
              </w:rPr>
              <w:t xml:space="preserve"> ISO 9001:2008 Quality management systems-Requirements.</w:t>
            </w:r>
          </w:p>
        </w:tc>
        <w:tc>
          <w:tcPr>
            <w:tcW w:w="4421" w:type="dxa"/>
          </w:tcPr>
          <w:p w14:paraId="1A49348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18.12</w:t>
            </w:r>
            <w:r w:rsidRPr="00D429B4">
              <w:rPr>
                <w:rFonts w:ascii="Verdana" w:hAnsi="Verdana"/>
                <w:sz w:val="16"/>
                <w:szCs w:val="16"/>
                <w:lang w:val="en-US"/>
              </w:rPr>
              <w:t xml:space="preserve"> ISO 9001:2008 Quality management systems-Requirements.</w:t>
            </w:r>
          </w:p>
        </w:tc>
      </w:tr>
      <w:tr w:rsidR="00CD67E0" w:rsidRPr="00861FCE" w14:paraId="05C2669A" w14:textId="77777777" w:rsidTr="00335F65">
        <w:tc>
          <w:tcPr>
            <w:tcW w:w="4421" w:type="dxa"/>
          </w:tcPr>
          <w:p w14:paraId="63B3B86C"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18.13</w:t>
            </w:r>
            <w:r w:rsidRPr="00C73D15">
              <w:rPr>
                <w:rFonts w:ascii="Verdana" w:hAnsi="Verdana"/>
                <w:sz w:val="16"/>
                <w:szCs w:val="16"/>
                <w:lang w:val="en-US"/>
              </w:rPr>
              <w:t xml:space="preserve"> ISO 9004:2009 Managing for the sustained success of an organization - A quality management approach.</w:t>
            </w:r>
          </w:p>
        </w:tc>
        <w:tc>
          <w:tcPr>
            <w:tcW w:w="4421" w:type="dxa"/>
          </w:tcPr>
          <w:p w14:paraId="00B6F42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18.13</w:t>
            </w:r>
            <w:r w:rsidRPr="00D429B4">
              <w:rPr>
                <w:rFonts w:ascii="Verdana" w:hAnsi="Verdana"/>
                <w:sz w:val="16"/>
                <w:szCs w:val="16"/>
                <w:lang w:val="en-US"/>
              </w:rPr>
              <w:t xml:space="preserve"> ISO 9004:2009 Managing for the sustained success of an organization - A quality management approach.</w:t>
            </w:r>
          </w:p>
        </w:tc>
      </w:tr>
      <w:tr w:rsidR="00CD67E0" w:rsidRPr="00861FCE" w14:paraId="5A004977" w14:textId="77777777" w:rsidTr="00335F65">
        <w:tc>
          <w:tcPr>
            <w:tcW w:w="4421" w:type="dxa"/>
          </w:tcPr>
          <w:p w14:paraId="0DE6C5EA"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18.14</w:t>
            </w:r>
            <w:r w:rsidRPr="00C73D15">
              <w:rPr>
                <w:rFonts w:ascii="Verdana" w:hAnsi="Verdana"/>
                <w:sz w:val="16"/>
                <w:szCs w:val="16"/>
                <w:lang w:val="en-US"/>
              </w:rPr>
              <w:t xml:space="preserve"> ISO 14644-1:1999. Cleanrooms and associated controlled environments - Part 1: Classification of  air cleanliness.</w:t>
            </w:r>
          </w:p>
        </w:tc>
        <w:tc>
          <w:tcPr>
            <w:tcW w:w="4421" w:type="dxa"/>
          </w:tcPr>
          <w:p w14:paraId="6943682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18.14</w:t>
            </w:r>
            <w:r w:rsidRPr="00D429B4">
              <w:rPr>
                <w:rFonts w:ascii="Verdana" w:hAnsi="Verdana"/>
                <w:sz w:val="16"/>
                <w:szCs w:val="16"/>
                <w:lang w:val="en-US"/>
              </w:rPr>
              <w:t xml:space="preserve"> ISO 14644-1:1999. Cleanrooms and associated controlled environments - Part 1: Classification of air cleanliness.</w:t>
            </w:r>
          </w:p>
        </w:tc>
      </w:tr>
      <w:tr w:rsidR="00CD67E0" w:rsidRPr="00861FCE" w14:paraId="7E503585" w14:textId="77777777" w:rsidTr="00335F65">
        <w:tc>
          <w:tcPr>
            <w:tcW w:w="4421" w:type="dxa"/>
          </w:tcPr>
          <w:p w14:paraId="580F3258"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lastRenderedPageBreak/>
              <w:t>18.15</w:t>
            </w:r>
            <w:r w:rsidRPr="00C73D15">
              <w:rPr>
                <w:rFonts w:ascii="Verdana" w:hAnsi="Verdana"/>
                <w:sz w:val="16"/>
                <w:szCs w:val="16"/>
                <w:lang w:val="en-US"/>
              </w:rPr>
              <w:t xml:space="preserve"> ISO 14644-2:2000. Cleanrooms and associated controlled environments - Part 2: Specifications for testing and monitoring to prove continued compliance with ISO 14644-1.</w:t>
            </w:r>
          </w:p>
        </w:tc>
        <w:tc>
          <w:tcPr>
            <w:tcW w:w="4421" w:type="dxa"/>
          </w:tcPr>
          <w:p w14:paraId="5A0B4B2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18.15</w:t>
            </w:r>
            <w:r w:rsidRPr="00D429B4">
              <w:rPr>
                <w:rFonts w:ascii="Verdana" w:hAnsi="Verdana"/>
                <w:sz w:val="16"/>
                <w:szCs w:val="16"/>
                <w:lang w:val="en-US"/>
              </w:rPr>
              <w:t xml:space="preserve"> ISO 14644-2:2000. Cleanrooms and associated controlled environments - Part 2: Specifications for testing and monitoring to prove continued compliance with ISO 14644-1.</w:t>
            </w:r>
          </w:p>
        </w:tc>
      </w:tr>
      <w:tr w:rsidR="00CD67E0" w:rsidRPr="00861FCE" w14:paraId="02BB3EB2" w14:textId="77777777" w:rsidTr="00335F65">
        <w:tc>
          <w:tcPr>
            <w:tcW w:w="4421" w:type="dxa"/>
          </w:tcPr>
          <w:p w14:paraId="66221B49"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18.16</w:t>
            </w:r>
            <w:r w:rsidRPr="00C73D15">
              <w:rPr>
                <w:rFonts w:ascii="Verdana" w:hAnsi="Verdana"/>
                <w:sz w:val="16"/>
                <w:szCs w:val="16"/>
                <w:lang w:val="en-US"/>
              </w:rPr>
              <w:t xml:space="preserve"> ISO 14644-3:2005. Cleanrooms and associated controlled environments - Part 3: Test methods.</w:t>
            </w:r>
          </w:p>
        </w:tc>
        <w:tc>
          <w:tcPr>
            <w:tcW w:w="4421" w:type="dxa"/>
          </w:tcPr>
          <w:p w14:paraId="457DB5FB"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18.16</w:t>
            </w:r>
            <w:r w:rsidRPr="00D429B4">
              <w:rPr>
                <w:rFonts w:ascii="Verdana" w:hAnsi="Verdana"/>
                <w:sz w:val="16"/>
                <w:szCs w:val="16"/>
                <w:lang w:val="en-US"/>
              </w:rPr>
              <w:t xml:space="preserve"> ISO 14644-3:2005. Cleanrooms and associated controlled environments - Part 3: Test methods.</w:t>
            </w:r>
          </w:p>
        </w:tc>
      </w:tr>
      <w:tr w:rsidR="00CD67E0" w:rsidRPr="00861FCE" w14:paraId="4213FCC4" w14:textId="77777777" w:rsidTr="00335F65">
        <w:tc>
          <w:tcPr>
            <w:tcW w:w="4421" w:type="dxa"/>
          </w:tcPr>
          <w:p w14:paraId="6460E457"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18.17</w:t>
            </w:r>
            <w:r w:rsidRPr="00C73D15">
              <w:rPr>
                <w:rFonts w:ascii="Verdana" w:hAnsi="Verdana"/>
                <w:sz w:val="16"/>
                <w:szCs w:val="16"/>
                <w:lang w:val="en-US"/>
              </w:rPr>
              <w:t xml:space="preserve"> ISO 14644-4:2001. Cleanrooms and associated controlled environments - Part 4: Design, construction and start-up.</w:t>
            </w:r>
          </w:p>
        </w:tc>
        <w:tc>
          <w:tcPr>
            <w:tcW w:w="4421" w:type="dxa"/>
          </w:tcPr>
          <w:p w14:paraId="7424C7D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18.17</w:t>
            </w:r>
            <w:r w:rsidRPr="00D429B4">
              <w:rPr>
                <w:rFonts w:ascii="Verdana" w:hAnsi="Verdana"/>
                <w:sz w:val="16"/>
                <w:szCs w:val="16"/>
                <w:lang w:val="en-US"/>
              </w:rPr>
              <w:t xml:space="preserve"> ISO 14644-4:2001. Cleanrooms and associated controlled environments - Part 4: Design, construction and start-up.</w:t>
            </w:r>
          </w:p>
        </w:tc>
      </w:tr>
      <w:tr w:rsidR="00CD67E0" w:rsidRPr="00861FCE" w14:paraId="2F795CD4" w14:textId="77777777" w:rsidTr="00335F65">
        <w:tc>
          <w:tcPr>
            <w:tcW w:w="4421" w:type="dxa"/>
          </w:tcPr>
          <w:p w14:paraId="13D4CDBD"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18.18</w:t>
            </w:r>
            <w:r w:rsidRPr="00C73D15">
              <w:rPr>
                <w:rFonts w:ascii="Verdana" w:hAnsi="Verdana"/>
                <w:sz w:val="16"/>
                <w:szCs w:val="16"/>
                <w:lang w:val="en-US"/>
              </w:rPr>
              <w:t xml:space="preserve"> ISO 14644-5:2004. Cleanrooms and associated controlled environments - Part 5: Operations.</w:t>
            </w:r>
          </w:p>
        </w:tc>
        <w:tc>
          <w:tcPr>
            <w:tcW w:w="4421" w:type="dxa"/>
          </w:tcPr>
          <w:p w14:paraId="65E579AA"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18.18</w:t>
            </w:r>
            <w:r w:rsidRPr="00D429B4">
              <w:rPr>
                <w:rFonts w:ascii="Verdana" w:hAnsi="Verdana"/>
                <w:sz w:val="16"/>
                <w:szCs w:val="16"/>
                <w:lang w:val="en-US"/>
              </w:rPr>
              <w:t xml:space="preserve"> ISO 14644-5:2004. Cleanrooms and associated controlled environments - Part 5: Operations.</w:t>
            </w:r>
          </w:p>
        </w:tc>
      </w:tr>
      <w:tr w:rsidR="00CD67E0" w:rsidRPr="00861FCE" w14:paraId="00DAC557" w14:textId="77777777" w:rsidTr="00335F65">
        <w:tc>
          <w:tcPr>
            <w:tcW w:w="4421" w:type="dxa"/>
          </w:tcPr>
          <w:p w14:paraId="5DEB0456"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18.19</w:t>
            </w:r>
            <w:r w:rsidRPr="00C73D15">
              <w:rPr>
                <w:rFonts w:ascii="Verdana" w:hAnsi="Verdana"/>
                <w:sz w:val="16"/>
                <w:szCs w:val="16"/>
                <w:lang w:val="en-US"/>
              </w:rPr>
              <w:t xml:space="preserve"> ISO 31000:2009. Risk management - Principles and Guidelines on Implementation.</w:t>
            </w:r>
          </w:p>
        </w:tc>
        <w:tc>
          <w:tcPr>
            <w:tcW w:w="4421" w:type="dxa"/>
          </w:tcPr>
          <w:p w14:paraId="1C12307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18.19</w:t>
            </w:r>
            <w:r w:rsidRPr="00D429B4">
              <w:rPr>
                <w:rFonts w:ascii="Verdana" w:hAnsi="Verdana"/>
                <w:sz w:val="16"/>
                <w:szCs w:val="16"/>
                <w:lang w:val="en-US"/>
              </w:rPr>
              <w:t xml:space="preserve"> ISO 31000:2009. Risk management - Principles and Guidelines on Implementation.</w:t>
            </w:r>
          </w:p>
        </w:tc>
      </w:tr>
      <w:tr w:rsidR="00CD67E0" w:rsidRPr="00861FCE" w14:paraId="4D07245B" w14:textId="77777777" w:rsidTr="00335F65">
        <w:tc>
          <w:tcPr>
            <w:tcW w:w="4421" w:type="dxa"/>
          </w:tcPr>
          <w:p w14:paraId="63D1483C"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18.20</w:t>
            </w:r>
            <w:r w:rsidRPr="00C73D15">
              <w:rPr>
                <w:rFonts w:ascii="Verdana" w:hAnsi="Verdana"/>
                <w:sz w:val="16"/>
                <w:szCs w:val="16"/>
                <w:lang w:val="en-US"/>
              </w:rPr>
              <w:t xml:space="preserve"> I ISO/IEC 31010:2009, Risk management - Risk assessment techniques.</w:t>
            </w:r>
          </w:p>
        </w:tc>
        <w:tc>
          <w:tcPr>
            <w:tcW w:w="4421" w:type="dxa"/>
          </w:tcPr>
          <w:p w14:paraId="6ECD176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18.20</w:t>
            </w:r>
            <w:r w:rsidRPr="00D429B4">
              <w:rPr>
                <w:rFonts w:ascii="Verdana" w:hAnsi="Verdana"/>
                <w:sz w:val="16"/>
                <w:szCs w:val="16"/>
                <w:lang w:val="en-US"/>
              </w:rPr>
              <w:t xml:space="preserve"> I ISO/IEC 31010:2009, Risk management - Risk assessment techniques.</w:t>
            </w:r>
          </w:p>
        </w:tc>
      </w:tr>
      <w:tr w:rsidR="00CD67E0" w:rsidRPr="00861FCE" w14:paraId="4C3236C4" w14:textId="77777777" w:rsidTr="00335F65">
        <w:tc>
          <w:tcPr>
            <w:tcW w:w="4421" w:type="dxa"/>
          </w:tcPr>
          <w:p w14:paraId="260A8669" w14:textId="77777777" w:rsidR="00CD67E0" w:rsidRPr="00C73D15" w:rsidRDefault="00CD67E0" w:rsidP="00CD67E0">
            <w:pPr>
              <w:pStyle w:val="Texto"/>
              <w:spacing w:line="276" w:lineRule="auto"/>
              <w:ind w:firstLine="0"/>
              <w:rPr>
                <w:rFonts w:ascii="Verdana" w:hAnsi="Verdana"/>
                <w:sz w:val="16"/>
                <w:szCs w:val="16"/>
                <w:lang w:val="en-US"/>
              </w:rPr>
            </w:pPr>
            <w:r w:rsidRPr="00C73D15">
              <w:rPr>
                <w:rFonts w:ascii="Verdana" w:hAnsi="Verdana"/>
                <w:b/>
                <w:sz w:val="16"/>
                <w:szCs w:val="16"/>
                <w:lang w:val="en-US"/>
              </w:rPr>
              <w:t>18.21</w:t>
            </w:r>
            <w:r w:rsidRPr="00C73D15">
              <w:rPr>
                <w:rFonts w:ascii="Verdana" w:hAnsi="Verdana"/>
                <w:sz w:val="16"/>
                <w:szCs w:val="16"/>
                <w:lang w:val="en-US"/>
              </w:rPr>
              <w:t xml:space="preserve"> ISO Guide 73:2009. Risk management -- Vocabulary.</w:t>
            </w:r>
          </w:p>
        </w:tc>
        <w:tc>
          <w:tcPr>
            <w:tcW w:w="4421" w:type="dxa"/>
          </w:tcPr>
          <w:p w14:paraId="7CD32B54"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18.21</w:t>
            </w:r>
            <w:r w:rsidRPr="00D429B4">
              <w:rPr>
                <w:rFonts w:ascii="Verdana" w:hAnsi="Verdana"/>
                <w:sz w:val="16"/>
                <w:szCs w:val="16"/>
                <w:lang w:val="en-US"/>
              </w:rPr>
              <w:t xml:space="preserve"> ISO Guide 73:2009. Risk management -- Vocabulary.</w:t>
            </w:r>
          </w:p>
        </w:tc>
      </w:tr>
      <w:tr w:rsidR="00CD67E0" w:rsidRPr="008E4CBF" w14:paraId="103AD4ED" w14:textId="77777777" w:rsidTr="00335F65">
        <w:tc>
          <w:tcPr>
            <w:tcW w:w="4421" w:type="dxa"/>
          </w:tcPr>
          <w:p w14:paraId="3D6BE3C8"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18.22</w:t>
            </w:r>
            <w:r w:rsidRPr="00D429B4">
              <w:rPr>
                <w:rFonts w:ascii="Verdana" w:hAnsi="Verdana"/>
                <w:sz w:val="16"/>
                <w:szCs w:val="16"/>
                <w:lang w:val="es-MX"/>
              </w:rPr>
              <w:t xml:space="preserve"> Organización Mundial de la Salud. Manual de bioseguridad en el laboratorio, tercera edición. OMS, Ginebra, 2005.</w:t>
            </w:r>
          </w:p>
        </w:tc>
        <w:tc>
          <w:tcPr>
            <w:tcW w:w="4421" w:type="dxa"/>
          </w:tcPr>
          <w:p w14:paraId="6F0E3CAE" w14:textId="77777777" w:rsidR="00CD67E0" w:rsidRPr="008E4CBF"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18.22 </w:t>
            </w:r>
            <w:r>
              <w:rPr>
                <w:rFonts w:ascii="Verdana" w:hAnsi="Verdana"/>
                <w:sz w:val="16"/>
                <w:szCs w:val="16"/>
                <w:lang w:val="en-US"/>
              </w:rPr>
              <w:t xml:space="preserve">World Health Organization. Biosafety manual in the laboratory, third edition. WHO, Geneva, 2005. </w:t>
            </w:r>
          </w:p>
        </w:tc>
      </w:tr>
      <w:tr w:rsidR="00CD67E0" w:rsidRPr="00861FCE" w14:paraId="62C6F62C" w14:textId="77777777" w:rsidTr="00335F65">
        <w:tc>
          <w:tcPr>
            <w:tcW w:w="4421" w:type="dxa"/>
          </w:tcPr>
          <w:p w14:paraId="3C07495C" w14:textId="77777777" w:rsidR="00CD67E0" w:rsidRPr="00C73D15" w:rsidRDefault="00CD67E0" w:rsidP="00CD67E0">
            <w:pPr>
              <w:pStyle w:val="Texto"/>
              <w:spacing w:line="276" w:lineRule="auto"/>
              <w:ind w:firstLine="0"/>
              <w:rPr>
                <w:rFonts w:ascii="Verdana" w:hAnsi="Verdana"/>
                <w:sz w:val="16"/>
                <w:szCs w:val="16"/>
                <w:lang w:val="en-US"/>
              </w:rPr>
            </w:pPr>
            <w:r w:rsidRPr="008E4CBF">
              <w:rPr>
                <w:rFonts w:ascii="Verdana" w:hAnsi="Verdana"/>
                <w:b/>
                <w:sz w:val="16"/>
                <w:szCs w:val="16"/>
                <w:lang w:val="en-US"/>
              </w:rPr>
              <w:t>18.23</w:t>
            </w:r>
            <w:r w:rsidRPr="008E4CBF">
              <w:rPr>
                <w:rFonts w:ascii="Verdana" w:hAnsi="Verdana"/>
                <w:sz w:val="16"/>
                <w:szCs w:val="16"/>
                <w:lang w:val="en-US"/>
              </w:rPr>
              <w:t xml:space="preserve"> World Health Organization. Quality Assurance of Pharmaceuticals. A compendium of guidelines and related mat</w:t>
            </w:r>
            <w:r w:rsidRPr="00C73D15">
              <w:rPr>
                <w:rFonts w:ascii="Verdana" w:hAnsi="Verdana"/>
                <w:sz w:val="16"/>
                <w:szCs w:val="16"/>
                <w:lang w:val="en-US"/>
              </w:rPr>
              <w:t>erials, Vol. 2, 2a. Edition, 2007.</w:t>
            </w:r>
          </w:p>
        </w:tc>
        <w:tc>
          <w:tcPr>
            <w:tcW w:w="4421" w:type="dxa"/>
          </w:tcPr>
          <w:p w14:paraId="7E963046"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18.23</w:t>
            </w:r>
            <w:r w:rsidRPr="00D429B4">
              <w:rPr>
                <w:rFonts w:ascii="Verdana" w:hAnsi="Verdana"/>
                <w:sz w:val="16"/>
                <w:szCs w:val="16"/>
                <w:lang w:val="en-US"/>
              </w:rPr>
              <w:t xml:space="preserve"> World Health Organization. Quality Assurance of Pharmaceuticals. A compendium of guidelines and related materials, Vol. 2, 2a. Edition, 2007.</w:t>
            </w:r>
          </w:p>
        </w:tc>
      </w:tr>
      <w:tr w:rsidR="00CD67E0" w:rsidRPr="00DD29AF" w14:paraId="087E90C6" w14:textId="77777777" w:rsidTr="00335F65">
        <w:tc>
          <w:tcPr>
            <w:tcW w:w="4421" w:type="dxa"/>
          </w:tcPr>
          <w:p w14:paraId="05DEE2DC"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n-US"/>
              </w:rPr>
              <w:t>18.24</w:t>
            </w:r>
            <w:r w:rsidRPr="00C73D15">
              <w:rPr>
                <w:rFonts w:ascii="Verdana" w:hAnsi="Verdana"/>
                <w:sz w:val="16"/>
                <w:szCs w:val="16"/>
                <w:lang w:val="en-US"/>
              </w:rPr>
              <w:t xml:space="preserve"> Parenteral Drug Association. Validation of Moist Heat Sterilization Processes: Cycle Design, Development, Qualification and Ongoing Control. </w:t>
            </w:r>
            <w:r w:rsidRPr="00D429B4">
              <w:rPr>
                <w:rFonts w:ascii="Verdana" w:hAnsi="Verdana"/>
                <w:sz w:val="16"/>
                <w:szCs w:val="16"/>
                <w:lang w:val="es-MX"/>
              </w:rPr>
              <w:t>Technical Report No. 1 (revisad 2007), Suplement Vol. 61, No. S-1. 2007.</w:t>
            </w:r>
          </w:p>
        </w:tc>
        <w:tc>
          <w:tcPr>
            <w:tcW w:w="4421" w:type="dxa"/>
          </w:tcPr>
          <w:p w14:paraId="52B1C27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18.24</w:t>
            </w:r>
            <w:r w:rsidRPr="00D429B4">
              <w:rPr>
                <w:rFonts w:ascii="Verdana" w:hAnsi="Verdana"/>
                <w:sz w:val="16"/>
                <w:szCs w:val="16"/>
                <w:lang w:val="en-US"/>
              </w:rPr>
              <w:t xml:space="preserve"> Parenteral Drug Association. Validation of Moist Heat Sterilization Processes: Cycle Design, Development, Qualification and Ongoing Control. Technical Report No. 1 (revised 2007), Supplement Vol. 61, No. S-1. 2007.</w:t>
            </w:r>
          </w:p>
        </w:tc>
      </w:tr>
      <w:tr w:rsidR="00CD67E0" w:rsidRPr="00DD29AF" w14:paraId="1721B1A8" w14:textId="77777777" w:rsidTr="00335F65">
        <w:tc>
          <w:tcPr>
            <w:tcW w:w="4421" w:type="dxa"/>
          </w:tcPr>
          <w:p w14:paraId="7A84B638"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n-US"/>
              </w:rPr>
              <w:t>18.25</w:t>
            </w:r>
            <w:r w:rsidRPr="00C73D15">
              <w:rPr>
                <w:rFonts w:ascii="Verdana" w:hAnsi="Verdana"/>
                <w:sz w:val="16"/>
                <w:szCs w:val="16"/>
                <w:lang w:val="en-US"/>
              </w:rPr>
              <w:t xml:space="preserve"> U.S. Department of Health and Human Services, CDC. Biosafety in Microbiological and Biomedical Laboratories, 5th. </w:t>
            </w:r>
            <w:r w:rsidRPr="00D429B4">
              <w:rPr>
                <w:rFonts w:ascii="Verdana" w:hAnsi="Verdana"/>
                <w:sz w:val="16"/>
                <w:szCs w:val="16"/>
                <w:lang w:val="es-MX"/>
              </w:rPr>
              <w:t>Edition. 2009.</w:t>
            </w:r>
          </w:p>
        </w:tc>
        <w:tc>
          <w:tcPr>
            <w:tcW w:w="4421" w:type="dxa"/>
          </w:tcPr>
          <w:p w14:paraId="504F8EAF"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18.25</w:t>
            </w:r>
            <w:r w:rsidRPr="00D429B4">
              <w:rPr>
                <w:rFonts w:ascii="Verdana" w:hAnsi="Verdana"/>
                <w:sz w:val="16"/>
                <w:szCs w:val="16"/>
                <w:lang w:val="en-US"/>
              </w:rPr>
              <w:t xml:space="preserve"> U.S. Department of Health and Human Services, CDC. Biosafety in Microbiological and Biomedical Laboratories, 5th. Edition. 2009.</w:t>
            </w:r>
          </w:p>
        </w:tc>
      </w:tr>
      <w:tr w:rsidR="00CD67E0" w:rsidRPr="00DD29AF" w14:paraId="1B58D0FB" w14:textId="77777777" w:rsidTr="00335F65">
        <w:tc>
          <w:tcPr>
            <w:tcW w:w="4421" w:type="dxa"/>
          </w:tcPr>
          <w:p w14:paraId="02A94AF5" w14:textId="77777777" w:rsidR="00CD67E0" w:rsidRPr="00D429B4" w:rsidRDefault="00CD67E0" w:rsidP="00CD67E0">
            <w:pPr>
              <w:pStyle w:val="Texto"/>
              <w:spacing w:line="276" w:lineRule="auto"/>
              <w:ind w:firstLine="0"/>
              <w:rPr>
                <w:rFonts w:ascii="Verdana" w:hAnsi="Verdana"/>
                <w:sz w:val="16"/>
                <w:szCs w:val="16"/>
                <w:lang w:val="es-MX"/>
              </w:rPr>
            </w:pPr>
            <w:r w:rsidRPr="00C73D15">
              <w:rPr>
                <w:rFonts w:ascii="Verdana" w:hAnsi="Verdana"/>
                <w:b/>
                <w:sz w:val="16"/>
                <w:szCs w:val="16"/>
                <w:lang w:val="en-US"/>
              </w:rPr>
              <w:t>18.26</w:t>
            </w:r>
            <w:r w:rsidRPr="00C73D15">
              <w:rPr>
                <w:rFonts w:ascii="Verdana" w:hAnsi="Verdana"/>
                <w:sz w:val="16"/>
                <w:szCs w:val="16"/>
                <w:lang w:val="en-US"/>
              </w:rPr>
              <w:t xml:space="preserve"> ISPE. GAMP 5, A Risk-Based Approach to Compliant GxP Computerized Systems. </w:t>
            </w:r>
            <w:r w:rsidRPr="00D429B4">
              <w:rPr>
                <w:rFonts w:ascii="Verdana" w:hAnsi="Verdana"/>
                <w:sz w:val="16"/>
                <w:szCs w:val="16"/>
                <w:lang w:val="es-MX"/>
              </w:rPr>
              <w:t>2008.</w:t>
            </w:r>
          </w:p>
        </w:tc>
        <w:tc>
          <w:tcPr>
            <w:tcW w:w="4421" w:type="dxa"/>
          </w:tcPr>
          <w:p w14:paraId="33AD531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18.26</w:t>
            </w:r>
            <w:r w:rsidRPr="00D429B4">
              <w:rPr>
                <w:rFonts w:ascii="Verdana" w:hAnsi="Verdana"/>
                <w:sz w:val="16"/>
                <w:szCs w:val="16"/>
                <w:lang w:val="en-US"/>
              </w:rPr>
              <w:t xml:space="preserve"> ISPE. GAMP 5, A Risk-Based Approach to Compliant GxP Computerized Systems. 2008.</w:t>
            </w:r>
          </w:p>
        </w:tc>
      </w:tr>
      <w:tr w:rsidR="00CD67E0" w:rsidRPr="007D3C22" w14:paraId="65304105" w14:textId="77777777" w:rsidTr="00335F65">
        <w:tc>
          <w:tcPr>
            <w:tcW w:w="4421" w:type="dxa"/>
          </w:tcPr>
          <w:p w14:paraId="3955E5D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18.27</w:t>
            </w:r>
            <w:r w:rsidRPr="00D429B4">
              <w:rPr>
                <w:rFonts w:ascii="Verdana" w:hAnsi="Verdana"/>
                <w:sz w:val="16"/>
                <w:szCs w:val="16"/>
                <w:lang w:val="es-MX"/>
              </w:rPr>
              <w:t xml:space="preserve"> Colegio Nacional de Químicos Farmacéuticos Biólogos México. Guía de Validación del Método Analítico. CNQFBM, 2002.</w:t>
            </w:r>
          </w:p>
        </w:tc>
        <w:tc>
          <w:tcPr>
            <w:tcW w:w="4421" w:type="dxa"/>
          </w:tcPr>
          <w:p w14:paraId="2F5EDC25" w14:textId="77777777" w:rsidR="00CD67E0" w:rsidRPr="008E4CBF"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18.27 </w:t>
            </w:r>
            <w:r>
              <w:rPr>
                <w:rFonts w:ascii="Verdana" w:hAnsi="Verdana"/>
                <w:sz w:val="16"/>
                <w:szCs w:val="16"/>
                <w:lang w:val="en-US"/>
              </w:rPr>
              <w:t xml:space="preserve">National College of Biologists, Pharmacists, Biologists, Mexico. Validation Guide of the Analytical Method. 2002. </w:t>
            </w:r>
          </w:p>
        </w:tc>
      </w:tr>
      <w:tr w:rsidR="00CD67E0" w:rsidRPr="00DD29AF" w14:paraId="22471602" w14:textId="77777777" w:rsidTr="00335F65">
        <w:tc>
          <w:tcPr>
            <w:tcW w:w="4421" w:type="dxa"/>
          </w:tcPr>
          <w:p w14:paraId="073B44E5" w14:textId="77777777" w:rsidR="00CD67E0" w:rsidRPr="00D429B4" w:rsidRDefault="00CD67E0" w:rsidP="00CD67E0">
            <w:pPr>
              <w:pStyle w:val="Texto"/>
              <w:spacing w:line="276" w:lineRule="auto"/>
              <w:ind w:firstLine="0"/>
              <w:rPr>
                <w:rFonts w:ascii="Verdana" w:hAnsi="Verdana"/>
                <w:sz w:val="16"/>
                <w:szCs w:val="16"/>
                <w:lang w:val="es-MX"/>
              </w:rPr>
            </w:pPr>
            <w:r w:rsidRPr="007D3C22">
              <w:rPr>
                <w:rFonts w:ascii="Verdana" w:hAnsi="Verdana"/>
                <w:b/>
                <w:sz w:val="16"/>
                <w:szCs w:val="16"/>
                <w:lang w:val="en-US"/>
              </w:rPr>
              <w:t>18.28</w:t>
            </w:r>
            <w:r w:rsidRPr="007D3C22">
              <w:rPr>
                <w:rFonts w:ascii="Verdana" w:hAnsi="Verdana"/>
                <w:sz w:val="16"/>
                <w:szCs w:val="16"/>
                <w:lang w:val="en-US"/>
              </w:rPr>
              <w:t xml:space="preserve"> Health Canada. Laboratory Biosafety Guidelines; 3th. Edition. Canada, 20</w:t>
            </w:r>
            <w:r w:rsidRPr="00D429B4">
              <w:rPr>
                <w:rFonts w:ascii="Verdana" w:hAnsi="Verdana"/>
                <w:sz w:val="16"/>
                <w:szCs w:val="16"/>
                <w:lang w:val="es-MX"/>
              </w:rPr>
              <w:t>04.</w:t>
            </w:r>
          </w:p>
        </w:tc>
        <w:tc>
          <w:tcPr>
            <w:tcW w:w="4421" w:type="dxa"/>
          </w:tcPr>
          <w:p w14:paraId="07CEC423"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18.28</w:t>
            </w:r>
            <w:r w:rsidRPr="00D429B4">
              <w:rPr>
                <w:rFonts w:ascii="Verdana" w:hAnsi="Verdana"/>
                <w:sz w:val="16"/>
                <w:szCs w:val="16"/>
                <w:lang w:val="en-US"/>
              </w:rPr>
              <w:t xml:space="preserve"> Health Canada. Laboratory Biosafety Guidelines; 3th. Edition. Canada, 2004.</w:t>
            </w:r>
          </w:p>
        </w:tc>
      </w:tr>
      <w:tr w:rsidR="00CD67E0" w:rsidRPr="00DD29AF" w14:paraId="156696C3" w14:textId="77777777" w:rsidTr="00335F65">
        <w:tc>
          <w:tcPr>
            <w:tcW w:w="4421" w:type="dxa"/>
          </w:tcPr>
          <w:p w14:paraId="1C241369" w14:textId="77777777" w:rsidR="00CD67E0" w:rsidRPr="00D429B4" w:rsidRDefault="00CD67E0" w:rsidP="00CD67E0">
            <w:pPr>
              <w:pStyle w:val="Texto"/>
              <w:spacing w:line="276" w:lineRule="auto"/>
              <w:ind w:firstLine="0"/>
              <w:rPr>
                <w:rFonts w:ascii="Verdana" w:hAnsi="Verdana"/>
                <w:b/>
                <w:sz w:val="16"/>
                <w:szCs w:val="16"/>
                <w:lang w:val="es-MX"/>
              </w:rPr>
            </w:pPr>
            <w:r w:rsidRPr="00C73D15">
              <w:rPr>
                <w:rFonts w:ascii="Verdana" w:hAnsi="Verdana"/>
                <w:b/>
                <w:sz w:val="16"/>
                <w:szCs w:val="16"/>
                <w:lang w:val="en-US"/>
              </w:rPr>
              <w:t xml:space="preserve">18.29 </w:t>
            </w:r>
            <w:r w:rsidRPr="00C73D15">
              <w:rPr>
                <w:rFonts w:ascii="Verdana" w:hAnsi="Verdana"/>
                <w:sz w:val="16"/>
                <w:szCs w:val="16"/>
                <w:lang w:val="en-US"/>
              </w:rPr>
              <w:t xml:space="preserve">James Agalloco, Frederick J. Carleton. Validation of Pharmaceutical Process; 3th edition. </w:t>
            </w:r>
            <w:r w:rsidRPr="00D429B4">
              <w:rPr>
                <w:rFonts w:ascii="Verdana" w:hAnsi="Verdana"/>
                <w:sz w:val="16"/>
                <w:szCs w:val="16"/>
                <w:lang w:val="es-MX"/>
              </w:rPr>
              <w:t>Informa Healthcare, 2008.</w:t>
            </w:r>
          </w:p>
        </w:tc>
        <w:tc>
          <w:tcPr>
            <w:tcW w:w="4421" w:type="dxa"/>
          </w:tcPr>
          <w:p w14:paraId="2F095DF7"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18.29 </w:t>
            </w:r>
            <w:r w:rsidRPr="00D429B4">
              <w:rPr>
                <w:rFonts w:ascii="Verdana" w:hAnsi="Verdana"/>
                <w:sz w:val="16"/>
                <w:szCs w:val="16"/>
                <w:lang w:val="en-US"/>
              </w:rPr>
              <w:t>James Agalloco, Frederick J. Carleton. Validation of Pharmaceutical Process; 3</w:t>
            </w:r>
            <w:r>
              <w:rPr>
                <w:rFonts w:ascii="Verdana" w:hAnsi="Verdana"/>
                <w:sz w:val="16"/>
                <w:szCs w:val="16"/>
                <w:lang w:val="en-US"/>
              </w:rPr>
              <w:t>rd</w:t>
            </w:r>
            <w:r w:rsidRPr="00D429B4">
              <w:rPr>
                <w:rFonts w:ascii="Verdana" w:hAnsi="Verdana"/>
                <w:sz w:val="16"/>
                <w:szCs w:val="16"/>
                <w:lang w:val="en-US"/>
              </w:rPr>
              <w:t xml:space="preserve"> edition. Informa Healthcare, 2008.</w:t>
            </w:r>
          </w:p>
        </w:tc>
      </w:tr>
      <w:tr w:rsidR="00CD67E0" w:rsidRPr="00861FCE" w14:paraId="5DC071AB" w14:textId="77777777" w:rsidTr="00335F65">
        <w:tc>
          <w:tcPr>
            <w:tcW w:w="4421" w:type="dxa"/>
          </w:tcPr>
          <w:p w14:paraId="1BB27C00" w14:textId="77777777" w:rsidR="00CD67E0" w:rsidRPr="00C73D15" w:rsidRDefault="00CD67E0" w:rsidP="00CD67E0">
            <w:pPr>
              <w:pStyle w:val="Texto"/>
              <w:spacing w:line="276" w:lineRule="auto"/>
              <w:ind w:firstLine="0"/>
              <w:rPr>
                <w:rFonts w:ascii="Verdana" w:hAnsi="Verdana"/>
                <w:b/>
                <w:sz w:val="16"/>
                <w:szCs w:val="16"/>
                <w:lang w:val="en-US"/>
              </w:rPr>
            </w:pPr>
            <w:r w:rsidRPr="00C73D15">
              <w:rPr>
                <w:rFonts w:ascii="Verdana" w:hAnsi="Verdana"/>
                <w:b/>
                <w:sz w:val="16"/>
                <w:szCs w:val="16"/>
                <w:lang w:val="en-US"/>
              </w:rPr>
              <w:t xml:space="preserve">18.30 </w:t>
            </w:r>
            <w:r w:rsidRPr="00C73D15">
              <w:rPr>
                <w:rFonts w:ascii="Verdana" w:hAnsi="Verdana"/>
                <w:sz w:val="16"/>
                <w:szCs w:val="16"/>
                <w:lang w:val="en-US"/>
              </w:rPr>
              <w:t>Pharmaceutical Production. An engineering guide, Edited by Bill Bennett and Graham Cole; Institution of Chemical Engineers (IChemE), 2003.</w:t>
            </w:r>
          </w:p>
        </w:tc>
        <w:tc>
          <w:tcPr>
            <w:tcW w:w="4421" w:type="dxa"/>
          </w:tcPr>
          <w:p w14:paraId="294BD894"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18.30 </w:t>
            </w:r>
            <w:r w:rsidRPr="00D429B4">
              <w:rPr>
                <w:rFonts w:ascii="Verdana" w:hAnsi="Verdana"/>
                <w:sz w:val="16"/>
                <w:szCs w:val="16"/>
                <w:lang w:val="en-US"/>
              </w:rPr>
              <w:t>Pharmaceutical Production. An engineering guide, Edited by Bill Bennett and Graham Cole; Institution of Chemical Engineers (IChemE), 2003.</w:t>
            </w:r>
          </w:p>
        </w:tc>
      </w:tr>
      <w:tr w:rsidR="00CD67E0" w:rsidRPr="00DD29AF" w14:paraId="19EF8BEA" w14:textId="77777777" w:rsidTr="00335F65">
        <w:tc>
          <w:tcPr>
            <w:tcW w:w="4421" w:type="dxa"/>
          </w:tcPr>
          <w:p w14:paraId="3AD58709" w14:textId="77777777" w:rsidR="00CD67E0" w:rsidRPr="00D429B4" w:rsidRDefault="00CD67E0" w:rsidP="00CD67E0">
            <w:pPr>
              <w:pStyle w:val="Texto"/>
              <w:spacing w:line="276" w:lineRule="auto"/>
              <w:ind w:firstLine="0"/>
              <w:rPr>
                <w:rFonts w:ascii="Verdana" w:hAnsi="Verdana"/>
                <w:b/>
                <w:sz w:val="16"/>
                <w:szCs w:val="16"/>
                <w:lang w:val="es-MX"/>
              </w:rPr>
            </w:pPr>
            <w:r w:rsidRPr="00C73D15">
              <w:rPr>
                <w:rFonts w:ascii="Verdana" w:hAnsi="Verdana"/>
                <w:b/>
                <w:sz w:val="16"/>
                <w:szCs w:val="16"/>
                <w:lang w:val="en-US"/>
              </w:rPr>
              <w:t xml:space="preserve">18.31 </w:t>
            </w:r>
            <w:r w:rsidRPr="00C73D15">
              <w:rPr>
                <w:rFonts w:ascii="Verdana" w:hAnsi="Verdana"/>
                <w:sz w:val="16"/>
                <w:szCs w:val="16"/>
                <w:lang w:val="en-US"/>
              </w:rPr>
              <w:t xml:space="preserve">Gary Walsh. Pharmaceutical Biotechnology. Concepts and Applications. </w:t>
            </w:r>
            <w:r w:rsidRPr="00D429B4">
              <w:rPr>
                <w:rFonts w:ascii="Verdana" w:hAnsi="Verdana"/>
                <w:sz w:val="16"/>
                <w:szCs w:val="16"/>
                <w:lang w:val="es-MX"/>
              </w:rPr>
              <w:t>Ed. John Wiley and Sons Ltd. 2007.</w:t>
            </w:r>
          </w:p>
        </w:tc>
        <w:tc>
          <w:tcPr>
            <w:tcW w:w="4421" w:type="dxa"/>
          </w:tcPr>
          <w:p w14:paraId="2CAA3CE9"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18.31 </w:t>
            </w:r>
            <w:r w:rsidRPr="00D429B4">
              <w:rPr>
                <w:rFonts w:ascii="Verdana" w:hAnsi="Verdana"/>
                <w:sz w:val="16"/>
                <w:szCs w:val="16"/>
                <w:lang w:val="en-US"/>
              </w:rPr>
              <w:t>Gary Walsh. Pharmaceutical Biotechnology. Concepts and Applications. Ed. John Wiley and Sons Ltd. 2007.</w:t>
            </w:r>
          </w:p>
        </w:tc>
      </w:tr>
      <w:tr w:rsidR="00CD67E0" w:rsidRPr="00861FCE" w14:paraId="1DC0D1A8" w14:textId="77777777" w:rsidTr="00335F65">
        <w:tc>
          <w:tcPr>
            <w:tcW w:w="4421" w:type="dxa"/>
          </w:tcPr>
          <w:p w14:paraId="15D75E9C"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lastRenderedPageBreak/>
              <w:t xml:space="preserve">18.32 </w:t>
            </w:r>
            <w:r w:rsidRPr="00D429B4">
              <w:rPr>
                <w:rFonts w:ascii="Verdana" w:hAnsi="Verdana"/>
                <w:sz w:val="16"/>
                <w:szCs w:val="16"/>
                <w:lang w:val="es-MX"/>
              </w:rPr>
              <w:t>Anexo 20 “Buenas Prácticas de Fabricación de Medicamentos” PIC, Marzo 2014.</w:t>
            </w:r>
          </w:p>
        </w:tc>
        <w:tc>
          <w:tcPr>
            <w:tcW w:w="4421" w:type="dxa"/>
          </w:tcPr>
          <w:p w14:paraId="02554EE8" w14:textId="77777777" w:rsidR="00CD67E0" w:rsidRPr="007D3C22"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18.32 </w:t>
            </w:r>
            <w:r>
              <w:rPr>
                <w:rFonts w:ascii="Verdana" w:hAnsi="Verdana"/>
                <w:sz w:val="16"/>
                <w:szCs w:val="16"/>
                <w:lang w:val="en-US"/>
              </w:rPr>
              <w:t xml:space="preserve">Annex 20 “Good Manufacturing Practices of Drug Products” PIC, March 2014. </w:t>
            </w:r>
          </w:p>
        </w:tc>
      </w:tr>
      <w:tr w:rsidR="00CD67E0" w:rsidRPr="00861FCE" w14:paraId="6989933A" w14:textId="77777777" w:rsidTr="00335F65">
        <w:tc>
          <w:tcPr>
            <w:tcW w:w="4421" w:type="dxa"/>
          </w:tcPr>
          <w:p w14:paraId="0937D66E"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18.33 </w:t>
            </w:r>
            <w:r w:rsidRPr="00D429B4">
              <w:rPr>
                <w:rFonts w:ascii="Verdana" w:hAnsi="Verdana"/>
                <w:sz w:val="16"/>
                <w:szCs w:val="16"/>
                <w:lang w:val="es-MX"/>
              </w:rPr>
              <w:t>Guía de “Prácticas de Correcta Fabricación”, Ministerio de Salud de España “Gestión de Riesgo” 2008.</w:t>
            </w:r>
          </w:p>
        </w:tc>
        <w:tc>
          <w:tcPr>
            <w:tcW w:w="4421" w:type="dxa"/>
          </w:tcPr>
          <w:p w14:paraId="3E29ED83" w14:textId="77777777" w:rsidR="00CD67E0" w:rsidRPr="007D3C22" w:rsidRDefault="00CD67E0" w:rsidP="00CD67E0">
            <w:pPr>
              <w:pStyle w:val="Texto"/>
              <w:spacing w:line="276" w:lineRule="auto"/>
              <w:ind w:firstLine="0"/>
              <w:rPr>
                <w:rFonts w:ascii="Verdana" w:hAnsi="Verdana"/>
                <w:sz w:val="16"/>
                <w:szCs w:val="16"/>
                <w:lang w:val="en-US"/>
              </w:rPr>
            </w:pPr>
            <w:r>
              <w:rPr>
                <w:rFonts w:ascii="Verdana" w:hAnsi="Verdana"/>
                <w:b/>
                <w:sz w:val="16"/>
                <w:szCs w:val="16"/>
                <w:lang w:val="en-US"/>
              </w:rPr>
              <w:t xml:space="preserve">18.33 </w:t>
            </w:r>
            <w:r>
              <w:rPr>
                <w:rFonts w:ascii="Verdana" w:hAnsi="Verdana"/>
                <w:sz w:val="16"/>
                <w:szCs w:val="16"/>
                <w:lang w:val="en-US"/>
              </w:rPr>
              <w:t xml:space="preserve">Guide of “Practices of Correct Manufacture,” Ministry of Health of Spain, Risk Management, 2008. </w:t>
            </w:r>
          </w:p>
        </w:tc>
      </w:tr>
      <w:tr w:rsidR="00CD67E0" w:rsidRPr="00DD29AF" w14:paraId="2BB80E82" w14:textId="77777777" w:rsidTr="00335F65">
        <w:tc>
          <w:tcPr>
            <w:tcW w:w="4421" w:type="dxa"/>
          </w:tcPr>
          <w:p w14:paraId="5DE213B3" w14:textId="77777777" w:rsidR="00CD67E0" w:rsidRPr="00D429B4" w:rsidRDefault="00CD67E0" w:rsidP="00CD67E0">
            <w:pPr>
              <w:pStyle w:val="Texto"/>
              <w:spacing w:line="276" w:lineRule="auto"/>
              <w:ind w:firstLine="0"/>
              <w:rPr>
                <w:rFonts w:ascii="Verdana" w:hAnsi="Verdana"/>
                <w:b/>
                <w:sz w:val="16"/>
                <w:szCs w:val="16"/>
                <w:lang w:val="es-MX"/>
              </w:rPr>
            </w:pPr>
            <w:r w:rsidRPr="00C73D15">
              <w:rPr>
                <w:rFonts w:ascii="Verdana" w:hAnsi="Verdana"/>
                <w:b/>
                <w:sz w:val="16"/>
                <w:szCs w:val="16"/>
                <w:lang w:val="en-US"/>
              </w:rPr>
              <w:t xml:space="preserve">18.34 </w:t>
            </w:r>
            <w:r w:rsidRPr="00C73D15">
              <w:rPr>
                <w:rFonts w:ascii="Verdana" w:hAnsi="Verdana"/>
                <w:sz w:val="16"/>
                <w:szCs w:val="16"/>
                <w:lang w:val="en-US"/>
              </w:rPr>
              <w:t xml:space="preserve">FDA (2004) Pharmaceutical CGMPS for the 21st century - A risk-based approach. </w:t>
            </w:r>
            <w:r w:rsidRPr="00D429B4">
              <w:rPr>
                <w:rFonts w:ascii="Verdana" w:hAnsi="Verdana"/>
                <w:sz w:val="16"/>
                <w:szCs w:val="16"/>
                <w:lang w:val="es-MX"/>
              </w:rPr>
              <w:t>Final report.</w:t>
            </w:r>
          </w:p>
        </w:tc>
        <w:tc>
          <w:tcPr>
            <w:tcW w:w="4421" w:type="dxa"/>
          </w:tcPr>
          <w:p w14:paraId="451AAEFE"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18.34 </w:t>
            </w:r>
            <w:r w:rsidRPr="00D429B4">
              <w:rPr>
                <w:rFonts w:ascii="Verdana" w:hAnsi="Verdana"/>
                <w:sz w:val="16"/>
                <w:szCs w:val="16"/>
                <w:lang w:val="en-US"/>
              </w:rPr>
              <w:t>FDA (2004) Pharmaceutical CGMPS for the 21st century - A risk-based approach. Final report.</w:t>
            </w:r>
          </w:p>
        </w:tc>
      </w:tr>
      <w:tr w:rsidR="00CD67E0" w:rsidRPr="00861FCE" w14:paraId="56B5E484" w14:textId="77777777" w:rsidTr="00335F65">
        <w:tc>
          <w:tcPr>
            <w:tcW w:w="4421" w:type="dxa"/>
          </w:tcPr>
          <w:p w14:paraId="4F114899" w14:textId="77777777" w:rsidR="00CD67E0" w:rsidRPr="00C73D15" w:rsidRDefault="00CD67E0" w:rsidP="00CD67E0">
            <w:pPr>
              <w:pStyle w:val="Texto"/>
              <w:spacing w:line="276" w:lineRule="auto"/>
              <w:ind w:firstLine="0"/>
              <w:rPr>
                <w:rFonts w:ascii="Verdana" w:hAnsi="Verdana"/>
                <w:b/>
                <w:sz w:val="16"/>
                <w:szCs w:val="16"/>
                <w:lang w:val="en-US"/>
              </w:rPr>
            </w:pPr>
            <w:r w:rsidRPr="00C73D15">
              <w:rPr>
                <w:rFonts w:ascii="Verdana" w:hAnsi="Verdana"/>
                <w:b/>
                <w:sz w:val="16"/>
                <w:szCs w:val="16"/>
                <w:lang w:val="en-US"/>
              </w:rPr>
              <w:t xml:space="preserve">18.35 </w:t>
            </w:r>
            <w:r w:rsidRPr="00C73D15">
              <w:rPr>
                <w:rFonts w:ascii="Verdana" w:hAnsi="Verdana"/>
                <w:sz w:val="16"/>
                <w:szCs w:val="16"/>
                <w:lang w:val="en-US"/>
              </w:rPr>
              <w:t>ICH (2005) “Quality risk management ICH Harmonised Tripartite Guideline Guideline Q9.</w:t>
            </w:r>
          </w:p>
        </w:tc>
        <w:tc>
          <w:tcPr>
            <w:tcW w:w="4421" w:type="dxa"/>
          </w:tcPr>
          <w:p w14:paraId="651AF856"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18.35 </w:t>
            </w:r>
            <w:r w:rsidRPr="00D429B4">
              <w:rPr>
                <w:rFonts w:ascii="Verdana" w:hAnsi="Verdana"/>
                <w:sz w:val="16"/>
                <w:szCs w:val="16"/>
                <w:lang w:val="en-US"/>
              </w:rPr>
              <w:t>ICH (2005) “Quality risk management ICH Harmoni</w:t>
            </w:r>
            <w:r>
              <w:rPr>
                <w:rFonts w:ascii="Verdana" w:hAnsi="Verdana"/>
                <w:sz w:val="16"/>
                <w:szCs w:val="16"/>
                <w:lang w:val="en-US"/>
              </w:rPr>
              <w:t>z</w:t>
            </w:r>
            <w:r w:rsidRPr="00D429B4">
              <w:rPr>
                <w:rFonts w:ascii="Verdana" w:hAnsi="Verdana"/>
                <w:sz w:val="16"/>
                <w:szCs w:val="16"/>
                <w:lang w:val="en-US"/>
              </w:rPr>
              <w:t>ed Tripartite Guideline Guideline Q9.</w:t>
            </w:r>
          </w:p>
        </w:tc>
      </w:tr>
      <w:tr w:rsidR="00CD67E0" w:rsidRPr="00861FCE" w14:paraId="59EA56C7" w14:textId="77777777" w:rsidTr="00335F65">
        <w:tc>
          <w:tcPr>
            <w:tcW w:w="4421" w:type="dxa"/>
          </w:tcPr>
          <w:p w14:paraId="1B0C7DAA" w14:textId="77777777" w:rsidR="00CD67E0" w:rsidRPr="00C73D15" w:rsidRDefault="00CD67E0" w:rsidP="00CD67E0">
            <w:pPr>
              <w:pStyle w:val="Texto"/>
              <w:spacing w:line="276" w:lineRule="auto"/>
              <w:ind w:firstLine="0"/>
              <w:rPr>
                <w:rFonts w:ascii="Verdana" w:hAnsi="Verdana"/>
                <w:b/>
                <w:sz w:val="16"/>
                <w:szCs w:val="16"/>
                <w:lang w:val="en-US"/>
              </w:rPr>
            </w:pPr>
            <w:r w:rsidRPr="00C73D15">
              <w:rPr>
                <w:rFonts w:ascii="Verdana" w:hAnsi="Verdana"/>
                <w:b/>
                <w:sz w:val="16"/>
                <w:szCs w:val="16"/>
                <w:lang w:val="en-US"/>
              </w:rPr>
              <w:t xml:space="preserve">18.36 </w:t>
            </w:r>
            <w:r w:rsidRPr="00C73D15">
              <w:rPr>
                <w:rFonts w:ascii="Verdana" w:hAnsi="Verdana"/>
                <w:sz w:val="16"/>
                <w:szCs w:val="16"/>
                <w:lang w:val="en-US"/>
              </w:rPr>
              <w:t>ICH (2008) Pharmaceutical quality system. ICH Harmonised Tripartite Guideline Q10.</w:t>
            </w:r>
          </w:p>
        </w:tc>
        <w:tc>
          <w:tcPr>
            <w:tcW w:w="4421" w:type="dxa"/>
          </w:tcPr>
          <w:p w14:paraId="493D90D7"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18.36 </w:t>
            </w:r>
            <w:r w:rsidRPr="00D429B4">
              <w:rPr>
                <w:rFonts w:ascii="Verdana" w:hAnsi="Verdana"/>
                <w:sz w:val="16"/>
                <w:szCs w:val="16"/>
                <w:lang w:val="en-US"/>
              </w:rPr>
              <w:t>ICH (2008) Pharmaceutical quality system. ICH Harmoni</w:t>
            </w:r>
            <w:r>
              <w:rPr>
                <w:rFonts w:ascii="Verdana" w:hAnsi="Verdana"/>
                <w:sz w:val="16"/>
                <w:szCs w:val="16"/>
                <w:lang w:val="en-US"/>
              </w:rPr>
              <w:t>z</w:t>
            </w:r>
            <w:r w:rsidRPr="00D429B4">
              <w:rPr>
                <w:rFonts w:ascii="Verdana" w:hAnsi="Verdana"/>
                <w:sz w:val="16"/>
                <w:szCs w:val="16"/>
                <w:lang w:val="en-US"/>
              </w:rPr>
              <w:t>ed Tripartite Guideline Q10.</w:t>
            </w:r>
          </w:p>
        </w:tc>
      </w:tr>
      <w:tr w:rsidR="00CD67E0" w:rsidRPr="00861FCE" w14:paraId="5B51871D" w14:textId="77777777" w:rsidTr="00335F65">
        <w:tc>
          <w:tcPr>
            <w:tcW w:w="4421" w:type="dxa"/>
          </w:tcPr>
          <w:p w14:paraId="0E1005DC" w14:textId="77777777" w:rsidR="00CD67E0" w:rsidRPr="00C73D15" w:rsidRDefault="00CD67E0" w:rsidP="00CD67E0">
            <w:pPr>
              <w:pStyle w:val="Texto"/>
              <w:spacing w:line="276" w:lineRule="auto"/>
              <w:ind w:firstLine="0"/>
              <w:rPr>
                <w:rFonts w:ascii="Verdana" w:hAnsi="Verdana"/>
                <w:b/>
                <w:sz w:val="16"/>
                <w:szCs w:val="16"/>
                <w:lang w:val="en-US"/>
              </w:rPr>
            </w:pPr>
            <w:r w:rsidRPr="00C73D15">
              <w:rPr>
                <w:rFonts w:ascii="Verdana" w:hAnsi="Verdana"/>
                <w:b/>
                <w:sz w:val="16"/>
                <w:szCs w:val="16"/>
                <w:lang w:val="en-US"/>
              </w:rPr>
              <w:t xml:space="preserve">18.37 </w:t>
            </w:r>
            <w:r w:rsidRPr="00C73D15">
              <w:rPr>
                <w:rFonts w:ascii="Verdana" w:hAnsi="Verdana"/>
                <w:sz w:val="16"/>
                <w:szCs w:val="16"/>
                <w:lang w:val="en-US"/>
              </w:rPr>
              <w:t>ICH (2009) Pharmaceutical development. ICH Harmonised Tripartite Guideline Q8 (R2).</w:t>
            </w:r>
          </w:p>
        </w:tc>
        <w:tc>
          <w:tcPr>
            <w:tcW w:w="4421" w:type="dxa"/>
          </w:tcPr>
          <w:p w14:paraId="17BD7C2D"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18.37 </w:t>
            </w:r>
            <w:r w:rsidRPr="00D429B4">
              <w:rPr>
                <w:rFonts w:ascii="Verdana" w:hAnsi="Verdana"/>
                <w:sz w:val="16"/>
                <w:szCs w:val="16"/>
                <w:lang w:val="en-US"/>
              </w:rPr>
              <w:t>ICH (2009) Pharmaceutical development. ICH Harmoni</w:t>
            </w:r>
            <w:r>
              <w:rPr>
                <w:rFonts w:ascii="Verdana" w:hAnsi="Verdana"/>
                <w:sz w:val="16"/>
                <w:szCs w:val="16"/>
                <w:lang w:val="en-US"/>
              </w:rPr>
              <w:t>z</w:t>
            </w:r>
            <w:r w:rsidRPr="00D429B4">
              <w:rPr>
                <w:rFonts w:ascii="Verdana" w:hAnsi="Verdana"/>
                <w:sz w:val="16"/>
                <w:szCs w:val="16"/>
                <w:lang w:val="en-US"/>
              </w:rPr>
              <w:t>ed Tripartite Guideline Q8 (R2).</w:t>
            </w:r>
          </w:p>
        </w:tc>
      </w:tr>
      <w:tr w:rsidR="00CD67E0" w:rsidRPr="00DD29AF" w14:paraId="7AF161DC" w14:textId="77777777" w:rsidTr="00335F65">
        <w:tc>
          <w:tcPr>
            <w:tcW w:w="4421" w:type="dxa"/>
          </w:tcPr>
          <w:p w14:paraId="61B94949" w14:textId="77777777" w:rsidR="00CD67E0" w:rsidRPr="00D429B4" w:rsidRDefault="00CD67E0" w:rsidP="00CD67E0">
            <w:pPr>
              <w:pStyle w:val="Texto"/>
              <w:spacing w:line="276" w:lineRule="auto"/>
              <w:ind w:firstLine="0"/>
              <w:rPr>
                <w:rFonts w:ascii="Verdana" w:hAnsi="Verdana"/>
                <w:b/>
                <w:sz w:val="16"/>
                <w:szCs w:val="16"/>
                <w:lang w:val="es-MX"/>
              </w:rPr>
            </w:pPr>
            <w:r w:rsidRPr="00C73D15">
              <w:rPr>
                <w:rFonts w:ascii="Verdana" w:hAnsi="Verdana"/>
                <w:b/>
                <w:sz w:val="16"/>
                <w:szCs w:val="16"/>
                <w:lang w:val="en-US"/>
              </w:rPr>
              <w:t xml:space="preserve">18.38 </w:t>
            </w:r>
            <w:r w:rsidRPr="00C73D15">
              <w:rPr>
                <w:rFonts w:ascii="Verdana" w:hAnsi="Verdana"/>
                <w:sz w:val="16"/>
                <w:szCs w:val="16"/>
                <w:lang w:val="en-US"/>
              </w:rPr>
              <w:t xml:space="preserve">ICH (2011). Development and Manufacture of Drug Substances (Chemic al Entities and Biotechnological/Biological Entities). </w:t>
            </w:r>
            <w:r w:rsidRPr="00D429B4">
              <w:rPr>
                <w:rFonts w:ascii="Verdana" w:hAnsi="Verdana"/>
                <w:sz w:val="16"/>
                <w:szCs w:val="16"/>
                <w:lang w:val="es-MX"/>
              </w:rPr>
              <w:t>Draft Consensus Guideline Q11.</w:t>
            </w:r>
          </w:p>
        </w:tc>
        <w:tc>
          <w:tcPr>
            <w:tcW w:w="4421" w:type="dxa"/>
          </w:tcPr>
          <w:p w14:paraId="1C3D68FD"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18.38 </w:t>
            </w:r>
            <w:r w:rsidRPr="00D429B4">
              <w:rPr>
                <w:rFonts w:ascii="Verdana" w:hAnsi="Verdana"/>
                <w:sz w:val="16"/>
                <w:szCs w:val="16"/>
                <w:lang w:val="en-US"/>
              </w:rPr>
              <w:t>ICH (2011). Development and Manufacture of Drug Substances (Chemic al Entities and Biotechnological/Biological Entities). Draft Consensus Guideline Q11.</w:t>
            </w:r>
          </w:p>
        </w:tc>
      </w:tr>
      <w:tr w:rsidR="00CD67E0" w:rsidRPr="00DD29AF" w14:paraId="6DB2B4DF" w14:textId="77777777" w:rsidTr="00335F65">
        <w:tc>
          <w:tcPr>
            <w:tcW w:w="4421" w:type="dxa"/>
          </w:tcPr>
          <w:p w14:paraId="19443EB8" w14:textId="77777777" w:rsidR="00CD67E0" w:rsidRPr="00D429B4" w:rsidRDefault="00CD67E0" w:rsidP="00CD67E0">
            <w:pPr>
              <w:pStyle w:val="Texto"/>
              <w:spacing w:line="276" w:lineRule="auto"/>
              <w:ind w:firstLine="0"/>
              <w:rPr>
                <w:rFonts w:ascii="Verdana" w:hAnsi="Verdana"/>
                <w:b/>
                <w:sz w:val="16"/>
                <w:szCs w:val="16"/>
                <w:lang w:val="es-MX"/>
              </w:rPr>
            </w:pPr>
            <w:r w:rsidRPr="00C73D15">
              <w:rPr>
                <w:rFonts w:ascii="Verdana" w:hAnsi="Verdana"/>
                <w:b/>
                <w:sz w:val="16"/>
                <w:szCs w:val="16"/>
                <w:lang w:val="en-US"/>
              </w:rPr>
              <w:t xml:space="preserve">18.39 </w:t>
            </w:r>
            <w:r w:rsidRPr="00C73D15">
              <w:rPr>
                <w:rFonts w:ascii="Verdana" w:hAnsi="Verdana"/>
                <w:sz w:val="16"/>
                <w:szCs w:val="16"/>
                <w:lang w:val="en-US"/>
              </w:rPr>
              <w:t xml:space="preserve">Vesper, J. L. (2006) Risk assessment and risk management in the pharmaceutical industry. </w:t>
            </w:r>
            <w:r w:rsidRPr="00D429B4">
              <w:rPr>
                <w:rFonts w:ascii="Verdana" w:hAnsi="Verdana"/>
                <w:sz w:val="16"/>
                <w:szCs w:val="16"/>
                <w:lang w:val="es-MX"/>
              </w:rPr>
              <w:t>Clear and simple. PDA/DHI.</w:t>
            </w:r>
          </w:p>
        </w:tc>
        <w:tc>
          <w:tcPr>
            <w:tcW w:w="4421" w:type="dxa"/>
          </w:tcPr>
          <w:p w14:paraId="6A26CDD1"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18.39 </w:t>
            </w:r>
            <w:r w:rsidRPr="00D429B4">
              <w:rPr>
                <w:rFonts w:ascii="Verdana" w:hAnsi="Verdana"/>
                <w:sz w:val="16"/>
                <w:szCs w:val="16"/>
                <w:lang w:val="en-US"/>
              </w:rPr>
              <w:t>Vesper, J. L. (2006) Risk assessment and risk management in the pharmaceutical industry. Clear and simple. PDA/DHI.</w:t>
            </w:r>
          </w:p>
        </w:tc>
      </w:tr>
      <w:tr w:rsidR="00CD67E0" w:rsidRPr="0057752A" w14:paraId="4E09CEF8" w14:textId="77777777" w:rsidTr="00335F65">
        <w:tc>
          <w:tcPr>
            <w:tcW w:w="4421" w:type="dxa"/>
          </w:tcPr>
          <w:p w14:paraId="7BD1C911" w14:textId="77777777" w:rsidR="00CD67E0" w:rsidRPr="00C73D15" w:rsidRDefault="00CD67E0" w:rsidP="00CD67E0">
            <w:pPr>
              <w:pStyle w:val="Texto"/>
              <w:spacing w:line="276" w:lineRule="auto"/>
              <w:ind w:firstLine="0"/>
              <w:rPr>
                <w:rFonts w:ascii="Verdana" w:hAnsi="Verdana"/>
                <w:b/>
                <w:sz w:val="16"/>
                <w:szCs w:val="16"/>
                <w:lang w:val="en-US"/>
              </w:rPr>
            </w:pPr>
            <w:r w:rsidRPr="00C73D15">
              <w:rPr>
                <w:rFonts w:ascii="Verdana" w:hAnsi="Verdana"/>
                <w:b/>
                <w:sz w:val="16"/>
                <w:szCs w:val="16"/>
                <w:lang w:val="en-US"/>
              </w:rPr>
              <w:t xml:space="preserve">18.40 </w:t>
            </w:r>
            <w:r w:rsidRPr="00C73D15">
              <w:rPr>
                <w:rFonts w:ascii="Verdana" w:hAnsi="Verdana"/>
                <w:sz w:val="16"/>
                <w:szCs w:val="16"/>
                <w:lang w:val="en-US"/>
              </w:rPr>
              <w:t>CEI/IEC (1985) Techniques d’analyse de la fiabilité des systèmes. Procédured’analyse des modes de défaillance et de leurseffets (AMDE) / Analysis techniques for system reliability. Procedure for failure mode and effects analysis (FMEA). Norme international/International standard 608121985.</w:t>
            </w:r>
          </w:p>
        </w:tc>
        <w:tc>
          <w:tcPr>
            <w:tcW w:w="4421" w:type="dxa"/>
          </w:tcPr>
          <w:p w14:paraId="3A1B8D55" w14:textId="77777777" w:rsidR="00CD67E0" w:rsidRPr="00D429B4" w:rsidRDefault="00CD67E0" w:rsidP="00CD67E0">
            <w:pPr>
              <w:pStyle w:val="Texto"/>
              <w:spacing w:line="276" w:lineRule="auto"/>
              <w:ind w:firstLine="0"/>
              <w:rPr>
                <w:rFonts w:ascii="Verdana" w:hAnsi="Verdana"/>
                <w:b/>
                <w:sz w:val="16"/>
                <w:szCs w:val="16"/>
                <w:lang w:val="en-US"/>
              </w:rPr>
            </w:pPr>
            <w:r>
              <w:rPr>
                <w:rFonts w:ascii="Verdana" w:hAnsi="Verdana"/>
                <w:b/>
                <w:sz w:val="16"/>
                <w:szCs w:val="16"/>
                <w:lang w:val="en-US"/>
              </w:rPr>
              <w:t xml:space="preserve">18.40 </w:t>
            </w:r>
            <w:r w:rsidRPr="007D3C22">
              <w:rPr>
                <w:rFonts w:ascii="Verdana" w:hAnsi="Verdana"/>
                <w:sz w:val="16"/>
                <w:szCs w:val="16"/>
                <w:lang w:val="en-US"/>
              </w:rPr>
              <w:t xml:space="preserve">(AMDE) / Analysis techniques for system reliability. Procedure for failure mode and effects analysis (FMEA). </w:t>
            </w:r>
            <w:r w:rsidRPr="00D429B4">
              <w:rPr>
                <w:rFonts w:ascii="Verdana" w:hAnsi="Verdana"/>
                <w:sz w:val="16"/>
                <w:szCs w:val="16"/>
                <w:lang w:val="es-MX"/>
              </w:rPr>
              <w:t>Norme international/International standard 608121985.</w:t>
            </w:r>
          </w:p>
        </w:tc>
      </w:tr>
      <w:tr w:rsidR="00CD67E0" w:rsidRPr="00DD29AF" w14:paraId="3A52E82B" w14:textId="77777777" w:rsidTr="00335F65">
        <w:tc>
          <w:tcPr>
            <w:tcW w:w="4421" w:type="dxa"/>
          </w:tcPr>
          <w:p w14:paraId="6955D8CF" w14:textId="77777777" w:rsidR="00CD67E0" w:rsidRPr="00D429B4" w:rsidRDefault="00CD67E0" w:rsidP="00CD67E0">
            <w:pPr>
              <w:pStyle w:val="Texto"/>
              <w:spacing w:line="276" w:lineRule="auto"/>
              <w:ind w:firstLine="0"/>
              <w:rPr>
                <w:rFonts w:ascii="Verdana" w:hAnsi="Verdana"/>
                <w:b/>
                <w:sz w:val="16"/>
                <w:szCs w:val="16"/>
                <w:lang w:val="es-MX"/>
              </w:rPr>
            </w:pPr>
            <w:r w:rsidRPr="00C73D15">
              <w:rPr>
                <w:rFonts w:ascii="Verdana" w:hAnsi="Verdana"/>
                <w:b/>
                <w:sz w:val="16"/>
                <w:szCs w:val="16"/>
                <w:lang w:val="en-US"/>
              </w:rPr>
              <w:t xml:space="preserve">18.41 </w:t>
            </w:r>
            <w:r w:rsidRPr="00C73D15">
              <w:rPr>
                <w:rFonts w:ascii="Verdana" w:hAnsi="Verdana"/>
                <w:sz w:val="16"/>
                <w:szCs w:val="16"/>
                <w:lang w:val="en-US"/>
              </w:rPr>
              <w:t xml:space="preserve">WHO (2003) Hazard and risk analysis in pharmaceutical products. </w:t>
            </w:r>
            <w:r w:rsidRPr="00D429B4">
              <w:rPr>
                <w:rFonts w:ascii="Verdana" w:hAnsi="Verdana"/>
                <w:sz w:val="16"/>
                <w:szCs w:val="16"/>
                <w:lang w:val="es-MX"/>
              </w:rPr>
              <w:t>Technical Report Series, No. 908. Annex 7.</w:t>
            </w:r>
          </w:p>
        </w:tc>
        <w:tc>
          <w:tcPr>
            <w:tcW w:w="4421" w:type="dxa"/>
          </w:tcPr>
          <w:p w14:paraId="1D6B5970"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 xml:space="preserve">18.41 </w:t>
            </w:r>
            <w:r w:rsidRPr="00D429B4">
              <w:rPr>
                <w:rFonts w:ascii="Verdana" w:hAnsi="Verdana"/>
                <w:sz w:val="16"/>
                <w:szCs w:val="16"/>
                <w:lang w:val="en-US"/>
              </w:rPr>
              <w:t>WHO (2003) Hazard and risk analysis in pharmaceutical products. Technical Report Series, No. 908. Annex 7.</w:t>
            </w:r>
          </w:p>
        </w:tc>
      </w:tr>
      <w:tr w:rsidR="00CD67E0" w:rsidRPr="00DD29AF" w14:paraId="7F564FAB" w14:textId="77777777" w:rsidTr="00335F65">
        <w:tc>
          <w:tcPr>
            <w:tcW w:w="4421" w:type="dxa"/>
          </w:tcPr>
          <w:p w14:paraId="19A1823B"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19. Observancia</w:t>
            </w:r>
          </w:p>
        </w:tc>
        <w:tc>
          <w:tcPr>
            <w:tcW w:w="4421" w:type="dxa"/>
            <w:shd w:val="clear" w:color="auto" w:fill="auto"/>
          </w:tcPr>
          <w:p w14:paraId="640DC548" w14:textId="77777777" w:rsidR="00CD67E0" w:rsidRPr="00D429B4" w:rsidRDefault="00CD67E0" w:rsidP="00CD67E0">
            <w:pPr>
              <w:pStyle w:val="Texto"/>
              <w:spacing w:line="276" w:lineRule="auto"/>
              <w:ind w:firstLine="0"/>
              <w:rPr>
                <w:rFonts w:ascii="Verdana" w:hAnsi="Verdana"/>
                <w:b/>
                <w:sz w:val="16"/>
                <w:szCs w:val="16"/>
                <w:lang w:val="en-US"/>
              </w:rPr>
            </w:pPr>
            <w:r w:rsidRPr="00D429B4">
              <w:rPr>
                <w:rFonts w:ascii="Verdana" w:hAnsi="Verdana"/>
                <w:b/>
                <w:sz w:val="16"/>
                <w:szCs w:val="16"/>
                <w:lang w:val="en-US"/>
              </w:rPr>
              <w:t>19. Observance</w:t>
            </w:r>
          </w:p>
        </w:tc>
      </w:tr>
      <w:tr w:rsidR="00CD67E0" w:rsidRPr="00861FCE" w14:paraId="6495C481" w14:textId="77777777" w:rsidTr="00335F65">
        <w:tc>
          <w:tcPr>
            <w:tcW w:w="4421" w:type="dxa"/>
          </w:tcPr>
          <w:p w14:paraId="2D3B3E4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La vigilancia del cumplimiento de esta Norma corresponde a la Secretaría de Salud y a los gobiernos de las entidades federativas en el ámbito de sus respectivas competencias.</w:t>
            </w:r>
          </w:p>
        </w:tc>
        <w:tc>
          <w:tcPr>
            <w:tcW w:w="4421" w:type="dxa"/>
            <w:shd w:val="clear" w:color="auto" w:fill="auto"/>
          </w:tcPr>
          <w:p w14:paraId="54D0AD50"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Oversight of this Standard is the responsibility of the Secretary of Health, and of the governments of the states within the scope of their respective powers.</w:t>
            </w:r>
          </w:p>
        </w:tc>
      </w:tr>
      <w:tr w:rsidR="00CD67E0" w:rsidRPr="00DD29AF" w14:paraId="18E54AE0" w14:textId="77777777" w:rsidTr="00335F65">
        <w:tc>
          <w:tcPr>
            <w:tcW w:w="4421" w:type="dxa"/>
          </w:tcPr>
          <w:p w14:paraId="60A07F06" w14:textId="77777777" w:rsidR="00CD67E0" w:rsidRPr="00D429B4" w:rsidRDefault="00CD67E0" w:rsidP="00CD67E0">
            <w:pPr>
              <w:pStyle w:val="Texto"/>
              <w:spacing w:line="276" w:lineRule="auto"/>
              <w:ind w:firstLine="0"/>
              <w:rPr>
                <w:rFonts w:ascii="Verdana" w:hAnsi="Verdana"/>
                <w:b/>
                <w:sz w:val="16"/>
                <w:szCs w:val="16"/>
                <w:lang w:val="es-MX"/>
              </w:rPr>
            </w:pPr>
            <w:r w:rsidRPr="00D429B4">
              <w:rPr>
                <w:rFonts w:ascii="Verdana" w:hAnsi="Verdana"/>
                <w:b/>
                <w:sz w:val="16"/>
                <w:szCs w:val="16"/>
                <w:lang w:val="es-MX"/>
              </w:rPr>
              <w:t>20. Vigencia</w:t>
            </w:r>
          </w:p>
        </w:tc>
        <w:tc>
          <w:tcPr>
            <w:tcW w:w="4421" w:type="dxa"/>
            <w:shd w:val="clear" w:color="auto" w:fill="auto"/>
          </w:tcPr>
          <w:p w14:paraId="0835F42E" w14:textId="77777777" w:rsidR="00CD67E0" w:rsidRPr="00D429B4" w:rsidRDefault="00CD67E0" w:rsidP="00CD67E0">
            <w:pPr>
              <w:spacing w:line="276" w:lineRule="auto"/>
              <w:jc w:val="both"/>
              <w:rPr>
                <w:rFonts w:ascii="Verdana" w:hAnsi="Verdana"/>
                <w:b/>
                <w:sz w:val="16"/>
                <w:lang w:val="en-US"/>
              </w:rPr>
            </w:pPr>
            <w:r w:rsidRPr="00D429B4">
              <w:rPr>
                <w:rFonts w:ascii="Verdana" w:hAnsi="Verdana"/>
                <w:b/>
                <w:sz w:val="16"/>
                <w:lang w:val="en-US"/>
              </w:rPr>
              <w:t xml:space="preserve">16. Validity </w:t>
            </w:r>
          </w:p>
        </w:tc>
      </w:tr>
      <w:tr w:rsidR="00CD67E0" w:rsidRPr="00861FCE" w14:paraId="4BAA5048" w14:textId="77777777" w:rsidTr="00335F65">
        <w:tc>
          <w:tcPr>
            <w:tcW w:w="4421" w:type="dxa"/>
          </w:tcPr>
          <w:p w14:paraId="2F7635C3"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Esta Norma entrará en vigor a los 180 días naturales posteriores a su publicación en el Diario Oficial de  la Federación.</w:t>
            </w:r>
          </w:p>
        </w:tc>
        <w:tc>
          <w:tcPr>
            <w:tcW w:w="4421" w:type="dxa"/>
            <w:shd w:val="clear" w:color="auto" w:fill="auto"/>
          </w:tcPr>
          <w:p w14:paraId="64F95121" w14:textId="77777777" w:rsidR="00CD67E0" w:rsidRPr="00D429B4" w:rsidRDefault="00CD67E0" w:rsidP="00CD67E0">
            <w:pPr>
              <w:spacing w:line="276" w:lineRule="auto"/>
              <w:jc w:val="both"/>
              <w:rPr>
                <w:rFonts w:ascii="Verdana" w:hAnsi="Verdana"/>
                <w:bCs/>
                <w:sz w:val="16"/>
                <w:lang w:val="en-US"/>
              </w:rPr>
            </w:pPr>
            <w:r w:rsidRPr="00D429B4">
              <w:rPr>
                <w:rFonts w:ascii="Verdana" w:hAnsi="Verdana"/>
                <w:bCs/>
                <w:sz w:val="16"/>
                <w:lang w:val="en-US"/>
              </w:rPr>
              <w:t>This Standard takes effect 180 days after its publication in the Official Daily of the Federation.</w:t>
            </w:r>
          </w:p>
        </w:tc>
      </w:tr>
      <w:tr w:rsidR="00CD67E0" w:rsidRPr="009774A8" w14:paraId="1BF00736" w14:textId="77777777" w:rsidTr="00335F65">
        <w:tc>
          <w:tcPr>
            <w:tcW w:w="4421" w:type="dxa"/>
          </w:tcPr>
          <w:p w14:paraId="5FD6A635" w14:textId="77777777" w:rsidR="00CD67E0" w:rsidRPr="00D429B4" w:rsidRDefault="00CD67E0" w:rsidP="00CD67E0">
            <w:pPr>
              <w:pStyle w:val="ANOTACION"/>
              <w:spacing w:line="276" w:lineRule="auto"/>
              <w:rPr>
                <w:rFonts w:ascii="Verdana" w:hAnsi="Verdana"/>
                <w:sz w:val="16"/>
                <w:szCs w:val="16"/>
                <w:lang w:val="es-MX"/>
              </w:rPr>
            </w:pPr>
            <w:r w:rsidRPr="00D429B4">
              <w:rPr>
                <w:rFonts w:ascii="Verdana" w:hAnsi="Verdana"/>
                <w:sz w:val="16"/>
                <w:szCs w:val="16"/>
                <w:lang w:val="es-MX"/>
              </w:rPr>
              <w:t>TRANSITORIO</w:t>
            </w:r>
          </w:p>
        </w:tc>
        <w:tc>
          <w:tcPr>
            <w:tcW w:w="4421" w:type="dxa"/>
            <w:shd w:val="clear" w:color="auto" w:fill="auto"/>
          </w:tcPr>
          <w:p w14:paraId="48B3271B" w14:textId="77777777" w:rsidR="00CD67E0" w:rsidRPr="00D429B4" w:rsidRDefault="00CD67E0" w:rsidP="00CD67E0">
            <w:pPr>
              <w:pStyle w:val="ANOTACION"/>
              <w:spacing w:line="276" w:lineRule="auto"/>
              <w:rPr>
                <w:rFonts w:ascii="Verdana" w:hAnsi="Verdana"/>
                <w:sz w:val="16"/>
                <w:szCs w:val="16"/>
                <w:lang w:val="en-US"/>
              </w:rPr>
            </w:pPr>
            <w:r w:rsidRPr="00D429B4">
              <w:rPr>
                <w:rFonts w:ascii="Verdana" w:hAnsi="Verdana"/>
                <w:sz w:val="16"/>
                <w:szCs w:val="16"/>
                <w:lang w:val="en-US"/>
              </w:rPr>
              <w:t>TRANSITIONAL ARTICLE</w:t>
            </w:r>
          </w:p>
        </w:tc>
      </w:tr>
      <w:tr w:rsidR="00CD67E0" w:rsidRPr="00861FCE" w14:paraId="5021C54B" w14:textId="77777777" w:rsidTr="00335F65">
        <w:tc>
          <w:tcPr>
            <w:tcW w:w="4421" w:type="dxa"/>
          </w:tcPr>
          <w:p w14:paraId="62515245"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b/>
                <w:sz w:val="16"/>
                <w:szCs w:val="16"/>
                <w:lang w:val="es-MX"/>
              </w:rPr>
              <w:t>ÚNICO.</w:t>
            </w:r>
            <w:r w:rsidRPr="00D429B4">
              <w:rPr>
                <w:rFonts w:ascii="Verdana" w:hAnsi="Verdana"/>
                <w:sz w:val="16"/>
                <w:szCs w:val="16"/>
                <w:lang w:val="es-MX"/>
              </w:rPr>
              <w:t xml:space="preserve"> La presente Norma cancela la Norma Oficial Mexicana NOM-059-SSA1-2013, Buenas prácticas de fabricación de medicamentos, publicada en el Diario Oficial de la Federación el 22 de julio de 2013.</w:t>
            </w:r>
          </w:p>
        </w:tc>
        <w:tc>
          <w:tcPr>
            <w:tcW w:w="4421" w:type="dxa"/>
          </w:tcPr>
          <w:p w14:paraId="64CE0EFC"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b/>
                <w:sz w:val="16"/>
                <w:szCs w:val="16"/>
                <w:lang w:val="en-US"/>
              </w:rPr>
              <w:t xml:space="preserve">SOLE. </w:t>
            </w:r>
            <w:r w:rsidRPr="00D429B4">
              <w:rPr>
                <w:rFonts w:ascii="Verdana" w:hAnsi="Verdana"/>
                <w:sz w:val="16"/>
                <w:szCs w:val="16"/>
                <w:lang w:val="en-US"/>
              </w:rPr>
              <w:t xml:space="preserve">This Standard cancels the Official Mexican Standard NOM-059-SSA1-2013, Good Manufacturing practices of drug products, published in the Official Daily of the Federation on July 22, 2013.  </w:t>
            </w:r>
          </w:p>
        </w:tc>
      </w:tr>
      <w:tr w:rsidR="00CD67E0" w:rsidRPr="009774A8" w14:paraId="4DD2F4FF" w14:textId="77777777" w:rsidTr="00335F65">
        <w:tc>
          <w:tcPr>
            <w:tcW w:w="4421" w:type="dxa"/>
          </w:tcPr>
          <w:p w14:paraId="3A9AAFBA" w14:textId="77777777" w:rsidR="00CD67E0" w:rsidRPr="00D429B4" w:rsidRDefault="00CD67E0" w:rsidP="00CD67E0">
            <w:pPr>
              <w:pStyle w:val="Texto"/>
              <w:spacing w:line="276" w:lineRule="auto"/>
              <w:ind w:firstLine="0"/>
              <w:rPr>
                <w:rFonts w:ascii="Verdana" w:hAnsi="Verdana"/>
                <w:sz w:val="16"/>
                <w:szCs w:val="16"/>
                <w:lang w:val="es-MX"/>
              </w:rPr>
            </w:pPr>
            <w:r w:rsidRPr="00D429B4">
              <w:rPr>
                <w:rFonts w:ascii="Verdana" w:hAnsi="Verdana"/>
                <w:sz w:val="16"/>
                <w:szCs w:val="16"/>
                <w:lang w:val="es-MX"/>
              </w:rPr>
              <w:t xml:space="preserve">México, D.F., a 4 de enero de 2016.- El Comisionado Federal para la Protección contra Riesgos Sanitarios y Presidente del Comité Consultivo Nacional de Normalización de Regulación y Fomento Sanitario, </w:t>
            </w:r>
            <w:r w:rsidRPr="00D429B4">
              <w:rPr>
                <w:rFonts w:ascii="Verdana" w:hAnsi="Verdana"/>
                <w:b/>
                <w:sz w:val="16"/>
                <w:szCs w:val="16"/>
                <w:lang w:val="es-MX"/>
              </w:rPr>
              <w:t>Mikel Andoni Arriola Peñalosa</w:t>
            </w:r>
            <w:r w:rsidRPr="00D429B4">
              <w:rPr>
                <w:rFonts w:ascii="Verdana" w:hAnsi="Verdana"/>
                <w:sz w:val="16"/>
                <w:szCs w:val="16"/>
                <w:lang w:val="es-MX"/>
              </w:rPr>
              <w:t>.- Rúbrica.</w:t>
            </w:r>
          </w:p>
        </w:tc>
        <w:tc>
          <w:tcPr>
            <w:tcW w:w="4421" w:type="dxa"/>
          </w:tcPr>
          <w:p w14:paraId="5B545879" w14:textId="77777777" w:rsidR="00CD67E0" w:rsidRPr="00D429B4" w:rsidRDefault="00CD67E0" w:rsidP="00CD67E0">
            <w:pPr>
              <w:pStyle w:val="Texto"/>
              <w:spacing w:line="276" w:lineRule="auto"/>
              <w:ind w:firstLine="0"/>
              <w:rPr>
                <w:rFonts w:ascii="Verdana" w:hAnsi="Verdana"/>
                <w:sz w:val="16"/>
                <w:szCs w:val="16"/>
                <w:lang w:val="en-US"/>
              </w:rPr>
            </w:pPr>
            <w:r w:rsidRPr="00D429B4">
              <w:rPr>
                <w:rFonts w:ascii="Verdana" w:hAnsi="Verdana"/>
                <w:sz w:val="16"/>
                <w:szCs w:val="16"/>
                <w:lang w:val="en-US"/>
              </w:rPr>
              <w:t>Mexico, Federal District, on January 4, 2016. The Federal Commissioner of Protection from Sanitary Risks and the President of the National Consultative Committee of Standardization of Regulation and Sanitary Development,</w:t>
            </w:r>
            <w:r w:rsidRPr="00D429B4">
              <w:rPr>
                <w:rFonts w:ascii="Verdana" w:hAnsi="Verdana" w:cs="Times New Roman"/>
                <w:b/>
                <w:sz w:val="16"/>
                <w:szCs w:val="16"/>
                <w:lang w:val="en-US"/>
              </w:rPr>
              <w:t xml:space="preserve"> </w:t>
            </w:r>
            <w:r w:rsidRPr="00D429B4">
              <w:rPr>
                <w:rFonts w:ascii="Verdana" w:hAnsi="Verdana"/>
                <w:b/>
                <w:sz w:val="16"/>
                <w:szCs w:val="16"/>
                <w:lang w:val="en-US"/>
              </w:rPr>
              <w:t>Mikel Andoni Arriola Peñalosa</w:t>
            </w:r>
            <w:r w:rsidRPr="00D429B4">
              <w:rPr>
                <w:rFonts w:ascii="Verdana" w:hAnsi="Verdana"/>
                <w:sz w:val="16"/>
                <w:szCs w:val="16"/>
                <w:lang w:val="en-US"/>
              </w:rPr>
              <w:t xml:space="preserve">.- Signed. </w:t>
            </w:r>
          </w:p>
        </w:tc>
      </w:tr>
      <w:tr w:rsidR="00CD67E0" w:rsidRPr="009774A8" w14:paraId="5FAC61D4" w14:textId="77777777" w:rsidTr="00335F65">
        <w:tc>
          <w:tcPr>
            <w:tcW w:w="4421" w:type="dxa"/>
          </w:tcPr>
          <w:p w14:paraId="310DA8B7" w14:textId="77777777" w:rsidR="00CD67E0" w:rsidRPr="00D429B4" w:rsidRDefault="00CD67E0" w:rsidP="00CD67E0">
            <w:pPr>
              <w:pStyle w:val="Texto"/>
              <w:spacing w:line="276" w:lineRule="auto"/>
              <w:ind w:firstLine="0"/>
              <w:rPr>
                <w:rFonts w:ascii="Verdana" w:hAnsi="Verdana"/>
                <w:sz w:val="16"/>
                <w:szCs w:val="16"/>
                <w:lang w:val="es-MX"/>
              </w:rPr>
            </w:pPr>
          </w:p>
        </w:tc>
        <w:tc>
          <w:tcPr>
            <w:tcW w:w="4421" w:type="dxa"/>
          </w:tcPr>
          <w:p w14:paraId="740E324B" w14:textId="77777777" w:rsidR="00CD67E0" w:rsidRPr="00D429B4" w:rsidRDefault="00CD67E0" w:rsidP="00CD67E0">
            <w:pPr>
              <w:pStyle w:val="Texto"/>
              <w:spacing w:line="276" w:lineRule="auto"/>
              <w:ind w:firstLine="0"/>
              <w:rPr>
                <w:rFonts w:ascii="Verdana" w:hAnsi="Verdana"/>
                <w:sz w:val="16"/>
                <w:szCs w:val="16"/>
                <w:lang w:val="en-US"/>
              </w:rPr>
            </w:pPr>
          </w:p>
        </w:tc>
      </w:tr>
    </w:tbl>
    <w:p w14:paraId="62510ECC" w14:textId="77777777" w:rsidR="0092514C" w:rsidRPr="009774A8" w:rsidRDefault="0092514C" w:rsidP="005C0901">
      <w:pPr>
        <w:pStyle w:val="Texto"/>
        <w:spacing w:line="276" w:lineRule="auto"/>
        <w:rPr>
          <w:rFonts w:ascii="Verdana" w:hAnsi="Verdana"/>
          <w:sz w:val="16"/>
          <w:szCs w:val="16"/>
          <w:lang w:val="en-US"/>
        </w:rPr>
        <w:sectPr w:rsidR="0092514C" w:rsidRPr="009774A8" w:rsidSect="00EE7E8A">
          <w:headerReference w:type="even" r:id="rId12"/>
          <w:headerReference w:type="default" r:id="rId13"/>
          <w:footerReference w:type="even" r:id="rId14"/>
          <w:footerReference w:type="default" r:id="rId15"/>
          <w:headerReference w:type="first" r:id="rId16"/>
          <w:footerReference w:type="first" r:id="rId17"/>
          <w:pgSz w:w="12240" w:h="15840" w:code="1"/>
          <w:pgMar w:top="1152" w:right="1699" w:bottom="1296" w:left="1699" w:header="706" w:footer="706" w:gutter="0"/>
          <w:cols w:space="708"/>
          <w:docGrid w:linePitch="360"/>
        </w:sectPr>
      </w:pPr>
    </w:p>
    <w:p w14:paraId="5AB1985A" w14:textId="77777777" w:rsidR="0092514C" w:rsidRPr="00262EF8" w:rsidRDefault="0092514C" w:rsidP="005C0901">
      <w:pPr>
        <w:pStyle w:val="Texto"/>
        <w:spacing w:line="276" w:lineRule="auto"/>
        <w:ind w:firstLine="0"/>
        <w:jc w:val="center"/>
        <w:rPr>
          <w:rFonts w:ascii="Verdana" w:hAnsi="Verdana"/>
          <w:b/>
          <w:sz w:val="16"/>
          <w:szCs w:val="16"/>
        </w:rPr>
      </w:pPr>
      <w:r w:rsidRPr="00262EF8">
        <w:rPr>
          <w:rFonts w:ascii="Verdana" w:hAnsi="Verdana"/>
          <w:b/>
          <w:sz w:val="16"/>
          <w:szCs w:val="16"/>
        </w:rPr>
        <w:lastRenderedPageBreak/>
        <w:t>21. Apéndice A Normativo. Áreas de fabricación.</w:t>
      </w:r>
    </w:p>
    <w:tbl>
      <w:tblPr>
        <w:tblW w:w="12974" w:type="dxa"/>
        <w:tblInd w:w="144" w:type="dxa"/>
        <w:tblLayout w:type="fixed"/>
        <w:tblCellMar>
          <w:left w:w="43" w:type="dxa"/>
          <w:right w:w="43" w:type="dxa"/>
        </w:tblCellMar>
        <w:tblLook w:val="0000" w:firstRow="0" w:lastRow="0" w:firstColumn="0" w:lastColumn="0" w:noHBand="0" w:noVBand="0"/>
      </w:tblPr>
      <w:tblGrid>
        <w:gridCol w:w="853"/>
        <w:gridCol w:w="2172"/>
        <w:gridCol w:w="887"/>
        <w:gridCol w:w="738"/>
        <w:gridCol w:w="1034"/>
        <w:gridCol w:w="1033"/>
        <w:gridCol w:w="1183"/>
        <w:gridCol w:w="1328"/>
        <w:gridCol w:w="1031"/>
        <w:gridCol w:w="887"/>
        <w:gridCol w:w="1828"/>
      </w:tblGrid>
      <w:tr w:rsidR="0092514C" w:rsidRPr="00262EF8" w14:paraId="645BE279" w14:textId="77777777">
        <w:trPr>
          <w:trHeight w:val="144"/>
        </w:trPr>
        <w:tc>
          <w:tcPr>
            <w:tcW w:w="853" w:type="dxa"/>
            <w:vMerge w:val="restart"/>
            <w:tcBorders>
              <w:top w:val="single" w:sz="6" w:space="0" w:color="auto"/>
              <w:left w:val="single" w:sz="6" w:space="0" w:color="auto"/>
              <w:right w:val="single" w:sz="6" w:space="0" w:color="auto"/>
            </w:tcBorders>
            <w:shd w:val="clear" w:color="auto" w:fill="FFFFFF"/>
            <w:vAlign w:val="center"/>
          </w:tcPr>
          <w:p w14:paraId="6A2E9247"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r w:rsidRPr="00D429B4">
              <w:rPr>
                <w:rFonts w:ascii="Verdana" w:hAnsi="Verdana"/>
                <w:b/>
                <w:sz w:val="16"/>
                <w:szCs w:val="16"/>
                <w:lang w:val="es-MX"/>
              </w:rPr>
              <w:t>Clasificación</w:t>
            </w:r>
          </w:p>
        </w:tc>
        <w:tc>
          <w:tcPr>
            <w:tcW w:w="2172" w:type="dxa"/>
            <w:vMerge w:val="restart"/>
            <w:tcBorders>
              <w:top w:val="single" w:sz="6" w:space="0" w:color="auto"/>
              <w:left w:val="single" w:sz="6" w:space="0" w:color="auto"/>
              <w:right w:val="single" w:sz="6" w:space="0" w:color="auto"/>
            </w:tcBorders>
            <w:shd w:val="clear" w:color="auto" w:fill="FFFFFF"/>
            <w:vAlign w:val="center"/>
          </w:tcPr>
          <w:p w14:paraId="17AEA8FA"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r w:rsidRPr="00D429B4">
              <w:rPr>
                <w:rFonts w:ascii="Verdana" w:hAnsi="Verdana"/>
                <w:b/>
                <w:sz w:val="16"/>
                <w:szCs w:val="16"/>
                <w:lang w:val="es-MX"/>
              </w:rPr>
              <w:t>Ejemplos de procesos</w:t>
            </w:r>
            <w:r w:rsidRPr="00D429B4">
              <w:rPr>
                <w:rFonts w:ascii="Verdana" w:hAnsi="Verdana"/>
                <w:b/>
                <w:i/>
                <w:position w:val="5"/>
                <w:sz w:val="16"/>
                <w:szCs w:val="16"/>
                <w:lang w:val="es-MX"/>
              </w:rPr>
              <w:t>a</w:t>
            </w:r>
          </w:p>
        </w:tc>
        <w:tc>
          <w:tcPr>
            <w:tcW w:w="26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229549FA"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r w:rsidRPr="00D429B4">
              <w:rPr>
                <w:rFonts w:ascii="Verdana" w:hAnsi="Verdana"/>
                <w:b/>
                <w:sz w:val="16"/>
                <w:szCs w:val="16"/>
                <w:lang w:val="es-MX"/>
              </w:rPr>
              <w:t>Número máximo permitido de partículas</w:t>
            </w:r>
            <w:r w:rsidRPr="00D429B4">
              <w:rPr>
                <w:rFonts w:ascii="Verdana" w:hAnsi="Verdana"/>
                <w:b/>
                <w:i/>
                <w:position w:val="5"/>
                <w:sz w:val="16"/>
                <w:szCs w:val="16"/>
                <w:lang w:val="es-MX"/>
              </w:rPr>
              <w:t>h</w:t>
            </w:r>
            <w:r w:rsidRPr="00D429B4">
              <w:rPr>
                <w:rFonts w:ascii="Verdana" w:hAnsi="Verdana"/>
                <w:b/>
                <w:sz w:val="16"/>
                <w:szCs w:val="16"/>
                <w:lang w:val="es-MX"/>
              </w:rPr>
              <w:t xml:space="preserve"> totales/m</w:t>
            </w:r>
            <w:r w:rsidRPr="00D429B4">
              <w:rPr>
                <w:rFonts w:ascii="Verdana" w:hAnsi="Verdana"/>
                <w:b/>
                <w:position w:val="4"/>
                <w:sz w:val="16"/>
                <w:szCs w:val="16"/>
                <w:lang w:val="es-MX"/>
              </w:rPr>
              <w:t>3</w:t>
            </w:r>
            <w:r w:rsidRPr="00D429B4">
              <w:rPr>
                <w:rFonts w:ascii="Verdana" w:hAnsi="Verdana"/>
                <w:b/>
                <w:sz w:val="16"/>
                <w:szCs w:val="16"/>
                <w:lang w:val="es-MX"/>
              </w:rPr>
              <w:t>:</w:t>
            </w:r>
          </w:p>
        </w:tc>
        <w:tc>
          <w:tcPr>
            <w:tcW w:w="221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443B66A"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r w:rsidRPr="00D429B4">
              <w:rPr>
                <w:rFonts w:ascii="Verdana" w:hAnsi="Verdana"/>
                <w:b/>
                <w:sz w:val="16"/>
                <w:szCs w:val="16"/>
                <w:lang w:val="es-MX"/>
              </w:rPr>
              <w:t>Partículas viables</w:t>
            </w:r>
            <w:r w:rsidRPr="00D429B4">
              <w:rPr>
                <w:rFonts w:ascii="Verdana" w:hAnsi="Verdana"/>
                <w:b/>
                <w:i/>
                <w:position w:val="5"/>
                <w:sz w:val="16"/>
                <w:szCs w:val="16"/>
                <w:lang w:val="es-MX"/>
              </w:rPr>
              <w:t>b</w:t>
            </w:r>
          </w:p>
        </w:tc>
        <w:tc>
          <w:tcPr>
            <w:tcW w:w="1328" w:type="dxa"/>
            <w:vMerge w:val="restart"/>
            <w:tcBorders>
              <w:top w:val="single" w:sz="6" w:space="0" w:color="auto"/>
              <w:left w:val="single" w:sz="6" w:space="0" w:color="auto"/>
              <w:right w:val="single" w:sz="6" w:space="0" w:color="auto"/>
            </w:tcBorders>
            <w:shd w:val="clear" w:color="auto" w:fill="FFFFFF"/>
            <w:vAlign w:val="center"/>
          </w:tcPr>
          <w:p w14:paraId="44B9DBFF"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r w:rsidRPr="00D429B4">
              <w:rPr>
                <w:rFonts w:ascii="Verdana" w:hAnsi="Verdana"/>
                <w:b/>
                <w:sz w:val="16"/>
                <w:szCs w:val="16"/>
                <w:lang w:val="es-MX"/>
              </w:rPr>
              <w:t>Presión diferencial y flujo de aire</w:t>
            </w:r>
          </w:p>
        </w:tc>
        <w:tc>
          <w:tcPr>
            <w:tcW w:w="1031" w:type="dxa"/>
            <w:vMerge w:val="restart"/>
            <w:tcBorders>
              <w:top w:val="single" w:sz="6" w:space="0" w:color="auto"/>
              <w:left w:val="single" w:sz="6" w:space="0" w:color="auto"/>
              <w:right w:val="single" w:sz="6" w:space="0" w:color="auto"/>
            </w:tcBorders>
            <w:shd w:val="clear" w:color="auto" w:fill="FFFFFF"/>
            <w:vAlign w:val="center"/>
          </w:tcPr>
          <w:p w14:paraId="29399729"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r w:rsidRPr="00D429B4">
              <w:rPr>
                <w:rFonts w:ascii="Verdana" w:hAnsi="Verdana"/>
                <w:b/>
                <w:sz w:val="16"/>
                <w:szCs w:val="16"/>
                <w:lang w:val="es-MX"/>
              </w:rPr>
              <w:t>Cambios de aire por hora</w:t>
            </w:r>
            <w:r w:rsidRPr="00D429B4">
              <w:rPr>
                <w:rFonts w:ascii="Verdana" w:hAnsi="Verdana"/>
                <w:b/>
                <w:i/>
                <w:position w:val="5"/>
                <w:sz w:val="16"/>
                <w:szCs w:val="16"/>
                <w:lang w:val="es-MX"/>
              </w:rPr>
              <w:t>i</w:t>
            </w:r>
          </w:p>
        </w:tc>
        <w:tc>
          <w:tcPr>
            <w:tcW w:w="887" w:type="dxa"/>
            <w:vMerge w:val="restart"/>
            <w:tcBorders>
              <w:top w:val="single" w:sz="6" w:space="0" w:color="auto"/>
              <w:left w:val="single" w:sz="6" w:space="0" w:color="auto"/>
              <w:right w:val="single" w:sz="6" w:space="0" w:color="auto"/>
            </w:tcBorders>
            <w:shd w:val="clear" w:color="auto" w:fill="FFFFFF"/>
            <w:vAlign w:val="center"/>
          </w:tcPr>
          <w:p w14:paraId="2168CB59"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r w:rsidRPr="00D429B4">
              <w:rPr>
                <w:rFonts w:ascii="Verdana" w:hAnsi="Verdana"/>
                <w:b/>
                <w:sz w:val="16"/>
                <w:szCs w:val="16"/>
                <w:lang w:val="es-MX"/>
              </w:rPr>
              <w:t>Temperatura y humedad</w:t>
            </w:r>
          </w:p>
        </w:tc>
        <w:tc>
          <w:tcPr>
            <w:tcW w:w="1828" w:type="dxa"/>
            <w:vMerge w:val="restart"/>
            <w:tcBorders>
              <w:top w:val="single" w:sz="6" w:space="0" w:color="auto"/>
              <w:left w:val="single" w:sz="6" w:space="0" w:color="auto"/>
              <w:right w:val="single" w:sz="6" w:space="0" w:color="auto"/>
            </w:tcBorders>
            <w:shd w:val="clear" w:color="auto" w:fill="FFFFFF"/>
            <w:vAlign w:val="center"/>
          </w:tcPr>
          <w:p w14:paraId="4C4DEBCD"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r w:rsidRPr="00D429B4">
              <w:rPr>
                <w:rFonts w:ascii="Verdana" w:hAnsi="Verdana"/>
                <w:b/>
                <w:sz w:val="16"/>
                <w:szCs w:val="16"/>
                <w:lang w:val="es-MX"/>
              </w:rPr>
              <w:t>Vestimenta</w:t>
            </w:r>
          </w:p>
        </w:tc>
      </w:tr>
      <w:tr w:rsidR="0092514C" w:rsidRPr="00262EF8" w14:paraId="6ADA3F17" w14:textId="77777777">
        <w:trPr>
          <w:trHeight w:val="144"/>
        </w:trPr>
        <w:tc>
          <w:tcPr>
            <w:tcW w:w="853" w:type="dxa"/>
            <w:vMerge/>
            <w:tcBorders>
              <w:left w:val="single" w:sz="6" w:space="0" w:color="auto"/>
              <w:right w:val="single" w:sz="6" w:space="0" w:color="auto"/>
            </w:tcBorders>
            <w:shd w:val="clear" w:color="auto" w:fill="FFFFFF"/>
            <w:vAlign w:val="center"/>
          </w:tcPr>
          <w:p w14:paraId="340C3558"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2172" w:type="dxa"/>
            <w:vMerge/>
            <w:tcBorders>
              <w:left w:val="single" w:sz="6" w:space="0" w:color="auto"/>
              <w:right w:val="single" w:sz="6" w:space="0" w:color="auto"/>
            </w:tcBorders>
            <w:shd w:val="clear" w:color="auto" w:fill="FFFFFF"/>
            <w:vAlign w:val="center"/>
          </w:tcPr>
          <w:p w14:paraId="53672E56"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162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8696A04"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r w:rsidRPr="00D429B4">
              <w:rPr>
                <w:rFonts w:ascii="Verdana" w:hAnsi="Verdana"/>
                <w:b/>
                <w:sz w:val="16"/>
                <w:szCs w:val="16"/>
                <w:lang w:val="es-MX"/>
              </w:rPr>
              <w:t>Condiciones estáticas</w:t>
            </w:r>
            <w:r w:rsidRPr="00D429B4">
              <w:rPr>
                <w:rFonts w:ascii="Verdana" w:hAnsi="Verdana"/>
                <w:b/>
                <w:i/>
                <w:position w:val="5"/>
                <w:sz w:val="16"/>
                <w:szCs w:val="16"/>
                <w:lang w:val="es-MX"/>
              </w:rPr>
              <w:t>g</w:t>
            </w:r>
            <w:r w:rsidRPr="00D429B4">
              <w:rPr>
                <w:rFonts w:ascii="Verdana" w:hAnsi="Verdana"/>
                <w:b/>
                <w:sz w:val="16"/>
                <w:szCs w:val="16"/>
                <w:lang w:val="es-MX"/>
              </w:rPr>
              <w:t>/dinámicas</w:t>
            </w:r>
          </w:p>
        </w:tc>
        <w:tc>
          <w:tcPr>
            <w:tcW w:w="1034" w:type="dxa"/>
            <w:vMerge w:val="restart"/>
            <w:tcBorders>
              <w:top w:val="single" w:sz="6" w:space="0" w:color="auto"/>
              <w:left w:val="single" w:sz="6" w:space="0" w:color="auto"/>
              <w:right w:val="single" w:sz="6" w:space="0" w:color="auto"/>
            </w:tcBorders>
            <w:shd w:val="clear" w:color="auto" w:fill="FFFFFF"/>
            <w:vAlign w:val="center"/>
          </w:tcPr>
          <w:p w14:paraId="3F14EDF3"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r w:rsidRPr="00D429B4">
              <w:rPr>
                <w:rFonts w:ascii="Verdana" w:hAnsi="Verdana"/>
                <w:b/>
                <w:sz w:val="16"/>
                <w:szCs w:val="16"/>
                <w:lang w:val="es-MX"/>
              </w:rPr>
              <w:t>Frecuencia de monitoreo</w:t>
            </w:r>
          </w:p>
        </w:tc>
        <w:tc>
          <w:tcPr>
            <w:tcW w:w="1033" w:type="dxa"/>
            <w:vMerge w:val="restart"/>
            <w:tcBorders>
              <w:top w:val="single" w:sz="6" w:space="0" w:color="auto"/>
              <w:left w:val="single" w:sz="6" w:space="0" w:color="auto"/>
              <w:right w:val="single" w:sz="6" w:space="0" w:color="auto"/>
            </w:tcBorders>
            <w:shd w:val="clear" w:color="auto" w:fill="FFFFFF"/>
            <w:vAlign w:val="center"/>
          </w:tcPr>
          <w:p w14:paraId="20F95C98"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r w:rsidRPr="00D429B4">
              <w:rPr>
                <w:rFonts w:ascii="Verdana" w:hAnsi="Verdana"/>
                <w:b/>
                <w:sz w:val="16"/>
                <w:szCs w:val="16"/>
                <w:lang w:val="es-MX"/>
              </w:rPr>
              <w:t>(UFC)</w:t>
            </w:r>
          </w:p>
        </w:tc>
        <w:tc>
          <w:tcPr>
            <w:tcW w:w="1183" w:type="dxa"/>
            <w:vMerge w:val="restart"/>
            <w:tcBorders>
              <w:top w:val="single" w:sz="6" w:space="0" w:color="auto"/>
              <w:left w:val="single" w:sz="6" w:space="0" w:color="auto"/>
              <w:right w:val="single" w:sz="6" w:space="0" w:color="auto"/>
            </w:tcBorders>
            <w:shd w:val="clear" w:color="auto" w:fill="FFFFFF"/>
            <w:vAlign w:val="center"/>
          </w:tcPr>
          <w:p w14:paraId="1961FA7A"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r w:rsidRPr="00D429B4">
              <w:rPr>
                <w:rFonts w:ascii="Verdana" w:hAnsi="Verdana"/>
                <w:b/>
                <w:sz w:val="16"/>
                <w:szCs w:val="16"/>
                <w:lang w:val="es-MX"/>
              </w:rPr>
              <w:t>Frecuencia de monitoreo</w:t>
            </w:r>
          </w:p>
        </w:tc>
        <w:tc>
          <w:tcPr>
            <w:tcW w:w="1328" w:type="dxa"/>
            <w:vMerge/>
            <w:tcBorders>
              <w:left w:val="single" w:sz="6" w:space="0" w:color="auto"/>
              <w:right w:val="single" w:sz="6" w:space="0" w:color="auto"/>
            </w:tcBorders>
            <w:shd w:val="clear" w:color="auto" w:fill="FFFFFF"/>
            <w:vAlign w:val="center"/>
          </w:tcPr>
          <w:p w14:paraId="5ED2EA31"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1031" w:type="dxa"/>
            <w:vMerge/>
            <w:tcBorders>
              <w:left w:val="single" w:sz="6" w:space="0" w:color="auto"/>
              <w:right w:val="single" w:sz="6" w:space="0" w:color="auto"/>
            </w:tcBorders>
            <w:shd w:val="clear" w:color="auto" w:fill="FFFFFF"/>
            <w:vAlign w:val="center"/>
          </w:tcPr>
          <w:p w14:paraId="5C6F4BC4"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887" w:type="dxa"/>
            <w:vMerge/>
            <w:tcBorders>
              <w:left w:val="single" w:sz="6" w:space="0" w:color="auto"/>
              <w:right w:val="single" w:sz="6" w:space="0" w:color="auto"/>
            </w:tcBorders>
            <w:shd w:val="clear" w:color="auto" w:fill="FFFFFF"/>
            <w:vAlign w:val="center"/>
          </w:tcPr>
          <w:p w14:paraId="34BA829C"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1828" w:type="dxa"/>
            <w:vMerge/>
            <w:tcBorders>
              <w:left w:val="single" w:sz="6" w:space="0" w:color="auto"/>
              <w:right w:val="single" w:sz="6" w:space="0" w:color="auto"/>
            </w:tcBorders>
            <w:shd w:val="clear" w:color="auto" w:fill="FFFFFF"/>
            <w:vAlign w:val="center"/>
          </w:tcPr>
          <w:p w14:paraId="72315D6E"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r>
      <w:tr w:rsidR="0092514C" w:rsidRPr="00262EF8" w14:paraId="6BCCE14D" w14:textId="77777777">
        <w:trPr>
          <w:trHeight w:val="144"/>
        </w:trPr>
        <w:tc>
          <w:tcPr>
            <w:tcW w:w="853" w:type="dxa"/>
            <w:vMerge/>
            <w:tcBorders>
              <w:left w:val="single" w:sz="6" w:space="0" w:color="auto"/>
              <w:bottom w:val="single" w:sz="6" w:space="0" w:color="auto"/>
              <w:right w:val="single" w:sz="6" w:space="0" w:color="auto"/>
            </w:tcBorders>
            <w:shd w:val="clear" w:color="auto" w:fill="FFFFFF"/>
            <w:vAlign w:val="center"/>
          </w:tcPr>
          <w:p w14:paraId="51B3588E"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2172" w:type="dxa"/>
            <w:vMerge/>
            <w:tcBorders>
              <w:left w:val="single" w:sz="6" w:space="0" w:color="auto"/>
              <w:bottom w:val="single" w:sz="6" w:space="0" w:color="auto"/>
              <w:right w:val="single" w:sz="6" w:space="0" w:color="auto"/>
            </w:tcBorders>
            <w:shd w:val="clear" w:color="auto" w:fill="FFFFFF"/>
            <w:vAlign w:val="center"/>
          </w:tcPr>
          <w:p w14:paraId="68591B85"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887" w:type="dxa"/>
            <w:tcBorders>
              <w:top w:val="single" w:sz="6" w:space="0" w:color="auto"/>
              <w:left w:val="single" w:sz="6" w:space="0" w:color="auto"/>
              <w:bottom w:val="single" w:sz="6" w:space="0" w:color="auto"/>
              <w:right w:val="single" w:sz="6" w:space="0" w:color="auto"/>
            </w:tcBorders>
            <w:shd w:val="clear" w:color="auto" w:fill="FFFFFF"/>
            <w:vAlign w:val="center"/>
          </w:tcPr>
          <w:p w14:paraId="3D81B8A6" w14:textId="77777777" w:rsidR="0092514C" w:rsidRPr="00D429B4" w:rsidRDefault="00986788"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 0.5 μ</w:t>
            </w:r>
            <w:r w:rsidR="0092514C" w:rsidRPr="00D429B4">
              <w:rPr>
                <w:rFonts w:ascii="Verdana" w:hAnsi="Verdana"/>
                <w:sz w:val="16"/>
                <w:szCs w:val="16"/>
                <w:lang w:val="es-MX"/>
              </w:rPr>
              <w:t>m</w:t>
            </w:r>
          </w:p>
        </w:tc>
        <w:tc>
          <w:tcPr>
            <w:tcW w:w="738" w:type="dxa"/>
            <w:tcBorders>
              <w:top w:val="single" w:sz="6" w:space="0" w:color="auto"/>
              <w:left w:val="single" w:sz="6" w:space="0" w:color="auto"/>
              <w:bottom w:val="single" w:sz="6" w:space="0" w:color="auto"/>
              <w:right w:val="single" w:sz="6" w:space="0" w:color="auto"/>
            </w:tcBorders>
            <w:shd w:val="clear" w:color="auto" w:fill="FFFFFF"/>
            <w:vAlign w:val="center"/>
          </w:tcPr>
          <w:p w14:paraId="34959165"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 xml:space="preserve">= 5 </w:t>
            </w:r>
            <w:r w:rsidR="00986788" w:rsidRPr="00D429B4">
              <w:rPr>
                <w:rFonts w:ascii="Verdana" w:hAnsi="Verdana"/>
                <w:sz w:val="16"/>
                <w:szCs w:val="16"/>
                <w:lang w:val="es-MX"/>
              </w:rPr>
              <w:t>μ</w:t>
            </w:r>
            <w:r w:rsidRPr="00D429B4">
              <w:rPr>
                <w:rFonts w:ascii="Verdana" w:hAnsi="Verdana"/>
                <w:sz w:val="16"/>
                <w:szCs w:val="16"/>
                <w:lang w:val="es-MX"/>
              </w:rPr>
              <w:t>m</w:t>
            </w:r>
          </w:p>
        </w:tc>
        <w:tc>
          <w:tcPr>
            <w:tcW w:w="1034" w:type="dxa"/>
            <w:vMerge/>
            <w:tcBorders>
              <w:left w:val="single" w:sz="6" w:space="0" w:color="auto"/>
              <w:bottom w:val="single" w:sz="6" w:space="0" w:color="auto"/>
              <w:right w:val="single" w:sz="6" w:space="0" w:color="auto"/>
            </w:tcBorders>
            <w:shd w:val="clear" w:color="auto" w:fill="FFFFFF"/>
            <w:vAlign w:val="center"/>
          </w:tcPr>
          <w:p w14:paraId="68F7A868"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1033" w:type="dxa"/>
            <w:vMerge/>
            <w:tcBorders>
              <w:left w:val="single" w:sz="6" w:space="0" w:color="auto"/>
              <w:bottom w:val="single" w:sz="6" w:space="0" w:color="auto"/>
              <w:right w:val="single" w:sz="6" w:space="0" w:color="auto"/>
            </w:tcBorders>
            <w:shd w:val="clear" w:color="auto" w:fill="FFFFFF"/>
            <w:vAlign w:val="center"/>
          </w:tcPr>
          <w:p w14:paraId="00047A06"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1183" w:type="dxa"/>
            <w:vMerge/>
            <w:tcBorders>
              <w:left w:val="single" w:sz="6" w:space="0" w:color="auto"/>
              <w:bottom w:val="single" w:sz="6" w:space="0" w:color="auto"/>
              <w:right w:val="single" w:sz="6" w:space="0" w:color="auto"/>
            </w:tcBorders>
            <w:shd w:val="clear" w:color="auto" w:fill="FFFFFF"/>
            <w:vAlign w:val="center"/>
          </w:tcPr>
          <w:p w14:paraId="46C9DC4C"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1328" w:type="dxa"/>
            <w:vMerge/>
            <w:tcBorders>
              <w:left w:val="single" w:sz="6" w:space="0" w:color="auto"/>
              <w:bottom w:val="single" w:sz="6" w:space="0" w:color="auto"/>
              <w:right w:val="single" w:sz="6" w:space="0" w:color="auto"/>
            </w:tcBorders>
            <w:shd w:val="clear" w:color="auto" w:fill="FFFFFF"/>
            <w:vAlign w:val="center"/>
          </w:tcPr>
          <w:p w14:paraId="49151837"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1031" w:type="dxa"/>
            <w:vMerge/>
            <w:tcBorders>
              <w:left w:val="single" w:sz="6" w:space="0" w:color="auto"/>
              <w:bottom w:val="single" w:sz="6" w:space="0" w:color="auto"/>
              <w:right w:val="single" w:sz="6" w:space="0" w:color="auto"/>
            </w:tcBorders>
            <w:shd w:val="clear" w:color="auto" w:fill="FFFFFF"/>
            <w:vAlign w:val="center"/>
          </w:tcPr>
          <w:p w14:paraId="494EDE0E"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887" w:type="dxa"/>
            <w:vMerge/>
            <w:tcBorders>
              <w:left w:val="single" w:sz="6" w:space="0" w:color="auto"/>
              <w:bottom w:val="single" w:sz="6" w:space="0" w:color="auto"/>
              <w:right w:val="single" w:sz="6" w:space="0" w:color="auto"/>
            </w:tcBorders>
            <w:shd w:val="clear" w:color="auto" w:fill="FFFFFF"/>
            <w:vAlign w:val="center"/>
          </w:tcPr>
          <w:p w14:paraId="71A9A463"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c>
          <w:tcPr>
            <w:tcW w:w="1828" w:type="dxa"/>
            <w:vMerge/>
            <w:tcBorders>
              <w:left w:val="single" w:sz="6" w:space="0" w:color="auto"/>
              <w:bottom w:val="single" w:sz="6" w:space="0" w:color="auto"/>
              <w:right w:val="single" w:sz="6" w:space="0" w:color="auto"/>
            </w:tcBorders>
            <w:shd w:val="clear" w:color="auto" w:fill="FFFFFF"/>
            <w:vAlign w:val="center"/>
          </w:tcPr>
          <w:p w14:paraId="141459FC" w14:textId="77777777" w:rsidR="0092514C" w:rsidRPr="00D429B4" w:rsidRDefault="0092514C" w:rsidP="005C0901">
            <w:pPr>
              <w:pStyle w:val="Texto"/>
              <w:spacing w:before="20" w:after="10" w:line="276" w:lineRule="auto"/>
              <w:ind w:firstLine="0"/>
              <w:jc w:val="center"/>
              <w:rPr>
                <w:rFonts w:ascii="Verdana" w:hAnsi="Verdana"/>
                <w:b/>
                <w:sz w:val="16"/>
                <w:szCs w:val="16"/>
                <w:lang w:val="es-MX"/>
              </w:rPr>
            </w:pPr>
          </w:p>
        </w:tc>
      </w:tr>
      <w:tr w:rsidR="0092514C" w:rsidRPr="00262EF8" w14:paraId="2315CA30" w14:textId="77777777">
        <w:trPr>
          <w:trHeight w:val="144"/>
        </w:trPr>
        <w:tc>
          <w:tcPr>
            <w:tcW w:w="853" w:type="dxa"/>
            <w:tcBorders>
              <w:top w:val="single" w:sz="6" w:space="0" w:color="auto"/>
              <w:left w:val="single" w:sz="6" w:space="0" w:color="auto"/>
              <w:bottom w:val="single" w:sz="6" w:space="0" w:color="auto"/>
              <w:right w:val="single" w:sz="6" w:space="0" w:color="auto"/>
            </w:tcBorders>
            <w:vAlign w:val="center"/>
          </w:tcPr>
          <w:p w14:paraId="2DEC2F20"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Clase A</w:t>
            </w:r>
          </w:p>
          <w:p w14:paraId="58D8A4AF"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(ISO-Clase 5)</w:t>
            </w:r>
          </w:p>
        </w:tc>
        <w:tc>
          <w:tcPr>
            <w:tcW w:w="2172" w:type="dxa"/>
            <w:tcBorders>
              <w:top w:val="single" w:sz="6" w:space="0" w:color="auto"/>
              <w:left w:val="single" w:sz="6" w:space="0" w:color="auto"/>
              <w:bottom w:val="single" w:sz="6" w:space="0" w:color="auto"/>
              <w:right w:val="single" w:sz="6" w:space="0" w:color="auto"/>
            </w:tcBorders>
            <w:vAlign w:val="center"/>
          </w:tcPr>
          <w:p w14:paraId="0A32A10C"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Llenado aséptico.</w:t>
            </w:r>
          </w:p>
          <w:p w14:paraId="53590A2C"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Operaciones asépticas.</w:t>
            </w:r>
          </w:p>
          <w:p w14:paraId="19E81866"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Muestreo, pesado y surtido de insumos estériles.</w:t>
            </w:r>
          </w:p>
        </w:tc>
        <w:tc>
          <w:tcPr>
            <w:tcW w:w="887" w:type="dxa"/>
            <w:tcBorders>
              <w:top w:val="single" w:sz="6" w:space="0" w:color="auto"/>
              <w:left w:val="single" w:sz="6" w:space="0" w:color="auto"/>
              <w:bottom w:val="single" w:sz="6" w:space="0" w:color="auto"/>
              <w:right w:val="single" w:sz="6" w:space="0" w:color="auto"/>
            </w:tcBorders>
            <w:vAlign w:val="center"/>
          </w:tcPr>
          <w:p w14:paraId="77FCAF6F"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3 520 / 3 520</w:t>
            </w:r>
          </w:p>
        </w:tc>
        <w:tc>
          <w:tcPr>
            <w:tcW w:w="738" w:type="dxa"/>
            <w:tcBorders>
              <w:top w:val="single" w:sz="6" w:space="0" w:color="auto"/>
              <w:left w:val="single" w:sz="6" w:space="0" w:color="auto"/>
              <w:bottom w:val="single" w:sz="6" w:space="0" w:color="auto"/>
              <w:right w:val="single" w:sz="6" w:space="0" w:color="auto"/>
            </w:tcBorders>
            <w:vAlign w:val="center"/>
          </w:tcPr>
          <w:p w14:paraId="33E31FE0"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20 / 20</w:t>
            </w:r>
          </w:p>
        </w:tc>
        <w:tc>
          <w:tcPr>
            <w:tcW w:w="1034" w:type="dxa"/>
            <w:tcBorders>
              <w:top w:val="single" w:sz="6" w:space="0" w:color="auto"/>
              <w:left w:val="single" w:sz="6" w:space="0" w:color="auto"/>
              <w:bottom w:val="single" w:sz="6" w:space="0" w:color="auto"/>
              <w:right w:val="single" w:sz="6" w:space="0" w:color="auto"/>
            </w:tcBorders>
            <w:vAlign w:val="center"/>
          </w:tcPr>
          <w:p w14:paraId="2B4A933E"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CONTINUO/ Durante todo el proceso de llenado</w:t>
            </w:r>
          </w:p>
        </w:tc>
        <w:tc>
          <w:tcPr>
            <w:tcW w:w="1033" w:type="dxa"/>
            <w:tcBorders>
              <w:top w:val="single" w:sz="6" w:space="0" w:color="auto"/>
              <w:left w:val="single" w:sz="6" w:space="0" w:color="auto"/>
              <w:bottom w:val="single" w:sz="6" w:space="0" w:color="auto"/>
              <w:right w:val="single" w:sz="6" w:space="0" w:color="auto"/>
            </w:tcBorders>
            <w:vAlign w:val="center"/>
          </w:tcPr>
          <w:p w14:paraId="66FF7435" w14:textId="77777777" w:rsidR="0092514C" w:rsidRPr="00D429B4" w:rsidRDefault="0092514C" w:rsidP="005C0901">
            <w:pPr>
              <w:pStyle w:val="Texto"/>
              <w:spacing w:before="20" w:after="10" w:line="276" w:lineRule="auto"/>
              <w:ind w:firstLine="0"/>
              <w:jc w:val="center"/>
              <w:rPr>
                <w:rFonts w:ascii="Verdana" w:hAnsi="Verdana"/>
                <w:i/>
                <w:position w:val="5"/>
                <w:sz w:val="16"/>
                <w:szCs w:val="16"/>
                <w:lang w:val="es-MX"/>
              </w:rPr>
            </w:pPr>
            <w:r w:rsidRPr="00D429B4">
              <w:rPr>
                <w:rFonts w:ascii="Verdana" w:hAnsi="Verdana"/>
                <w:sz w:val="16"/>
                <w:szCs w:val="16"/>
                <w:lang w:val="es-MX"/>
              </w:rPr>
              <w:t>&lt; 1/placa</w:t>
            </w:r>
            <w:r w:rsidRPr="00D429B4">
              <w:rPr>
                <w:rFonts w:ascii="Verdana" w:hAnsi="Verdana"/>
                <w:i/>
                <w:position w:val="5"/>
                <w:sz w:val="16"/>
                <w:szCs w:val="16"/>
                <w:lang w:val="es-MX"/>
              </w:rPr>
              <w:t>b.1</w:t>
            </w:r>
            <w:r w:rsidRPr="00D429B4">
              <w:rPr>
                <w:rFonts w:ascii="Verdana" w:hAnsi="Verdana"/>
                <w:sz w:val="16"/>
                <w:szCs w:val="16"/>
                <w:lang w:val="es-MX"/>
              </w:rPr>
              <w:t xml:space="preserve"> &lt; 1/m</w:t>
            </w:r>
            <w:r w:rsidRPr="00D429B4">
              <w:rPr>
                <w:rFonts w:ascii="Verdana" w:hAnsi="Verdana"/>
                <w:position w:val="4"/>
                <w:sz w:val="16"/>
                <w:szCs w:val="16"/>
                <w:lang w:val="es-MX"/>
              </w:rPr>
              <w:t>3</w:t>
            </w:r>
            <w:r w:rsidRPr="00D429B4">
              <w:rPr>
                <w:rFonts w:ascii="Verdana" w:hAnsi="Verdana"/>
                <w:i/>
                <w:position w:val="5"/>
                <w:sz w:val="16"/>
                <w:szCs w:val="16"/>
                <w:lang w:val="es-MX"/>
              </w:rPr>
              <w:t xml:space="preserve"> b.2</w:t>
            </w:r>
          </w:p>
          <w:p w14:paraId="711A086B"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&lt; 1/placa</w:t>
            </w:r>
            <w:r w:rsidRPr="00D429B4">
              <w:rPr>
                <w:rFonts w:ascii="Verdana" w:hAnsi="Verdana"/>
                <w:i/>
                <w:position w:val="5"/>
                <w:sz w:val="16"/>
                <w:szCs w:val="16"/>
                <w:lang w:val="es-MX"/>
              </w:rPr>
              <w:t>b.3</w:t>
            </w:r>
          </w:p>
          <w:p w14:paraId="0EC1D1AF"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&lt; 1/guante</w:t>
            </w:r>
            <w:r w:rsidRPr="00D429B4">
              <w:rPr>
                <w:rFonts w:ascii="Verdana" w:hAnsi="Verdana"/>
                <w:i/>
                <w:position w:val="5"/>
                <w:sz w:val="16"/>
                <w:szCs w:val="16"/>
                <w:lang w:val="es-MX"/>
              </w:rPr>
              <w:t>b.4</w:t>
            </w:r>
          </w:p>
        </w:tc>
        <w:tc>
          <w:tcPr>
            <w:tcW w:w="1183" w:type="dxa"/>
            <w:tcBorders>
              <w:top w:val="single" w:sz="6" w:space="0" w:color="auto"/>
              <w:left w:val="single" w:sz="6" w:space="0" w:color="auto"/>
              <w:bottom w:val="single" w:sz="6" w:space="0" w:color="auto"/>
              <w:right w:val="single" w:sz="6" w:space="0" w:color="auto"/>
            </w:tcBorders>
            <w:vAlign w:val="center"/>
          </w:tcPr>
          <w:p w14:paraId="3C95CDC3"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CONTINUO/ Durante todo el tiempo que dure el proceso de llenado</w:t>
            </w:r>
          </w:p>
        </w:tc>
        <w:tc>
          <w:tcPr>
            <w:tcW w:w="1328" w:type="dxa"/>
            <w:tcBorders>
              <w:top w:val="single" w:sz="6" w:space="0" w:color="auto"/>
              <w:left w:val="single" w:sz="6" w:space="0" w:color="auto"/>
              <w:bottom w:val="single" w:sz="6" w:space="0" w:color="auto"/>
              <w:right w:val="single" w:sz="6" w:space="0" w:color="auto"/>
            </w:tcBorders>
            <w:vAlign w:val="center"/>
          </w:tcPr>
          <w:p w14:paraId="5A038B9A"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u w:val="single"/>
                <w:lang w:val="es-MX"/>
              </w:rPr>
              <w:t>&gt;</w:t>
            </w:r>
            <w:r w:rsidRPr="00D429B4">
              <w:rPr>
                <w:rFonts w:ascii="Verdana" w:hAnsi="Verdana"/>
                <w:sz w:val="16"/>
                <w:szCs w:val="16"/>
                <w:lang w:val="es-MX"/>
              </w:rPr>
              <w:t>15 Pa con respecto a cuartos adyacentes, aplicando un concepto de cascada</w:t>
            </w:r>
            <w:r w:rsidRPr="00D429B4">
              <w:rPr>
                <w:rFonts w:ascii="Verdana" w:hAnsi="Verdana"/>
                <w:i/>
                <w:position w:val="5"/>
                <w:sz w:val="16"/>
                <w:szCs w:val="16"/>
                <w:lang w:val="es-MX"/>
              </w:rPr>
              <w:t>c</w:t>
            </w:r>
          </w:p>
        </w:tc>
        <w:tc>
          <w:tcPr>
            <w:tcW w:w="1031" w:type="dxa"/>
            <w:tcBorders>
              <w:top w:val="single" w:sz="6" w:space="0" w:color="auto"/>
              <w:left w:val="single" w:sz="6" w:space="0" w:color="auto"/>
              <w:bottom w:val="single" w:sz="6" w:space="0" w:color="auto"/>
              <w:right w:val="single" w:sz="6" w:space="0" w:color="auto"/>
            </w:tcBorders>
            <w:vAlign w:val="center"/>
          </w:tcPr>
          <w:p w14:paraId="550F8403"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n.a.</w:t>
            </w:r>
          </w:p>
        </w:tc>
        <w:tc>
          <w:tcPr>
            <w:tcW w:w="887" w:type="dxa"/>
            <w:tcBorders>
              <w:top w:val="single" w:sz="6" w:space="0" w:color="auto"/>
              <w:left w:val="single" w:sz="6" w:space="0" w:color="auto"/>
              <w:bottom w:val="single" w:sz="6" w:space="0" w:color="auto"/>
              <w:right w:val="single" w:sz="6" w:space="0" w:color="auto"/>
            </w:tcBorders>
            <w:vAlign w:val="center"/>
          </w:tcPr>
          <w:p w14:paraId="4F48449A"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18°C a 25°C</w:t>
            </w:r>
          </w:p>
          <w:p w14:paraId="227C95CC"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30 a 65% HR</w:t>
            </w:r>
            <w:r w:rsidRPr="00D429B4">
              <w:rPr>
                <w:rFonts w:ascii="Verdana" w:hAnsi="Verdana"/>
                <w:i/>
                <w:position w:val="5"/>
                <w:sz w:val="16"/>
                <w:szCs w:val="16"/>
                <w:lang w:val="es-MX"/>
              </w:rPr>
              <w:t>f</w:t>
            </w:r>
          </w:p>
        </w:tc>
        <w:tc>
          <w:tcPr>
            <w:tcW w:w="1828" w:type="dxa"/>
            <w:tcBorders>
              <w:top w:val="single" w:sz="6" w:space="0" w:color="auto"/>
              <w:left w:val="single" w:sz="6" w:space="0" w:color="auto"/>
              <w:bottom w:val="single" w:sz="6" w:space="0" w:color="auto"/>
              <w:right w:val="single" w:sz="6" w:space="0" w:color="auto"/>
            </w:tcBorders>
            <w:vAlign w:val="center"/>
          </w:tcPr>
          <w:p w14:paraId="208B8263"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Overol, escafandra, gogles cubrezapatos y guantes, estériles para área aséptica.</w:t>
            </w:r>
          </w:p>
        </w:tc>
      </w:tr>
      <w:tr w:rsidR="0092514C" w:rsidRPr="00262EF8" w14:paraId="642FA0D7" w14:textId="77777777">
        <w:trPr>
          <w:trHeight w:val="144"/>
        </w:trPr>
        <w:tc>
          <w:tcPr>
            <w:tcW w:w="853" w:type="dxa"/>
            <w:tcBorders>
              <w:top w:val="single" w:sz="6" w:space="0" w:color="auto"/>
              <w:left w:val="single" w:sz="6" w:space="0" w:color="auto"/>
              <w:bottom w:val="single" w:sz="6" w:space="0" w:color="auto"/>
              <w:right w:val="single" w:sz="6" w:space="0" w:color="auto"/>
            </w:tcBorders>
            <w:vAlign w:val="center"/>
          </w:tcPr>
          <w:p w14:paraId="15FA4C16"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Clase B</w:t>
            </w:r>
          </w:p>
        </w:tc>
        <w:tc>
          <w:tcPr>
            <w:tcW w:w="2172" w:type="dxa"/>
            <w:tcBorders>
              <w:top w:val="single" w:sz="6" w:space="0" w:color="auto"/>
              <w:left w:val="single" w:sz="6" w:space="0" w:color="auto"/>
              <w:bottom w:val="single" w:sz="6" w:space="0" w:color="auto"/>
              <w:right w:val="single" w:sz="6" w:space="0" w:color="auto"/>
            </w:tcBorders>
            <w:vAlign w:val="center"/>
          </w:tcPr>
          <w:p w14:paraId="3E45A7C2"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Entorno de Clase A para productos estériles que no llevan esterilización terminal.</w:t>
            </w:r>
          </w:p>
          <w:p w14:paraId="1141870F"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Esclusas a cuartos de llenado.</w:t>
            </w:r>
          </w:p>
          <w:p w14:paraId="19E70C2A"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Cuartos vestidores para áreas Clase A</w:t>
            </w:r>
          </w:p>
        </w:tc>
        <w:tc>
          <w:tcPr>
            <w:tcW w:w="887" w:type="dxa"/>
            <w:tcBorders>
              <w:top w:val="single" w:sz="6" w:space="0" w:color="auto"/>
              <w:left w:val="single" w:sz="6" w:space="0" w:color="auto"/>
              <w:bottom w:val="single" w:sz="6" w:space="0" w:color="auto"/>
              <w:right w:val="single" w:sz="6" w:space="0" w:color="auto"/>
            </w:tcBorders>
            <w:vAlign w:val="center"/>
          </w:tcPr>
          <w:p w14:paraId="4FCA6632"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3 520 / 352 000</w:t>
            </w:r>
          </w:p>
        </w:tc>
        <w:tc>
          <w:tcPr>
            <w:tcW w:w="738" w:type="dxa"/>
            <w:tcBorders>
              <w:top w:val="single" w:sz="6" w:space="0" w:color="auto"/>
              <w:left w:val="single" w:sz="6" w:space="0" w:color="auto"/>
              <w:bottom w:val="single" w:sz="6" w:space="0" w:color="auto"/>
              <w:right w:val="single" w:sz="6" w:space="0" w:color="auto"/>
            </w:tcBorders>
            <w:vAlign w:val="center"/>
          </w:tcPr>
          <w:p w14:paraId="22BF7C2F"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29 / 2 900</w:t>
            </w:r>
          </w:p>
        </w:tc>
        <w:tc>
          <w:tcPr>
            <w:tcW w:w="1034" w:type="dxa"/>
            <w:tcBorders>
              <w:top w:val="single" w:sz="6" w:space="0" w:color="auto"/>
              <w:left w:val="single" w:sz="6" w:space="0" w:color="auto"/>
              <w:bottom w:val="single" w:sz="6" w:space="0" w:color="auto"/>
              <w:right w:val="single" w:sz="6" w:space="0" w:color="auto"/>
            </w:tcBorders>
            <w:vAlign w:val="center"/>
          </w:tcPr>
          <w:p w14:paraId="270BDFC2"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c/ 3 meses</w:t>
            </w:r>
            <w:r w:rsidRPr="00D429B4">
              <w:rPr>
                <w:rFonts w:ascii="Verdana" w:hAnsi="Verdana"/>
                <w:i/>
                <w:position w:val="5"/>
                <w:sz w:val="16"/>
                <w:szCs w:val="16"/>
                <w:lang w:val="es-MX"/>
              </w:rPr>
              <w:t>e</w:t>
            </w:r>
          </w:p>
        </w:tc>
        <w:tc>
          <w:tcPr>
            <w:tcW w:w="1033" w:type="dxa"/>
            <w:tcBorders>
              <w:top w:val="single" w:sz="6" w:space="0" w:color="auto"/>
              <w:left w:val="single" w:sz="6" w:space="0" w:color="auto"/>
              <w:bottom w:val="single" w:sz="6" w:space="0" w:color="auto"/>
              <w:right w:val="single" w:sz="6" w:space="0" w:color="auto"/>
            </w:tcBorders>
            <w:vAlign w:val="center"/>
          </w:tcPr>
          <w:p w14:paraId="0D93D04C" w14:textId="77777777" w:rsidR="0092514C" w:rsidRPr="00D429B4" w:rsidRDefault="0092514C" w:rsidP="005C0901">
            <w:pPr>
              <w:pStyle w:val="Texto"/>
              <w:spacing w:before="20" w:after="10" w:line="276" w:lineRule="auto"/>
              <w:ind w:firstLine="0"/>
              <w:jc w:val="center"/>
              <w:rPr>
                <w:rFonts w:ascii="Verdana" w:hAnsi="Verdana"/>
                <w:i/>
                <w:position w:val="5"/>
                <w:sz w:val="16"/>
                <w:szCs w:val="16"/>
                <w:lang w:val="es-MX"/>
              </w:rPr>
            </w:pPr>
            <w:r w:rsidRPr="00D429B4">
              <w:rPr>
                <w:rFonts w:ascii="Verdana" w:hAnsi="Verdana"/>
                <w:sz w:val="16"/>
                <w:szCs w:val="16"/>
                <w:lang w:val="es-MX"/>
              </w:rPr>
              <w:t>&lt; 5/placa</w:t>
            </w:r>
            <w:r w:rsidRPr="00D429B4">
              <w:rPr>
                <w:rFonts w:ascii="Verdana" w:hAnsi="Verdana"/>
                <w:i/>
                <w:position w:val="5"/>
                <w:sz w:val="16"/>
                <w:szCs w:val="16"/>
                <w:lang w:val="es-MX"/>
              </w:rPr>
              <w:t>b.1</w:t>
            </w:r>
            <w:r w:rsidRPr="00D429B4">
              <w:rPr>
                <w:rFonts w:ascii="Verdana" w:hAnsi="Verdana"/>
                <w:sz w:val="16"/>
                <w:szCs w:val="16"/>
                <w:lang w:val="es-MX"/>
              </w:rPr>
              <w:t xml:space="preserve"> &lt; 10/m</w:t>
            </w:r>
            <w:r w:rsidRPr="00D429B4">
              <w:rPr>
                <w:rFonts w:ascii="Verdana" w:hAnsi="Verdana"/>
                <w:position w:val="4"/>
                <w:sz w:val="16"/>
                <w:szCs w:val="16"/>
                <w:lang w:val="es-MX"/>
              </w:rPr>
              <w:t>3</w:t>
            </w:r>
            <w:r w:rsidRPr="00D429B4">
              <w:rPr>
                <w:rFonts w:ascii="Verdana" w:hAnsi="Verdana"/>
                <w:i/>
                <w:position w:val="5"/>
                <w:sz w:val="16"/>
                <w:szCs w:val="16"/>
                <w:lang w:val="es-MX"/>
              </w:rPr>
              <w:t xml:space="preserve"> b.2</w:t>
            </w:r>
          </w:p>
          <w:p w14:paraId="7AAABDA3"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&lt; 5/placa</w:t>
            </w:r>
            <w:r w:rsidRPr="00D429B4">
              <w:rPr>
                <w:rFonts w:ascii="Verdana" w:hAnsi="Verdana"/>
                <w:i/>
                <w:position w:val="5"/>
                <w:sz w:val="16"/>
                <w:szCs w:val="16"/>
                <w:lang w:val="es-MX"/>
              </w:rPr>
              <w:t>b.3</w:t>
            </w:r>
          </w:p>
          <w:p w14:paraId="033A01BE"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&lt; 5/guante</w:t>
            </w:r>
            <w:r w:rsidRPr="00D429B4">
              <w:rPr>
                <w:rFonts w:ascii="Verdana" w:hAnsi="Verdana"/>
                <w:i/>
                <w:position w:val="5"/>
                <w:sz w:val="16"/>
                <w:szCs w:val="16"/>
                <w:lang w:val="es-MX"/>
              </w:rPr>
              <w:t>b.4</w:t>
            </w:r>
          </w:p>
        </w:tc>
        <w:tc>
          <w:tcPr>
            <w:tcW w:w="1183" w:type="dxa"/>
            <w:tcBorders>
              <w:top w:val="single" w:sz="6" w:space="0" w:color="auto"/>
              <w:left w:val="single" w:sz="6" w:space="0" w:color="auto"/>
              <w:bottom w:val="single" w:sz="6" w:space="0" w:color="auto"/>
              <w:right w:val="single" w:sz="6" w:space="0" w:color="auto"/>
            </w:tcBorders>
            <w:vAlign w:val="center"/>
          </w:tcPr>
          <w:p w14:paraId="63617C4F"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Diaria/Turno de producción</w:t>
            </w:r>
          </w:p>
        </w:tc>
        <w:tc>
          <w:tcPr>
            <w:tcW w:w="1328" w:type="dxa"/>
            <w:tcBorders>
              <w:top w:val="single" w:sz="6" w:space="0" w:color="auto"/>
              <w:left w:val="single" w:sz="6" w:space="0" w:color="auto"/>
              <w:bottom w:val="single" w:sz="6" w:space="0" w:color="auto"/>
              <w:right w:val="single" w:sz="6" w:space="0" w:color="auto"/>
            </w:tcBorders>
            <w:vAlign w:val="center"/>
          </w:tcPr>
          <w:p w14:paraId="2DEADBF0"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u w:val="single"/>
                <w:lang w:val="es-MX"/>
              </w:rPr>
              <w:t>&gt;</w:t>
            </w:r>
            <w:r w:rsidRPr="00D429B4">
              <w:rPr>
                <w:rFonts w:ascii="Verdana" w:hAnsi="Verdana"/>
                <w:sz w:val="16"/>
                <w:szCs w:val="16"/>
                <w:lang w:val="es-MX"/>
              </w:rPr>
              <w:t>15 Pa con respecto a áreas no asépticas, aplicando un concepto de cascada</w:t>
            </w:r>
          </w:p>
        </w:tc>
        <w:tc>
          <w:tcPr>
            <w:tcW w:w="1031" w:type="dxa"/>
            <w:tcBorders>
              <w:top w:val="single" w:sz="6" w:space="0" w:color="auto"/>
              <w:left w:val="single" w:sz="6" w:space="0" w:color="auto"/>
              <w:bottom w:val="single" w:sz="6" w:space="0" w:color="auto"/>
              <w:right w:val="single" w:sz="6" w:space="0" w:color="auto"/>
            </w:tcBorders>
            <w:vAlign w:val="center"/>
          </w:tcPr>
          <w:p w14:paraId="26044C9F"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20 a 50</w:t>
            </w:r>
          </w:p>
        </w:tc>
        <w:tc>
          <w:tcPr>
            <w:tcW w:w="887" w:type="dxa"/>
            <w:tcBorders>
              <w:top w:val="single" w:sz="6" w:space="0" w:color="auto"/>
              <w:left w:val="single" w:sz="6" w:space="0" w:color="auto"/>
              <w:bottom w:val="single" w:sz="6" w:space="0" w:color="auto"/>
              <w:right w:val="single" w:sz="6" w:space="0" w:color="auto"/>
            </w:tcBorders>
            <w:vAlign w:val="center"/>
          </w:tcPr>
          <w:p w14:paraId="0DFC3FB7"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18°C a 25°C</w:t>
            </w:r>
          </w:p>
          <w:p w14:paraId="2124FBB1"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30 a 65% HR</w:t>
            </w:r>
          </w:p>
        </w:tc>
        <w:tc>
          <w:tcPr>
            <w:tcW w:w="1828" w:type="dxa"/>
            <w:tcBorders>
              <w:top w:val="single" w:sz="6" w:space="0" w:color="auto"/>
              <w:left w:val="single" w:sz="6" w:space="0" w:color="auto"/>
              <w:bottom w:val="single" w:sz="6" w:space="0" w:color="auto"/>
              <w:right w:val="single" w:sz="6" w:space="0" w:color="auto"/>
            </w:tcBorders>
            <w:vAlign w:val="center"/>
          </w:tcPr>
          <w:p w14:paraId="22D86F39"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Igual que en ISO-Clase 5</w:t>
            </w:r>
          </w:p>
        </w:tc>
      </w:tr>
      <w:tr w:rsidR="0092514C" w:rsidRPr="00262EF8" w14:paraId="1CCEAFC2" w14:textId="77777777">
        <w:trPr>
          <w:trHeight w:val="144"/>
        </w:trPr>
        <w:tc>
          <w:tcPr>
            <w:tcW w:w="853" w:type="dxa"/>
            <w:tcBorders>
              <w:top w:val="single" w:sz="6" w:space="0" w:color="auto"/>
              <w:left w:val="single" w:sz="6" w:space="0" w:color="auto"/>
              <w:bottom w:val="single" w:sz="6" w:space="0" w:color="auto"/>
              <w:right w:val="single" w:sz="6" w:space="0" w:color="auto"/>
            </w:tcBorders>
            <w:vAlign w:val="center"/>
          </w:tcPr>
          <w:p w14:paraId="123A4EB8"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Clase C</w:t>
            </w:r>
          </w:p>
          <w:p w14:paraId="61EAB0EC"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(ISO-Clase 7)</w:t>
            </w:r>
          </w:p>
        </w:tc>
        <w:tc>
          <w:tcPr>
            <w:tcW w:w="2172" w:type="dxa"/>
            <w:tcBorders>
              <w:top w:val="single" w:sz="6" w:space="0" w:color="auto"/>
              <w:left w:val="single" w:sz="6" w:space="0" w:color="auto"/>
              <w:bottom w:val="single" w:sz="6" w:space="0" w:color="auto"/>
              <w:right w:val="single" w:sz="6" w:space="0" w:color="auto"/>
            </w:tcBorders>
            <w:vAlign w:val="center"/>
          </w:tcPr>
          <w:p w14:paraId="039243E6"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Llenado de productos con esterilización terminal.</w:t>
            </w:r>
          </w:p>
          <w:p w14:paraId="1D439331"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Preparación de soluciones para filtración esterilizante, para esterilización terminal y elementos del sistema de contenedor-cierre</w:t>
            </w:r>
            <w:r w:rsidRPr="00D429B4">
              <w:rPr>
                <w:rFonts w:ascii="Verdana" w:hAnsi="Verdana"/>
                <w:i/>
                <w:position w:val="5"/>
                <w:sz w:val="16"/>
                <w:szCs w:val="16"/>
                <w:lang w:val="es-MX"/>
              </w:rPr>
              <w:t>e</w:t>
            </w:r>
          </w:p>
          <w:p w14:paraId="447280F6"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Almacenamiento de accesorios para formas farmacéuticas estériles.</w:t>
            </w:r>
          </w:p>
        </w:tc>
        <w:tc>
          <w:tcPr>
            <w:tcW w:w="887" w:type="dxa"/>
            <w:tcBorders>
              <w:top w:val="single" w:sz="6" w:space="0" w:color="auto"/>
              <w:left w:val="single" w:sz="6" w:space="0" w:color="auto"/>
              <w:bottom w:val="single" w:sz="6" w:space="0" w:color="auto"/>
              <w:right w:val="single" w:sz="6" w:space="0" w:color="auto"/>
            </w:tcBorders>
            <w:vAlign w:val="center"/>
          </w:tcPr>
          <w:p w14:paraId="77CA461D"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352 000 / 3 520 000</w:t>
            </w:r>
          </w:p>
        </w:tc>
        <w:tc>
          <w:tcPr>
            <w:tcW w:w="738" w:type="dxa"/>
            <w:tcBorders>
              <w:top w:val="single" w:sz="6" w:space="0" w:color="auto"/>
              <w:left w:val="single" w:sz="6" w:space="0" w:color="auto"/>
              <w:bottom w:val="single" w:sz="6" w:space="0" w:color="auto"/>
              <w:right w:val="single" w:sz="6" w:space="0" w:color="auto"/>
            </w:tcBorders>
            <w:vAlign w:val="center"/>
          </w:tcPr>
          <w:p w14:paraId="25F0C431"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2 900 / 29 000</w:t>
            </w:r>
          </w:p>
        </w:tc>
        <w:tc>
          <w:tcPr>
            <w:tcW w:w="1034" w:type="dxa"/>
            <w:tcBorders>
              <w:top w:val="single" w:sz="6" w:space="0" w:color="auto"/>
              <w:left w:val="single" w:sz="6" w:space="0" w:color="auto"/>
              <w:bottom w:val="single" w:sz="6" w:space="0" w:color="auto"/>
              <w:right w:val="single" w:sz="6" w:space="0" w:color="auto"/>
            </w:tcBorders>
            <w:vAlign w:val="center"/>
          </w:tcPr>
          <w:p w14:paraId="20A356CE"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c/ 6 meses a excepción de llenado de soluciones con esterilización terminal que se realice c/3 meses</w:t>
            </w:r>
            <w:r w:rsidRPr="00D429B4">
              <w:rPr>
                <w:rFonts w:ascii="Verdana" w:hAnsi="Verdana"/>
                <w:i/>
                <w:position w:val="5"/>
                <w:sz w:val="16"/>
                <w:szCs w:val="16"/>
                <w:lang w:val="es-MX"/>
              </w:rPr>
              <w:t>d</w:t>
            </w:r>
          </w:p>
        </w:tc>
        <w:tc>
          <w:tcPr>
            <w:tcW w:w="1033" w:type="dxa"/>
            <w:tcBorders>
              <w:top w:val="single" w:sz="6" w:space="0" w:color="auto"/>
              <w:left w:val="single" w:sz="6" w:space="0" w:color="auto"/>
              <w:bottom w:val="single" w:sz="6" w:space="0" w:color="auto"/>
              <w:right w:val="single" w:sz="6" w:space="0" w:color="auto"/>
            </w:tcBorders>
            <w:vAlign w:val="center"/>
          </w:tcPr>
          <w:p w14:paraId="3545EFDC" w14:textId="77777777" w:rsidR="0092514C" w:rsidRPr="00D429B4" w:rsidRDefault="0092514C" w:rsidP="005C0901">
            <w:pPr>
              <w:pStyle w:val="Texto"/>
              <w:spacing w:before="20" w:after="10" w:line="276" w:lineRule="auto"/>
              <w:ind w:firstLine="0"/>
              <w:jc w:val="center"/>
              <w:rPr>
                <w:rFonts w:ascii="Verdana" w:hAnsi="Verdana"/>
                <w:i/>
                <w:position w:val="5"/>
                <w:sz w:val="16"/>
                <w:szCs w:val="16"/>
                <w:lang w:val="es-MX"/>
              </w:rPr>
            </w:pPr>
            <w:r w:rsidRPr="00D429B4">
              <w:rPr>
                <w:rFonts w:ascii="Verdana" w:hAnsi="Verdana"/>
                <w:sz w:val="16"/>
                <w:szCs w:val="16"/>
                <w:lang w:val="es-MX"/>
              </w:rPr>
              <w:t>&lt; 50/placa</w:t>
            </w:r>
            <w:r w:rsidRPr="00D429B4">
              <w:rPr>
                <w:rFonts w:ascii="Verdana" w:hAnsi="Verdana"/>
                <w:i/>
                <w:position w:val="5"/>
                <w:sz w:val="16"/>
                <w:szCs w:val="16"/>
                <w:lang w:val="es-MX"/>
              </w:rPr>
              <w:t>b.1</w:t>
            </w:r>
            <w:r w:rsidRPr="00D429B4">
              <w:rPr>
                <w:rFonts w:ascii="Verdana" w:hAnsi="Verdana"/>
                <w:sz w:val="16"/>
                <w:szCs w:val="16"/>
                <w:lang w:val="es-MX"/>
              </w:rPr>
              <w:t xml:space="preserve"> &lt; 100/m</w:t>
            </w:r>
            <w:r w:rsidRPr="00D429B4">
              <w:rPr>
                <w:rFonts w:ascii="Verdana" w:hAnsi="Verdana"/>
                <w:position w:val="4"/>
                <w:sz w:val="16"/>
                <w:szCs w:val="16"/>
                <w:lang w:val="es-MX"/>
              </w:rPr>
              <w:t>3</w:t>
            </w:r>
            <w:r w:rsidRPr="00D429B4">
              <w:rPr>
                <w:rFonts w:ascii="Verdana" w:hAnsi="Verdana"/>
                <w:i/>
                <w:position w:val="5"/>
                <w:sz w:val="16"/>
                <w:szCs w:val="16"/>
                <w:lang w:val="es-MX"/>
              </w:rPr>
              <w:t xml:space="preserve"> b.2</w:t>
            </w:r>
          </w:p>
          <w:p w14:paraId="570F8849"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&lt; 25/placa</w:t>
            </w:r>
            <w:r w:rsidRPr="00D429B4">
              <w:rPr>
                <w:rFonts w:ascii="Verdana" w:hAnsi="Verdana"/>
                <w:i/>
                <w:position w:val="5"/>
                <w:sz w:val="16"/>
                <w:szCs w:val="16"/>
                <w:lang w:val="es-MX"/>
              </w:rPr>
              <w:t>b.3</w:t>
            </w:r>
          </w:p>
          <w:p w14:paraId="09EC4FA9"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w:t>
            </w:r>
          </w:p>
        </w:tc>
        <w:tc>
          <w:tcPr>
            <w:tcW w:w="1183" w:type="dxa"/>
            <w:tcBorders>
              <w:top w:val="single" w:sz="6" w:space="0" w:color="auto"/>
              <w:left w:val="single" w:sz="6" w:space="0" w:color="auto"/>
              <w:bottom w:val="single" w:sz="6" w:space="0" w:color="auto"/>
              <w:right w:val="single" w:sz="6" w:space="0" w:color="auto"/>
            </w:tcBorders>
            <w:vAlign w:val="center"/>
          </w:tcPr>
          <w:p w14:paraId="49B8B287"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Semanalmente</w:t>
            </w:r>
          </w:p>
        </w:tc>
        <w:tc>
          <w:tcPr>
            <w:tcW w:w="1328" w:type="dxa"/>
            <w:tcBorders>
              <w:top w:val="single" w:sz="6" w:space="0" w:color="auto"/>
              <w:left w:val="single" w:sz="6" w:space="0" w:color="auto"/>
              <w:bottom w:val="single" w:sz="6" w:space="0" w:color="auto"/>
              <w:right w:val="single" w:sz="6" w:space="0" w:color="auto"/>
            </w:tcBorders>
            <w:vAlign w:val="center"/>
          </w:tcPr>
          <w:p w14:paraId="4DA5BE5B"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&gt;10 Pa</w:t>
            </w:r>
          </w:p>
        </w:tc>
        <w:tc>
          <w:tcPr>
            <w:tcW w:w="1031" w:type="dxa"/>
            <w:tcBorders>
              <w:top w:val="single" w:sz="6" w:space="0" w:color="auto"/>
              <w:left w:val="single" w:sz="6" w:space="0" w:color="auto"/>
              <w:bottom w:val="single" w:sz="6" w:space="0" w:color="auto"/>
              <w:right w:val="single" w:sz="6" w:space="0" w:color="auto"/>
            </w:tcBorders>
            <w:vAlign w:val="center"/>
          </w:tcPr>
          <w:p w14:paraId="6A8496AD"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20 a 50</w:t>
            </w:r>
          </w:p>
        </w:tc>
        <w:tc>
          <w:tcPr>
            <w:tcW w:w="887" w:type="dxa"/>
            <w:tcBorders>
              <w:top w:val="single" w:sz="6" w:space="0" w:color="auto"/>
              <w:left w:val="single" w:sz="6" w:space="0" w:color="auto"/>
              <w:bottom w:val="single" w:sz="6" w:space="0" w:color="auto"/>
              <w:right w:val="single" w:sz="6" w:space="0" w:color="auto"/>
            </w:tcBorders>
            <w:vAlign w:val="center"/>
          </w:tcPr>
          <w:p w14:paraId="7B956115"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18°C a 25°C</w:t>
            </w:r>
          </w:p>
          <w:p w14:paraId="2CBA5499"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30 a 65% HR</w:t>
            </w:r>
          </w:p>
        </w:tc>
        <w:tc>
          <w:tcPr>
            <w:tcW w:w="1828" w:type="dxa"/>
            <w:tcBorders>
              <w:top w:val="single" w:sz="6" w:space="0" w:color="auto"/>
              <w:left w:val="single" w:sz="6" w:space="0" w:color="auto"/>
              <w:bottom w:val="single" w:sz="6" w:space="0" w:color="auto"/>
              <w:right w:val="single" w:sz="6" w:space="0" w:color="auto"/>
            </w:tcBorders>
            <w:vAlign w:val="center"/>
          </w:tcPr>
          <w:p w14:paraId="034C2FB4"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Uniforme de planta limpio; cabello, vello facial y corporal cubierto, cubrebocas y guantes</w:t>
            </w:r>
          </w:p>
        </w:tc>
      </w:tr>
      <w:tr w:rsidR="0092514C" w:rsidRPr="00262EF8" w14:paraId="60C1BFCB" w14:textId="77777777">
        <w:trPr>
          <w:trHeight w:val="144"/>
        </w:trPr>
        <w:tc>
          <w:tcPr>
            <w:tcW w:w="853" w:type="dxa"/>
            <w:tcBorders>
              <w:top w:val="single" w:sz="6" w:space="0" w:color="auto"/>
              <w:left w:val="single" w:sz="6" w:space="0" w:color="auto"/>
              <w:bottom w:val="single" w:sz="6" w:space="0" w:color="auto"/>
              <w:right w:val="single" w:sz="6" w:space="0" w:color="auto"/>
            </w:tcBorders>
            <w:vAlign w:val="center"/>
          </w:tcPr>
          <w:p w14:paraId="40397521"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Clase D</w:t>
            </w:r>
          </w:p>
          <w:p w14:paraId="774F40B0"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lastRenderedPageBreak/>
              <w:t>(ISO-Clase 8)</w:t>
            </w:r>
          </w:p>
        </w:tc>
        <w:tc>
          <w:tcPr>
            <w:tcW w:w="2172" w:type="dxa"/>
            <w:tcBorders>
              <w:top w:val="single" w:sz="6" w:space="0" w:color="auto"/>
              <w:left w:val="single" w:sz="6" w:space="0" w:color="auto"/>
              <w:bottom w:val="single" w:sz="6" w:space="0" w:color="auto"/>
              <w:right w:val="single" w:sz="6" w:space="0" w:color="auto"/>
            </w:tcBorders>
            <w:vAlign w:val="center"/>
          </w:tcPr>
          <w:p w14:paraId="367187A4"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lastRenderedPageBreak/>
              <w:t>Entorno de Clase C</w:t>
            </w:r>
          </w:p>
          <w:p w14:paraId="3C6D610A"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Cuartos de aisladores.</w:t>
            </w:r>
          </w:p>
          <w:p w14:paraId="4B309AE4"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lastRenderedPageBreak/>
              <w:t>Cuartos incubadores y de refrigeración (localizadas en áreas de producción).</w:t>
            </w:r>
          </w:p>
          <w:p w14:paraId="22B30A00"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Preparación y envasado primario de formas farmacéuticas no estériles.</w:t>
            </w:r>
          </w:p>
          <w:p w14:paraId="49936E6D"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Muestreo, pesado y surtido de insumos no estériles.</w:t>
            </w:r>
          </w:p>
        </w:tc>
        <w:tc>
          <w:tcPr>
            <w:tcW w:w="887" w:type="dxa"/>
            <w:tcBorders>
              <w:top w:val="single" w:sz="6" w:space="0" w:color="auto"/>
              <w:left w:val="single" w:sz="6" w:space="0" w:color="auto"/>
              <w:bottom w:val="single" w:sz="6" w:space="0" w:color="auto"/>
              <w:right w:val="single" w:sz="6" w:space="0" w:color="auto"/>
            </w:tcBorders>
            <w:vAlign w:val="center"/>
          </w:tcPr>
          <w:p w14:paraId="38002FED"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lastRenderedPageBreak/>
              <w:t>3 520 000 / n.a.</w:t>
            </w:r>
          </w:p>
        </w:tc>
        <w:tc>
          <w:tcPr>
            <w:tcW w:w="738" w:type="dxa"/>
            <w:tcBorders>
              <w:top w:val="single" w:sz="6" w:space="0" w:color="auto"/>
              <w:left w:val="single" w:sz="6" w:space="0" w:color="auto"/>
              <w:bottom w:val="single" w:sz="6" w:space="0" w:color="auto"/>
              <w:right w:val="single" w:sz="6" w:space="0" w:color="auto"/>
            </w:tcBorders>
            <w:vAlign w:val="center"/>
          </w:tcPr>
          <w:p w14:paraId="7A3B7940"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29 000 / n.a.</w:t>
            </w:r>
          </w:p>
        </w:tc>
        <w:tc>
          <w:tcPr>
            <w:tcW w:w="1034" w:type="dxa"/>
            <w:tcBorders>
              <w:top w:val="single" w:sz="6" w:space="0" w:color="auto"/>
              <w:left w:val="single" w:sz="6" w:space="0" w:color="auto"/>
              <w:bottom w:val="single" w:sz="6" w:space="0" w:color="auto"/>
              <w:right w:val="single" w:sz="6" w:space="0" w:color="auto"/>
            </w:tcBorders>
            <w:vAlign w:val="center"/>
          </w:tcPr>
          <w:p w14:paraId="56A78A81"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c/ 6 meses</w:t>
            </w:r>
          </w:p>
        </w:tc>
        <w:tc>
          <w:tcPr>
            <w:tcW w:w="1033" w:type="dxa"/>
            <w:tcBorders>
              <w:top w:val="single" w:sz="6" w:space="0" w:color="auto"/>
              <w:left w:val="single" w:sz="6" w:space="0" w:color="auto"/>
              <w:bottom w:val="single" w:sz="6" w:space="0" w:color="auto"/>
              <w:right w:val="single" w:sz="6" w:space="0" w:color="auto"/>
            </w:tcBorders>
            <w:vAlign w:val="center"/>
          </w:tcPr>
          <w:p w14:paraId="7479533F" w14:textId="77777777" w:rsidR="0092514C" w:rsidRPr="00D429B4" w:rsidRDefault="0092514C" w:rsidP="005C0901">
            <w:pPr>
              <w:pStyle w:val="Texto"/>
              <w:spacing w:before="20" w:after="10" w:line="276" w:lineRule="auto"/>
              <w:ind w:firstLine="0"/>
              <w:jc w:val="center"/>
              <w:rPr>
                <w:rFonts w:ascii="Verdana" w:hAnsi="Verdana"/>
                <w:i/>
                <w:position w:val="5"/>
                <w:sz w:val="16"/>
                <w:szCs w:val="16"/>
                <w:lang w:val="es-MX"/>
              </w:rPr>
            </w:pPr>
            <w:r w:rsidRPr="00D429B4">
              <w:rPr>
                <w:rFonts w:ascii="Verdana" w:hAnsi="Verdana"/>
                <w:sz w:val="16"/>
                <w:szCs w:val="16"/>
                <w:lang w:val="es-MX"/>
              </w:rPr>
              <w:t>&lt; 100/placa</w:t>
            </w:r>
            <w:r w:rsidRPr="00D429B4">
              <w:rPr>
                <w:rFonts w:ascii="Verdana" w:hAnsi="Verdana"/>
                <w:i/>
                <w:position w:val="5"/>
                <w:sz w:val="16"/>
                <w:szCs w:val="16"/>
                <w:lang w:val="es-MX"/>
              </w:rPr>
              <w:t>b.1</w:t>
            </w:r>
            <w:r w:rsidRPr="00D429B4">
              <w:rPr>
                <w:rFonts w:ascii="Verdana" w:hAnsi="Verdana"/>
                <w:sz w:val="16"/>
                <w:szCs w:val="16"/>
                <w:lang w:val="es-MX"/>
              </w:rPr>
              <w:t xml:space="preserve"> </w:t>
            </w:r>
            <w:r w:rsidRPr="00D429B4">
              <w:rPr>
                <w:rFonts w:ascii="Verdana" w:hAnsi="Verdana"/>
                <w:sz w:val="16"/>
                <w:szCs w:val="16"/>
                <w:lang w:val="es-MX"/>
              </w:rPr>
              <w:lastRenderedPageBreak/>
              <w:t>&lt; 200/m</w:t>
            </w:r>
            <w:r w:rsidRPr="00D429B4">
              <w:rPr>
                <w:rFonts w:ascii="Verdana" w:hAnsi="Verdana"/>
                <w:position w:val="4"/>
                <w:sz w:val="16"/>
                <w:szCs w:val="16"/>
                <w:lang w:val="es-MX"/>
              </w:rPr>
              <w:t>3</w:t>
            </w:r>
            <w:r w:rsidRPr="00D429B4">
              <w:rPr>
                <w:rFonts w:ascii="Verdana" w:hAnsi="Verdana"/>
                <w:i/>
                <w:position w:val="5"/>
                <w:sz w:val="16"/>
                <w:szCs w:val="16"/>
                <w:lang w:val="es-MX"/>
              </w:rPr>
              <w:t xml:space="preserve"> b.2</w:t>
            </w:r>
          </w:p>
          <w:p w14:paraId="6D7B96AA"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&lt; 50/placa</w:t>
            </w:r>
            <w:r w:rsidRPr="00D429B4">
              <w:rPr>
                <w:rFonts w:ascii="Verdana" w:hAnsi="Verdana"/>
                <w:i/>
                <w:position w:val="5"/>
                <w:sz w:val="16"/>
                <w:szCs w:val="16"/>
                <w:lang w:val="es-MX"/>
              </w:rPr>
              <w:t>b.3</w:t>
            </w:r>
          </w:p>
          <w:p w14:paraId="394FDE7C"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w:t>
            </w:r>
          </w:p>
        </w:tc>
        <w:tc>
          <w:tcPr>
            <w:tcW w:w="1183" w:type="dxa"/>
            <w:tcBorders>
              <w:top w:val="single" w:sz="6" w:space="0" w:color="auto"/>
              <w:left w:val="single" w:sz="6" w:space="0" w:color="auto"/>
              <w:bottom w:val="single" w:sz="6" w:space="0" w:color="auto"/>
              <w:right w:val="single" w:sz="6" w:space="0" w:color="auto"/>
            </w:tcBorders>
            <w:vAlign w:val="center"/>
          </w:tcPr>
          <w:p w14:paraId="48171616"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lastRenderedPageBreak/>
              <w:t>Mensualmente</w:t>
            </w:r>
          </w:p>
        </w:tc>
        <w:tc>
          <w:tcPr>
            <w:tcW w:w="1328" w:type="dxa"/>
            <w:tcBorders>
              <w:top w:val="single" w:sz="6" w:space="0" w:color="auto"/>
              <w:left w:val="single" w:sz="6" w:space="0" w:color="auto"/>
              <w:bottom w:val="single" w:sz="6" w:space="0" w:color="auto"/>
              <w:right w:val="single" w:sz="6" w:space="0" w:color="auto"/>
            </w:tcBorders>
            <w:vAlign w:val="center"/>
          </w:tcPr>
          <w:p w14:paraId="38B71811"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&gt;5 Pa</w:t>
            </w:r>
          </w:p>
          <w:p w14:paraId="6323285A"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lastRenderedPageBreak/>
              <w:t>Presión negativa donde se generan polvos con respecto a los cuartos adyacentes y positiva con respecto a donde no se generan polvos</w:t>
            </w:r>
          </w:p>
        </w:tc>
        <w:tc>
          <w:tcPr>
            <w:tcW w:w="1031" w:type="dxa"/>
            <w:tcBorders>
              <w:top w:val="single" w:sz="6" w:space="0" w:color="auto"/>
              <w:left w:val="single" w:sz="6" w:space="0" w:color="auto"/>
              <w:bottom w:val="single" w:sz="6" w:space="0" w:color="auto"/>
              <w:right w:val="single" w:sz="6" w:space="0" w:color="auto"/>
            </w:tcBorders>
            <w:vAlign w:val="center"/>
          </w:tcPr>
          <w:p w14:paraId="56CFFF47"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lastRenderedPageBreak/>
              <w:t>10 a 20</w:t>
            </w:r>
          </w:p>
        </w:tc>
        <w:tc>
          <w:tcPr>
            <w:tcW w:w="887" w:type="dxa"/>
            <w:tcBorders>
              <w:top w:val="single" w:sz="6" w:space="0" w:color="auto"/>
              <w:left w:val="single" w:sz="6" w:space="0" w:color="auto"/>
              <w:bottom w:val="single" w:sz="6" w:space="0" w:color="auto"/>
              <w:right w:val="single" w:sz="6" w:space="0" w:color="auto"/>
            </w:tcBorders>
            <w:vAlign w:val="center"/>
          </w:tcPr>
          <w:p w14:paraId="048126EE"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18°C a 25°C</w:t>
            </w:r>
          </w:p>
          <w:p w14:paraId="69BF2DA8"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lastRenderedPageBreak/>
              <w:t>30 a 65% HR</w:t>
            </w:r>
          </w:p>
        </w:tc>
        <w:tc>
          <w:tcPr>
            <w:tcW w:w="1828" w:type="dxa"/>
            <w:tcBorders>
              <w:top w:val="single" w:sz="6" w:space="0" w:color="auto"/>
              <w:left w:val="single" w:sz="6" w:space="0" w:color="auto"/>
              <w:bottom w:val="single" w:sz="6" w:space="0" w:color="auto"/>
              <w:right w:val="single" w:sz="6" w:space="0" w:color="auto"/>
            </w:tcBorders>
            <w:vAlign w:val="center"/>
          </w:tcPr>
          <w:p w14:paraId="664784E2"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lastRenderedPageBreak/>
              <w:t xml:space="preserve">Uniforme de planta limpio; cabello, vello </w:t>
            </w:r>
            <w:r w:rsidRPr="00D429B4">
              <w:rPr>
                <w:rFonts w:ascii="Verdana" w:hAnsi="Verdana"/>
                <w:sz w:val="16"/>
                <w:szCs w:val="16"/>
                <w:lang w:val="es-MX"/>
              </w:rPr>
              <w:lastRenderedPageBreak/>
              <w:t>facial y corporal cubierto, cubrebocas y guantes</w:t>
            </w:r>
          </w:p>
        </w:tc>
      </w:tr>
      <w:tr w:rsidR="0092514C" w:rsidRPr="00262EF8" w14:paraId="5A4133A8" w14:textId="77777777">
        <w:trPr>
          <w:trHeight w:val="144"/>
        </w:trPr>
        <w:tc>
          <w:tcPr>
            <w:tcW w:w="853" w:type="dxa"/>
            <w:tcBorders>
              <w:top w:val="single" w:sz="6" w:space="0" w:color="auto"/>
              <w:left w:val="single" w:sz="6" w:space="0" w:color="auto"/>
              <w:bottom w:val="single" w:sz="6" w:space="0" w:color="auto"/>
              <w:right w:val="single" w:sz="6" w:space="0" w:color="auto"/>
            </w:tcBorders>
            <w:vAlign w:val="center"/>
          </w:tcPr>
          <w:p w14:paraId="03E7CBF5"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lastRenderedPageBreak/>
              <w:t>ISO-Clase 9</w:t>
            </w:r>
          </w:p>
        </w:tc>
        <w:tc>
          <w:tcPr>
            <w:tcW w:w="2172" w:type="dxa"/>
            <w:tcBorders>
              <w:top w:val="single" w:sz="6" w:space="0" w:color="auto"/>
              <w:left w:val="single" w:sz="6" w:space="0" w:color="auto"/>
              <w:bottom w:val="single" w:sz="6" w:space="0" w:color="auto"/>
              <w:right w:val="single" w:sz="6" w:space="0" w:color="auto"/>
            </w:tcBorders>
            <w:vAlign w:val="center"/>
          </w:tcPr>
          <w:p w14:paraId="6E88171F" w14:textId="77777777" w:rsidR="0092514C" w:rsidRPr="00D429B4" w:rsidRDefault="0092514C" w:rsidP="005C0901">
            <w:pPr>
              <w:pStyle w:val="Texto"/>
              <w:spacing w:before="20" w:after="10" w:line="276" w:lineRule="auto"/>
              <w:ind w:firstLine="0"/>
              <w:rPr>
                <w:rFonts w:ascii="Verdana" w:hAnsi="Verdana"/>
                <w:sz w:val="16"/>
                <w:szCs w:val="16"/>
                <w:lang w:val="es-MX"/>
              </w:rPr>
            </w:pPr>
            <w:r w:rsidRPr="00D429B4">
              <w:rPr>
                <w:rFonts w:ascii="Verdana" w:hAnsi="Verdana"/>
                <w:sz w:val="16"/>
                <w:szCs w:val="16"/>
                <w:lang w:val="es-MX"/>
              </w:rPr>
              <w:t>Acondicionamiento secundario.</w:t>
            </w:r>
          </w:p>
        </w:tc>
        <w:tc>
          <w:tcPr>
            <w:tcW w:w="887" w:type="dxa"/>
            <w:tcBorders>
              <w:top w:val="single" w:sz="6" w:space="0" w:color="auto"/>
              <w:left w:val="single" w:sz="6" w:space="0" w:color="auto"/>
              <w:bottom w:val="single" w:sz="6" w:space="0" w:color="auto"/>
              <w:right w:val="single" w:sz="6" w:space="0" w:color="auto"/>
            </w:tcBorders>
            <w:vAlign w:val="center"/>
          </w:tcPr>
          <w:p w14:paraId="75EBE50A"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35 200 000 / n.a.</w:t>
            </w:r>
          </w:p>
        </w:tc>
        <w:tc>
          <w:tcPr>
            <w:tcW w:w="738" w:type="dxa"/>
            <w:tcBorders>
              <w:top w:val="single" w:sz="6" w:space="0" w:color="auto"/>
              <w:left w:val="single" w:sz="6" w:space="0" w:color="auto"/>
              <w:bottom w:val="single" w:sz="6" w:space="0" w:color="auto"/>
              <w:right w:val="single" w:sz="6" w:space="0" w:color="auto"/>
            </w:tcBorders>
            <w:vAlign w:val="center"/>
          </w:tcPr>
          <w:p w14:paraId="75BE964F"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293 000 / n.a.</w:t>
            </w:r>
          </w:p>
        </w:tc>
        <w:tc>
          <w:tcPr>
            <w:tcW w:w="1034" w:type="dxa"/>
            <w:tcBorders>
              <w:top w:val="single" w:sz="6" w:space="0" w:color="auto"/>
              <w:left w:val="single" w:sz="6" w:space="0" w:color="auto"/>
              <w:bottom w:val="single" w:sz="6" w:space="0" w:color="auto"/>
              <w:right w:val="single" w:sz="6" w:space="0" w:color="auto"/>
            </w:tcBorders>
            <w:vAlign w:val="center"/>
          </w:tcPr>
          <w:p w14:paraId="2B994146"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Anualmente</w:t>
            </w:r>
          </w:p>
        </w:tc>
        <w:tc>
          <w:tcPr>
            <w:tcW w:w="1033" w:type="dxa"/>
            <w:tcBorders>
              <w:top w:val="single" w:sz="6" w:space="0" w:color="auto"/>
              <w:left w:val="single" w:sz="6" w:space="0" w:color="auto"/>
              <w:bottom w:val="single" w:sz="6" w:space="0" w:color="auto"/>
              <w:right w:val="single" w:sz="6" w:space="0" w:color="auto"/>
            </w:tcBorders>
            <w:vAlign w:val="center"/>
          </w:tcPr>
          <w:p w14:paraId="3169D58D"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n.a.</w:t>
            </w:r>
          </w:p>
        </w:tc>
        <w:tc>
          <w:tcPr>
            <w:tcW w:w="1183" w:type="dxa"/>
            <w:tcBorders>
              <w:top w:val="single" w:sz="6" w:space="0" w:color="auto"/>
              <w:left w:val="single" w:sz="6" w:space="0" w:color="auto"/>
              <w:bottom w:val="single" w:sz="6" w:space="0" w:color="auto"/>
              <w:right w:val="single" w:sz="6" w:space="0" w:color="auto"/>
            </w:tcBorders>
            <w:vAlign w:val="center"/>
          </w:tcPr>
          <w:p w14:paraId="443241C3"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Anualmente</w:t>
            </w:r>
          </w:p>
        </w:tc>
        <w:tc>
          <w:tcPr>
            <w:tcW w:w="1328" w:type="dxa"/>
            <w:tcBorders>
              <w:top w:val="single" w:sz="6" w:space="0" w:color="auto"/>
              <w:left w:val="single" w:sz="6" w:space="0" w:color="auto"/>
              <w:bottom w:val="single" w:sz="6" w:space="0" w:color="auto"/>
              <w:right w:val="single" w:sz="6" w:space="0" w:color="auto"/>
            </w:tcBorders>
            <w:vAlign w:val="center"/>
          </w:tcPr>
          <w:p w14:paraId="5711B0E0"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Presión positiva con respecto a áreas no clasificadas.</w:t>
            </w:r>
          </w:p>
        </w:tc>
        <w:tc>
          <w:tcPr>
            <w:tcW w:w="1031" w:type="dxa"/>
            <w:tcBorders>
              <w:top w:val="single" w:sz="6" w:space="0" w:color="auto"/>
              <w:left w:val="single" w:sz="6" w:space="0" w:color="auto"/>
              <w:bottom w:val="single" w:sz="6" w:space="0" w:color="auto"/>
              <w:right w:val="single" w:sz="6" w:space="0" w:color="auto"/>
            </w:tcBorders>
            <w:vAlign w:val="center"/>
          </w:tcPr>
          <w:p w14:paraId="5CBB75D0"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n.a.</w:t>
            </w:r>
          </w:p>
        </w:tc>
        <w:tc>
          <w:tcPr>
            <w:tcW w:w="887" w:type="dxa"/>
            <w:tcBorders>
              <w:top w:val="single" w:sz="6" w:space="0" w:color="auto"/>
              <w:left w:val="single" w:sz="6" w:space="0" w:color="auto"/>
              <w:bottom w:val="single" w:sz="6" w:space="0" w:color="auto"/>
              <w:right w:val="single" w:sz="6" w:space="0" w:color="auto"/>
            </w:tcBorders>
            <w:vAlign w:val="center"/>
          </w:tcPr>
          <w:p w14:paraId="1EA390BE"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18°C a 25°C</w:t>
            </w:r>
          </w:p>
        </w:tc>
        <w:tc>
          <w:tcPr>
            <w:tcW w:w="1828" w:type="dxa"/>
            <w:tcBorders>
              <w:top w:val="single" w:sz="6" w:space="0" w:color="auto"/>
              <w:left w:val="single" w:sz="6" w:space="0" w:color="auto"/>
              <w:bottom w:val="single" w:sz="6" w:space="0" w:color="auto"/>
              <w:right w:val="single" w:sz="6" w:space="0" w:color="auto"/>
            </w:tcBorders>
            <w:vAlign w:val="center"/>
          </w:tcPr>
          <w:p w14:paraId="03F49D3F" w14:textId="77777777" w:rsidR="0092514C" w:rsidRPr="00D429B4" w:rsidRDefault="0092514C" w:rsidP="005C0901">
            <w:pPr>
              <w:pStyle w:val="Texto"/>
              <w:spacing w:before="20" w:after="10" w:line="276" w:lineRule="auto"/>
              <w:ind w:firstLine="0"/>
              <w:jc w:val="center"/>
              <w:rPr>
                <w:rFonts w:ascii="Verdana" w:hAnsi="Verdana"/>
                <w:sz w:val="16"/>
                <w:szCs w:val="16"/>
                <w:lang w:val="es-MX"/>
              </w:rPr>
            </w:pPr>
            <w:r w:rsidRPr="00D429B4">
              <w:rPr>
                <w:rFonts w:ascii="Verdana" w:hAnsi="Verdana"/>
                <w:sz w:val="16"/>
                <w:szCs w:val="16"/>
                <w:lang w:val="es-MX"/>
              </w:rPr>
              <w:t>Uniforme de planta limpio; cabello cubierto.</w:t>
            </w:r>
          </w:p>
        </w:tc>
      </w:tr>
    </w:tbl>
    <w:p w14:paraId="12678F99" w14:textId="77777777" w:rsidR="0092514C" w:rsidRPr="00D429B4" w:rsidRDefault="0092514C" w:rsidP="005C0901">
      <w:pPr>
        <w:pStyle w:val="Texto"/>
        <w:spacing w:before="20" w:after="20" w:line="276" w:lineRule="auto"/>
        <w:rPr>
          <w:rFonts w:ascii="Verdana" w:hAnsi="Verdana"/>
          <w:b/>
          <w:sz w:val="16"/>
          <w:szCs w:val="16"/>
          <w:lang w:val="es-MX"/>
        </w:rPr>
      </w:pPr>
      <w:r w:rsidRPr="00D429B4">
        <w:rPr>
          <w:rFonts w:ascii="Verdana" w:hAnsi="Verdana"/>
          <w:b/>
          <w:sz w:val="16"/>
          <w:szCs w:val="16"/>
          <w:lang w:val="es-MX"/>
        </w:rPr>
        <w:t>NOTAS:</w:t>
      </w:r>
    </w:p>
    <w:p w14:paraId="29FC92B6" w14:textId="77777777" w:rsidR="0092514C" w:rsidRPr="00D429B4" w:rsidRDefault="0092514C" w:rsidP="005C0901">
      <w:pPr>
        <w:pStyle w:val="Texto"/>
        <w:tabs>
          <w:tab w:val="left" w:pos="720"/>
        </w:tabs>
        <w:spacing w:before="20" w:after="20" w:line="276" w:lineRule="auto"/>
        <w:ind w:left="720" w:hanging="432"/>
        <w:rPr>
          <w:rFonts w:ascii="Verdana" w:hAnsi="Verdana"/>
          <w:sz w:val="16"/>
          <w:szCs w:val="16"/>
          <w:lang w:val="es-MX"/>
        </w:rPr>
      </w:pPr>
      <w:r w:rsidRPr="00D429B4">
        <w:rPr>
          <w:rFonts w:ascii="Verdana" w:hAnsi="Verdana"/>
          <w:b/>
          <w:i/>
          <w:sz w:val="16"/>
          <w:szCs w:val="16"/>
          <w:lang w:val="es-MX"/>
        </w:rPr>
        <w:t>a</w:t>
      </w:r>
      <w:r w:rsidRPr="00D429B4">
        <w:rPr>
          <w:rFonts w:ascii="Verdana" w:hAnsi="Verdana"/>
          <w:sz w:val="16"/>
          <w:szCs w:val="16"/>
          <w:lang w:val="es-MX"/>
        </w:rPr>
        <w:t xml:space="preserve"> </w:t>
      </w:r>
      <w:r w:rsidRPr="00D429B4">
        <w:rPr>
          <w:rFonts w:ascii="Verdana" w:hAnsi="Verdana"/>
          <w:sz w:val="16"/>
          <w:szCs w:val="16"/>
          <w:lang w:val="es-MX"/>
        </w:rPr>
        <w:tab/>
        <w:t>Los ejemplos aquí señalados son enunciativos mas no limitativos.</w:t>
      </w:r>
    </w:p>
    <w:p w14:paraId="59951773" w14:textId="77777777" w:rsidR="0092514C" w:rsidRPr="00D429B4" w:rsidRDefault="0092514C" w:rsidP="005C0901">
      <w:pPr>
        <w:pStyle w:val="Texto"/>
        <w:tabs>
          <w:tab w:val="left" w:pos="720"/>
        </w:tabs>
        <w:spacing w:before="20" w:after="20" w:line="276" w:lineRule="auto"/>
        <w:ind w:left="720" w:hanging="432"/>
        <w:rPr>
          <w:rFonts w:ascii="Verdana" w:hAnsi="Verdana"/>
          <w:sz w:val="16"/>
          <w:szCs w:val="16"/>
          <w:lang w:val="es-MX"/>
        </w:rPr>
      </w:pPr>
      <w:r w:rsidRPr="00D429B4">
        <w:rPr>
          <w:rFonts w:ascii="Verdana" w:hAnsi="Verdana"/>
          <w:b/>
          <w:i/>
          <w:sz w:val="16"/>
          <w:szCs w:val="16"/>
          <w:lang w:val="es-MX"/>
        </w:rPr>
        <w:t xml:space="preserve">b </w:t>
      </w:r>
      <w:r w:rsidRPr="00D429B4">
        <w:rPr>
          <w:rFonts w:ascii="Verdana" w:hAnsi="Verdana"/>
          <w:b/>
          <w:i/>
          <w:sz w:val="16"/>
          <w:szCs w:val="16"/>
          <w:lang w:val="es-MX"/>
        </w:rPr>
        <w:tab/>
      </w:r>
      <w:r w:rsidRPr="00D429B4">
        <w:rPr>
          <w:rFonts w:ascii="Verdana" w:hAnsi="Verdana"/>
          <w:sz w:val="16"/>
          <w:szCs w:val="16"/>
          <w:lang w:val="es-MX"/>
        </w:rPr>
        <w:t>El monitoreo microbiológico debe efectuarse empleando los siguientes métodos:</w:t>
      </w:r>
    </w:p>
    <w:p w14:paraId="47B16D9E" w14:textId="77777777" w:rsidR="0092514C" w:rsidRPr="00D429B4" w:rsidRDefault="0092514C" w:rsidP="005C0901">
      <w:pPr>
        <w:pStyle w:val="Texto"/>
        <w:tabs>
          <w:tab w:val="left" w:pos="720"/>
        </w:tabs>
        <w:spacing w:before="20" w:after="20" w:line="276" w:lineRule="auto"/>
        <w:ind w:left="720" w:hanging="432"/>
        <w:rPr>
          <w:rFonts w:ascii="Verdana" w:hAnsi="Verdana"/>
          <w:strike/>
          <w:sz w:val="16"/>
          <w:szCs w:val="16"/>
          <w:lang w:val="es-MX"/>
        </w:rPr>
      </w:pPr>
      <w:r w:rsidRPr="00D429B4">
        <w:rPr>
          <w:rFonts w:ascii="Verdana" w:hAnsi="Verdana"/>
          <w:b/>
          <w:i/>
          <w:sz w:val="16"/>
          <w:szCs w:val="16"/>
          <w:lang w:val="es-MX"/>
        </w:rPr>
        <w:t>b.1</w:t>
      </w:r>
      <w:r w:rsidRPr="00D429B4">
        <w:rPr>
          <w:rFonts w:ascii="Verdana" w:hAnsi="Verdana"/>
          <w:sz w:val="16"/>
          <w:szCs w:val="16"/>
          <w:lang w:val="es-MX"/>
        </w:rPr>
        <w:t xml:space="preserve"> </w:t>
      </w:r>
      <w:r w:rsidRPr="00D429B4">
        <w:rPr>
          <w:rFonts w:ascii="Verdana" w:hAnsi="Verdana"/>
          <w:sz w:val="16"/>
          <w:szCs w:val="16"/>
          <w:lang w:val="es-MX"/>
        </w:rPr>
        <w:tab/>
        <w:t>Placa de sedimentación de 90 mm de diámetro, con exposición no menor a 30 minutos y no mayor a 4 horas.</w:t>
      </w:r>
    </w:p>
    <w:p w14:paraId="7CC7343D" w14:textId="77777777" w:rsidR="0092514C" w:rsidRPr="00D429B4" w:rsidRDefault="0092514C" w:rsidP="005C0901">
      <w:pPr>
        <w:pStyle w:val="Texto"/>
        <w:tabs>
          <w:tab w:val="left" w:pos="720"/>
        </w:tabs>
        <w:spacing w:before="20" w:after="20" w:line="276" w:lineRule="auto"/>
        <w:ind w:left="720" w:hanging="432"/>
        <w:rPr>
          <w:rFonts w:ascii="Verdana" w:hAnsi="Verdana"/>
          <w:sz w:val="16"/>
          <w:szCs w:val="16"/>
          <w:lang w:val="es-MX"/>
        </w:rPr>
      </w:pPr>
      <w:r w:rsidRPr="00D429B4">
        <w:rPr>
          <w:rFonts w:ascii="Verdana" w:hAnsi="Verdana"/>
          <w:b/>
          <w:i/>
          <w:sz w:val="16"/>
          <w:szCs w:val="16"/>
          <w:lang w:val="es-MX"/>
        </w:rPr>
        <w:t>b.2</w:t>
      </w:r>
      <w:r w:rsidRPr="00D429B4">
        <w:rPr>
          <w:rFonts w:ascii="Verdana" w:hAnsi="Verdana"/>
          <w:i/>
          <w:sz w:val="16"/>
          <w:szCs w:val="16"/>
          <w:lang w:val="es-MX"/>
        </w:rPr>
        <w:t xml:space="preserve"> </w:t>
      </w:r>
      <w:r w:rsidRPr="00D429B4">
        <w:rPr>
          <w:rFonts w:ascii="Verdana" w:hAnsi="Verdana"/>
          <w:i/>
          <w:sz w:val="16"/>
          <w:szCs w:val="16"/>
          <w:lang w:val="es-MX"/>
        </w:rPr>
        <w:tab/>
      </w:r>
      <w:r w:rsidRPr="00D429B4">
        <w:rPr>
          <w:rFonts w:ascii="Verdana" w:hAnsi="Verdana"/>
          <w:sz w:val="16"/>
          <w:szCs w:val="16"/>
          <w:lang w:val="es-MX"/>
        </w:rPr>
        <w:t>Muestreo de aire.</w:t>
      </w:r>
    </w:p>
    <w:p w14:paraId="012C134E" w14:textId="77777777" w:rsidR="0092514C" w:rsidRPr="00D429B4" w:rsidRDefault="0092514C" w:rsidP="005C0901">
      <w:pPr>
        <w:pStyle w:val="Texto"/>
        <w:tabs>
          <w:tab w:val="left" w:pos="720"/>
        </w:tabs>
        <w:spacing w:before="20" w:after="20" w:line="276" w:lineRule="auto"/>
        <w:ind w:left="720" w:hanging="432"/>
        <w:rPr>
          <w:rFonts w:ascii="Verdana" w:hAnsi="Verdana"/>
          <w:sz w:val="16"/>
          <w:szCs w:val="16"/>
          <w:lang w:val="es-MX"/>
        </w:rPr>
      </w:pPr>
      <w:r w:rsidRPr="00D429B4">
        <w:rPr>
          <w:rFonts w:ascii="Verdana" w:hAnsi="Verdana"/>
          <w:b/>
          <w:i/>
          <w:sz w:val="16"/>
          <w:szCs w:val="16"/>
          <w:lang w:val="es-MX"/>
        </w:rPr>
        <w:t>b.3</w:t>
      </w:r>
      <w:r w:rsidRPr="00D429B4">
        <w:rPr>
          <w:rFonts w:ascii="Verdana" w:hAnsi="Verdana"/>
          <w:i/>
          <w:sz w:val="16"/>
          <w:szCs w:val="16"/>
          <w:lang w:val="es-MX"/>
        </w:rPr>
        <w:t xml:space="preserve"> </w:t>
      </w:r>
      <w:r w:rsidRPr="00D429B4">
        <w:rPr>
          <w:rFonts w:ascii="Verdana" w:hAnsi="Verdana"/>
          <w:i/>
          <w:sz w:val="16"/>
          <w:szCs w:val="16"/>
          <w:lang w:val="es-MX"/>
        </w:rPr>
        <w:tab/>
      </w:r>
      <w:r w:rsidRPr="00D429B4">
        <w:rPr>
          <w:rFonts w:ascii="Verdana" w:hAnsi="Verdana"/>
          <w:sz w:val="16"/>
          <w:szCs w:val="16"/>
          <w:lang w:val="es-MX"/>
        </w:rPr>
        <w:t>Placa de contacto 55 mm de diámetro.</w:t>
      </w:r>
    </w:p>
    <w:p w14:paraId="12ED56A7" w14:textId="77777777" w:rsidR="0092514C" w:rsidRPr="00D429B4" w:rsidRDefault="0092514C" w:rsidP="005C0901">
      <w:pPr>
        <w:pStyle w:val="Texto"/>
        <w:tabs>
          <w:tab w:val="left" w:pos="720"/>
        </w:tabs>
        <w:spacing w:before="20" w:after="20" w:line="276" w:lineRule="auto"/>
        <w:ind w:left="720" w:hanging="432"/>
        <w:rPr>
          <w:rFonts w:ascii="Verdana" w:hAnsi="Verdana"/>
          <w:sz w:val="16"/>
          <w:szCs w:val="16"/>
          <w:lang w:val="es-MX"/>
        </w:rPr>
      </w:pPr>
      <w:r w:rsidRPr="00D429B4">
        <w:rPr>
          <w:rFonts w:ascii="Verdana" w:hAnsi="Verdana"/>
          <w:b/>
          <w:i/>
          <w:sz w:val="16"/>
          <w:szCs w:val="16"/>
          <w:lang w:val="es-MX"/>
        </w:rPr>
        <w:t>b.4</w:t>
      </w:r>
      <w:r w:rsidRPr="00D429B4">
        <w:rPr>
          <w:rFonts w:ascii="Verdana" w:hAnsi="Verdana"/>
          <w:i/>
          <w:sz w:val="16"/>
          <w:szCs w:val="16"/>
          <w:lang w:val="es-MX"/>
        </w:rPr>
        <w:t xml:space="preserve"> </w:t>
      </w:r>
      <w:r w:rsidRPr="00D429B4">
        <w:rPr>
          <w:rFonts w:ascii="Verdana" w:hAnsi="Verdana"/>
          <w:i/>
          <w:sz w:val="16"/>
          <w:szCs w:val="16"/>
          <w:lang w:val="es-MX"/>
        </w:rPr>
        <w:tab/>
      </w:r>
      <w:r w:rsidRPr="00D429B4">
        <w:rPr>
          <w:rFonts w:ascii="Verdana" w:hAnsi="Verdana"/>
          <w:sz w:val="16"/>
          <w:szCs w:val="16"/>
          <w:lang w:val="es-MX"/>
        </w:rPr>
        <w:t>Muestreo de Guantes en 5 dedos.</w:t>
      </w:r>
    </w:p>
    <w:p w14:paraId="36220ACE" w14:textId="77777777" w:rsidR="0092514C" w:rsidRPr="00D429B4" w:rsidRDefault="0092514C" w:rsidP="005C0901">
      <w:pPr>
        <w:pStyle w:val="Texto"/>
        <w:tabs>
          <w:tab w:val="left" w:pos="720"/>
        </w:tabs>
        <w:spacing w:before="20" w:after="20" w:line="276" w:lineRule="auto"/>
        <w:ind w:left="720" w:hanging="432"/>
        <w:rPr>
          <w:rFonts w:ascii="Verdana" w:hAnsi="Verdana"/>
          <w:sz w:val="16"/>
          <w:szCs w:val="16"/>
          <w:lang w:val="es-MX"/>
        </w:rPr>
      </w:pPr>
      <w:r w:rsidRPr="00D429B4">
        <w:rPr>
          <w:rFonts w:ascii="Verdana" w:hAnsi="Verdana"/>
          <w:b/>
          <w:i/>
          <w:sz w:val="16"/>
          <w:szCs w:val="16"/>
          <w:lang w:val="es-MX"/>
        </w:rPr>
        <w:t>c</w:t>
      </w:r>
      <w:r w:rsidRPr="00D429B4">
        <w:rPr>
          <w:rFonts w:ascii="Verdana" w:hAnsi="Verdana"/>
          <w:b/>
          <w:sz w:val="16"/>
          <w:szCs w:val="16"/>
          <w:lang w:val="es-MX"/>
        </w:rPr>
        <w:t xml:space="preserve"> </w:t>
      </w:r>
      <w:r w:rsidRPr="00D429B4">
        <w:rPr>
          <w:rFonts w:ascii="Verdana" w:hAnsi="Verdana"/>
          <w:b/>
          <w:sz w:val="16"/>
          <w:szCs w:val="16"/>
          <w:lang w:val="es-MX"/>
        </w:rPr>
        <w:tab/>
      </w:r>
      <w:r w:rsidRPr="00D429B4">
        <w:rPr>
          <w:rFonts w:ascii="Verdana" w:hAnsi="Verdana"/>
          <w:sz w:val="16"/>
          <w:szCs w:val="16"/>
          <w:lang w:val="es-MX"/>
        </w:rPr>
        <w:t>La zona de flujo unidireccional debe cumplir con parámetro de velocidad de flujo 0.45 m/s ± 20%.</w:t>
      </w:r>
    </w:p>
    <w:p w14:paraId="53054069" w14:textId="77777777" w:rsidR="0092514C" w:rsidRPr="00D429B4" w:rsidRDefault="0092514C" w:rsidP="005C0901">
      <w:pPr>
        <w:pStyle w:val="Texto"/>
        <w:tabs>
          <w:tab w:val="left" w:pos="720"/>
        </w:tabs>
        <w:spacing w:before="20" w:after="20" w:line="276" w:lineRule="auto"/>
        <w:ind w:left="720" w:hanging="432"/>
        <w:rPr>
          <w:rFonts w:ascii="Verdana" w:hAnsi="Verdana"/>
          <w:sz w:val="16"/>
          <w:szCs w:val="16"/>
          <w:lang w:val="es-MX"/>
        </w:rPr>
      </w:pPr>
      <w:r w:rsidRPr="00D429B4">
        <w:rPr>
          <w:rFonts w:ascii="Verdana" w:hAnsi="Verdana"/>
          <w:b/>
          <w:i/>
          <w:sz w:val="16"/>
          <w:szCs w:val="16"/>
          <w:lang w:val="es-MX"/>
        </w:rPr>
        <w:t>d</w:t>
      </w:r>
      <w:r w:rsidRPr="00D429B4">
        <w:rPr>
          <w:rFonts w:ascii="Verdana" w:hAnsi="Verdana"/>
          <w:sz w:val="16"/>
          <w:szCs w:val="16"/>
          <w:lang w:val="es-MX"/>
        </w:rPr>
        <w:t xml:space="preserve"> </w:t>
      </w:r>
      <w:r w:rsidRPr="00D429B4">
        <w:rPr>
          <w:rFonts w:ascii="Verdana" w:hAnsi="Verdana"/>
          <w:sz w:val="16"/>
          <w:szCs w:val="16"/>
          <w:lang w:val="es-MX"/>
        </w:rPr>
        <w:tab/>
        <w:t>Puede realizarse con menor frecuencia de acuerdo al mantenimiento del estado validado.</w:t>
      </w:r>
    </w:p>
    <w:p w14:paraId="0B84EDE4" w14:textId="77777777" w:rsidR="0092514C" w:rsidRPr="00D429B4" w:rsidRDefault="0092514C" w:rsidP="005C0901">
      <w:pPr>
        <w:pStyle w:val="Texto"/>
        <w:tabs>
          <w:tab w:val="left" w:pos="720"/>
        </w:tabs>
        <w:spacing w:before="20" w:after="20" w:line="276" w:lineRule="auto"/>
        <w:ind w:left="720" w:hanging="432"/>
        <w:rPr>
          <w:rFonts w:ascii="Verdana" w:hAnsi="Verdana"/>
          <w:sz w:val="16"/>
          <w:szCs w:val="16"/>
          <w:lang w:val="es-MX"/>
        </w:rPr>
      </w:pPr>
      <w:r w:rsidRPr="00D429B4">
        <w:rPr>
          <w:rFonts w:ascii="Verdana" w:hAnsi="Verdana"/>
          <w:b/>
          <w:i/>
          <w:sz w:val="16"/>
          <w:szCs w:val="16"/>
          <w:lang w:val="es-MX"/>
        </w:rPr>
        <w:t>e</w:t>
      </w:r>
      <w:r w:rsidRPr="00D429B4">
        <w:rPr>
          <w:rFonts w:ascii="Verdana" w:hAnsi="Verdana"/>
          <w:b/>
          <w:sz w:val="16"/>
          <w:szCs w:val="16"/>
          <w:lang w:val="es-MX"/>
        </w:rPr>
        <w:t xml:space="preserve"> </w:t>
      </w:r>
      <w:r w:rsidRPr="00D429B4">
        <w:rPr>
          <w:rFonts w:ascii="Verdana" w:hAnsi="Verdana"/>
          <w:b/>
          <w:sz w:val="16"/>
          <w:szCs w:val="16"/>
          <w:lang w:val="es-MX"/>
        </w:rPr>
        <w:tab/>
      </w:r>
      <w:r w:rsidRPr="00D429B4">
        <w:rPr>
          <w:rFonts w:ascii="Verdana" w:hAnsi="Verdana"/>
          <w:sz w:val="16"/>
          <w:szCs w:val="16"/>
          <w:lang w:val="es-MX"/>
        </w:rPr>
        <w:t>Podrá ser realizado al menos en Clase D siempre y cuando se soporten con estudios de validación.</w:t>
      </w:r>
    </w:p>
    <w:p w14:paraId="05A6ECF8" w14:textId="77777777" w:rsidR="0092514C" w:rsidRPr="00D429B4" w:rsidRDefault="0092514C" w:rsidP="005C0901">
      <w:pPr>
        <w:pStyle w:val="Texto"/>
        <w:tabs>
          <w:tab w:val="left" w:pos="720"/>
        </w:tabs>
        <w:spacing w:before="20" w:after="20" w:line="276" w:lineRule="auto"/>
        <w:ind w:left="720" w:hanging="432"/>
        <w:rPr>
          <w:rFonts w:ascii="Verdana" w:hAnsi="Verdana"/>
          <w:sz w:val="16"/>
          <w:szCs w:val="16"/>
          <w:lang w:val="es-MX"/>
        </w:rPr>
      </w:pPr>
      <w:r w:rsidRPr="00D429B4">
        <w:rPr>
          <w:rFonts w:ascii="Verdana" w:hAnsi="Verdana"/>
          <w:b/>
          <w:i/>
          <w:sz w:val="16"/>
          <w:szCs w:val="16"/>
          <w:lang w:val="es-MX"/>
        </w:rPr>
        <w:t>f</w:t>
      </w:r>
      <w:r w:rsidRPr="00D429B4">
        <w:rPr>
          <w:rFonts w:ascii="Verdana" w:hAnsi="Verdana"/>
          <w:sz w:val="16"/>
          <w:szCs w:val="16"/>
          <w:lang w:val="es-MX"/>
        </w:rPr>
        <w:t xml:space="preserve"> </w:t>
      </w:r>
      <w:r w:rsidRPr="00D429B4">
        <w:rPr>
          <w:rFonts w:ascii="Verdana" w:hAnsi="Verdana"/>
          <w:sz w:val="16"/>
          <w:szCs w:val="16"/>
          <w:lang w:val="es-MX"/>
        </w:rPr>
        <w:tab/>
        <w:t>Los cuartos clasificación Clase A deben cumplir con estos parámetros, no aplica para módulos de flujo unidireccional.</w:t>
      </w:r>
    </w:p>
    <w:p w14:paraId="6FDD8EDA" w14:textId="77777777" w:rsidR="0092514C" w:rsidRPr="00D429B4" w:rsidRDefault="0092514C" w:rsidP="005C0901">
      <w:pPr>
        <w:pStyle w:val="Texto"/>
        <w:tabs>
          <w:tab w:val="left" w:pos="720"/>
        </w:tabs>
        <w:spacing w:before="20" w:after="20" w:line="276" w:lineRule="auto"/>
        <w:ind w:left="720" w:hanging="432"/>
        <w:rPr>
          <w:rFonts w:ascii="Verdana" w:hAnsi="Verdana"/>
          <w:sz w:val="16"/>
          <w:szCs w:val="16"/>
          <w:lang w:val="es-MX"/>
        </w:rPr>
      </w:pPr>
      <w:r w:rsidRPr="00D429B4">
        <w:rPr>
          <w:rFonts w:ascii="Verdana" w:hAnsi="Verdana"/>
          <w:b/>
          <w:i/>
          <w:sz w:val="16"/>
          <w:szCs w:val="16"/>
          <w:lang w:val="es-MX"/>
        </w:rPr>
        <w:t>g</w:t>
      </w:r>
      <w:r w:rsidRPr="00D429B4">
        <w:rPr>
          <w:rFonts w:ascii="Verdana" w:hAnsi="Verdana"/>
          <w:b/>
          <w:i/>
          <w:sz w:val="16"/>
          <w:szCs w:val="16"/>
          <w:lang w:val="es-MX"/>
        </w:rPr>
        <w:tab/>
      </w:r>
      <w:r w:rsidRPr="00D429B4">
        <w:rPr>
          <w:rFonts w:ascii="Verdana" w:hAnsi="Verdana"/>
          <w:sz w:val="16"/>
          <w:szCs w:val="16"/>
          <w:lang w:val="es-MX"/>
        </w:rPr>
        <w:t>Los límites de partículas dadas en la tabla para condición estática pueden alcanzarse después de un corto periodo de limpieza de 15 a 20 minutos después de concluir la operación y sin operarios.</w:t>
      </w:r>
    </w:p>
    <w:p w14:paraId="21BE3A35" w14:textId="77777777" w:rsidR="0092514C" w:rsidRPr="00D429B4" w:rsidRDefault="0092514C" w:rsidP="005C0901">
      <w:pPr>
        <w:pStyle w:val="Texto"/>
        <w:tabs>
          <w:tab w:val="left" w:pos="720"/>
        </w:tabs>
        <w:spacing w:before="20" w:after="20" w:line="276" w:lineRule="auto"/>
        <w:ind w:left="720" w:hanging="432"/>
        <w:rPr>
          <w:rFonts w:ascii="Verdana" w:hAnsi="Verdana"/>
          <w:sz w:val="16"/>
          <w:szCs w:val="16"/>
          <w:lang w:val="es-MX"/>
        </w:rPr>
      </w:pPr>
      <w:r w:rsidRPr="00D429B4">
        <w:rPr>
          <w:rFonts w:ascii="Verdana" w:hAnsi="Verdana"/>
          <w:b/>
          <w:i/>
          <w:sz w:val="16"/>
          <w:szCs w:val="16"/>
          <w:lang w:val="es-MX"/>
        </w:rPr>
        <w:t>h</w:t>
      </w:r>
      <w:r w:rsidRPr="00D429B4">
        <w:rPr>
          <w:rFonts w:ascii="Verdana" w:hAnsi="Verdana"/>
          <w:b/>
          <w:sz w:val="16"/>
          <w:szCs w:val="16"/>
          <w:lang w:val="es-MX"/>
        </w:rPr>
        <w:tab/>
      </w:r>
      <w:r w:rsidRPr="00D429B4">
        <w:rPr>
          <w:rFonts w:ascii="Verdana" w:hAnsi="Verdana"/>
          <w:sz w:val="16"/>
          <w:szCs w:val="16"/>
          <w:lang w:val="es-MX"/>
        </w:rPr>
        <w:t>Los tamaños de muestra tomados con propósitos de monitoreo están dados en función del sistema de muestreo usado y no necesariamente el volumen de la muestra de monitoreo será la misma que la cantidad de aire tomada durante la clasificación formal del cuarto.</w:t>
      </w:r>
    </w:p>
    <w:p w14:paraId="19CBC438" w14:textId="77777777" w:rsidR="0092514C" w:rsidRPr="00D429B4" w:rsidRDefault="0092514C" w:rsidP="005C0901">
      <w:pPr>
        <w:pStyle w:val="Texto"/>
        <w:tabs>
          <w:tab w:val="left" w:pos="720"/>
        </w:tabs>
        <w:spacing w:before="20" w:after="20" w:line="276" w:lineRule="auto"/>
        <w:ind w:left="720" w:hanging="432"/>
        <w:rPr>
          <w:rFonts w:ascii="Verdana" w:hAnsi="Verdana"/>
          <w:sz w:val="16"/>
          <w:szCs w:val="16"/>
          <w:lang w:val="es-MX"/>
        </w:rPr>
      </w:pPr>
      <w:r w:rsidRPr="00D429B4">
        <w:rPr>
          <w:rFonts w:ascii="Verdana" w:hAnsi="Verdana"/>
          <w:b/>
          <w:i/>
          <w:sz w:val="16"/>
          <w:szCs w:val="16"/>
          <w:lang w:val="es-MX"/>
        </w:rPr>
        <w:t>i</w:t>
      </w:r>
      <w:r w:rsidRPr="00D429B4">
        <w:rPr>
          <w:rFonts w:ascii="Verdana" w:hAnsi="Verdana"/>
          <w:b/>
          <w:i/>
          <w:sz w:val="16"/>
          <w:szCs w:val="16"/>
          <w:lang w:val="es-MX"/>
        </w:rPr>
        <w:tab/>
      </w:r>
      <w:r w:rsidRPr="00D429B4">
        <w:rPr>
          <w:rFonts w:ascii="Verdana" w:hAnsi="Verdana"/>
          <w:sz w:val="16"/>
          <w:szCs w:val="16"/>
          <w:lang w:val="es-MX"/>
        </w:rPr>
        <w:t>Este parámetro puede ser un indicador del adecuado diseño del sistema, por tanto si no existe cumplimiento al rango establecido en la tabla, debe investigarse y efectuarse la justificación técnica que evidencie que no existen fallas inherentes al diseño de las áreas.</w:t>
      </w:r>
    </w:p>
    <w:p w14:paraId="39335E54" w14:textId="77777777" w:rsidR="0092514C" w:rsidRDefault="0092514C" w:rsidP="005C0901">
      <w:pPr>
        <w:pStyle w:val="Texto"/>
        <w:spacing w:line="276" w:lineRule="auto"/>
        <w:rPr>
          <w:rFonts w:ascii="Verdana" w:hAnsi="Verdana"/>
          <w:position w:val="5"/>
          <w:sz w:val="16"/>
          <w:szCs w:val="16"/>
        </w:rPr>
      </w:pPr>
    </w:p>
    <w:p w14:paraId="02B68905" w14:textId="77777777" w:rsidR="0039481A" w:rsidRDefault="0039481A" w:rsidP="005C0901">
      <w:pPr>
        <w:pStyle w:val="Texto"/>
        <w:spacing w:line="276" w:lineRule="auto"/>
        <w:rPr>
          <w:rFonts w:ascii="Verdana" w:hAnsi="Verdana"/>
          <w:position w:val="5"/>
          <w:sz w:val="16"/>
          <w:szCs w:val="16"/>
        </w:rPr>
      </w:pPr>
    </w:p>
    <w:p w14:paraId="2FB349C0" w14:textId="77777777" w:rsidR="0039481A" w:rsidRDefault="0039481A" w:rsidP="005C0901">
      <w:pPr>
        <w:pStyle w:val="Texto"/>
        <w:spacing w:line="276" w:lineRule="auto"/>
        <w:rPr>
          <w:rFonts w:ascii="Verdana" w:hAnsi="Verdana"/>
          <w:position w:val="5"/>
          <w:sz w:val="16"/>
          <w:szCs w:val="16"/>
        </w:rPr>
      </w:pPr>
    </w:p>
    <w:p w14:paraId="0C2128CA" w14:textId="77777777" w:rsidR="0039481A" w:rsidRPr="0039481A" w:rsidRDefault="0039481A" w:rsidP="0039481A">
      <w:pPr>
        <w:spacing w:after="101"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lastRenderedPageBreak/>
        <w:t>21. Obligatory Appendix A. Manufacturing areas.</w:t>
      </w:r>
    </w:p>
    <w:tbl>
      <w:tblPr>
        <w:tblW w:w="12988" w:type="dxa"/>
        <w:tblInd w:w="144" w:type="dxa"/>
        <w:tblLayout w:type="fixed"/>
        <w:tblCellMar>
          <w:left w:w="43" w:type="dxa"/>
          <w:right w:w="43" w:type="dxa"/>
        </w:tblCellMar>
        <w:tblLook w:val="04A0" w:firstRow="1" w:lastRow="0" w:firstColumn="1" w:lastColumn="0" w:noHBand="0" w:noVBand="1"/>
      </w:tblPr>
      <w:tblGrid>
        <w:gridCol w:w="854"/>
        <w:gridCol w:w="2172"/>
        <w:gridCol w:w="887"/>
        <w:gridCol w:w="738"/>
        <w:gridCol w:w="1034"/>
        <w:gridCol w:w="1033"/>
        <w:gridCol w:w="1183"/>
        <w:gridCol w:w="1328"/>
        <w:gridCol w:w="1031"/>
        <w:gridCol w:w="887"/>
        <w:gridCol w:w="1841"/>
      </w:tblGrid>
      <w:tr w:rsidR="0039481A" w:rsidRPr="0039481A" w14:paraId="7A4028F6" w14:textId="77777777" w:rsidTr="00DC4FDA">
        <w:trPr>
          <w:trHeight w:val="144"/>
        </w:trPr>
        <w:tc>
          <w:tcPr>
            <w:tcW w:w="854"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6F269649" w14:textId="77777777" w:rsidR="0039481A" w:rsidRPr="0039481A" w:rsidRDefault="0039481A" w:rsidP="0039481A">
            <w:pPr>
              <w:spacing w:before="20" w:after="10"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t>classification</w:t>
            </w:r>
          </w:p>
        </w:tc>
        <w:tc>
          <w:tcPr>
            <w:tcW w:w="217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3660649C" w14:textId="77777777" w:rsidR="0039481A" w:rsidRPr="0039481A" w:rsidRDefault="0039481A" w:rsidP="0039481A">
            <w:pPr>
              <w:spacing w:before="20" w:after="10"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t>Examples of processes</w:t>
            </w:r>
            <w:r w:rsidRPr="0039481A">
              <w:rPr>
                <w:rFonts w:ascii="Verdana" w:eastAsiaTheme="minorHAnsi" w:hAnsi="Verdana" w:cs="Arial"/>
                <w:b/>
                <w:i/>
                <w:position w:val="5"/>
                <w:sz w:val="14"/>
                <w:szCs w:val="16"/>
                <w:lang w:val="en-US"/>
              </w:rPr>
              <w:t>a</w:t>
            </w:r>
          </w:p>
        </w:tc>
        <w:tc>
          <w:tcPr>
            <w:tcW w:w="2659"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2B007257" w14:textId="77777777" w:rsidR="0039481A" w:rsidRPr="0039481A" w:rsidRDefault="0039481A" w:rsidP="0039481A">
            <w:pPr>
              <w:spacing w:before="20" w:after="10"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t>Maximum permitted number total/m</w:t>
            </w:r>
            <w:r w:rsidRPr="0039481A">
              <w:rPr>
                <w:rFonts w:ascii="Verdana" w:eastAsiaTheme="minorHAnsi" w:hAnsi="Verdana" w:cs="Arial"/>
                <w:b/>
                <w:position w:val="4"/>
                <w:sz w:val="14"/>
                <w:szCs w:val="16"/>
                <w:lang w:val="en-US"/>
              </w:rPr>
              <w:t>3</w:t>
            </w:r>
            <w:r w:rsidRPr="0039481A">
              <w:rPr>
                <w:rFonts w:ascii="Verdana" w:eastAsiaTheme="minorHAnsi" w:hAnsi="Verdana" w:cs="Arial"/>
                <w:b/>
                <w:sz w:val="14"/>
                <w:szCs w:val="16"/>
                <w:lang w:val="en-US"/>
              </w:rPr>
              <w:t>particulates</w:t>
            </w:r>
            <w:r w:rsidRPr="0039481A">
              <w:rPr>
                <w:rFonts w:ascii="Verdana" w:eastAsiaTheme="minorHAnsi" w:hAnsi="Verdana" w:cs="Arial"/>
                <w:b/>
                <w:i/>
                <w:position w:val="5"/>
                <w:sz w:val="14"/>
                <w:szCs w:val="16"/>
                <w:lang w:val="en-US"/>
              </w:rPr>
              <w:t>h</w:t>
            </w:r>
            <w:r w:rsidRPr="0039481A">
              <w:rPr>
                <w:rFonts w:ascii="Verdana" w:eastAsiaTheme="minorHAnsi" w:hAnsi="Verdana" w:cs="Arial"/>
                <w:b/>
                <w:sz w:val="14"/>
                <w:szCs w:val="16"/>
                <w:lang w:val="en-US"/>
              </w:rPr>
              <w:t>:</w:t>
            </w:r>
          </w:p>
        </w:tc>
        <w:tc>
          <w:tcPr>
            <w:tcW w:w="2216"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4B2F39E3" w14:textId="77777777" w:rsidR="0039481A" w:rsidRPr="0039481A" w:rsidRDefault="0039481A" w:rsidP="0039481A">
            <w:pPr>
              <w:spacing w:before="20" w:after="10"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t>Viable particulates</w:t>
            </w:r>
            <w:r w:rsidRPr="0039481A">
              <w:rPr>
                <w:rFonts w:ascii="Verdana" w:eastAsiaTheme="minorHAnsi" w:hAnsi="Verdana" w:cs="Arial"/>
                <w:b/>
                <w:i/>
                <w:position w:val="5"/>
                <w:sz w:val="14"/>
                <w:szCs w:val="16"/>
                <w:lang w:val="en-US"/>
              </w:rPr>
              <w:t>b</w:t>
            </w:r>
          </w:p>
        </w:tc>
        <w:tc>
          <w:tcPr>
            <w:tcW w:w="1328"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6DCCA1D6" w14:textId="77777777" w:rsidR="0039481A" w:rsidRPr="0039481A" w:rsidRDefault="0039481A" w:rsidP="0039481A">
            <w:pPr>
              <w:spacing w:before="20" w:after="10"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t>Differential pressure and air flow</w:t>
            </w:r>
          </w:p>
        </w:tc>
        <w:tc>
          <w:tcPr>
            <w:tcW w:w="1031"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5E698FEB" w14:textId="77777777" w:rsidR="0039481A" w:rsidRPr="0039481A" w:rsidRDefault="0039481A" w:rsidP="0039481A">
            <w:pPr>
              <w:spacing w:before="20" w:after="10"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t>Changes of air by hour</w:t>
            </w:r>
          </w:p>
        </w:tc>
        <w:tc>
          <w:tcPr>
            <w:tcW w:w="88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12C309E8" w14:textId="77777777" w:rsidR="0039481A" w:rsidRPr="0039481A" w:rsidRDefault="0039481A" w:rsidP="0039481A">
            <w:pPr>
              <w:spacing w:before="20" w:after="10"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t>Temperature and humidity</w:t>
            </w:r>
          </w:p>
        </w:tc>
        <w:tc>
          <w:tcPr>
            <w:tcW w:w="1841"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5F5FD375" w14:textId="77777777" w:rsidR="0039481A" w:rsidRPr="0039481A" w:rsidRDefault="0039481A" w:rsidP="0039481A">
            <w:pPr>
              <w:spacing w:before="20" w:after="10"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t xml:space="preserve">Clothing </w:t>
            </w:r>
          </w:p>
        </w:tc>
      </w:tr>
      <w:tr w:rsidR="0039481A" w:rsidRPr="0039481A" w14:paraId="4DB6BD64" w14:textId="77777777" w:rsidTr="00DC4FDA">
        <w:trPr>
          <w:trHeight w:val="144"/>
        </w:trPr>
        <w:tc>
          <w:tcPr>
            <w:tcW w:w="854" w:type="dxa"/>
            <w:vMerge/>
            <w:tcBorders>
              <w:top w:val="single" w:sz="6" w:space="0" w:color="auto"/>
              <w:left w:val="single" w:sz="6" w:space="0" w:color="auto"/>
              <w:bottom w:val="single" w:sz="6" w:space="0" w:color="auto"/>
              <w:right w:val="single" w:sz="6" w:space="0" w:color="auto"/>
            </w:tcBorders>
            <w:vAlign w:val="center"/>
            <w:hideMark/>
          </w:tcPr>
          <w:p w14:paraId="0A705012"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2172" w:type="dxa"/>
            <w:vMerge/>
            <w:tcBorders>
              <w:top w:val="single" w:sz="6" w:space="0" w:color="auto"/>
              <w:left w:val="single" w:sz="6" w:space="0" w:color="auto"/>
              <w:bottom w:val="single" w:sz="6" w:space="0" w:color="auto"/>
              <w:right w:val="single" w:sz="6" w:space="0" w:color="auto"/>
            </w:tcBorders>
            <w:vAlign w:val="center"/>
            <w:hideMark/>
          </w:tcPr>
          <w:p w14:paraId="11BC68D5"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162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040E5FE4" w14:textId="77777777" w:rsidR="0039481A" w:rsidRPr="0039481A" w:rsidRDefault="0039481A" w:rsidP="0039481A">
            <w:pPr>
              <w:spacing w:before="20" w:after="10"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t>Static dynamic conditions</w:t>
            </w:r>
            <w:r w:rsidRPr="0039481A">
              <w:rPr>
                <w:rFonts w:ascii="Verdana" w:eastAsiaTheme="minorHAnsi" w:hAnsi="Verdana" w:cs="Arial"/>
                <w:b/>
                <w:i/>
                <w:position w:val="5"/>
                <w:sz w:val="14"/>
                <w:szCs w:val="16"/>
                <w:lang w:val="en-US"/>
              </w:rPr>
              <w:t>g</w:t>
            </w:r>
          </w:p>
        </w:tc>
        <w:tc>
          <w:tcPr>
            <w:tcW w:w="1034"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36815D42" w14:textId="77777777" w:rsidR="0039481A" w:rsidRPr="0039481A" w:rsidRDefault="0039481A" w:rsidP="0039481A">
            <w:pPr>
              <w:spacing w:before="20" w:after="10"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t>Monitoring frequency</w:t>
            </w:r>
          </w:p>
        </w:tc>
        <w:tc>
          <w:tcPr>
            <w:tcW w:w="1033"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1BE385FE" w14:textId="77777777" w:rsidR="0039481A" w:rsidRPr="0039481A" w:rsidRDefault="0039481A" w:rsidP="0039481A">
            <w:pPr>
              <w:spacing w:before="20" w:after="10"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t>(UFC)</w:t>
            </w:r>
          </w:p>
        </w:tc>
        <w:tc>
          <w:tcPr>
            <w:tcW w:w="1183"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02983306" w14:textId="77777777" w:rsidR="0039481A" w:rsidRPr="0039481A" w:rsidRDefault="0039481A" w:rsidP="0039481A">
            <w:pPr>
              <w:spacing w:before="20" w:after="10" w:line="276" w:lineRule="auto"/>
              <w:jc w:val="center"/>
              <w:rPr>
                <w:rFonts w:ascii="Verdana" w:eastAsiaTheme="minorHAnsi" w:hAnsi="Verdana" w:cs="Arial"/>
                <w:b/>
                <w:sz w:val="14"/>
                <w:szCs w:val="16"/>
                <w:lang w:val="en-US"/>
              </w:rPr>
            </w:pPr>
            <w:r w:rsidRPr="0039481A">
              <w:rPr>
                <w:rFonts w:ascii="Verdana" w:eastAsiaTheme="minorHAnsi" w:hAnsi="Verdana" w:cs="Arial"/>
                <w:b/>
                <w:sz w:val="14"/>
                <w:szCs w:val="16"/>
                <w:lang w:val="en-US"/>
              </w:rPr>
              <w:t>Monitoring frequency</w:t>
            </w:r>
          </w:p>
        </w:tc>
        <w:tc>
          <w:tcPr>
            <w:tcW w:w="1328" w:type="dxa"/>
            <w:vMerge/>
            <w:tcBorders>
              <w:top w:val="single" w:sz="6" w:space="0" w:color="auto"/>
              <w:left w:val="single" w:sz="6" w:space="0" w:color="auto"/>
              <w:bottom w:val="single" w:sz="6" w:space="0" w:color="auto"/>
              <w:right w:val="single" w:sz="6" w:space="0" w:color="auto"/>
            </w:tcBorders>
            <w:vAlign w:val="center"/>
            <w:hideMark/>
          </w:tcPr>
          <w:p w14:paraId="23EA272D"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1031" w:type="dxa"/>
            <w:vMerge/>
            <w:tcBorders>
              <w:top w:val="single" w:sz="6" w:space="0" w:color="auto"/>
              <w:left w:val="single" w:sz="6" w:space="0" w:color="auto"/>
              <w:bottom w:val="single" w:sz="6" w:space="0" w:color="auto"/>
              <w:right w:val="single" w:sz="6" w:space="0" w:color="auto"/>
            </w:tcBorders>
            <w:vAlign w:val="center"/>
            <w:hideMark/>
          </w:tcPr>
          <w:p w14:paraId="68EDB374"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887" w:type="dxa"/>
            <w:vMerge/>
            <w:tcBorders>
              <w:top w:val="single" w:sz="6" w:space="0" w:color="auto"/>
              <w:left w:val="single" w:sz="6" w:space="0" w:color="auto"/>
              <w:bottom w:val="single" w:sz="6" w:space="0" w:color="auto"/>
              <w:right w:val="single" w:sz="6" w:space="0" w:color="auto"/>
            </w:tcBorders>
            <w:vAlign w:val="center"/>
            <w:hideMark/>
          </w:tcPr>
          <w:p w14:paraId="020A4C46"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1841" w:type="dxa"/>
            <w:vMerge/>
            <w:tcBorders>
              <w:top w:val="single" w:sz="6" w:space="0" w:color="auto"/>
              <w:left w:val="single" w:sz="6" w:space="0" w:color="auto"/>
              <w:bottom w:val="single" w:sz="6" w:space="0" w:color="auto"/>
              <w:right w:val="single" w:sz="6" w:space="0" w:color="auto"/>
            </w:tcBorders>
            <w:vAlign w:val="center"/>
            <w:hideMark/>
          </w:tcPr>
          <w:p w14:paraId="601CD8D1" w14:textId="77777777" w:rsidR="0039481A" w:rsidRPr="0039481A" w:rsidRDefault="0039481A" w:rsidP="0039481A">
            <w:pPr>
              <w:spacing w:after="160" w:line="259" w:lineRule="auto"/>
              <w:rPr>
                <w:rFonts w:ascii="Verdana" w:eastAsiaTheme="minorHAnsi" w:hAnsi="Verdana" w:cs="Arial"/>
                <w:b/>
                <w:sz w:val="14"/>
                <w:szCs w:val="16"/>
                <w:lang w:val="en-US"/>
              </w:rPr>
            </w:pPr>
          </w:p>
        </w:tc>
      </w:tr>
      <w:tr w:rsidR="0039481A" w:rsidRPr="0039481A" w14:paraId="6DEBE501" w14:textId="77777777" w:rsidTr="00DC4FDA">
        <w:trPr>
          <w:trHeight w:val="144"/>
        </w:trPr>
        <w:tc>
          <w:tcPr>
            <w:tcW w:w="854" w:type="dxa"/>
            <w:vMerge/>
            <w:tcBorders>
              <w:top w:val="single" w:sz="6" w:space="0" w:color="auto"/>
              <w:left w:val="single" w:sz="6" w:space="0" w:color="auto"/>
              <w:bottom w:val="single" w:sz="6" w:space="0" w:color="auto"/>
              <w:right w:val="single" w:sz="6" w:space="0" w:color="auto"/>
            </w:tcBorders>
            <w:vAlign w:val="center"/>
            <w:hideMark/>
          </w:tcPr>
          <w:p w14:paraId="768C92A5"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2172" w:type="dxa"/>
            <w:vMerge/>
            <w:tcBorders>
              <w:top w:val="single" w:sz="6" w:space="0" w:color="auto"/>
              <w:left w:val="single" w:sz="6" w:space="0" w:color="auto"/>
              <w:bottom w:val="single" w:sz="6" w:space="0" w:color="auto"/>
              <w:right w:val="single" w:sz="6" w:space="0" w:color="auto"/>
            </w:tcBorders>
            <w:vAlign w:val="center"/>
            <w:hideMark/>
          </w:tcPr>
          <w:p w14:paraId="09E2C4AC"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88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9FB05B"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 0.5 μm</w:t>
            </w:r>
          </w:p>
        </w:tc>
        <w:tc>
          <w:tcPr>
            <w:tcW w:w="73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3D83E7"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 5 μm</w:t>
            </w:r>
          </w:p>
        </w:tc>
        <w:tc>
          <w:tcPr>
            <w:tcW w:w="1034" w:type="dxa"/>
            <w:vMerge/>
            <w:tcBorders>
              <w:top w:val="single" w:sz="6" w:space="0" w:color="auto"/>
              <w:left w:val="single" w:sz="6" w:space="0" w:color="auto"/>
              <w:bottom w:val="single" w:sz="6" w:space="0" w:color="auto"/>
              <w:right w:val="single" w:sz="6" w:space="0" w:color="auto"/>
            </w:tcBorders>
            <w:vAlign w:val="center"/>
            <w:hideMark/>
          </w:tcPr>
          <w:p w14:paraId="0AF9FD87"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1033" w:type="dxa"/>
            <w:vMerge/>
            <w:tcBorders>
              <w:top w:val="single" w:sz="6" w:space="0" w:color="auto"/>
              <w:left w:val="single" w:sz="6" w:space="0" w:color="auto"/>
              <w:bottom w:val="single" w:sz="6" w:space="0" w:color="auto"/>
              <w:right w:val="single" w:sz="6" w:space="0" w:color="auto"/>
            </w:tcBorders>
            <w:vAlign w:val="center"/>
            <w:hideMark/>
          </w:tcPr>
          <w:p w14:paraId="337FD7E5"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1183" w:type="dxa"/>
            <w:vMerge/>
            <w:tcBorders>
              <w:top w:val="single" w:sz="6" w:space="0" w:color="auto"/>
              <w:left w:val="single" w:sz="6" w:space="0" w:color="auto"/>
              <w:bottom w:val="single" w:sz="6" w:space="0" w:color="auto"/>
              <w:right w:val="single" w:sz="6" w:space="0" w:color="auto"/>
            </w:tcBorders>
            <w:vAlign w:val="center"/>
            <w:hideMark/>
          </w:tcPr>
          <w:p w14:paraId="4A8A3A57"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1328" w:type="dxa"/>
            <w:vMerge/>
            <w:tcBorders>
              <w:top w:val="single" w:sz="6" w:space="0" w:color="auto"/>
              <w:left w:val="single" w:sz="6" w:space="0" w:color="auto"/>
              <w:bottom w:val="single" w:sz="6" w:space="0" w:color="auto"/>
              <w:right w:val="single" w:sz="6" w:space="0" w:color="auto"/>
            </w:tcBorders>
            <w:vAlign w:val="center"/>
            <w:hideMark/>
          </w:tcPr>
          <w:p w14:paraId="33ED06C1"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1031" w:type="dxa"/>
            <w:vMerge/>
            <w:tcBorders>
              <w:top w:val="single" w:sz="6" w:space="0" w:color="auto"/>
              <w:left w:val="single" w:sz="6" w:space="0" w:color="auto"/>
              <w:bottom w:val="single" w:sz="6" w:space="0" w:color="auto"/>
              <w:right w:val="single" w:sz="6" w:space="0" w:color="auto"/>
            </w:tcBorders>
            <w:vAlign w:val="center"/>
            <w:hideMark/>
          </w:tcPr>
          <w:p w14:paraId="2728EA37"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887" w:type="dxa"/>
            <w:vMerge/>
            <w:tcBorders>
              <w:top w:val="single" w:sz="6" w:space="0" w:color="auto"/>
              <w:left w:val="single" w:sz="6" w:space="0" w:color="auto"/>
              <w:bottom w:val="single" w:sz="6" w:space="0" w:color="auto"/>
              <w:right w:val="single" w:sz="6" w:space="0" w:color="auto"/>
            </w:tcBorders>
            <w:vAlign w:val="center"/>
            <w:hideMark/>
          </w:tcPr>
          <w:p w14:paraId="67ADFA1F" w14:textId="77777777" w:rsidR="0039481A" w:rsidRPr="0039481A" w:rsidRDefault="0039481A" w:rsidP="0039481A">
            <w:pPr>
              <w:spacing w:after="160" w:line="259" w:lineRule="auto"/>
              <w:rPr>
                <w:rFonts w:ascii="Verdana" w:eastAsiaTheme="minorHAnsi" w:hAnsi="Verdana" w:cs="Arial"/>
                <w:b/>
                <w:sz w:val="14"/>
                <w:szCs w:val="16"/>
                <w:lang w:val="en-US"/>
              </w:rPr>
            </w:pPr>
          </w:p>
        </w:tc>
        <w:tc>
          <w:tcPr>
            <w:tcW w:w="1841" w:type="dxa"/>
            <w:vMerge/>
            <w:tcBorders>
              <w:top w:val="single" w:sz="6" w:space="0" w:color="auto"/>
              <w:left w:val="single" w:sz="6" w:space="0" w:color="auto"/>
              <w:bottom w:val="single" w:sz="6" w:space="0" w:color="auto"/>
              <w:right w:val="single" w:sz="6" w:space="0" w:color="auto"/>
            </w:tcBorders>
            <w:vAlign w:val="center"/>
            <w:hideMark/>
          </w:tcPr>
          <w:p w14:paraId="186175AB" w14:textId="77777777" w:rsidR="0039481A" w:rsidRPr="0039481A" w:rsidRDefault="0039481A" w:rsidP="0039481A">
            <w:pPr>
              <w:spacing w:after="160" w:line="259" w:lineRule="auto"/>
              <w:rPr>
                <w:rFonts w:ascii="Verdana" w:eastAsiaTheme="minorHAnsi" w:hAnsi="Verdana" w:cs="Arial"/>
                <w:b/>
                <w:sz w:val="14"/>
                <w:szCs w:val="16"/>
                <w:lang w:val="en-US"/>
              </w:rPr>
            </w:pPr>
          </w:p>
        </w:tc>
      </w:tr>
      <w:tr w:rsidR="0039481A" w:rsidRPr="00861FCE" w14:paraId="79A27E77" w14:textId="77777777" w:rsidTr="00DC4FDA">
        <w:trPr>
          <w:trHeight w:val="144"/>
        </w:trPr>
        <w:tc>
          <w:tcPr>
            <w:tcW w:w="854" w:type="dxa"/>
            <w:tcBorders>
              <w:top w:val="single" w:sz="6" w:space="0" w:color="auto"/>
              <w:left w:val="single" w:sz="6" w:space="0" w:color="auto"/>
              <w:bottom w:val="single" w:sz="6" w:space="0" w:color="auto"/>
              <w:right w:val="single" w:sz="6" w:space="0" w:color="auto"/>
            </w:tcBorders>
            <w:vAlign w:val="center"/>
            <w:hideMark/>
          </w:tcPr>
          <w:p w14:paraId="0DBD46EF"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Class A</w:t>
            </w:r>
          </w:p>
          <w:p w14:paraId="31570422"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(ISO-Class 5)</w:t>
            </w:r>
          </w:p>
        </w:tc>
        <w:tc>
          <w:tcPr>
            <w:tcW w:w="2172" w:type="dxa"/>
            <w:tcBorders>
              <w:top w:val="single" w:sz="6" w:space="0" w:color="auto"/>
              <w:left w:val="single" w:sz="6" w:space="0" w:color="auto"/>
              <w:bottom w:val="single" w:sz="6" w:space="0" w:color="auto"/>
              <w:right w:val="single" w:sz="6" w:space="0" w:color="auto"/>
            </w:tcBorders>
            <w:vAlign w:val="center"/>
            <w:hideMark/>
          </w:tcPr>
          <w:p w14:paraId="724666DD" w14:textId="77777777" w:rsidR="0039481A" w:rsidRPr="0039481A" w:rsidRDefault="0039481A" w:rsidP="0039481A">
            <w:pPr>
              <w:spacing w:before="20" w:after="10" w:line="276" w:lineRule="auto"/>
              <w:jc w:val="both"/>
              <w:rPr>
                <w:rFonts w:ascii="Verdana" w:eastAsiaTheme="minorHAnsi" w:hAnsi="Verdana" w:cs="Arial"/>
                <w:sz w:val="14"/>
                <w:szCs w:val="16"/>
                <w:lang w:val="en-US"/>
              </w:rPr>
            </w:pPr>
            <w:r w:rsidRPr="0039481A">
              <w:rPr>
                <w:rFonts w:ascii="Verdana" w:eastAsiaTheme="minorHAnsi" w:hAnsi="Verdana" w:cs="Arial"/>
                <w:sz w:val="14"/>
                <w:szCs w:val="16"/>
                <w:lang w:val="en-US"/>
              </w:rPr>
              <w:t>Aseptic filling Aseptic operations, Sampling, weighing and supply of sterile materials.</w:t>
            </w:r>
          </w:p>
        </w:tc>
        <w:tc>
          <w:tcPr>
            <w:tcW w:w="887" w:type="dxa"/>
            <w:tcBorders>
              <w:top w:val="single" w:sz="6" w:space="0" w:color="auto"/>
              <w:left w:val="single" w:sz="6" w:space="0" w:color="auto"/>
              <w:bottom w:val="single" w:sz="6" w:space="0" w:color="auto"/>
              <w:right w:val="single" w:sz="6" w:space="0" w:color="auto"/>
            </w:tcBorders>
            <w:vAlign w:val="center"/>
            <w:hideMark/>
          </w:tcPr>
          <w:p w14:paraId="11E51650"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3,520 / 3,520</w:t>
            </w:r>
          </w:p>
        </w:tc>
        <w:tc>
          <w:tcPr>
            <w:tcW w:w="738" w:type="dxa"/>
            <w:tcBorders>
              <w:top w:val="single" w:sz="6" w:space="0" w:color="auto"/>
              <w:left w:val="single" w:sz="6" w:space="0" w:color="auto"/>
              <w:bottom w:val="single" w:sz="6" w:space="0" w:color="auto"/>
              <w:right w:val="single" w:sz="6" w:space="0" w:color="auto"/>
            </w:tcBorders>
            <w:vAlign w:val="center"/>
            <w:hideMark/>
          </w:tcPr>
          <w:p w14:paraId="1C95AF71"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20 / 20</w:t>
            </w:r>
          </w:p>
        </w:tc>
        <w:tc>
          <w:tcPr>
            <w:tcW w:w="1034" w:type="dxa"/>
            <w:tcBorders>
              <w:top w:val="single" w:sz="6" w:space="0" w:color="auto"/>
              <w:left w:val="single" w:sz="6" w:space="0" w:color="auto"/>
              <w:bottom w:val="single" w:sz="6" w:space="0" w:color="auto"/>
              <w:right w:val="single" w:sz="6" w:space="0" w:color="auto"/>
            </w:tcBorders>
            <w:vAlign w:val="center"/>
            <w:hideMark/>
          </w:tcPr>
          <w:p w14:paraId="35783441"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CONTINUOUS/ during the entire filling process</w:t>
            </w:r>
          </w:p>
        </w:tc>
        <w:tc>
          <w:tcPr>
            <w:tcW w:w="1033" w:type="dxa"/>
            <w:tcBorders>
              <w:top w:val="single" w:sz="6" w:space="0" w:color="auto"/>
              <w:left w:val="single" w:sz="6" w:space="0" w:color="auto"/>
              <w:bottom w:val="single" w:sz="6" w:space="0" w:color="auto"/>
              <w:right w:val="single" w:sz="6" w:space="0" w:color="auto"/>
            </w:tcBorders>
            <w:vAlign w:val="center"/>
            <w:hideMark/>
          </w:tcPr>
          <w:p w14:paraId="5F796FE9" w14:textId="77777777" w:rsidR="0039481A" w:rsidRPr="0039481A" w:rsidRDefault="0039481A" w:rsidP="0039481A">
            <w:pPr>
              <w:spacing w:before="20" w:after="10" w:line="276" w:lineRule="auto"/>
              <w:jc w:val="center"/>
              <w:rPr>
                <w:rFonts w:ascii="Verdana" w:eastAsiaTheme="minorHAnsi" w:hAnsi="Verdana" w:cs="Arial"/>
                <w:i/>
                <w:position w:val="5"/>
                <w:sz w:val="14"/>
                <w:szCs w:val="16"/>
                <w:lang w:val="en-US"/>
              </w:rPr>
            </w:pPr>
            <w:r w:rsidRPr="0039481A">
              <w:rPr>
                <w:rFonts w:ascii="Verdana" w:eastAsiaTheme="minorHAnsi" w:hAnsi="Verdana" w:cs="Arial"/>
                <w:sz w:val="14"/>
                <w:szCs w:val="16"/>
                <w:lang w:val="en-US"/>
              </w:rPr>
              <w:t>&lt; 1/plate</w:t>
            </w:r>
            <w:r w:rsidRPr="0039481A">
              <w:rPr>
                <w:rFonts w:ascii="Verdana" w:eastAsiaTheme="minorHAnsi" w:hAnsi="Verdana" w:cs="Arial"/>
                <w:i/>
                <w:position w:val="5"/>
                <w:sz w:val="14"/>
                <w:szCs w:val="16"/>
                <w:lang w:val="en-US"/>
              </w:rPr>
              <w:t>b.1</w:t>
            </w:r>
            <w:r w:rsidRPr="0039481A">
              <w:rPr>
                <w:rFonts w:ascii="Verdana" w:eastAsiaTheme="minorHAnsi" w:hAnsi="Verdana" w:cs="Arial"/>
                <w:sz w:val="14"/>
                <w:szCs w:val="16"/>
                <w:lang w:val="en-US"/>
              </w:rPr>
              <w:t xml:space="preserve"> &lt; 1/m</w:t>
            </w:r>
            <w:r w:rsidRPr="0039481A">
              <w:rPr>
                <w:rFonts w:ascii="Verdana" w:eastAsiaTheme="minorHAnsi" w:hAnsi="Verdana" w:cs="Arial"/>
                <w:position w:val="4"/>
                <w:sz w:val="14"/>
                <w:szCs w:val="16"/>
                <w:lang w:val="en-US"/>
              </w:rPr>
              <w:t>3</w:t>
            </w:r>
            <w:r w:rsidRPr="0039481A">
              <w:rPr>
                <w:rFonts w:ascii="Verdana" w:eastAsiaTheme="minorHAnsi" w:hAnsi="Verdana" w:cs="Arial"/>
                <w:i/>
                <w:position w:val="5"/>
                <w:sz w:val="14"/>
                <w:szCs w:val="16"/>
                <w:lang w:val="en-US"/>
              </w:rPr>
              <w:t xml:space="preserve"> b.2</w:t>
            </w:r>
          </w:p>
          <w:p w14:paraId="50C736BA"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&lt; 1/plate</w:t>
            </w:r>
            <w:r w:rsidRPr="0039481A">
              <w:rPr>
                <w:rFonts w:ascii="Verdana" w:eastAsiaTheme="minorHAnsi" w:hAnsi="Verdana" w:cs="Arial"/>
                <w:i/>
                <w:position w:val="5"/>
                <w:sz w:val="14"/>
                <w:szCs w:val="16"/>
                <w:lang w:val="en-US"/>
              </w:rPr>
              <w:t>b.3</w:t>
            </w:r>
          </w:p>
          <w:p w14:paraId="058B6BCB"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&lt; 1/glove</w:t>
            </w:r>
            <w:r w:rsidRPr="0039481A">
              <w:rPr>
                <w:rFonts w:ascii="Verdana" w:eastAsiaTheme="minorHAnsi" w:hAnsi="Verdana" w:cs="Arial"/>
                <w:i/>
                <w:position w:val="5"/>
                <w:sz w:val="14"/>
                <w:szCs w:val="16"/>
                <w:lang w:val="en-US"/>
              </w:rPr>
              <w:t>b.4</w:t>
            </w:r>
          </w:p>
        </w:tc>
        <w:tc>
          <w:tcPr>
            <w:tcW w:w="1183" w:type="dxa"/>
            <w:tcBorders>
              <w:top w:val="single" w:sz="6" w:space="0" w:color="auto"/>
              <w:left w:val="single" w:sz="6" w:space="0" w:color="auto"/>
              <w:bottom w:val="single" w:sz="6" w:space="0" w:color="auto"/>
              <w:right w:val="single" w:sz="6" w:space="0" w:color="auto"/>
            </w:tcBorders>
            <w:vAlign w:val="center"/>
            <w:hideMark/>
          </w:tcPr>
          <w:p w14:paraId="50B305A4"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CONTINUOUS/ during the entire filling process</w:t>
            </w:r>
          </w:p>
        </w:tc>
        <w:tc>
          <w:tcPr>
            <w:tcW w:w="1328" w:type="dxa"/>
            <w:tcBorders>
              <w:top w:val="single" w:sz="6" w:space="0" w:color="auto"/>
              <w:left w:val="single" w:sz="6" w:space="0" w:color="auto"/>
              <w:bottom w:val="single" w:sz="6" w:space="0" w:color="auto"/>
              <w:right w:val="single" w:sz="6" w:space="0" w:color="auto"/>
            </w:tcBorders>
            <w:vAlign w:val="center"/>
            <w:hideMark/>
          </w:tcPr>
          <w:p w14:paraId="7EEC3592"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u w:val="single"/>
                <w:lang w:val="en-US"/>
              </w:rPr>
              <w:t>&gt;</w:t>
            </w:r>
            <w:r w:rsidRPr="0039481A">
              <w:rPr>
                <w:rFonts w:ascii="Verdana" w:eastAsiaTheme="minorHAnsi" w:hAnsi="Verdana" w:cs="Arial"/>
                <w:sz w:val="14"/>
                <w:szCs w:val="16"/>
                <w:lang w:val="en-US"/>
              </w:rPr>
              <w:t xml:space="preserve">15 Pa </w:t>
            </w:r>
          </w:p>
          <w:p w14:paraId="46D02FCE"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With respect to adjacent rooms, applying a cascade concept</w:t>
            </w:r>
            <w:r w:rsidRPr="0039481A">
              <w:rPr>
                <w:rFonts w:ascii="Verdana" w:eastAsiaTheme="minorHAnsi" w:hAnsi="Verdana" w:cs="Arial"/>
                <w:i/>
                <w:position w:val="5"/>
                <w:sz w:val="14"/>
                <w:szCs w:val="16"/>
                <w:lang w:val="en-US"/>
              </w:rPr>
              <w:t>c</w:t>
            </w:r>
          </w:p>
        </w:tc>
        <w:tc>
          <w:tcPr>
            <w:tcW w:w="1031" w:type="dxa"/>
            <w:tcBorders>
              <w:top w:val="single" w:sz="6" w:space="0" w:color="auto"/>
              <w:left w:val="single" w:sz="6" w:space="0" w:color="auto"/>
              <w:bottom w:val="single" w:sz="6" w:space="0" w:color="auto"/>
              <w:right w:val="single" w:sz="6" w:space="0" w:color="auto"/>
            </w:tcBorders>
            <w:vAlign w:val="center"/>
            <w:hideMark/>
          </w:tcPr>
          <w:p w14:paraId="3BC6BECA"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N/A</w:t>
            </w:r>
          </w:p>
        </w:tc>
        <w:tc>
          <w:tcPr>
            <w:tcW w:w="887" w:type="dxa"/>
            <w:tcBorders>
              <w:top w:val="single" w:sz="6" w:space="0" w:color="auto"/>
              <w:left w:val="single" w:sz="6" w:space="0" w:color="auto"/>
              <w:bottom w:val="single" w:sz="6" w:space="0" w:color="auto"/>
              <w:right w:val="single" w:sz="6" w:space="0" w:color="auto"/>
            </w:tcBorders>
            <w:vAlign w:val="center"/>
            <w:hideMark/>
          </w:tcPr>
          <w:p w14:paraId="529213C3"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18°C to 25°C</w:t>
            </w:r>
          </w:p>
          <w:p w14:paraId="490D0B83"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30 to 65% HR</w:t>
            </w:r>
            <w:r w:rsidRPr="0039481A">
              <w:rPr>
                <w:rFonts w:ascii="Verdana" w:eastAsiaTheme="minorHAnsi" w:hAnsi="Verdana" w:cs="Arial"/>
                <w:i/>
                <w:position w:val="5"/>
                <w:sz w:val="14"/>
                <w:szCs w:val="16"/>
                <w:lang w:val="en-US"/>
              </w:rPr>
              <w:t>f</w:t>
            </w:r>
          </w:p>
        </w:tc>
        <w:tc>
          <w:tcPr>
            <w:tcW w:w="1841" w:type="dxa"/>
            <w:tcBorders>
              <w:top w:val="single" w:sz="6" w:space="0" w:color="auto"/>
              <w:left w:val="single" w:sz="6" w:space="0" w:color="auto"/>
              <w:bottom w:val="single" w:sz="6" w:space="0" w:color="auto"/>
              <w:right w:val="single" w:sz="6" w:space="0" w:color="auto"/>
            </w:tcBorders>
            <w:vAlign w:val="center"/>
            <w:hideMark/>
          </w:tcPr>
          <w:p w14:paraId="147F7B1B"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Overalls, wet suit, goggles, shoe covers, and gloves, sterile for an aseptic area</w:t>
            </w:r>
          </w:p>
        </w:tc>
      </w:tr>
      <w:tr w:rsidR="0039481A" w:rsidRPr="0039481A" w14:paraId="4E014847" w14:textId="77777777" w:rsidTr="00DC4FDA">
        <w:trPr>
          <w:trHeight w:val="144"/>
        </w:trPr>
        <w:tc>
          <w:tcPr>
            <w:tcW w:w="854" w:type="dxa"/>
            <w:tcBorders>
              <w:top w:val="single" w:sz="6" w:space="0" w:color="auto"/>
              <w:left w:val="single" w:sz="6" w:space="0" w:color="auto"/>
              <w:bottom w:val="single" w:sz="6" w:space="0" w:color="auto"/>
              <w:right w:val="single" w:sz="6" w:space="0" w:color="auto"/>
            </w:tcBorders>
            <w:vAlign w:val="center"/>
            <w:hideMark/>
          </w:tcPr>
          <w:p w14:paraId="69DA9C41"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Class B</w:t>
            </w:r>
          </w:p>
        </w:tc>
        <w:tc>
          <w:tcPr>
            <w:tcW w:w="2172" w:type="dxa"/>
            <w:tcBorders>
              <w:top w:val="single" w:sz="6" w:space="0" w:color="auto"/>
              <w:left w:val="single" w:sz="6" w:space="0" w:color="auto"/>
              <w:bottom w:val="single" w:sz="6" w:space="0" w:color="auto"/>
              <w:right w:val="single" w:sz="6" w:space="0" w:color="auto"/>
            </w:tcBorders>
            <w:vAlign w:val="center"/>
            <w:hideMark/>
          </w:tcPr>
          <w:p w14:paraId="02A961BA" w14:textId="77777777" w:rsidR="0039481A" w:rsidRPr="0039481A" w:rsidRDefault="0039481A" w:rsidP="0039481A">
            <w:pPr>
              <w:spacing w:before="20" w:after="10" w:line="276" w:lineRule="auto"/>
              <w:jc w:val="both"/>
              <w:rPr>
                <w:rFonts w:ascii="Verdana" w:eastAsiaTheme="minorHAnsi" w:hAnsi="Verdana" w:cs="Arial"/>
                <w:sz w:val="14"/>
                <w:szCs w:val="16"/>
                <w:lang w:val="en-US"/>
              </w:rPr>
            </w:pPr>
            <w:r w:rsidRPr="0039481A">
              <w:rPr>
                <w:rFonts w:ascii="Verdana" w:eastAsiaTheme="minorHAnsi" w:hAnsi="Verdana" w:cs="Arial"/>
                <w:sz w:val="14"/>
                <w:szCs w:val="16"/>
                <w:lang w:val="en-US"/>
              </w:rPr>
              <w:t xml:space="preserve">Entorno de Clase A para Class A environment for sterile products that do not have terminal sterilization. </w:t>
            </w:r>
          </w:p>
          <w:p w14:paraId="3716D691" w14:textId="77777777" w:rsidR="0039481A" w:rsidRPr="0039481A" w:rsidRDefault="0039481A" w:rsidP="0039481A">
            <w:pPr>
              <w:spacing w:before="20" w:after="10" w:line="276" w:lineRule="auto"/>
              <w:jc w:val="both"/>
              <w:rPr>
                <w:rFonts w:ascii="Verdana" w:eastAsiaTheme="minorHAnsi" w:hAnsi="Verdana" w:cs="Arial"/>
                <w:sz w:val="14"/>
                <w:szCs w:val="16"/>
                <w:lang w:val="en-US"/>
              </w:rPr>
            </w:pPr>
            <w:r w:rsidRPr="0039481A">
              <w:rPr>
                <w:rFonts w:ascii="Verdana" w:eastAsiaTheme="minorHAnsi" w:hAnsi="Verdana" w:cs="Arial"/>
                <w:sz w:val="14"/>
                <w:szCs w:val="16"/>
                <w:lang w:val="en-US"/>
              </w:rPr>
              <w:t xml:space="preserve">Lock gates to filling room. </w:t>
            </w:r>
          </w:p>
          <w:p w14:paraId="023242C9" w14:textId="77777777" w:rsidR="0039481A" w:rsidRPr="0039481A" w:rsidRDefault="0039481A" w:rsidP="0039481A">
            <w:pPr>
              <w:spacing w:before="20" w:after="10" w:line="276" w:lineRule="auto"/>
              <w:jc w:val="both"/>
              <w:rPr>
                <w:rFonts w:ascii="Verdana" w:eastAsiaTheme="minorHAnsi" w:hAnsi="Verdana" w:cs="Arial"/>
                <w:sz w:val="14"/>
                <w:szCs w:val="16"/>
                <w:lang w:val="en-US"/>
              </w:rPr>
            </w:pPr>
            <w:r w:rsidRPr="0039481A">
              <w:rPr>
                <w:rFonts w:ascii="Verdana" w:eastAsiaTheme="minorHAnsi" w:hAnsi="Verdana" w:cs="Arial"/>
                <w:sz w:val="14"/>
                <w:szCs w:val="16"/>
                <w:lang w:val="en-US"/>
              </w:rPr>
              <w:t>Dressing rooms for Class A areas.</w:t>
            </w:r>
          </w:p>
        </w:tc>
        <w:tc>
          <w:tcPr>
            <w:tcW w:w="887" w:type="dxa"/>
            <w:tcBorders>
              <w:top w:val="single" w:sz="6" w:space="0" w:color="auto"/>
              <w:left w:val="single" w:sz="6" w:space="0" w:color="auto"/>
              <w:bottom w:val="single" w:sz="6" w:space="0" w:color="auto"/>
              <w:right w:val="single" w:sz="6" w:space="0" w:color="auto"/>
            </w:tcBorders>
            <w:vAlign w:val="center"/>
            <w:hideMark/>
          </w:tcPr>
          <w:p w14:paraId="5D38D5C9"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3,520 / 352,000</w:t>
            </w:r>
          </w:p>
        </w:tc>
        <w:tc>
          <w:tcPr>
            <w:tcW w:w="738" w:type="dxa"/>
            <w:tcBorders>
              <w:top w:val="single" w:sz="6" w:space="0" w:color="auto"/>
              <w:left w:val="single" w:sz="6" w:space="0" w:color="auto"/>
              <w:bottom w:val="single" w:sz="6" w:space="0" w:color="auto"/>
              <w:right w:val="single" w:sz="6" w:space="0" w:color="auto"/>
            </w:tcBorders>
            <w:vAlign w:val="center"/>
            <w:hideMark/>
          </w:tcPr>
          <w:p w14:paraId="686E65C6"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29 / 2,900</w:t>
            </w:r>
          </w:p>
        </w:tc>
        <w:tc>
          <w:tcPr>
            <w:tcW w:w="1034" w:type="dxa"/>
            <w:tcBorders>
              <w:top w:val="single" w:sz="6" w:space="0" w:color="auto"/>
              <w:left w:val="single" w:sz="6" w:space="0" w:color="auto"/>
              <w:bottom w:val="single" w:sz="6" w:space="0" w:color="auto"/>
              <w:right w:val="single" w:sz="6" w:space="0" w:color="auto"/>
            </w:tcBorders>
            <w:vAlign w:val="center"/>
            <w:hideMark/>
          </w:tcPr>
          <w:p w14:paraId="6E434108"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every 3 months</w:t>
            </w:r>
            <w:r w:rsidRPr="0039481A">
              <w:rPr>
                <w:rFonts w:ascii="Verdana" w:eastAsiaTheme="minorHAnsi" w:hAnsi="Verdana" w:cs="Arial"/>
                <w:i/>
                <w:position w:val="5"/>
                <w:sz w:val="14"/>
                <w:szCs w:val="16"/>
                <w:lang w:val="en-US"/>
              </w:rPr>
              <w:t>e</w:t>
            </w:r>
          </w:p>
        </w:tc>
        <w:tc>
          <w:tcPr>
            <w:tcW w:w="1033" w:type="dxa"/>
            <w:tcBorders>
              <w:top w:val="single" w:sz="6" w:space="0" w:color="auto"/>
              <w:left w:val="single" w:sz="6" w:space="0" w:color="auto"/>
              <w:bottom w:val="single" w:sz="6" w:space="0" w:color="auto"/>
              <w:right w:val="single" w:sz="6" w:space="0" w:color="auto"/>
            </w:tcBorders>
            <w:vAlign w:val="center"/>
            <w:hideMark/>
          </w:tcPr>
          <w:p w14:paraId="2522C386" w14:textId="77777777" w:rsidR="0039481A" w:rsidRPr="0039481A" w:rsidRDefault="0039481A" w:rsidP="0039481A">
            <w:pPr>
              <w:spacing w:before="20" w:after="10" w:line="276" w:lineRule="auto"/>
              <w:jc w:val="center"/>
              <w:rPr>
                <w:rFonts w:ascii="Verdana" w:eastAsiaTheme="minorHAnsi" w:hAnsi="Verdana" w:cs="Arial"/>
                <w:i/>
                <w:position w:val="5"/>
                <w:sz w:val="14"/>
                <w:szCs w:val="16"/>
                <w:lang w:val="en-US"/>
              </w:rPr>
            </w:pPr>
            <w:r w:rsidRPr="0039481A">
              <w:rPr>
                <w:rFonts w:ascii="Verdana" w:eastAsiaTheme="minorHAnsi" w:hAnsi="Verdana" w:cs="Arial"/>
                <w:sz w:val="14"/>
                <w:szCs w:val="16"/>
                <w:lang w:val="en-US"/>
              </w:rPr>
              <w:t>&lt; 5/plate</w:t>
            </w:r>
            <w:r w:rsidRPr="0039481A">
              <w:rPr>
                <w:rFonts w:ascii="Verdana" w:eastAsiaTheme="minorHAnsi" w:hAnsi="Verdana" w:cs="Arial"/>
                <w:i/>
                <w:position w:val="5"/>
                <w:sz w:val="14"/>
                <w:szCs w:val="16"/>
                <w:lang w:val="en-US"/>
              </w:rPr>
              <w:t>b.1</w:t>
            </w:r>
            <w:r w:rsidRPr="0039481A">
              <w:rPr>
                <w:rFonts w:ascii="Verdana" w:eastAsiaTheme="minorHAnsi" w:hAnsi="Verdana" w:cs="Arial"/>
                <w:sz w:val="14"/>
                <w:szCs w:val="16"/>
                <w:lang w:val="en-US"/>
              </w:rPr>
              <w:t xml:space="preserve"> &lt; 10/m</w:t>
            </w:r>
            <w:r w:rsidRPr="0039481A">
              <w:rPr>
                <w:rFonts w:ascii="Verdana" w:eastAsiaTheme="minorHAnsi" w:hAnsi="Verdana" w:cs="Arial"/>
                <w:position w:val="4"/>
                <w:sz w:val="14"/>
                <w:szCs w:val="16"/>
                <w:lang w:val="en-US"/>
              </w:rPr>
              <w:t>3</w:t>
            </w:r>
            <w:r w:rsidRPr="0039481A">
              <w:rPr>
                <w:rFonts w:ascii="Verdana" w:eastAsiaTheme="minorHAnsi" w:hAnsi="Verdana" w:cs="Arial"/>
                <w:i/>
                <w:position w:val="5"/>
                <w:sz w:val="14"/>
                <w:szCs w:val="16"/>
                <w:lang w:val="en-US"/>
              </w:rPr>
              <w:t xml:space="preserve"> b.2</w:t>
            </w:r>
          </w:p>
          <w:p w14:paraId="41B3A9A5"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&lt; 5/plate</w:t>
            </w:r>
            <w:r w:rsidRPr="0039481A">
              <w:rPr>
                <w:rFonts w:ascii="Verdana" w:eastAsiaTheme="minorHAnsi" w:hAnsi="Verdana" w:cs="Arial"/>
                <w:i/>
                <w:position w:val="5"/>
                <w:sz w:val="14"/>
                <w:szCs w:val="16"/>
                <w:lang w:val="en-US"/>
              </w:rPr>
              <w:t>b.3</w:t>
            </w:r>
          </w:p>
          <w:p w14:paraId="24800119"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&lt; 5/glove</w:t>
            </w:r>
            <w:r w:rsidRPr="0039481A">
              <w:rPr>
                <w:rFonts w:ascii="Verdana" w:eastAsiaTheme="minorHAnsi" w:hAnsi="Verdana" w:cs="Arial"/>
                <w:i/>
                <w:position w:val="5"/>
                <w:sz w:val="14"/>
                <w:szCs w:val="16"/>
                <w:lang w:val="en-US"/>
              </w:rPr>
              <w:t>b.4</w:t>
            </w:r>
          </w:p>
        </w:tc>
        <w:tc>
          <w:tcPr>
            <w:tcW w:w="1183" w:type="dxa"/>
            <w:tcBorders>
              <w:top w:val="single" w:sz="6" w:space="0" w:color="auto"/>
              <w:left w:val="single" w:sz="6" w:space="0" w:color="auto"/>
              <w:bottom w:val="single" w:sz="6" w:space="0" w:color="auto"/>
              <w:right w:val="single" w:sz="6" w:space="0" w:color="auto"/>
            </w:tcBorders>
            <w:vAlign w:val="center"/>
            <w:hideMark/>
          </w:tcPr>
          <w:p w14:paraId="5DB6F3F9"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Daily/ production shift</w:t>
            </w:r>
          </w:p>
        </w:tc>
        <w:tc>
          <w:tcPr>
            <w:tcW w:w="1328" w:type="dxa"/>
            <w:tcBorders>
              <w:top w:val="single" w:sz="6" w:space="0" w:color="auto"/>
              <w:left w:val="single" w:sz="6" w:space="0" w:color="auto"/>
              <w:bottom w:val="single" w:sz="6" w:space="0" w:color="auto"/>
              <w:right w:val="single" w:sz="6" w:space="0" w:color="auto"/>
            </w:tcBorders>
            <w:vAlign w:val="center"/>
            <w:hideMark/>
          </w:tcPr>
          <w:p w14:paraId="4EBA73C5"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u w:val="single"/>
                <w:lang w:val="en-US"/>
              </w:rPr>
              <w:t>&gt;</w:t>
            </w:r>
            <w:r w:rsidRPr="0039481A">
              <w:rPr>
                <w:rFonts w:ascii="Verdana" w:eastAsiaTheme="minorHAnsi" w:hAnsi="Verdana" w:cs="Arial"/>
                <w:sz w:val="14"/>
                <w:szCs w:val="16"/>
                <w:lang w:val="en-US"/>
              </w:rPr>
              <w:t xml:space="preserve">15 Pa con with respect to non-aseptic areas, applying a cascade concept. </w:t>
            </w:r>
          </w:p>
        </w:tc>
        <w:tc>
          <w:tcPr>
            <w:tcW w:w="1031" w:type="dxa"/>
            <w:tcBorders>
              <w:top w:val="single" w:sz="6" w:space="0" w:color="auto"/>
              <w:left w:val="single" w:sz="6" w:space="0" w:color="auto"/>
              <w:bottom w:val="single" w:sz="6" w:space="0" w:color="auto"/>
              <w:right w:val="single" w:sz="6" w:space="0" w:color="auto"/>
            </w:tcBorders>
            <w:vAlign w:val="center"/>
            <w:hideMark/>
          </w:tcPr>
          <w:p w14:paraId="61F81E03"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20 to 50</w:t>
            </w:r>
          </w:p>
        </w:tc>
        <w:tc>
          <w:tcPr>
            <w:tcW w:w="887" w:type="dxa"/>
            <w:tcBorders>
              <w:top w:val="single" w:sz="6" w:space="0" w:color="auto"/>
              <w:left w:val="single" w:sz="6" w:space="0" w:color="auto"/>
              <w:bottom w:val="single" w:sz="6" w:space="0" w:color="auto"/>
              <w:right w:val="single" w:sz="6" w:space="0" w:color="auto"/>
            </w:tcBorders>
            <w:vAlign w:val="center"/>
            <w:hideMark/>
          </w:tcPr>
          <w:p w14:paraId="06A443F1"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18°C to 25°C</w:t>
            </w:r>
          </w:p>
          <w:p w14:paraId="66CF28C6"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30 to 65% HR</w:t>
            </w:r>
          </w:p>
        </w:tc>
        <w:tc>
          <w:tcPr>
            <w:tcW w:w="1841" w:type="dxa"/>
            <w:tcBorders>
              <w:top w:val="single" w:sz="6" w:space="0" w:color="auto"/>
              <w:left w:val="single" w:sz="6" w:space="0" w:color="auto"/>
              <w:bottom w:val="single" w:sz="6" w:space="0" w:color="auto"/>
              <w:right w:val="single" w:sz="6" w:space="0" w:color="auto"/>
            </w:tcBorders>
            <w:vAlign w:val="center"/>
            <w:hideMark/>
          </w:tcPr>
          <w:p w14:paraId="345C24EC"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Equal to ISO-Class 5</w:t>
            </w:r>
          </w:p>
        </w:tc>
      </w:tr>
      <w:tr w:rsidR="0039481A" w:rsidRPr="00861FCE" w14:paraId="4640BFA0" w14:textId="77777777" w:rsidTr="00DC4FDA">
        <w:trPr>
          <w:trHeight w:val="144"/>
        </w:trPr>
        <w:tc>
          <w:tcPr>
            <w:tcW w:w="854" w:type="dxa"/>
            <w:tcBorders>
              <w:top w:val="single" w:sz="6" w:space="0" w:color="auto"/>
              <w:left w:val="single" w:sz="6" w:space="0" w:color="auto"/>
              <w:bottom w:val="single" w:sz="6" w:space="0" w:color="auto"/>
              <w:right w:val="single" w:sz="6" w:space="0" w:color="auto"/>
            </w:tcBorders>
            <w:vAlign w:val="center"/>
            <w:hideMark/>
          </w:tcPr>
          <w:p w14:paraId="223E9DC4"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Class C</w:t>
            </w:r>
          </w:p>
          <w:p w14:paraId="5737371A"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(ISO-Class 7)</w:t>
            </w:r>
          </w:p>
        </w:tc>
        <w:tc>
          <w:tcPr>
            <w:tcW w:w="2172" w:type="dxa"/>
            <w:tcBorders>
              <w:top w:val="single" w:sz="6" w:space="0" w:color="auto"/>
              <w:left w:val="single" w:sz="6" w:space="0" w:color="auto"/>
              <w:bottom w:val="single" w:sz="6" w:space="0" w:color="auto"/>
              <w:right w:val="single" w:sz="6" w:space="0" w:color="auto"/>
            </w:tcBorders>
            <w:vAlign w:val="center"/>
            <w:hideMark/>
          </w:tcPr>
          <w:p w14:paraId="7C49C48C" w14:textId="77777777" w:rsidR="0039481A" w:rsidRPr="0039481A" w:rsidRDefault="0039481A" w:rsidP="0039481A">
            <w:pPr>
              <w:spacing w:before="20" w:after="10" w:line="276" w:lineRule="auto"/>
              <w:jc w:val="both"/>
              <w:rPr>
                <w:rFonts w:ascii="Verdana" w:eastAsiaTheme="minorHAnsi" w:hAnsi="Verdana" w:cs="Arial"/>
                <w:sz w:val="14"/>
                <w:szCs w:val="16"/>
                <w:lang w:val="en-US"/>
              </w:rPr>
            </w:pPr>
            <w:r w:rsidRPr="0039481A">
              <w:rPr>
                <w:rFonts w:ascii="Verdana" w:eastAsiaTheme="minorHAnsi" w:hAnsi="Verdana" w:cs="Arial"/>
                <w:sz w:val="14"/>
                <w:szCs w:val="16"/>
                <w:lang w:val="en-US"/>
              </w:rPr>
              <w:t>Filling of products with terminal sterilization.  Preparation of solutions for sterilizing filtration, for terminal sterilization and elements of the container-closure system</w:t>
            </w:r>
          </w:p>
          <w:p w14:paraId="3506227A" w14:textId="77777777" w:rsidR="0039481A" w:rsidRPr="0039481A" w:rsidRDefault="0039481A" w:rsidP="0039481A">
            <w:pPr>
              <w:spacing w:before="20" w:after="10" w:line="276" w:lineRule="auto"/>
              <w:jc w:val="both"/>
              <w:rPr>
                <w:rFonts w:ascii="Verdana" w:eastAsiaTheme="minorHAnsi" w:hAnsi="Verdana" w:cs="Arial"/>
                <w:sz w:val="14"/>
                <w:szCs w:val="16"/>
                <w:lang w:val="en-US"/>
              </w:rPr>
            </w:pPr>
            <w:r w:rsidRPr="0039481A">
              <w:rPr>
                <w:rFonts w:ascii="Verdana" w:eastAsiaTheme="minorHAnsi" w:hAnsi="Verdana" w:cs="Arial"/>
                <w:sz w:val="14"/>
                <w:szCs w:val="16"/>
                <w:lang w:val="en-US"/>
              </w:rPr>
              <w:t xml:space="preserve">Storage of accessories for sterile pharmaceutical forms. </w:t>
            </w:r>
          </w:p>
        </w:tc>
        <w:tc>
          <w:tcPr>
            <w:tcW w:w="887" w:type="dxa"/>
            <w:tcBorders>
              <w:top w:val="single" w:sz="6" w:space="0" w:color="auto"/>
              <w:left w:val="single" w:sz="6" w:space="0" w:color="auto"/>
              <w:bottom w:val="single" w:sz="6" w:space="0" w:color="auto"/>
              <w:right w:val="single" w:sz="6" w:space="0" w:color="auto"/>
            </w:tcBorders>
            <w:vAlign w:val="center"/>
            <w:hideMark/>
          </w:tcPr>
          <w:p w14:paraId="47656049" w14:textId="77777777" w:rsidR="0039481A" w:rsidRPr="0039481A" w:rsidRDefault="0039481A" w:rsidP="0039481A">
            <w:pPr>
              <w:spacing w:before="20" w:after="10" w:line="276" w:lineRule="auto"/>
              <w:jc w:val="center"/>
              <w:rPr>
                <w:rFonts w:ascii="Verdana" w:eastAsiaTheme="minorHAnsi" w:hAnsi="Verdana" w:cs="Arial"/>
                <w:sz w:val="14"/>
                <w:szCs w:val="16"/>
                <w:lang w:val="es-MX"/>
              </w:rPr>
            </w:pPr>
            <w:r w:rsidRPr="0039481A">
              <w:rPr>
                <w:rFonts w:ascii="Verdana" w:eastAsiaTheme="minorHAnsi" w:hAnsi="Verdana" w:cs="Arial"/>
                <w:sz w:val="14"/>
                <w:szCs w:val="16"/>
                <w:lang w:val="es-MX"/>
              </w:rPr>
              <w:t>352,000 / 3,520,000</w:t>
            </w:r>
          </w:p>
        </w:tc>
        <w:tc>
          <w:tcPr>
            <w:tcW w:w="738" w:type="dxa"/>
            <w:tcBorders>
              <w:top w:val="single" w:sz="6" w:space="0" w:color="auto"/>
              <w:left w:val="single" w:sz="6" w:space="0" w:color="auto"/>
              <w:bottom w:val="single" w:sz="6" w:space="0" w:color="auto"/>
              <w:right w:val="single" w:sz="6" w:space="0" w:color="auto"/>
            </w:tcBorders>
            <w:vAlign w:val="center"/>
            <w:hideMark/>
          </w:tcPr>
          <w:p w14:paraId="172BB2AE" w14:textId="77777777" w:rsidR="0039481A" w:rsidRPr="0039481A" w:rsidRDefault="0039481A" w:rsidP="0039481A">
            <w:pPr>
              <w:spacing w:before="20" w:after="10" w:line="276" w:lineRule="auto"/>
              <w:jc w:val="center"/>
              <w:rPr>
                <w:rFonts w:ascii="Verdana" w:eastAsiaTheme="minorHAnsi" w:hAnsi="Verdana" w:cs="Arial"/>
                <w:sz w:val="14"/>
                <w:szCs w:val="16"/>
                <w:lang w:val="es-MX"/>
              </w:rPr>
            </w:pPr>
            <w:r w:rsidRPr="0039481A">
              <w:rPr>
                <w:rFonts w:ascii="Verdana" w:eastAsiaTheme="minorHAnsi" w:hAnsi="Verdana" w:cs="Arial"/>
                <w:sz w:val="14"/>
                <w:szCs w:val="16"/>
                <w:lang w:val="es-MX"/>
              </w:rPr>
              <w:t>2,900 / 29,000</w:t>
            </w:r>
          </w:p>
        </w:tc>
        <w:tc>
          <w:tcPr>
            <w:tcW w:w="1034" w:type="dxa"/>
            <w:tcBorders>
              <w:top w:val="single" w:sz="6" w:space="0" w:color="auto"/>
              <w:left w:val="single" w:sz="6" w:space="0" w:color="auto"/>
              <w:bottom w:val="single" w:sz="6" w:space="0" w:color="auto"/>
              <w:right w:val="single" w:sz="6" w:space="0" w:color="auto"/>
            </w:tcBorders>
            <w:vAlign w:val="center"/>
            <w:hideMark/>
          </w:tcPr>
          <w:p w14:paraId="02726EBE"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every 6 months with exception to filling of solutions with terminal sterilization that is made every 3 months</w:t>
            </w:r>
            <w:r w:rsidRPr="0039481A">
              <w:rPr>
                <w:rFonts w:ascii="Verdana" w:eastAsiaTheme="minorHAnsi" w:hAnsi="Verdana" w:cs="Arial"/>
                <w:i/>
                <w:position w:val="5"/>
                <w:sz w:val="14"/>
                <w:szCs w:val="16"/>
                <w:lang w:val="en-US"/>
              </w:rPr>
              <w:t>d</w:t>
            </w:r>
          </w:p>
        </w:tc>
        <w:tc>
          <w:tcPr>
            <w:tcW w:w="1033" w:type="dxa"/>
            <w:tcBorders>
              <w:top w:val="single" w:sz="6" w:space="0" w:color="auto"/>
              <w:left w:val="single" w:sz="6" w:space="0" w:color="auto"/>
              <w:bottom w:val="single" w:sz="6" w:space="0" w:color="auto"/>
              <w:right w:val="single" w:sz="6" w:space="0" w:color="auto"/>
            </w:tcBorders>
            <w:vAlign w:val="center"/>
            <w:hideMark/>
          </w:tcPr>
          <w:p w14:paraId="7B0F24F8" w14:textId="77777777" w:rsidR="0039481A" w:rsidRPr="0039481A" w:rsidRDefault="0039481A" w:rsidP="0039481A">
            <w:pPr>
              <w:spacing w:before="20" w:after="10" w:line="276" w:lineRule="auto"/>
              <w:jc w:val="center"/>
              <w:rPr>
                <w:rFonts w:ascii="Verdana" w:eastAsiaTheme="minorHAnsi" w:hAnsi="Verdana" w:cs="Arial"/>
                <w:i/>
                <w:position w:val="5"/>
                <w:sz w:val="14"/>
                <w:szCs w:val="16"/>
                <w:lang w:val="en-US"/>
              </w:rPr>
            </w:pPr>
            <w:r w:rsidRPr="0039481A">
              <w:rPr>
                <w:rFonts w:ascii="Verdana" w:eastAsiaTheme="minorHAnsi" w:hAnsi="Verdana" w:cs="Arial"/>
                <w:sz w:val="14"/>
                <w:szCs w:val="16"/>
                <w:lang w:val="en-US"/>
              </w:rPr>
              <w:t>&lt; 50/plate</w:t>
            </w:r>
            <w:r w:rsidRPr="0039481A">
              <w:rPr>
                <w:rFonts w:ascii="Verdana" w:eastAsiaTheme="minorHAnsi" w:hAnsi="Verdana" w:cs="Arial"/>
                <w:i/>
                <w:position w:val="5"/>
                <w:sz w:val="14"/>
                <w:szCs w:val="16"/>
                <w:lang w:val="en-US"/>
              </w:rPr>
              <w:t>b.1</w:t>
            </w:r>
            <w:r w:rsidRPr="0039481A">
              <w:rPr>
                <w:rFonts w:ascii="Verdana" w:eastAsiaTheme="minorHAnsi" w:hAnsi="Verdana" w:cs="Arial"/>
                <w:sz w:val="14"/>
                <w:szCs w:val="16"/>
                <w:lang w:val="en-US"/>
              </w:rPr>
              <w:t xml:space="preserve"> &lt; 100/m</w:t>
            </w:r>
            <w:r w:rsidRPr="0039481A">
              <w:rPr>
                <w:rFonts w:ascii="Verdana" w:eastAsiaTheme="minorHAnsi" w:hAnsi="Verdana" w:cs="Arial"/>
                <w:position w:val="4"/>
                <w:sz w:val="14"/>
                <w:szCs w:val="16"/>
                <w:lang w:val="en-US"/>
              </w:rPr>
              <w:t>3</w:t>
            </w:r>
            <w:r w:rsidRPr="0039481A">
              <w:rPr>
                <w:rFonts w:ascii="Verdana" w:eastAsiaTheme="minorHAnsi" w:hAnsi="Verdana" w:cs="Arial"/>
                <w:i/>
                <w:position w:val="5"/>
                <w:sz w:val="14"/>
                <w:szCs w:val="16"/>
                <w:lang w:val="en-US"/>
              </w:rPr>
              <w:t xml:space="preserve"> b.2</w:t>
            </w:r>
          </w:p>
          <w:p w14:paraId="0F0A35E9"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&lt; 25/plate</w:t>
            </w:r>
            <w:r w:rsidRPr="0039481A">
              <w:rPr>
                <w:rFonts w:ascii="Verdana" w:eastAsiaTheme="minorHAnsi" w:hAnsi="Verdana" w:cs="Arial"/>
                <w:i/>
                <w:position w:val="5"/>
                <w:sz w:val="14"/>
                <w:szCs w:val="16"/>
                <w:lang w:val="en-US"/>
              </w:rPr>
              <w:t>b.3</w:t>
            </w:r>
          </w:p>
          <w:p w14:paraId="15C2E0C6"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w:t>
            </w:r>
          </w:p>
        </w:tc>
        <w:tc>
          <w:tcPr>
            <w:tcW w:w="1183" w:type="dxa"/>
            <w:tcBorders>
              <w:top w:val="single" w:sz="6" w:space="0" w:color="auto"/>
              <w:left w:val="single" w:sz="6" w:space="0" w:color="auto"/>
              <w:bottom w:val="single" w:sz="6" w:space="0" w:color="auto"/>
              <w:right w:val="single" w:sz="6" w:space="0" w:color="auto"/>
            </w:tcBorders>
            <w:vAlign w:val="center"/>
            <w:hideMark/>
          </w:tcPr>
          <w:p w14:paraId="7035B716"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 xml:space="preserve">Weekly </w:t>
            </w:r>
          </w:p>
        </w:tc>
        <w:tc>
          <w:tcPr>
            <w:tcW w:w="1328" w:type="dxa"/>
            <w:tcBorders>
              <w:top w:val="single" w:sz="6" w:space="0" w:color="auto"/>
              <w:left w:val="single" w:sz="6" w:space="0" w:color="auto"/>
              <w:bottom w:val="single" w:sz="6" w:space="0" w:color="auto"/>
              <w:right w:val="single" w:sz="6" w:space="0" w:color="auto"/>
            </w:tcBorders>
            <w:vAlign w:val="center"/>
            <w:hideMark/>
          </w:tcPr>
          <w:p w14:paraId="57BDB8CF"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&gt;10 Pa</w:t>
            </w:r>
          </w:p>
        </w:tc>
        <w:tc>
          <w:tcPr>
            <w:tcW w:w="1031" w:type="dxa"/>
            <w:tcBorders>
              <w:top w:val="single" w:sz="6" w:space="0" w:color="auto"/>
              <w:left w:val="single" w:sz="6" w:space="0" w:color="auto"/>
              <w:bottom w:val="single" w:sz="6" w:space="0" w:color="auto"/>
              <w:right w:val="single" w:sz="6" w:space="0" w:color="auto"/>
            </w:tcBorders>
            <w:vAlign w:val="center"/>
            <w:hideMark/>
          </w:tcPr>
          <w:p w14:paraId="2467B3BE"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20 to 50</w:t>
            </w:r>
          </w:p>
        </w:tc>
        <w:tc>
          <w:tcPr>
            <w:tcW w:w="887" w:type="dxa"/>
            <w:tcBorders>
              <w:top w:val="single" w:sz="6" w:space="0" w:color="auto"/>
              <w:left w:val="single" w:sz="6" w:space="0" w:color="auto"/>
              <w:bottom w:val="single" w:sz="6" w:space="0" w:color="auto"/>
              <w:right w:val="single" w:sz="6" w:space="0" w:color="auto"/>
            </w:tcBorders>
            <w:vAlign w:val="center"/>
            <w:hideMark/>
          </w:tcPr>
          <w:p w14:paraId="396751FF"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18°C to 25°C</w:t>
            </w:r>
          </w:p>
          <w:p w14:paraId="4BC17289"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30 to 65% HR</w:t>
            </w:r>
          </w:p>
        </w:tc>
        <w:tc>
          <w:tcPr>
            <w:tcW w:w="1841" w:type="dxa"/>
            <w:tcBorders>
              <w:top w:val="single" w:sz="6" w:space="0" w:color="auto"/>
              <w:left w:val="single" w:sz="6" w:space="0" w:color="auto"/>
              <w:bottom w:val="single" w:sz="6" w:space="0" w:color="auto"/>
              <w:right w:val="single" w:sz="6" w:space="0" w:color="auto"/>
            </w:tcBorders>
            <w:vAlign w:val="center"/>
            <w:hideMark/>
          </w:tcPr>
          <w:p w14:paraId="5753D5DF"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 xml:space="preserve">Uniform of clean plant; hair, covered facial and body hair, mouth coverings and gloves </w:t>
            </w:r>
          </w:p>
        </w:tc>
      </w:tr>
      <w:tr w:rsidR="0039481A" w:rsidRPr="00861FCE" w14:paraId="7D1ACCF5" w14:textId="77777777" w:rsidTr="00DC4FDA">
        <w:trPr>
          <w:trHeight w:val="144"/>
        </w:trPr>
        <w:tc>
          <w:tcPr>
            <w:tcW w:w="854" w:type="dxa"/>
            <w:tcBorders>
              <w:top w:val="single" w:sz="6" w:space="0" w:color="auto"/>
              <w:left w:val="single" w:sz="6" w:space="0" w:color="auto"/>
              <w:bottom w:val="single" w:sz="6" w:space="0" w:color="auto"/>
              <w:right w:val="single" w:sz="6" w:space="0" w:color="auto"/>
            </w:tcBorders>
            <w:vAlign w:val="center"/>
            <w:hideMark/>
          </w:tcPr>
          <w:p w14:paraId="3D044161"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Class D</w:t>
            </w:r>
          </w:p>
          <w:p w14:paraId="674D016D"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(ISO-Class 8)</w:t>
            </w:r>
          </w:p>
        </w:tc>
        <w:tc>
          <w:tcPr>
            <w:tcW w:w="2172" w:type="dxa"/>
            <w:tcBorders>
              <w:top w:val="single" w:sz="6" w:space="0" w:color="auto"/>
              <w:left w:val="single" w:sz="6" w:space="0" w:color="auto"/>
              <w:bottom w:val="single" w:sz="6" w:space="0" w:color="auto"/>
              <w:right w:val="single" w:sz="6" w:space="0" w:color="auto"/>
            </w:tcBorders>
            <w:vAlign w:val="center"/>
            <w:hideMark/>
          </w:tcPr>
          <w:p w14:paraId="103C8E9D" w14:textId="77777777" w:rsidR="0039481A" w:rsidRPr="0039481A" w:rsidRDefault="0039481A" w:rsidP="0039481A">
            <w:pPr>
              <w:spacing w:before="20" w:after="10" w:line="276" w:lineRule="auto"/>
              <w:jc w:val="both"/>
              <w:rPr>
                <w:rFonts w:ascii="Verdana" w:eastAsiaTheme="minorHAnsi" w:hAnsi="Verdana" w:cs="Arial"/>
                <w:sz w:val="14"/>
                <w:szCs w:val="16"/>
                <w:lang w:val="es-MX"/>
              </w:rPr>
            </w:pPr>
            <w:r w:rsidRPr="0039481A">
              <w:rPr>
                <w:rFonts w:ascii="Verdana" w:eastAsiaTheme="minorHAnsi" w:hAnsi="Verdana" w:cs="Arial"/>
                <w:sz w:val="14"/>
                <w:szCs w:val="16"/>
                <w:lang w:val="es-MX"/>
              </w:rPr>
              <w:t>Entorno de Clase C</w:t>
            </w:r>
          </w:p>
          <w:p w14:paraId="7E37D29B" w14:textId="77777777" w:rsidR="0039481A" w:rsidRPr="0039481A" w:rsidRDefault="0039481A" w:rsidP="0039481A">
            <w:pPr>
              <w:spacing w:before="20" w:after="10" w:line="276" w:lineRule="auto"/>
              <w:jc w:val="both"/>
              <w:rPr>
                <w:rFonts w:ascii="Verdana" w:eastAsiaTheme="minorHAnsi" w:hAnsi="Verdana" w:cs="Arial"/>
                <w:sz w:val="14"/>
                <w:szCs w:val="16"/>
                <w:lang w:val="es-MX"/>
              </w:rPr>
            </w:pPr>
            <w:r w:rsidRPr="0039481A">
              <w:rPr>
                <w:rFonts w:ascii="Verdana" w:eastAsiaTheme="minorHAnsi" w:hAnsi="Verdana" w:cs="Arial"/>
                <w:sz w:val="14"/>
                <w:szCs w:val="16"/>
                <w:lang w:val="es-MX"/>
              </w:rPr>
              <w:t>Cuartos de aisladores.</w:t>
            </w:r>
          </w:p>
          <w:p w14:paraId="3E977FA4" w14:textId="77777777" w:rsidR="0039481A" w:rsidRPr="0039481A" w:rsidRDefault="0039481A" w:rsidP="0039481A">
            <w:pPr>
              <w:spacing w:before="20" w:after="10" w:line="276" w:lineRule="auto"/>
              <w:jc w:val="both"/>
              <w:rPr>
                <w:rFonts w:ascii="Verdana" w:eastAsiaTheme="minorHAnsi" w:hAnsi="Verdana" w:cs="Arial"/>
                <w:sz w:val="14"/>
                <w:szCs w:val="16"/>
                <w:lang w:val="en-US"/>
              </w:rPr>
            </w:pPr>
            <w:r w:rsidRPr="0039481A">
              <w:rPr>
                <w:rFonts w:ascii="Verdana" w:eastAsiaTheme="minorHAnsi" w:hAnsi="Verdana" w:cs="Arial"/>
                <w:sz w:val="14"/>
                <w:szCs w:val="16"/>
                <w:lang w:val="en-US"/>
              </w:rPr>
              <w:t>Incubator and refrigerated rooms (located in production areas) Preparation and primary containment of non-sterile pharmaceutical forms</w:t>
            </w:r>
          </w:p>
          <w:p w14:paraId="55088FD1" w14:textId="77777777" w:rsidR="0039481A" w:rsidRPr="0039481A" w:rsidRDefault="0039481A" w:rsidP="0039481A">
            <w:pPr>
              <w:spacing w:before="20" w:after="10" w:line="276" w:lineRule="auto"/>
              <w:jc w:val="both"/>
              <w:rPr>
                <w:rFonts w:ascii="Verdana" w:eastAsiaTheme="minorHAnsi" w:hAnsi="Verdana" w:cs="Arial"/>
                <w:sz w:val="14"/>
                <w:szCs w:val="16"/>
                <w:lang w:val="en-US"/>
              </w:rPr>
            </w:pPr>
            <w:r w:rsidRPr="0039481A">
              <w:rPr>
                <w:rFonts w:ascii="Verdana" w:eastAsiaTheme="minorHAnsi" w:hAnsi="Verdana" w:cs="Arial"/>
                <w:sz w:val="14"/>
                <w:szCs w:val="16"/>
                <w:lang w:val="en-US"/>
              </w:rPr>
              <w:t xml:space="preserve">Sampling, weighing and supply of non-sterile materials </w:t>
            </w:r>
          </w:p>
        </w:tc>
        <w:tc>
          <w:tcPr>
            <w:tcW w:w="887" w:type="dxa"/>
            <w:tcBorders>
              <w:top w:val="single" w:sz="6" w:space="0" w:color="auto"/>
              <w:left w:val="single" w:sz="6" w:space="0" w:color="auto"/>
              <w:bottom w:val="single" w:sz="6" w:space="0" w:color="auto"/>
              <w:right w:val="single" w:sz="6" w:space="0" w:color="auto"/>
            </w:tcBorders>
            <w:vAlign w:val="center"/>
            <w:hideMark/>
          </w:tcPr>
          <w:p w14:paraId="44822B94"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3,520,000 / n/a</w:t>
            </w:r>
          </w:p>
        </w:tc>
        <w:tc>
          <w:tcPr>
            <w:tcW w:w="738" w:type="dxa"/>
            <w:tcBorders>
              <w:top w:val="single" w:sz="6" w:space="0" w:color="auto"/>
              <w:left w:val="single" w:sz="6" w:space="0" w:color="auto"/>
              <w:bottom w:val="single" w:sz="6" w:space="0" w:color="auto"/>
              <w:right w:val="single" w:sz="6" w:space="0" w:color="auto"/>
            </w:tcBorders>
            <w:vAlign w:val="center"/>
            <w:hideMark/>
          </w:tcPr>
          <w:p w14:paraId="50CEA0C2"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29,000 / n/a</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1FA2412"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every 6 months</w:t>
            </w:r>
          </w:p>
        </w:tc>
        <w:tc>
          <w:tcPr>
            <w:tcW w:w="1033" w:type="dxa"/>
            <w:tcBorders>
              <w:top w:val="single" w:sz="6" w:space="0" w:color="auto"/>
              <w:left w:val="single" w:sz="6" w:space="0" w:color="auto"/>
              <w:bottom w:val="single" w:sz="6" w:space="0" w:color="auto"/>
              <w:right w:val="single" w:sz="6" w:space="0" w:color="auto"/>
            </w:tcBorders>
            <w:vAlign w:val="center"/>
            <w:hideMark/>
          </w:tcPr>
          <w:p w14:paraId="1446881B" w14:textId="77777777" w:rsidR="0039481A" w:rsidRPr="0039481A" w:rsidRDefault="0039481A" w:rsidP="0039481A">
            <w:pPr>
              <w:spacing w:before="20" w:after="10" w:line="276" w:lineRule="auto"/>
              <w:jc w:val="center"/>
              <w:rPr>
                <w:rFonts w:ascii="Verdana" w:eastAsiaTheme="minorHAnsi" w:hAnsi="Verdana" w:cs="Arial"/>
                <w:i/>
                <w:position w:val="5"/>
                <w:sz w:val="14"/>
                <w:szCs w:val="16"/>
                <w:lang w:val="en-US"/>
              </w:rPr>
            </w:pPr>
            <w:r w:rsidRPr="0039481A">
              <w:rPr>
                <w:rFonts w:ascii="Verdana" w:eastAsiaTheme="minorHAnsi" w:hAnsi="Verdana" w:cs="Arial"/>
                <w:sz w:val="14"/>
                <w:szCs w:val="16"/>
                <w:lang w:val="en-US"/>
              </w:rPr>
              <w:t>&lt; 100/plate</w:t>
            </w:r>
            <w:r w:rsidRPr="0039481A">
              <w:rPr>
                <w:rFonts w:ascii="Verdana" w:eastAsiaTheme="minorHAnsi" w:hAnsi="Verdana" w:cs="Arial"/>
                <w:i/>
                <w:position w:val="5"/>
                <w:sz w:val="14"/>
                <w:szCs w:val="16"/>
                <w:lang w:val="en-US"/>
              </w:rPr>
              <w:t>b.1</w:t>
            </w:r>
            <w:r w:rsidRPr="0039481A">
              <w:rPr>
                <w:rFonts w:ascii="Verdana" w:eastAsiaTheme="minorHAnsi" w:hAnsi="Verdana" w:cs="Arial"/>
                <w:sz w:val="14"/>
                <w:szCs w:val="16"/>
                <w:lang w:val="en-US"/>
              </w:rPr>
              <w:t xml:space="preserve"> &lt; 200/m</w:t>
            </w:r>
            <w:r w:rsidRPr="0039481A">
              <w:rPr>
                <w:rFonts w:ascii="Verdana" w:eastAsiaTheme="minorHAnsi" w:hAnsi="Verdana" w:cs="Arial"/>
                <w:position w:val="4"/>
                <w:sz w:val="14"/>
                <w:szCs w:val="16"/>
                <w:lang w:val="en-US"/>
              </w:rPr>
              <w:t>3</w:t>
            </w:r>
            <w:r w:rsidRPr="0039481A">
              <w:rPr>
                <w:rFonts w:ascii="Verdana" w:eastAsiaTheme="minorHAnsi" w:hAnsi="Verdana" w:cs="Arial"/>
                <w:i/>
                <w:position w:val="5"/>
                <w:sz w:val="14"/>
                <w:szCs w:val="16"/>
                <w:lang w:val="en-US"/>
              </w:rPr>
              <w:t xml:space="preserve"> b.2</w:t>
            </w:r>
          </w:p>
          <w:p w14:paraId="70E024CF"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&lt; 50/plate</w:t>
            </w:r>
            <w:r w:rsidRPr="0039481A">
              <w:rPr>
                <w:rFonts w:ascii="Verdana" w:eastAsiaTheme="minorHAnsi" w:hAnsi="Verdana" w:cs="Arial"/>
                <w:i/>
                <w:position w:val="5"/>
                <w:sz w:val="14"/>
                <w:szCs w:val="16"/>
                <w:lang w:val="en-US"/>
              </w:rPr>
              <w:t>b.3</w:t>
            </w:r>
          </w:p>
          <w:p w14:paraId="61F11175"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w:t>
            </w:r>
          </w:p>
        </w:tc>
        <w:tc>
          <w:tcPr>
            <w:tcW w:w="1183" w:type="dxa"/>
            <w:tcBorders>
              <w:top w:val="single" w:sz="6" w:space="0" w:color="auto"/>
              <w:left w:val="single" w:sz="6" w:space="0" w:color="auto"/>
              <w:bottom w:val="single" w:sz="6" w:space="0" w:color="auto"/>
              <w:right w:val="single" w:sz="6" w:space="0" w:color="auto"/>
            </w:tcBorders>
            <w:vAlign w:val="center"/>
            <w:hideMark/>
          </w:tcPr>
          <w:p w14:paraId="7837A3DF"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monthly</w:t>
            </w:r>
          </w:p>
        </w:tc>
        <w:tc>
          <w:tcPr>
            <w:tcW w:w="1328" w:type="dxa"/>
            <w:tcBorders>
              <w:top w:val="single" w:sz="6" w:space="0" w:color="auto"/>
              <w:left w:val="single" w:sz="6" w:space="0" w:color="auto"/>
              <w:bottom w:val="single" w:sz="6" w:space="0" w:color="auto"/>
              <w:right w:val="single" w:sz="6" w:space="0" w:color="auto"/>
            </w:tcBorders>
            <w:vAlign w:val="center"/>
            <w:hideMark/>
          </w:tcPr>
          <w:p w14:paraId="09969135"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&gt;5 Pa</w:t>
            </w:r>
          </w:p>
          <w:p w14:paraId="704D6702"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Negative pressure where dust is generated with respect to the adjacent rooms and positive with respect to where dust is generated</w:t>
            </w:r>
          </w:p>
        </w:tc>
        <w:tc>
          <w:tcPr>
            <w:tcW w:w="1031" w:type="dxa"/>
            <w:tcBorders>
              <w:top w:val="single" w:sz="6" w:space="0" w:color="auto"/>
              <w:left w:val="single" w:sz="6" w:space="0" w:color="auto"/>
              <w:bottom w:val="single" w:sz="6" w:space="0" w:color="auto"/>
              <w:right w:val="single" w:sz="6" w:space="0" w:color="auto"/>
            </w:tcBorders>
            <w:vAlign w:val="center"/>
            <w:hideMark/>
          </w:tcPr>
          <w:p w14:paraId="64759FE0"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10 to 20</w:t>
            </w:r>
          </w:p>
        </w:tc>
        <w:tc>
          <w:tcPr>
            <w:tcW w:w="887" w:type="dxa"/>
            <w:tcBorders>
              <w:top w:val="single" w:sz="6" w:space="0" w:color="auto"/>
              <w:left w:val="single" w:sz="6" w:space="0" w:color="auto"/>
              <w:bottom w:val="single" w:sz="6" w:space="0" w:color="auto"/>
              <w:right w:val="single" w:sz="6" w:space="0" w:color="auto"/>
            </w:tcBorders>
            <w:vAlign w:val="center"/>
            <w:hideMark/>
          </w:tcPr>
          <w:p w14:paraId="0F8340CD"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18°C to 25°C</w:t>
            </w:r>
          </w:p>
          <w:p w14:paraId="3959A595"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30 to 65% HR</w:t>
            </w:r>
          </w:p>
        </w:tc>
        <w:tc>
          <w:tcPr>
            <w:tcW w:w="1841" w:type="dxa"/>
            <w:tcBorders>
              <w:top w:val="single" w:sz="6" w:space="0" w:color="auto"/>
              <w:left w:val="single" w:sz="6" w:space="0" w:color="auto"/>
              <w:bottom w:val="single" w:sz="6" w:space="0" w:color="auto"/>
              <w:right w:val="single" w:sz="6" w:space="0" w:color="auto"/>
            </w:tcBorders>
            <w:vAlign w:val="center"/>
            <w:hideMark/>
          </w:tcPr>
          <w:p w14:paraId="3F3205F1"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Uniform of clean plant; hair, covered facial and body hair, mouth coverings and gloves</w:t>
            </w:r>
          </w:p>
        </w:tc>
      </w:tr>
      <w:tr w:rsidR="0039481A" w:rsidRPr="00861FCE" w14:paraId="45EEB898" w14:textId="77777777" w:rsidTr="00DC4FDA">
        <w:trPr>
          <w:trHeight w:val="144"/>
        </w:trPr>
        <w:tc>
          <w:tcPr>
            <w:tcW w:w="854" w:type="dxa"/>
            <w:tcBorders>
              <w:top w:val="single" w:sz="6" w:space="0" w:color="auto"/>
              <w:left w:val="single" w:sz="6" w:space="0" w:color="auto"/>
              <w:bottom w:val="single" w:sz="6" w:space="0" w:color="auto"/>
              <w:right w:val="single" w:sz="6" w:space="0" w:color="auto"/>
            </w:tcBorders>
            <w:vAlign w:val="center"/>
            <w:hideMark/>
          </w:tcPr>
          <w:p w14:paraId="0835CE1D"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ISO-Class 9</w:t>
            </w:r>
          </w:p>
        </w:tc>
        <w:tc>
          <w:tcPr>
            <w:tcW w:w="2172" w:type="dxa"/>
            <w:tcBorders>
              <w:top w:val="single" w:sz="6" w:space="0" w:color="auto"/>
              <w:left w:val="single" w:sz="6" w:space="0" w:color="auto"/>
              <w:bottom w:val="single" w:sz="6" w:space="0" w:color="auto"/>
              <w:right w:val="single" w:sz="6" w:space="0" w:color="auto"/>
            </w:tcBorders>
            <w:vAlign w:val="center"/>
            <w:hideMark/>
          </w:tcPr>
          <w:p w14:paraId="1330F2CC" w14:textId="77777777" w:rsidR="0039481A" w:rsidRPr="0039481A" w:rsidRDefault="0039481A" w:rsidP="0039481A">
            <w:pPr>
              <w:spacing w:before="20" w:after="10" w:line="276" w:lineRule="auto"/>
              <w:jc w:val="both"/>
              <w:rPr>
                <w:rFonts w:ascii="Verdana" w:eastAsiaTheme="minorHAnsi" w:hAnsi="Verdana" w:cs="Arial"/>
                <w:sz w:val="14"/>
                <w:szCs w:val="16"/>
                <w:lang w:val="en-US"/>
              </w:rPr>
            </w:pPr>
            <w:r w:rsidRPr="0039481A">
              <w:rPr>
                <w:rFonts w:ascii="Verdana" w:eastAsiaTheme="minorHAnsi" w:hAnsi="Verdana" w:cs="Arial"/>
                <w:sz w:val="14"/>
                <w:szCs w:val="16"/>
                <w:lang w:val="en-US"/>
              </w:rPr>
              <w:t xml:space="preserve">Secondary conditioning </w:t>
            </w:r>
          </w:p>
        </w:tc>
        <w:tc>
          <w:tcPr>
            <w:tcW w:w="887" w:type="dxa"/>
            <w:tcBorders>
              <w:top w:val="single" w:sz="6" w:space="0" w:color="auto"/>
              <w:left w:val="single" w:sz="6" w:space="0" w:color="auto"/>
              <w:bottom w:val="single" w:sz="6" w:space="0" w:color="auto"/>
              <w:right w:val="single" w:sz="6" w:space="0" w:color="auto"/>
            </w:tcBorders>
            <w:vAlign w:val="center"/>
            <w:hideMark/>
          </w:tcPr>
          <w:p w14:paraId="57DF41CB"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35,200,000 / n/a</w:t>
            </w:r>
          </w:p>
        </w:tc>
        <w:tc>
          <w:tcPr>
            <w:tcW w:w="738" w:type="dxa"/>
            <w:tcBorders>
              <w:top w:val="single" w:sz="6" w:space="0" w:color="auto"/>
              <w:left w:val="single" w:sz="6" w:space="0" w:color="auto"/>
              <w:bottom w:val="single" w:sz="6" w:space="0" w:color="auto"/>
              <w:right w:val="single" w:sz="6" w:space="0" w:color="auto"/>
            </w:tcBorders>
            <w:vAlign w:val="center"/>
            <w:hideMark/>
          </w:tcPr>
          <w:p w14:paraId="2AEBDFBD"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293,000 / n.a.</w:t>
            </w:r>
          </w:p>
        </w:tc>
        <w:tc>
          <w:tcPr>
            <w:tcW w:w="1034" w:type="dxa"/>
            <w:tcBorders>
              <w:top w:val="single" w:sz="6" w:space="0" w:color="auto"/>
              <w:left w:val="single" w:sz="6" w:space="0" w:color="auto"/>
              <w:bottom w:val="single" w:sz="6" w:space="0" w:color="auto"/>
              <w:right w:val="single" w:sz="6" w:space="0" w:color="auto"/>
            </w:tcBorders>
            <w:vAlign w:val="center"/>
            <w:hideMark/>
          </w:tcPr>
          <w:p w14:paraId="35F32B14"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Annually</w:t>
            </w:r>
          </w:p>
        </w:tc>
        <w:tc>
          <w:tcPr>
            <w:tcW w:w="1033" w:type="dxa"/>
            <w:tcBorders>
              <w:top w:val="single" w:sz="6" w:space="0" w:color="auto"/>
              <w:left w:val="single" w:sz="6" w:space="0" w:color="auto"/>
              <w:bottom w:val="single" w:sz="6" w:space="0" w:color="auto"/>
              <w:right w:val="single" w:sz="6" w:space="0" w:color="auto"/>
            </w:tcBorders>
            <w:vAlign w:val="center"/>
            <w:hideMark/>
          </w:tcPr>
          <w:p w14:paraId="4CC87ACD"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n/a</w:t>
            </w:r>
          </w:p>
        </w:tc>
        <w:tc>
          <w:tcPr>
            <w:tcW w:w="1183" w:type="dxa"/>
            <w:tcBorders>
              <w:top w:val="single" w:sz="6" w:space="0" w:color="auto"/>
              <w:left w:val="single" w:sz="6" w:space="0" w:color="auto"/>
              <w:bottom w:val="single" w:sz="6" w:space="0" w:color="auto"/>
              <w:right w:val="single" w:sz="6" w:space="0" w:color="auto"/>
            </w:tcBorders>
            <w:vAlign w:val="center"/>
            <w:hideMark/>
          </w:tcPr>
          <w:p w14:paraId="421BF0D3"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annually</w:t>
            </w:r>
          </w:p>
        </w:tc>
        <w:tc>
          <w:tcPr>
            <w:tcW w:w="1328" w:type="dxa"/>
            <w:tcBorders>
              <w:top w:val="single" w:sz="6" w:space="0" w:color="auto"/>
              <w:left w:val="single" w:sz="6" w:space="0" w:color="auto"/>
              <w:bottom w:val="single" w:sz="6" w:space="0" w:color="auto"/>
              <w:right w:val="single" w:sz="6" w:space="0" w:color="auto"/>
            </w:tcBorders>
            <w:vAlign w:val="center"/>
            <w:hideMark/>
          </w:tcPr>
          <w:p w14:paraId="44F2AD23"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 xml:space="preserve">Positive pressure with respect to </w:t>
            </w:r>
            <w:r w:rsidRPr="0039481A">
              <w:rPr>
                <w:rFonts w:ascii="Verdana" w:eastAsiaTheme="minorHAnsi" w:hAnsi="Verdana" w:cs="Arial"/>
                <w:sz w:val="14"/>
                <w:szCs w:val="16"/>
                <w:lang w:val="en-US"/>
              </w:rPr>
              <w:lastRenderedPageBreak/>
              <w:t>non-classified areas</w:t>
            </w:r>
          </w:p>
        </w:tc>
        <w:tc>
          <w:tcPr>
            <w:tcW w:w="1031" w:type="dxa"/>
            <w:tcBorders>
              <w:top w:val="single" w:sz="6" w:space="0" w:color="auto"/>
              <w:left w:val="single" w:sz="6" w:space="0" w:color="auto"/>
              <w:bottom w:val="single" w:sz="6" w:space="0" w:color="auto"/>
              <w:right w:val="single" w:sz="6" w:space="0" w:color="auto"/>
            </w:tcBorders>
            <w:vAlign w:val="center"/>
            <w:hideMark/>
          </w:tcPr>
          <w:p w14:paraId="2CE8F36E"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lastRenderedPageBreak/>
              <w:t>n/a</w:t>
            </w:r>
          </w:p>
        </w:tc>
        <w:tc>
          <w:tcPr>
            <w:tcW w:w="887" w:type="dxa"/>
            <w:tcBorders>
              <w:top w:val="single" w:sz="6" w:space="0" w:color="auto"/>
              <w:left w:val="single" w:sz="6" w:space="0" w:color="auto"/>
              <w:bottom w:val="single" w:sz="6" w:space="0" w:color="auto"/>
              <w:right w:val="single" w:sz="6" w:space="0" w:color="auto"/>
            </w:tcBorders>
            <w:vAlign w:val="center"/>
            <w:hideMark/>
          </w:tcPr>
          <w:p w14:paraId="7FCF8305"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18°C to 25°C</w:t>
            </w:r>
          </w:p>
        </w:tc>
        <w:tc>
          <w:tcPr>
            <w:tcW w:w="1841" w:type="dxa"/>
            <w:tcBorders>
              <w:top w:val="single" w:sz="6" w:space="0" w:color="auto"/>
              <w:left w:val="single" w:sz="6" w:space="0" w:color="auto"/>
              <w:bottom w:val="single" w:sz="6" w:space="0" w:color="auto"/>
              <w:right w:val="single" w:sz="6" w:space="0" w:color="auto"/>
            </w:tcBorders>
            <w:vAlign w:val="center"/>
            <w:hideMark/>
          </w:tcPr>
          <w:p w14:paraId="56E262A2" w14:textId="77777777" w:rsidR="0039481A" w:rsidRPr="0039481A" w:rsidRDefault="0039481A" w:rsidP="0039481A">
            <w:pPr>
              <w:spacing w:before="20" w:after="10" w:line="276" w:lineRule="auto"/>
              <w:jc w:val="center"/>
              <w:rPr>
                <w:rFonts w:ascii="Verdana" w:eastAsiaTheme="minorHAnsi" w:hAnsi="Verdana" w:cs="Arial"/>
                <w:sz w:val="14"/>
                <w:szCs w:val="16"/>
                <w:lang w:val="en-US"/>
              </w:rPr>
            </w:pPr>
            <w:r w:rsidRPr="0039481A">
              <w:rPr>
                <w:rFonts w:ascii="Verdana" w:eastAsiaTheme="minorHAnsi" w:hAnsi="Verdana" w:cs="Arial"/>
                <w:sz w:val="14"/>
                <w:szCs w:val="16"/>
                <w:lang w:val="en-US"/>
              </w:rPr>
              <w:t>Clean plant uniform; covered hair</w:t>
            </w:r>
          </w:p>
        </w:tc>
      </w:tr>
    </w:tbl>
    <w:p w14:paraId="722C6D97" w14:textId="77777777" w:rsidR="0039481A" w:rsidRPr="0039481A" w:rsidRDefault="0039481A" w:rsidP="0039481A">
      <w:pPr>
        <w:spacing w:before="20" w:after="20" w:line="276" w:lineRule="auto"/>
        <w:ind w:firstLine="288"/>
        <w:jc w:val="both"/>
        <w:rPr>
          <w:rFonts w:ascii="Verdana" w:eastAsiaTheme="minorHAnsi" w:hAnsi="Verdana" w:cs="Arial"/>
          <w:b/>
          <w:sz w:val="16"/>
          <w:szCs w:val="16"/>
          <w:lang w:val="en-US"/>
        </w:rPr>
      </w:pPr>
      <w:r w:rsidRPr="0039481A">
        <w:rPr>
          <w:rFonts w:ascii="Verdana" w:eastAsiaTheme="minorHAnsi" w:hAnsi="Verdana" w:cs="Arial"/>
          <w:b/>
          <w:sz w:val="16"/>
          <w:szCs w:val="16"/>
          <w:lang w:val="en-US"/>
        </w:rPr>
        <w:t>NOTES:</w:t>
      </w:r>
    </w:p>
    <w:p w14:paraId="2D7539E9" w14:textId="77777777" w:rsidR="0039481A" w:rsidRPr="0039481A" w:rsidRDefault="0039481A" w:rsidP="0039481A">
      <w:pPr>
        <w:tabs>
          <w:tab w:val="left" w:pos="720"/>
        </w:tabs>
        <w:spacing w:before="20" w:after="20" w:line="276" w:lineRule="auto"/>
        <w:ind w:left="720" w:hanging="432"/>
        <w:jc w:val="both"/>
        <w:rPr>
          <w:rFonts w:ascii="Verdana" w:eastAsiaTheme="minorHAnsi" w:hAnsi="Verdana" w:cs="Arial"/>
          <w:sz w:val="16"/>
          <w:szCs w:val="16"/>
          <w:lang w:val="en-US"/>
        </w:rPr>
      </w:pPr>
      <w:r w:rsidRPr="0039481A">
        <w:rPr>
          <w:rFonts w:ascii="Verdana" w:eastAsiaTheme="minorHAnsi" w:hAnsi="Verdana" w:cs="Arial"/>
          <w:b/>
          <w:i/>
          <w:sz w:val="16"/>
          <w:szCs w:val="16"/>
          <w:lang w:val="en-US"/>
        </w:rPr>
        <w:t>a</w:t>
      </w:r>
      <w:r w:rsidRPr="0039481A">
        <w:rPr>
          <w:rFonts w:ascii="Verdana" w:eastAsiaTheme="minorHAnsi" w:hAnsi="Verdana" w:cs="Arial"/>
          <w:sz w:val="16"/>
          <w:szCs w:val="16"/>
          <w:lang w:val="en-US"/>
        </w:rPr>
        <w:t xml:space="preserve"> </w:t>
      </w:r>
      <w:r w:rsidRPr="0039481A">
        <w:rPr>
          <w:rFonts w:ascii="Verdana" w:eastAsiaTheme="minorHAnsi" w:hAnsi="Verdana" w:cs="Arial"/>
          <w:sz w:val="16"/>
          <w:szCs w:val="16"/>
          <w:lang w:val="en-US"/>
        </w:rPr>
        <w:tab/>
        <w:t xml:space="preserve">The examples stipulated here are inclusive but not limited. </w:t>
      </w:r>
    </w:p>
    <w:p w14:paraId="053B6375" w14:textId="77777777" w:rsidR="0039481A" w:rsidRPr="0039481A" w:rsidRDefault="0039481A" w:rsidP="0039481A">
      <w:pPr>
        <w:tabs>
          <w:tab w:val="left" w:pos="720"/>
        </w:tabs>
        <w:spacing w:before="20" w:after="20" w:line="276" w:lineRule="auto"/>
        <w:ind w:left="720" w:hanging="432"/>
        <w:jc w:val="both"/>
        <w:rPr>
          <w:rFonts w:ascii="Verdana" w:eastAsiaTheme="minorHAnsi" w:hAnsi="Verdana" w:cs="Arial"/>
          <w:sz w:val="16"/>
          <w:szCs w:val="16"/>
          <w:lang w:val="en-US"/>
        </w:rPr>
      </w:pPr>
      <w:r w:rsidRPr="0039481A">
        <w:rPr>
          <w:rFonts w:ascii="Verdana" w:eastAsiaTheme="minorHAnsi" w:hAnsi="Verdana" w:cs="Arial"/>
          <w:b/>
          <w:i/>
          <w:sz w:val="16"/>
          <w:szCs w:val="16"/>
          <w:lang w:val="en-US"/>
        </w:rPr>
        <w:t xml:space="preserve">b </w:t>
      </w:r>
      <w:r w:rsidRPr="0039481A">
        <w:rPr>
          <w:rFonts w:ascii="Verdana" w:eastAsiaTheme="minorHAnsi" w:hAnsi="Verdana" w:cs="Arial"/>
          <w:b/>
          <w:i/>
          <w:sz w:val="16"/>
          <w:szCs w:val="16"/>
          <w:lang w:val="en-US"/>
        </w:rPr>
        <w:tab/>
      </w:r>
      <w:r w:rsidRPr="0039481A">
        <w:rPr>
          <w:rFonts w:ascii="Verdana" w:eastAsiaTheme="minorHAnsi" w:hAnsi="Verdana" w:cs="Arial"/>
          <w:sz w:val="16"/>
          <w:szCs w:val="16"/>
          <w:lang w:val="en-US"/>
        </w:rPr>
        <w:t xml:space="preserve">The microbiological monitoring must be made employing the following methods: </w:t>
      </w:r>
    </w:p>
    <w:p w14:paraId="526341BD" w14:textId="77777777" w:rsidR="0039481A" w:rsidRPr="0039481A" w:rsidRDefault="0039481A" w:rsidP="0039481A">
      <w:pPr>
        <w:tabs>
          <w:tab w:val="left" w:pos="720"/>
        </w:tabs>
        <w:spacing w:before="20" w:after="20" w:line="276" w:lineRule="auto"/>
        <w:ind w:left="720" w:hanging="432"/>
        <w:jc w:val="both"/>
        <w:rPr>
          <w:rFonts w:ascii="Verdana" w:eastAsiaTheme="minorHAnsi" w:hAnsi="Verdana" w:cs="Arial"/>
          <w:strike/>
          <w:sz w:val="16"/>
          <w:szCs w:val="16"/>
          <w:lang w:val="en-US"/>
        </w:rPr>
      </w:pPr>
      <w:r w:rsidRPr="0039481A">
        <w:rPr>
          <w:rFonts w:ascii="Verdana" w:eastAsiaTheme="minorHAnsi" w:hAnsi="Verdana" w:cs="Arial"/>
          <w:b/>
          <w:i/>
          <w:sz w:val="16"/>
          <w:szCs w:val="16"/>
          <w:lang w:val="en-US"/>
        </w:rPr>
        <w:t>b.1</w:t>
      </w:r>
      <w:r w:rsidRPr="0039481A">
        <w:rPr>
          <w:rFonts w:ascii="Verdana" w:eastAsiaTheme="minorHAnsi" w:hAnsi="Verdana" w:cs="Arial"/>
          <w:sz w:val="16"/>
          <w:szCs w:val="16"/>
          <w:lang w:val="en-US"/>
        </w:rPr>
        <w:t xml:space="preserve"> </w:t>
      </w:r>
      <w:r w:rsidRPr="0039481A">
        <w:rPr>
          <w:rFonts w:ascii="Verdana" w:eastAsiaTheme="minorHAnsi" w:hAnsi="Verdana" w:cs="Arial"/>
          <w:sz w:val="16"/>
          <w:szCs w:val="16"/>
          <w:lang w:val="en-US"/>
        </w:rPr>
        <w:tab/>
        <w:t xml:space="preserve">Sedimentation plate of 90 mm in diameter, with exposure not less than 30 minutes and not greater than 4 hours. </w:t>
      </w:r>
    </w:p>
    <w:p w14:paraId="44DDDF61" w14:textId="77777777" w:rsidR="0039481A" w:rsidRPr="0039481A" w:rsidRDefault="0039481A" w:rsidP="0039481A">
      <w:pPr>
        <w:tabs>
          <w:tab w:val="left" w:pos="720"/>
        </w:tabs>
        <w:spacing w:before="20" w:after="20" w:line="276" w:lineRule="auto"/>
        <w:ind w:left="720" w:hanging="432"/>
        <w:jc w:val="both"/>
        <w:rPr>
          <w:rFonts w:ascii="Verdana" w:eastAsiaTheme="minorHAnsi" w:hAnsi="Verdana" w:cs="Arial"/>
          <w:sz w:val="16"/>
          <w:szCs w:val="16"/>
          <w:lang w:val="en-US"/>
        </w:rPr>
      </w:pPr>
      <w:r w:rsidRPr="0039481A">
        <w:rPr>
          <w:rFonts w:ascii="Verdana" w:eastAsiaTheme="minorHAnsi" w:hAnsi="Verdana" w:cs="Arial"/>
          <w:b/>
          <w:i/>
          <w:sz w:val="16"/>
          <w:szCs w:val="16"/>
          <w:lang w:val="en-US"/>
        </w:rPr>
        <w:t>b.2</w:t>
      </w:r>
      <w:r w:rsidRPr="0039481A">
        <w:rPr>
          <w:rFonts w:ascii="Verdana" w:eastAsiaTheme="minorHAnsi" w:hAnsi="Verdana" w:cs="Arial"/>
          <w:i/>
          <w:sz w:val="16"/>
          <w:szCs w:val="16"/>
          <w:lang w:val="en-US"/>
        </w:rPr>
        <w:t xml:space="preserve"> </w:t>
      </w:r>
      <w:r w:rsidRPr="0039481A">
        <w:rPr>
          <w:rFonts w:ascii="Verdana" w:eastAsiaTheme="minorHAnsi" w:hAnsi="Verdana" w:cs="Arial"/>
          <w:i/>
          <w:sz w:val="16"/>
          <w:szCs w:val="16"/>
          <w:lang w:val="en-US"/>
        </w:rPr>
        <w:tab/>
      </w:r>
      <w:r w:rsidRPr="0039481A">
        <w:rPr>
          <w:rFonts w:ascii="Verdana" w:eastAsiaTheme="minorHAnsi" w:hAnsi="Verdana" w:cs="Arial"/>
          <w:sz w:val="16"/>
          <w:szCs w:val="16"/>
          <w:lang w:val="en-US"/>
        </w:rPr>
        <w:t xml:space="preserve">Air sampling. </w:t>
      </w:r>
    </w:p>
    <w:p w14:paraId="0ECF5F69" w14:textId="77777777" w:rsidR="0039481A" w:rsidRPr="0039481A" w:rsidRDefault="0039481A" w:rsidP="0039481A">
      <w:pPr>
        <w:tabs>
          <w:tab w:val="left" w:pos="720"/>
        </w:tabs>
        <w:spacing w:before="20" w:after="20" w:line="276" w:lineRule="auto"/>
        <w:ind w:left="720" w:hanging="432"/>
        <w:jc w:val="both"/>
        <w:rPr>
          <w:rFonts w:ascii="Verdana" w:eastAsiaTheme="minorHAnsi" w:hAnsi="Verdana" w:cs="Arial"/>
          <w:sz w:val="16"/>
          <w:szCs w:val="16"/>
          <w:lang w:val="en-US"/>
        </w:rPr>
      </w:pPr>
      <w:r w:rsidRPr="0039481A">
        <w:rPr>
          <w:rFonts w:ascii="Verdana" w:eastAsiaTheme="minorHAnsi" w:hAnsi="Verdana" w:cs="Arial"/>
          <w:b/>
          <w:i/>
          <w:sz w:val="16"/>
          <w:szCs w:val="16"/>
          <w:lang w:val="en-US"/>
        </w:rPr>
        <w:t>b.3</w:t>
      </w:r>
      <w:r w:rsidRPr="0039481A">
        <w:rPr>
          <w:rFonts w:ascii="Verdana" w:eastAsiaTheme="minorHAnsi" w:hAnsi="Verdana" w:cs="Arial"/>
          <w:i/>
          <w:sz w:val="16"/>
          <w:szCs w:val="16"/>
          <w:lang w:val="en-US"/>
        </w:rPr>
        <w:t xml:space="preserve"> </w:t>
      </w:r>
      <w:r w:rsidRPr="0039481A">
        <w:rPr>
          <w:rFonts w:ascii="Verdana" w:eastAsiaTheme="minorHAnsi" w:hAnsi="Verdana" w:cs="Arial"/>
          <w:i/>
          <w:sz w:val="16"/>
          <w:szCs w:val="16"/>
          <w:lang w:val="en-US"/>
        </w:rPr>
        <w:tab/>
      </w:r>
      <w:r w:rsidRPr="0039481A">
        <w:rPr>
          <w:rFonts w:ascii="Verdana" w:eastAsiaTheme="minorHAnsi" w:hAnsi="Verdana" w:cs="Arial"/>
          <w:sz w:val="16"/>
          <w:szCs w:val="16"/>
          <w:lang w:val="en-US"/>
        </w:rPr>
        <w:t>Contact plate of 55 mm in diameter.</w:t>
      </w:r>
    </w:p>
    <w:p w14:paraId="448C0A73" w14:textId="77777777" w:rsidR="0039481A" w:rsidRPr="0039481A" w:rsidRDefault="0039481A" w:rsidP="0039481A">
      <w:pPr>
        <w:tabs>
          <w:tab w:val="left" w:pos="720"/>
        </w:tabs>
        <w:spacing w:before="20" w:after="20" w:line="276" w:lineRule="auto"/>
        <w:ind w:left="720" w:hanging="432"/>
        <w:jc w:val="both"/>
        <w:rPr>
          <w:rFonts w:ascii="Verdana" w:eastAsiaTheme="minorHAnsi" w:hAnsi="Verdana" w:cs="Arial"/>
          <w:sz w:val="16"/>
          <w:szCs w:val="16"/>
          <w:lang w:val="en-US"/>
        </w:rPr>
      </w:pPr>
      <w:r w:rsidRPr="0039481A">
        <w:rPr>
          <w:rFonts w:ascii="Verdana" w:eastAsiaTheme="minorHAnsi" w:hAnsi="Verdana" w:cs="Arial"/>
          <w:b/>
          <w:i/>
          <w:sz w:val="16"/>
          <w:szCs w:val="16"/>
          <w:lang w:val="en-US"/>
        </w:rPr>
        <w:t>b.4</w:t>
      </w:r>
      <w:r w:rsidRPr="0039481A">
        <w:rPr>
          <w:rFonts w:ascii="Verdana" w:eastAsiaTheme="minorHAnsi" w:hAnsi="Verdana" w:cs="Arial"/>
          <w:i/>
          <w:sz w:val="16"/>
          <w:szCs w:val="16"/>
          <w:lang w:val="en-US"/>
        </w:rPr>
        <w:t xml:space="preserve"> </w:t>
      </w:r>
      <w:r w:rsidRPr="0039481A">
        <w:rPr>
          <w:rFonts w:ascii="Verdana" w:eastAsiaTheme="minorHAnsi" w:hAnsi="Verdana" w:cs="Arial"/>
          <w:i/>
          <w:sz w:val="16"/>
          <w:szCs w:val="16"/>
          <w:lang w:val="en-US"/>
        </w:rPr>
        <w:tab/>
      </w:r>
      <w:r w:rsidRPr="0039481A">
        <w:rPr>
          <w:rFonts w:ascii="Verdana" w:eastAsiaTheme="minorHAnsi" w:hAnsi="Verdana" w:cs="Arial"/>
          <w:sz w:val="16"/>
          <w:szCs w:val="16"/>
          <w:lang w:val="en-US"/>
        </w:rPr>
        <w:t>Sampling of Gloves with 5 fingers.</w:t>
      </w:r>
    </w:p>
    <w:p w14:paraId="4B79A64F" w14:textId="77777777" w:rsidR="0039481A" w:rsidRPr="0039481A" w:rsidRDefault="0039481A" w:rsidP="0039481A">
      <w:pPr>
        <w:tabs>
          <w:tab w:val="left" w:pos="720"/>
        </w:tabs>
        <w:spacing w:before="20" w:after="20" w:line="276" w:lineRule="auto"/>
        <w:ind w:left="720" w:hanging="432"/>
        <w:jc w:val="both"/>
        <w:rPr>
          <w:rFonts w:ascii="Verdana" w:eastAsiaTheme="minorHAnsi" w:hAnsi="Verdana" w:cs="Arial"/>
          <w:sz w:val="16"/>
          <w:szCs w:val="16"/>
          <w:lang w:val="en-US"/>
        </w:rPr>
      </w:pPr>
      <w:r w:rsidRPr="0039481A">
        <w:rPr>
          <w:rFonts w:ascii="Verdana" w:eastAsiaTheme="minorHAnsi" w:hAnsi="Verdana" w:cs="Arial"/>
          <w:b/>
          <w:i/>
          <w:sz w:val="16"/>
          <w:szCs w:val="16"/>
          <w:lang w:val="en-US"/>
        </w:rPr>
        <w:t>c</w:t>
      </w:r>
      <w:r w:rsidRPr="0039481A">
        <w:rPr>
          <w:rFonts w:ascii="Verdana" w:eastAsiaTheme="minorHAnsi" w:hAnsi="Verdana" w:cs="Arial"/>
          <w:b/>
          <w:sz w:val="16"/>
          <w:szCs w:val="16"/>
          <w:lang w:val="en-US"/>
        </w:rPr>
        <w:t xml:space="preserve"> </w:t>
      </w:r>
      <w:r w:rsidRPr="0039481A">
        <w:rPr>
          <w:rFonts w:ascii="Verdana" w:eastAsiaTheme="minorHAnsi" w:hAnsi="Verdana" w:cs="Arial"/>
          <w:b/>
          <w:sz w:val="16"/>
          <w:szCs w:val="16"/>
          <w:lang w:val="en-US"/>
        </w:rPr>
        <w:tab/>
      </w:r>
      <w:r w:rsidRPr="0039481A">
        <w:rPr>
          <w:rFonts w:ascii="Verdana" w:eastAsiaTheme="minorHAnsi" w:hAnsi="Verdana" w:cs="Arial"/>
          <w:sz w:val="16"/>
          <w:szCs w:val="16"/>
          <w:lang w:val="en-US"/>
        </w:rPr>
        <w:t>The unidirectional flow zone must comply with flow velocity parameters of 0.45 m/s ± 20%.</w:t>
      </w:r>
    </w:p>
    <w:p w14:paraId="14EDF7F3" w14:textId="77777777" w:rsidR="0039481A" w:rsidRPr="0039481A" w:rsidRDefault="0039481A" w:rsidP="0039481A">
      <w:pPr>
        <w:tabs>
          <w:tab w:val="left" w:pos="720"/>
        </w:tabs>
        <w:spacing w:before="20" w:after="20" w:line="276" w:lineRule="auto"/>
        <w:ind w:left="720" w:hanging="432"/>
        <w:jc w:val="both"/>
        <w:rPr>
          <w:rFonts w:ascii="Verdana" w:eastAsiaTheme="minorHAnsi" w:hAnsi="Verdana" w:cs="Arial"/>
          <w:sz w:val="16"/>
          <w:szCs w:val="16"/>
          <w:lang w:val="en-US"/>
        </w:rPr>
      </w:pPr>
      <w:r w:rsidRPr="0039481A">
        <w:rPr>
          <w:rFonts w:ascii="Verdana" w:eastAsiaTheme="minorHAnsi" w:hAnsi="Verdana" w:cs="Arial"/>
          <w:b/>
          <w:i/>
          <w:sz w:val="16"/>
          <w:szCs w:val="16"/>
          <w:lang w:val="en-US"/>
        </w:rPr>
        <w:t>d</w:t>
      </w:r>
      <w:r w:rsidRPr="0039481A">
        <w:rPr>
          <w:rFonts w:ascii="Verdana" w:eastAsiaTheme="minorHAnsi" w:hAnsi="Verdana" w:cs="Arial"/>
          <w:sz w:val="16"/>
          <w:szCs w:val="16"/>
          <w:lang w:val="en-US"/>
        </w:rPr>
        <w:t xml:space="preserve"> </w:t>
      </w:r>
      <w:r w:rsidRPr="0039481A">
        <w:rPr>
          <w:rFonts w:ascii="Verdana" w:eastAsiaTheme="minorHAnsi" w:hAnsi="Verdana" w:cs="Arial"/>
          <w:sz w:val="16"/>
          <w:szCs w:val="16"/>
          <w:lang w:val="en-US"/>
        </w:rPr>
        <w:tab/>
        <w:t>It can be done with less frequency according to the maintenance of the validated state.</w:t>
      </w:r>
    </w:p>
    <w:p w14:paraId="084DD130" w14:textId="77777777" w:rsidR="0039481A" w:rsidRPr="0039481A" w:rsidRDefault="0039481A" w:rsidP="0039481A">
      <w:pPr>
        <w:tabs>
          <w:tab w:val="left" w:pos="720"/>
        </w:tabs>
        <w:spacing w:before="20" w:after="20" w:line="276" w:lineRule="auto"/>
        <w:ind w:left="720" w:hanging="432"/>
        <w:jc w:val="both"/>
        <w:rPr>
          <w:rFonts w:ascii="Verdana" w:eastAsiaTheme="minorHAnsi" w:hAnsi="Verdana" w:cs="Arial"/>
          <w:sz w:val="16"/>
          <w:szCs w:val="16"/>
          <w:lang w:val="en-US"/>
        </w:rPr>
      </w:pPr>
      <w:r w:rsidRPr="0039481A">
        <w:rPr>
          <w:rFonts w:ascii="Verdana" w:eastAsiaTheme="minorHAnsi" w:hAnsi="Verdana" w:cs="Arial"/>
          <w:b/>
          <w:i/>
          <w:sz w:val="16"/>
          <w:szCs w:val="16"/>
          <w:lang w:val="en-US"/>
        </w:rPr>
        <w:t>e</w:t>
      </w:r>
      <w:r w:rsidRPr="0039481A">
        <w:rPr>
          <w:rFonts w:ascii="Verdana" w:eastAsiaTheme="minorHAnsi" w:hAnsi="Verdana" w:cs="Arial"/>
          <w:b/>
          <w:sz w:val="16"/>
          <w:szCs w:val="16"/>
          <w:lang w:val="en-US"/>
        </w:rPr>
        <w:t xml:space="preserve"> </w:t>
      </w:r>
      <w:r w:rsidRPr="0039481A">
        <w:rPr>
          <w:rFonts w:ascii="Verdana" w:eastAsiaTheme="minorHAnsi" w:hAnsi="Verdana" w:cs="Arial"/>
          <w:b/>
          <w:sz w:val="16"/>
          <w:szCs w:val="16"/>
          <w:lang w:val="en-US"/>
        </w:rPr>
        <w:tab/>
      </w:r>
      <w:r w:rsidRPr="0039481A">
        <w:rPr>
          <w:rFonts w:ascii="Verdana" w:eastAsiaTheme="minorHAnsi" w:hAnsi="Verdana" w:cs="Arial"/>
          <w:sz w:val="16"/>
          <w:szCs w:val="16"/>
          <w:lang w:val="en-US"/>
        </w:rPr>
        <w:t>It can be made in at least Class D provided they are supported with validation studies.</w:t>
      </w:r>
    </w:p>
    <w:p w14:paraId="2C5EE2D9" w14:textId="77777777" w:rsidR="0039481A" w:rsidRPr="0039481A" w:rsidRDefault="0039481A" w:rsidP="0039481A">
      <w:pPr>
        <w:tabs>
          <w:tab w:val="left" w:pos="720"/>
        </w:tabs>
        <w:spacing w:before="20" w:after="20" w:line="276" w:lineRule="auto"/>
        <w:ind w:left="720" w:hanging="432"/>
        <w:jc w:val="both"/>
        <w:rPr>
          <w:rFonts w:ascii="Verdana" w:eastAsiaTheme="minorHAnsi" w:hAnsi="Verdana" w:cs="Arial"/>
          <w:sz w:val="16"/>
          <w:szCs w:val="16"/>
          <w:lang w:val="en-US"/>
        </w:rPr>
      </w:pPr>
      <w:r w:rsidRPr="0039481A">
        <w:rPr>
          <w:rFonts w:ascii="Verdana" w:eastAsiaTheme="minorHAnsi" w:hAnsi="Verdana" w:cs="Arial"/>
          <w:b/>
          <w:i/>
          <w:sz w:val="16"/>
          <w:szCs w:val="16"/>
          <w:lang w:val="en-US"/>
        </w:rPr>
        <w:t>f</w:t>
      </w:r>
      <w:r w:rsidRPr="0039481A">
        <w:rPr>
          <w:rFonts w:ascii="Verdana" w:eastAsiaTheme="minorHAnsi" w:hAnsi="Verdana" w:cs="Arial"/>
          <w:sz w:val="16"/>
          <w:szCs w:val="16"/>
          <w:lang w:val="en-US"/>
        </w:rPr>
        <w:t xml:space="preserve"> </w:t>
      </w:r>
      <w:r w:rsidRPr="0039481A">
        <w:rPr>
          <w:rFonts w:ascii="Verdana" w:eastAsiaTheme="minorHAnsi" w:hAnsi="Verdana" w:cs="Arial"/>
          <w:sz w:val="16"/>
          <w:szCs w:val="16"/>
          <w:lang w:val="en-US"/>
        </w:rPr>
        <w:tab/>
        <w:t>The classification Class A rooms must comply with these parameters, does not apply for unidirectional flow parameters.</w:t>
      </w:r>
    </w:p>
    <w:p w14:paraId="4F317274" w14:textId="77777777" w:rsidR="0039481A" w:rsidRPr="0039481A" w:rsidRDefault="0039481A" w:rsidP="0039481A">
      <w:pPr>
        <w:tabs>
          <w:tab w:val="left" w:pos="720"/>
        </w:tabs>
        <w:spacing w:before="20" w:after="20" w:line="276" w:lineRule="auto"/>
        <w:ind w:left="720" w:hanging="432"/>
        <w:jc w:val="both"/>
        <w:rPr>
          <w:rFonts w:ascii="Verdana" w:eastAsiaTheme="minorHAnsi" w:hAnsi="Verdana" w:cs="Arial"/>
          <w:sz w:val="16"/>
          <w:szCs w:val="16"/>
          <w:lang w:val="en-US"/>
        </w:rPr>
      </w:pPr>
      <w:r w:rsidRPr="0039481A">
        <w:rPr>
          <w:rFonts w:ascii="Verdana" w:eastAsiaTheme="minorHAnsi" w:hAnsi="Verdana" w:cs="Arial"/>
          <w:b/>
          <w:i/>
          <w:sz w:val="16"/>
          <w:szCs w:val="16"/>
          <w:lang w:val="en-US"/>
        </w:rPr>
        <w:t>g</w:t>
      </w:r>
      <w:r w:rsidRPr="0039481A">
        <w:rPr>
          <w:rFonts w:ascii="Verdana" w:eastAsiaTheme="minorHAnsi" w:hAnsi="Verdana" w:cs="Arial"/>
          <w:b/>
          <w:i/>
          <w:sz w:val="16"/>
          <w:szCs w:val="16"/>
          <w:lang w:val="en-US"/>
        </w:rPr>
        <w:tab/>
      </w:r>
      <w:r w:rsidRPr="0039481A">
        <w:rPr>
          <w:rFonts w:ascii="Verdana" w:eastAsiaTheme="minorHAnsi" w:hAnsi="Verdana" w:cs="Arial"/>
          <w:sz w:val="16"/>
          <w:szCs w:val="16"/>
          <w:lang w:val="en-US"/>
        </w:rPr>
        <w:t>The limits of particles given in the Table for static condition can be reached after a short cleaning of 15 to 20 minutes after concluding the operation and without operating them.</w:t>
      </w:r>
    </w:p>
    <w:p w14:paraId="37009AE4" w14:textId="77777777" w:rsidR="0039481A" w:rsidRPr="0039481A" w:rsidRDefault="0039481A" w:rsidP="0039481A">
      <w:pPr>
        <w:tabs>
          <w:tab w:val="left" w:pos="720"/>
        </w:tabs>
        <w:spacing w:before="20" w:after="20" w:line="276" w:lineRule="auto"/>
        <w:ind w:left="720" w:hanging="432"/>
        <w:jc w:val="both"/>
        <w:rPr>
          <w:rFonts w:ascii="Verdana" w:eastAsiaTheme="minorHAnsi" w:hAnsi="Verdana" w:cs="Arial"/>
          <w:sz w:val="16"/>
          <w:szCs w:val="16"/>
          <w:lang w:val="en-US"/>
        </w:rPr>
      </w:pPr>
      <w:r w:rsidRPr="0039481A">
        <w:rPr>
          <w:rFonts w:ascii="Verdana" w:eastAsiaTheme="minorHAnsi" w:hAnsi="Verdana" w:cs="Arial"/>
          <w:b/>
          <w:i/>
          <w:sz w:val="16"/>
          <w:szCs w:val="16"/>
          <w:lang w:val="en-US"/>
        </w:rPr>
        <w:t>h</w:t>
      </w:r>
      <w:r w:rsidRPr="0039481A">
        <w:rPr>
          <w:rFonts w:ascii="Verdana" w:eastAsiaTheme="minorHAnsi" w:hAnsi="Verdana" w:cs="Arial"/>
          <w:b/>
          <w:sz w:val="16"/>
          <w:szCs w:val="16"/>
          <w:lang w:val="en-US"/>
        </w:rPr>
        <w:tab/>
      </w:r>
      <w:r w:rsidRPr="0039481A">
        <w:rPr>
          <w:rFonts w:ascii="Verdana" w:eastAsiaTheme="minorHAnsi" w:hAnsi="Verdana" w:cs="Arial"/>
          <w:sz w:val="16"/>
          <w:szCs w:val="16"/>
          <w:lang w:val="en-US"/>
        </w:rPr>
        <w:t>The sampling sizes taken for purposes of monitoring are given depending on the sampling system used and not necessarily the volume of the monitoring sample will be the same as the air quantity taken during the formal classification of the room.</w:t>
      </w:r>
    </w:p>
    <w:p w14:paraId="2D42F2FF" w14:textId="77777777" w:rsidR="0039481A" w:rsidRPr="0039481A" w:rsidRDefault="0039481A" w:rsidP="0039481A">
      <w:pPr>
        <w:tabs>
          <w:tab w:val="left" w:pos="720"/>
        </w:tabs>
        <w:spacing w:before="20" w:after="20" w:line="276" w:lineRule="auto"/>
        <w:ind w:left="720" w:hanging="432"/>
        <w:jc w:val="both"/>
        <w:rPr>
          <w:rFonts w:ascii="Arial" w:eastAsiaTheme="minorHAnsi" w:hAnsi="Arial" w:cs="Arial"/>
          <w:sz w:val="18"/>
          <w:szCs w:val="22"/>
          <w:lang w:val="en-US"/>
        </w:rPr>
      </w:pPr>
      <w:r w:rsidRPr="0039481A">
        <w:rPr>
          <w:rFonts w:ascii="Verdana" w:eastAsiaTheme="minorHAnsi" w:hAnsi="Verdana" w:cs="Arial"/>
          <w:b/>
          <w:i/>
          <w:sz w:val="16"/>
          <w:szCs w:val="16"/>
          <w:lang w:val="en-US"/>
        </w:rPr>
        <w:t>i</w:t>
      </w:r>
      <w:r w:rsidRPr="0039481A">
        <w:rPr>
          <w:rFonts w:ascii="Verdana" w:eastAsiaTheme="minorHAnsi" w:hAnsi="Verdana" w:cs="Arial"/>
          <w:b/>
          <w:i/>
          <w:sz w:val="16"/>
          <w:szCs w:val="16"/>
          <w:lang w:val="en-US"/>
        </w:rPr>
        <w:tab/>
      </w:r>
      <w:r w:rsidRPr="0039481A">
        <w:rPr>
          <w:rFonts w:ascii="Verdana" w:eastAsiaTheme="minorHAnsi" w:hAnsi="Verdana" w:cs="Arial"/>
          <w:sz w:val="16"/>
          <w:szCs w:val="16"/>
          <w:lang w:val="en-US"/>
        </w:rPr>
        <w:t>This parameter can be an indicator of the adequate design of the system, if compliance to the range established in the table does not exist, it must be investigated and the technical justification made that verifies that no inherent failures exist in the design of the areas.</w:t>
      </w:r>
    </w:p>
    <w:p w14:paraId="7C70F620" w14:textId="77777777" w:rsidR="0039481A" w:rsidRPr="0039481A" w:rsidRDefault="0039481A" w:rsidP="005C0901">
      <w:pPr>
        <w:pStyle w:val="Texto"/>
        <w:spacing w:line="276" w:lineRule="auto"/>
        <w:rPr>
          <w:rFonts w:ascii="Verdana" w:hAnsi="Verdana"/>
          <w:position w:val="5"/>
          <w:sz w:val="16"/>
          <w:szCs w:val="16"/>
          <w:lang w:val="en-US"/>
        </w:rPr>
      </w:pPr>
    </w:p>
    <w:p w14:paraId="149F337F" w14:textId="77777777" w:rsidR="0039481A" w:rsidRPr="0039481A" w:rsidRDefault="0039481A" w:rsidP="005C0901">
      <w:pPr>
        <w:pStyle w:val="Texto"/>
        <w:spacing w:line="276" w:lineRule="auto"/>
        <w:rPr>
          <w:rFonts w:ascii="Verdana" w:hAnsi="Verdana"/>
          <w:position w:val="5"/>
          <w:sz w:val="16"/>
          <w:szCs w:val="16"/>
          <w:lang w:val="en-US"/>
        </w:rPr>
      </w:pPr>
    </w:p>
    <w:p w14:paraId="5BA64773" w14:textId="77777777" w:rsidR="0039481A" w:rsidRPr="0039481A" w:rsidRDefault="0039481A" w:rsidP="005C0901">
      <w:pPr>
        <w:pStyle w:val="Texto"/>
        <w:spacing w:line="276" w:lineRule="auto"/>
        <w:rPr>
          <w:rFonts w:ascii="Verdana" w:hAnsi="Verdana"/>
          <w:position w:val="5"/>
          <w:sz w:val="16"/>
          <w:szCs w:val="16"/>
          <w:lang w:val="en-US"/>
        </w:rPr>
        <w:sectPr w:rsidR="0039481A" w:rsidRPr="0039481A" w:rsidSect="00EE7E8A">
          <w:headerReference w:type="even" r:id="rId18"/>
          <w:pgSz w:w="15840" w:h="12240" w:orient="landscape"/>
          <w:pgMar w:top="1699" w:right="1152" w:bottom="1699" w:left="1296" w:header="706" w:footer="706" w:gutter="0"/>
          <w:cols w:space="708"/>
        </w:sectPr>
      </w:pPr>
    </w:p>
    <w:p w14:paraId="150FF513" w14:textId="77777777" w:rsidR="0092514C" w:rsidRPr="00D429B4" w:rsidRDefault="0092514C" w:rsidP="005C0901">
      <w:pPr>
        <w:pStyle w:val="Texto"/>
        <w:spacing w:line="276" w:lineRule="auto"/>
        <w:ind w:firstLine="0"/>
        <w:jc w:val="center"/>
        <w:rPr>
          <w:rFonts w:ascii="Verdana" w:hAnsi="Verdana"/>
          <w:b/>
          <w:sz w:val="16"/>
          <w:szCs w:val="16"/>
          <w:lang w:val="es-MX"/>
        </w:rPr>
      </w:pPr>
      <w:r w:rsidRPr="00D429B4">
        <w:rPr>
          <w:rFonts w:ascii="Verdana" w:hAnsi="Verdana"/>
          <w:b/>
          <w:sz w:val="16"/>
          <w:szCs w:val="16"/>
          <w:lang w:val="es-MX"/>
        </w:rPr>
        <w:lastRenderedPageBreak/>
        <w:t>21.2 Apéndice B Normativo. Revisión Anual del Producto.</w:t>
      </w:r>
    </w:p>
    <w:tbl>
      <w:tblPr>
        <w:tblW w:w="8712" w:type="dxa"/>
        <w:tblInd w:w="144" w:type="dxa"/>
        <w:tblBorders>
          <w:top w:val="double" w:sz="6" w:space="0" w:color="auto"/>
          <w:left w:val="double" w:sz="6" w:space="0" w:color="auto"/>
          <w:bottom w:val="single" w:sz="6" w:space="0" w:color="auto"/>
          <w:right w:val="double" w:sz="6" w:space="0" w:color="auto"/>
        </w:tblBorders>
        <w:tblLayout w:type="fixed"/>
        <w:tblCellMar>
          <w:left w:w="43" w:type="dxa"/>
          <w:right w:w="43" w:type="dxa"/>
        </w:tblCellMar>
        <w:tblLook w:val="0000" w:firstRow="0" w:lastRow="0" w:firstColumn="0" w:lastColumn="0" w:noHBand="0" w:noVBand="0"/>
      </w:tblPr>
      <w:tblGrid>
        <w:gridCol w:w="2682"/>
        <w:gridCol w:w="3123"/>
        <w:gridCol w:w="992"/>
        <w:gridCol w:w="391"/>
        <w:gridCol w:w="1524"/>
      </w:tblGrid>
      <w:tr w:rsidR="0092514C" w:rsidRPr="00D429B4" w14:paraId="5D197B14" w14:textId="77777777">
        <w:trPr>
          <w:cantSplit/>
          <w:trHeight w:val="20"/>
        </w:trPr>
        <w:tc>
          <w:tcPr>
            <w:tcW w:w="8712" w:type="dxa"/>
            <w:gridSpan w:val="5"/>
            <w:tcBorders>
              <w:top w:val="double" w:sz="6" w:space="0" w:color="auto"/>
            </w:tcBorders>
            <w:shd w:val="clear" w:color="000000" w:fill="FFFFFF"/>
            <w:noWrap/>
          </w:tcPr>
          <w:p w14:paraId="20399BC4" w14:textId="77777777" w:rsidR="0092514C" w:rsidRPr="00D429B4" w:rsidRDefault="0092514C" w:rsidP="005C0901">
            <w:pPr>
              <w:pStyle w:val="Texto"/>
              <w:spacing w:line="276" w:lineRule="auto"/>
              <w:ind w:firstLine="0"/>
              <w:jc w:val="center"/>
              <w:rPr>
                <w:rFonts w:ascii="Verdana" w:hAnsi="Verdana"/>
                <w:b/>
                <w:sz w:val="16"/>
                <w:szCs w:val="16"/>
                <w:u w:val="single"/>
                <w:lang w:val="es-MX"/>
              </w:rPr>
            </w:pPr>
            <w:r w:rsidRPr="00D429B4">
              <w:rPr>
                <w:rFonts w:ascii="Verdana" w:hAnsi="Verdana"/>
                <w:b/>
                <w:sz w:val="16"/>
                <w:szCs w:val="16"/>
                <w:u w:val="single"/>
                <w:lang w:val="es-MX"/>
              </w:rPr>
              <w:t>Revisión Anual del Producto</w:t>
            </w:r>
          </w:p>
        </w:tc>
      </w:tr>
      <w:tr w:rsidR="0092514C" w:rsidRPr="00D429B4" w14:paraId="047448BE" w14:textId="77777777">
        <w:trPr>
          <w:cantSplit/>
          <w:trHeight w:val="20"/>
        </w:trPr>
        <w:tc>
          <w:tcPr>
            <w:tcW w:w="2682" w:type="dxa"/>
            <w:shd w:val="clear" w:color="000000" w:fill="FFFFFF"/>
          </w:tcPr>
          <w:p w14:paraId="3593960B"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c>
          <w:tcPr>
            <w:tcW w:w="6030" w:type="dxa"/>
            <w:gridSpan w:val="4"/>
            <w:shd w:val="clear" w:color="000000" w:fill="FFFFFF"/>
          </w:tcPr>
          <w:p w14:paraId="79EFED6C"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131BFB79" w14:textId="77777777">
        <w:trPr>
          <w:cantSplit/>
          <w:trHeight w:val="20"/>
        </w:trPr>
        <w:tc>
          <w:tcPr>
            <w:tcW w:w="2682" w:type="dxa"/>
            <w:shd w:val="clear" w:color="000000" w:fill="FFFFFF"/>
          </w:tcPr>
          <w:p w14:paraId="7C1741EA"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Nombre del producto</w:t>
            </w:r>
          </w:p>
        </w:tc>
        <w:tc>
          <w:tcPr>
            <w:tcW w:w="3123" w:type="dxa"/>
            <w:tcBorders>
              <w:top w:val="nil"/>
              <w:bottom w:val="single" w:sz="6" w:space="0" w:color="auto"/>
            </w:tcBorders>
            <w:shd w:val="clear" w:color="000000" w:fill="FFFFFF"/>
          </w:tcPr>
          <w:p w14:paraId="2348A43F"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c>
          <w:tcPr>
            <w:tcW w:w="1383" w:type="dxa"/>
            <w:gridSpan w:val="2"/>
            <w:shd w:val="clear" w:color="000000" w:fill="FFFFFF"/>
          </w:tcPr>
          <w:p w14:paraId="34D1D0A4"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Registro no:</w:t>
            </w:r>
          </w:p>
        </w:tc>
        <w:tc>
          <w:tcPr>
            <w:tcW w:w="1524" w:type="dxa"/>
            <w:tcBorders>
              <w:top w:val="nil"/>
              <w:bottom w:val="single" w:sz="6" w:space="0" w:color="auto"/>
            </w:tcBorders>
            <w:shd w:val="clear" w:color="000000" w:fill="FFFFFF"/>
          </w:tcPr>
          <w:p w14:paraId="703DEF8E"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0103925D" w14:textId="77777777">
        <w:trPr>
          <w:cantSplit/>
          <w:trHeight w:val="20"/>
        </w:trPr>
        <w:tc>
          <w:tcPr>
            <w:tcW w:w="2682" w:type="dxa"/>
            <w:shd w:val="clear" w:color="000000" w:fill="FFFFFF"/>
          </w:tcPr>
          <w:p w14:paraId="338AFF30"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DCI</w:t>
            </w:r>
          </w:p>
        </w:tc>
        <w:tc>
          <w:tcPr>
            <w:tcW w:w="3123" w:type="dxa"/>
            <w:tcBorders>
              <w:top w:val="single" w:sz="6" w:space="0" w:color="auto"/>
              <w:bottom w:val="single" w:sz="6" w:space="0" w:color="auto"/>
            </w:tcBorders>
            <w:shd w:val="clear" w:color="000000" w:fill="FFFFFF"/>
          </w:tcPr>
          <w:p w14:paraId="766CB10C"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c>
          <w:tcPr>
            <w:tcW w:w="1383" w:type="dxa"/>
            <w:gridSpan w:val="2"/>
            <w:shd w:val="clear" w:color="000000" w:fill="FFFFFF"/>
          </w:tcPr>
          <w:p w14:paraId="42D106AE"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Concentración:</w:t>
            </w:r>
          </w:p>
        </w:tc>
        <w:tc>
          <w:tcPr>
            <w:tcW w:w="1524" w:type="dxa"/>
            <w:tcBorders>
              <w:top w:val="single" w:sz="6" w:space="0" w:color="auto"/>
              <w:bottom w:val="single" w:sz="6" w:space="0" w:color="auto"/>
            </w:tcBorders>
            <w:shd w:val="clear" w:color="000000" w:fill="FFFFFF"/>
          </w:tcPr>
          <w:p w14:paraId="67FA1BA6"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6768B3AE" w14:textId="77777777">
        <w:trPr>
          <w:cantSplit/>
          <w:trHeight w:val="20"/>
        </w:trPr>
        <w:tc>
          <w:tcPr>
            <w:tcW w:w="2682" w:type="dxa"/>
            <w:shd w:val="clear" w:color="000000" w:fill="FFFFFF"/>
          </w:tcPr>
          <w:p w14:paraId="0112B236"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Revisión del periodo de:</w:t>
            </w:r>
          </w:p>
        </w:tc>
        <w:tc>
          <w:tcPr>
            <w:tcW w:w="3123" w:type="dxa"/>
            <w:tcBorders>
              <w:top w:val="single" w:sz="6" w:space="0" w:color="auto"/>
              <w:bottom w:val="single" w:sz="6" w:space="0" w:color="auto"/>
            </w:tcBorders>
            <w:shd w:val="clear" w:color="000000" w:fill="FFFFFF"/>
          </w:tcPr>
          <w:p w14:paraId="454B6C7A"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c>
          <w:tcPr>
            <w:tcW w:w="1383" w:type="dxa"/>
            <w:gridSpan w:val="2"/>
            <w:shd w:val="clear" w:color="000000" w:fill="FFFFFF"/>
          </w:tcPr>
          <w:p w14:paraId="798D65C2"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Hasta:</w:t>
            </w:r>
          </w:p>
        </w:tc>
        <w:tc>
          <w:tcPr>
            <w:tcW w:w="1524" w:type="dxa"/>
            <w:tcBorders>
              <w:top w:val="single" w:sz="6" w:space="0" w:color="auto"/>
              <w:bottom w:val="single" w:sz="6" w:space="0" w:color="auto"/>
            </w:tcBorders>
            <w:shd w:val="clear" w:color="000000" w:fill="FFFFFF"/>
          </w:tcPr>
          <w:p w14:paraId="4085C879"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67863992" w14:textId="77777777">
        <w:trPr>
          <w:cantSplit/>
          <w:trHeight w:val="20"/>
        </w:trPr>
        <w:tc>
          <w:tcPr>
            <w:tcW w:w="6797" w:type="dxa"/>
            <w:gridSpan w:val="3"/>
            <w:shd w:val="clear" w:color="000000" w:fill="FFFFFF"/>
          </w:tcPr>
          <w:p w14:paraId="36C1FF5D"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xml:space="preserve">Total de lotes revisados: </w:t>
            </w:r>
          </w:p>
        </w:tc>
        <w:tc>
          <w:tcPr>
            <w:tcW w:w="1915" w:type="dxa"/>
            <w:gridSpan w:val="2"/>
            <w:tcBorders>
              <w:bottom w:val="nil"/>
            </w:tcBorders>
            <w:shd w:val="clear" w:color="000000" w:fill="FFFFFF"/>
          </w:tcPr>
          <w:p w14:paraId="4B6E74DE"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5B0CC4D6" w14:textId="77777777">
        <w:trPr>
          <w:cantSplit/>
          <w:trHeight w:val="20"/>
        </w:trPr>
        <w:tc>
          <w:tcPr>
            <w:tcW w:w="2682" w:type="dxa"/>
            <w:shd w:val="clear" w:color="000000" w:fill="FFFFFF"/>
          </w:tcPr>
          <w:p w14:paraId="235B7679"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c>
          <w:tcPr>
            <w:tcW w:w="4115" w:type="dxa"/>
            <w:gridSpan w:val="2"/>
            <w:tcBorders>
              <w:top w:val="nil"/>
              <w:bottom w:val="nil"/>
            </w:tcBorders>
            <w:shd w:val="clear" w:color="000000" w:fill="FFFFFF"/>
          </w:tcPr>
          <w:p w14:paraId="06DCD109"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Aprobados</w:t>
            </w:r>
          </w:p>
        </w:tc>
        <w:tc>
          <w:tcPr>
            <w:tcW w:w="1915" w:type="dxa"/>
            <w:gridSpan w:val="2"/>
            <w:tcBorders>
              <w:top w:val="nil"/>
              <w:bottom w:val="single" w:sz="6" w:space="0" w:color="auto"/>
            </w:tcBorders>
            <w:shd w:val="clear" w:color="000000" w:fill="FFFFFF"/>
          </w:tcPr>
          <w:p w14:paraId="604BE7E9"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3EDA3B19" w14:textId="77777777">
        <w:trPr>
          <w:cantSplit/>
          <w:trHeight w:val="20"/>
        </w:trPr>
        <w:tc>
          <w:tcPr>
            <w:tcW w:w="2682" w:type="dxa"/>
            <w:shd w:val="clear" w:color="000000" w:fill="FFFFFF"/>
          </w:tcPr>
          <w:p w14:paraId="13E834DD"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c>
          <w:tcPr>
            <w:tcW w:w="4115" w:type="dxa"/>
            <w:gridSpan w:val="2"/>
            <w:tcBorders>
              <w:top w:val="nil"/>
              <w:bottom w:val="nil"/>
            </w:tcBorders>
            <w:shd w:val="clear" w:color="000000" w:fill="FFFFFF"/>
          </w:tcPr>
          <w:p w14:paraId="4E40C412"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Aprobados con desviación</w:t>
            </w:r>
          </w:p>
        </w:tc>
        <w:tc>
          <w:tcPr>
            <w:tcW w:w="1915" w:type="dxa"/>
            <w:gridSpan w:val="2"/>
            <w:tcBorders>
              <w:top w:val="single" w:sz="6" w:space="0" w:color="auto"/>
              <w:bottom w:val="single" w:sz="6" w:space="0" w:color="auto"/>
            </w:tcBorders>
            <w:shd w:val="clear" w:color="000000" w:fill="FFFFFF"/>
          </w:tcPr>
          <w:p w14:paraId="25AED2D0" w14:textId="77777777" w:rsidR="0092514C" w:rsidRPr="00D429B4" w:rsidRDefault="0092514C" w:rsidP="005C0901">
            <w:pPr>
              <w:pStyle w:val="Texto"/>
              <w:spacing w:line="276" w:lineRule="auto"/>
              <w:ind w:firstLine="0"/>
              <w:rPr>
                <w:rFonts w:ascii="Verdana" w:hAnsi="Verdana"/>
                <w:b/>
                <w:sz w:val="16"/>
                <w:szCs w:val="16"/>
                <w:lang w:val="es-MX"/>
              </w:rPr>
            </w:pPr>
          </w:p>
        </w:tc>
      </w:tr>
      <w:tr w:rsidR="0092514C" w:rsidRPr="00D429B4" w14:paraId="0A9D95CB" w14:textId="77777777">
        <w:trPr>
          <w:cantSplit/>
          <w:trHeight w:val="20"/>
        </w:trPr>
        <w:tc>
          <w:tcPr>
            <w:tcW w:w="2682" w:type="dxa"/>
            <w:shd w:val="clear" w:color="000000" w:fill="FFFFFF"/>
          </w:tcPr>
          <w:p w14:paraId="5519F723"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c>
          <w:tcPr>
            <w:tcW w:w="4115" w:type="dxa"/>
            <w:gridSpan w:val="2"/>
            <w:tcBorders>
              <w:top w:val="nil"/>
            </w:tcBorders>
            <w:shd w:val="clear" w:color="000000" w:fill="FFFFFF"/>
          </w:tcPr>
          <w:p w14:paraId="602AD760"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Rechazados</w:t>
            </w:r>
          </w:p>
        </w:tc>
        <w:tc>
          <w:tcPr>
            <w:tcW w:w="1915" w:type="dxa"/>
            <w:gridSpan w:val="2"/>
            <w:tcBorders>
              <w:top w:val="single" w:sz="6" w:space="0" w:color="auto"/>
              <w:bottom w:val="single" w:sz="6" w:space="0" w:color="auto"/>
            </w:tcBorders>
            <w:shd w:val="clear" w:color="000000" w:fill="FFFFFF"/>
          </w:tcPr>
          <w:p w14:paraId="669559A9" w14:textId="77777777" w:rsidR="0092514C" w:rsidRPr="00D429B4" w:rsidRDefault="0092514C" w:rsidP="005C0901">
            <w:pPr>
              <w:pStyle w:val="Texto"/>
              <w:spacing w:line="276" w:lineRule="auto"/>
              <w:ind w:firstLine="0"/>
              <w:rPr>
                <w:rFonts w:ascii="Verdana" w:hAnsi="Verdana"/>
                <w:b/>
                <w:sz w:val="16"/>
                <w:szCs w:val="16"/>
                <w:lang w:val="es-MX"/>
              </w:rPr>
            </w:pPr>
          </w:p>
        </w:tc>
      </w:tr>
      <w:tr w:rsidR="0092514C" w:rsidRPr="00D429B4" w14:paraId="71CD58FD" w14:textId="77777777">
        <w:trPr>
          <w:cantSplit/>
          <w:trHeight w:val="20"/>
        </w:trPr>
        <w:tc>
          <w:tcPr>
            <w:tcW w:w="2682" w:type="dxa"/>
            <w:shd w:val="clear" w:color="000000" w:fill="FFFFFF"/>
          </w:tcPr>
          <w:p w14:paraId="5A8847B7"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c>
          <w:tcPr>
            <w:tcW w:w="4115" w:type="dxa"/>
            <w:gridSpan w:val="2"/>
            <w:shd w:val="clear" w:color="000000" w:fill="FFFFFF"/>
          </w:tcPr>
          <w:p w14:paraId="39340F72"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Total:</w:t>
            </w:r>
          </w:p>
        </w:tc>
        <w:tc>
          <w:tcPr>
            <w:tcW w:w="1915" w:type="dxa"/>
            <w:gridSpan w:val="2"/>
            <w:tcBorders>
              <w:top w:val="single" w:sz="6" w:space="0" w:color="auto"/>
              <w:bottom w:val="single" w:sz="6" w:space="0" w:color="auto"/>
            </w:tcBorders>
            <w:shd w:val="clear" w:color="000000" w:fill="FFFFFF"/>
          </w:tcPr>
          <w:p w14:paraId="1D416BB2" w14:textId="77777777" w:rsidR="0092514C" w:rsidRPr="00D429B4" w:rsidRDefault="0092514C" w:rsidP="005C0901">
            <w:pPr>
              <w:pStyle w:val="Texto"/>
              <w:spacing w:line="276" w:lineRule="auto"/>
              <w:ind w:firstLine="0"/>
              <w:rPr>
                <w:rFonts w:ascii="Verdana" w:hAnsi="Verdana"/>
                <w:b/>
                <w:sz w:val="16"/>
                <w:szCs w:val="16"/>
                <w:lang w:val="es-MX"/>
              </w:rPr>
            </w:pPr>
          </w:p>
        </w:tc>
      </w:tr>
      <w:tr w:rsidR="0092514C" w:rsidRPr="00D429B4" w14:paraId="150A8D35" w14:textId="77777777">
        <w:trPr>
          <w:cantSplit/>
          <w:trHeight w:val="20"/>
        </w:trPr>
        <w:tc>
          <w:tcPr>
            <w:tcW w:w="6797" w:type="dxa"/>
            <w:gridSpan w:val="3"/>
            <w:tcBorders>
              <w:bottom w:val="double" w:sz="6" w:space="0" w:color="auto"/>
            </w:tcBorders>
            <w:shd w:val="clear" w:color="000000" w:fill="FFFFFF"/>
          </w:tcPr>
          <w:p w14:paraId="6DDBCD21" w14:textId="77777777" w:rsidR="0092514C" w:rsidRPr="00D429B4" w:rsidRDefault="00986788"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Lotes só</w:t>
            </w:r>
            <w:r w:rsidR="0092514C" w:rsidRPr="00D429B4">
              <w:rPr>
                <w:rFonts w:ascii="Verdana" w:hAnsi="Verdana"/>
                <w:b/>
                <w:sz w:val="16"/>
                <w:szCs w:val="16"/>
                <w:lang w:val="es-MX"/>
              </w:rPr>
              <w:t xml:space="preserve">lo de exportación/país: </w:t>
            </w:r>
          </w:p>
        </w:tc>
        <w:tc>
          <w:tcPr>
            <w:tcW w:w="1915" w:type="dxa"/>
            <w:gridSpan w:val="2"/>
            <w:tcBorders>
              <w:top w:val="single" w:sz="6" w:space="0" w:color="auto"/>
              <w:bottom w:val="double" w:sz="6" w:space="0" w:color="auto"/>
            </w:tcBorders>
            <w:shd w:val="clear" w:color="000000" w:fill="FFFFFF"/>
          </w:tcPr>
          <w:p w14:paraId="2459687F" w14:textId="77777777" w:rsidR="0092514C" w:rsidRPr="00D429B4" w:rsidRDefault="0092514C" w:rsidP="005C0901">
            <w:pPr>
              <w:pStyle w:val="Texto"/>
              <w:spacing w:line="276" w:lineRule="auto"/>
              <w:ind w:firstLine="0"/>
              <w:rPr>
                <w:rFonts w:ascii="Verdana" w:hAnsi="Verdana"/>
                <w:b/>
                <w:sz w:val="16"/>
                <w:szCs w:val="16"/>
                <w:lang w:val="es-MX"/>
              </w:rPr>
            </w:pPr>
          </w:p>
        </w:tc>
      </w:tr>
    </w:tbl>
    <w:p w14:paraId="50D7DF27" w14:textId="77777777" w:rsidR="0092514C" w:rsidRPr="00D429B4" w:rsidRDefault="0092514C" w:rsidP="005C0901">
      <w:pPr>
        <w:pStyle w:val="Texto"/>
        <w:spacing w:line="276" w:lineRule="auto"/>
        <w:rPr>
          <w:rFonts w:ascii="Verdana" w:hAnsi="Verdana"/>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3123"/>
        <w:gridCol w:w="2907"/>
      </w:tblGrid>
      <w:tr w:rsidR="0092514C" w:rsidRPr="00D429B4" w14:paraId="15968D74" w14:textId="77777777">
        <w:trPr>
          <w:cantSplit/>
          <w:trHeight w:val="20"/>
        </w:trPr>
        <w:tc>
          <w:tcPr>
            <w:tcW w:w="2682" w:type="dxa"/>
            <w:shd w:val="clear" w:color="000000" w:fill="FFFFFF"/>
            <w:noWrap/>
          </w:tcPr>
          <w:p w14:paraId="0498BE27"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Revisión de documentación</w:t>
            </w:r>
          </w:p>
        </w:tc>
        <w:tc>
          <w:tcPr>
            <w:tcW w:w="3123" w:type="dxa"/>
            <w:tcBorders>
              <w:top w:val="double" w:sz="6" w:space="0" w:color="auto"/>
              <w:bottom w:val="single" w:sz="6" w:space="0" w:color="auto"/>
            </w:tcBorders>
            <w:shd w:val="clear" w:color="000000" w:fill="FFFFFF"/>
          </w:tcPr>
          <w:p w14:paraId="72C38F9E"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2907" w:type="dxa"/>
            <w:tcBorders>
              <w:top w:val="double" w:sz="6" w:space="0" w:color="auto"/>
              <w:bottom w:val="single" w:sz="6" w:space="0" w:color="auto"/>
            </w:tcBorders>
            <w:shd w:val="clear" w:color="000000" w:fill="FFFFFF"/>
          </w:tcPr>
          <w:p w14:paraId="53699C1B"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Fecha:</w:t>
            </w:r>
          </w:p>
        </w:tc>
      </w:tr>
      <w:tr w:rsidR="0092514C" w:rsidRPr="00D429B4" w14:paraId="7F08387C" w14:textId="77777777">
        <w:trPr>
          <w:cantSplit/>
          <w:trHeight w:val="20"/>
        </w:trPr>
        <w:tc>
          <w:tcPr>
            <w:tcW w:w="2682" w:type="dxa"/>
            <w:shd w:val="clear" w:color="000000" w:fill="FFFFFF"/>
          </w:tcPr>
          <w:p w14:paraId="4BBD6638"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Fórmula</w:t>
            </w:r>
          </w:p>
        </w:tc>
        <w:tc>
          <w:tcPr>
            <w:tcW w:w="6030" w:type="dxa"/>
            <w:gridSpan w:val="2"/>
            <w:tcBorders>
              <w:top w:val="single" w:sz="6" w:space="0" w:color="auto"/>
              <w:bottom w:val="single" w:sz="6" w:space="0" w:color="auto"/>
            </w:tcBorders>
            <w:shd w:val="clear" w:color="000000" w:fill="FFFFFF"/>
          </w:tcPr>
          <w:p w14:paraId="3C074C55" w14:textId="77777777" w:rsidR="0092514C" w:rsidRPr="00D429B4" w:rsidRDefault="0092514C" w:rsidP="005C0901">
            <w:pPr>
              <w:pStyle w:val="Texto"/>
              <w:spacing w:line="276" w:lineRule="auto"/>
              <w:ind w:firstLine="0"/>
              <w:rPr>
                <w:rFonts w:ascii="Verdana" w:hAnsi="Verdana"/>
                <w:i/>
                <w:sz w:val="16"/>
                <w:szCs w:val="16"/>
                <w:lang w:val="es-MX"/>
              </w:rPr>
            </w:pPr>
            <w:r w:rsidRPr="00D429B4">
              <w:rPr>
                <w:rFonts w:ascii="Verdana" w:hAnsi="Verdana"/>
                <w:i/>
                <w:sz w:val="16"/>
                <w:szCs w:val="16"/>
                <w:lang w:val="es-MX"/>
              </w:rPr>
              <w:t>Info</w:t>
            </w:r>
            <w:r w:rsidR="00986788" w:rsidRPr="00D429B4">
              <w:rPr>
                <w:rFonts w:ascii="Verdana" w:hAnsi="Verdana"/>
                <w:i/>
                <w:sz w:val="16"/>
                <w:szCs w:val="16"/>
                <w:lang w:val="es-MX"/>
              </w:rPr>
              <w:t>rmación: Modificaciones en la fó</w:t>
            </w:r>
            <w:r w:rsidRPr="00D429B4">
              <w:rPr>
                <w:rFonts w:ascii="Verdana" w:hAnsi="Verdana"/>
                <w:i/>
                <w:sz w:val="16"/>
                <w:szCs w:val="16"/>
                <w:lang w:val="es-MX"/>
              </w:rPr>
              <w:t>rmula cuali-cuantitativa.</w:t>
            </w:r>
          </w:p>
        </w:tc>
      </w:tr>
      <w:tr w:rsidR="0092514C" w:rsidRPr="00D429B4" w14:paraId="2494F8C1" w14:textId="77777777">
        <w:trPr>
          <w:cantSplit/>
          <w:trHeight w:val="20"/>
        </w:trPr>
        <w:tc>
          <w:tcPr>
            <w:tcW w:w="2682" w:type="dxa"/>
            <w:shd w:val="clear" w:color="000000" w:fill="FFFFFF"/>
          </w:tcPr>
          <w:p w14:paraId="796BE48E"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Revisión de especificación del producto</w:t>
            </w:r>
          </w:p>
        </w:tc>
        <w:tc>
          <w:tcPr>
            <w:tcW w:w="6030" w:type="dxa"/>
            <w:gridSpan w:val="2"/>
            <w:tcBorders>
              <w:top w:val="single" w:sz="6" w:space="0" w:color="auto"/>
              <w:bottom w:val="single" w:sz="6" w:space="0" w:color="auto"/>
            </w:tcBorders>
            <w:shd w:val="clear" w:color="000000" w:fill="FFFFFF"/>
          </w:tcPr>
          <w:p w14:paraId="3B2C1100" w14:textId="77777777" w:rsidR="0092514C" w:rsidRPr="00D429B4" w:rsidRDefault="0092514C" w:rsidP="005C0901">
            <w:pPr>
              <w:pStyle w:val="Texto"/>
              <w:spacing w:line="276" w:lineRule="auto"/>
              <w:ind w:firstLine="0"/>
              <w:rPr>
                <w:rFonts w:ascii="Verdana" w:hAnsi="Verdana"/>
                <w:i/>
                <w:sz w:val="16"/>
                <w:szCs w:val="16"/>
                <w:lang w:val="es-MX"/>
              </w:rPr>
            </w:pPr>
            <w:r w:rsidRPr="00D429B4">
              <w:rPr>
                <w:rFonts w:ascii="Verdana" w:hAnsi="Verdana"/>
                <w:i/>
                <w:sz w:val="16"/>
                <w:szCs w:val="16"/>
                <w:lang w:val="es-MX"/>
              </w:rPr>
              <w:t>Información: Modificaciones en las especificaciones y métodos analíticos del producto.</w:t>
            </w:r>
          </w:p>
        </w:tc>
      </w:tr>
      <w:tr w:rsidR="0092514C" w:rsidRPr="00D429B4" w14:paraId="45986FAE" w14:textId="77777777">
        <w:trPr>
          <w:cantSplit/>
          <w:trHeight w:val="20"/>
        </w:trPr>
        <w:tc>
          <w:tcPr>
            <w:tcW w:w="2682" w:type="dxa"/>
            <w:shd w:val="clear" w:color="000000" w:fill="FFFFFF"/>
          </w:tcPr>
          <w:p w14:paraId="0217D018"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Revisión del historial de fármacos / biofármacos / aditivos / material de envase primario</w:t>
            </w:r>
          </w:p>
        </w:tc>
        <w:tc>
          <w:tcPr>
            <w:tcW w:w="6030" w:type="dxa"/>
            <w:gridSpan w:val="2"/>
            <w:tcBorders>
              <w:top w:val="single" w:sz="6" w:space="0" w:color="auto"/>
            </w:tcBorders>
            <w:shd w:val="clear" w:color="000000" w:fill="FFFFFF"/>
          </w:tcPr>
          <w:p w14:paraId="6696E33C" w14:textId="77777777" w:rsidR="0092514C" w:rsidRPr="00D429B4" w:rsidRDefault="0092514C" w:rsidP="005C0901">
            <w:pPr>
              <w:pStyle w:val="Texto"/>
              <w:spacing w:line="276" w:lineRule="auto"/>
              <w:ind w:firstLine="0"/>
              <w:rPr>
                <w:rFonts w:ascii="Verdana" w:hAnsi="Verdana"/>
                <w:i/>
                <w:sz w:val="16"/>
                <w:szCs w:val="16"/>
                <w:lang w:val="es-MX"/>
              </w:rPr>
            </w:pPr>
            <w:r w:rsidRPr="00D429B4">
              <w:rPr>
                <w:rFonts w:ascii="Verdana" w:hAnsi="Verdana"/>
                <w:i/>
                <w:sz w:val="16"/>
                <w:szCs w:val="16"/>
                <w:lang w:val="es-MX"/>
              </w:rPr>
              <w:t>Información: Revisar el historial de los insumos involucrados en la fabricación de los lotes del RAP, incluyendo cambios en fabricantes, cambios de especificación y métodos analíticos, referencias cruzadas, reportes y programas.</w:t>
            </w:r>
          </w:p>
        </w:tc>
      </w:tr>
    </w:tbl>
    <w:p w14:paraId="040152DC" w14:textId="77777777" w:rsidR="0092514C" w:rsidRPr="00D429B4" w:rsidRDefault="0092514C" w:rsidP="005C0901">
      <w:pPr>
        <w:pStyle w:val="Texto"/>
        <w:spacing w:line="276" w:lineRule="auto"/>
        <w:rPr>
          <w:rFonts w:ascii="Verdana" w:hAnsi="Verdana"/>
          <w:sz w:val="16"/>
          <w:szCs w:val="16"/>
          <w:lang w:val="es-MX"/>
        </w:rPr>
      </w:pPr>
    </w:p>
    <w:tbl>
      <w:tblPr>
        <w:tblW w:w="8746" w:type="dxa"/>
        <w:tblInd w:w="144" w:type="dxa"/>
        <w:tblLayout w:type="fixed"/>
        <w:tblCellMar>
          <w:left w:w="70" w:type="dxa"/>
          <w:right w:w="70" w:type="dxa"/>
        </w:tblCellMar>
        <w:tblLook w:val="0000" w:firstRow="0" w:lastRow="0" w:firstColumn="0" w:lastColumn="0" w:noHBand="0" w:noVBand="0"/>
      </w:tblPr>
      <w:tblGrid>
        <w:gridCol w:w="2282"/>
        <w:gridCol w:w="1667"/>
        <w:gridCol w:w="1757"/>
        <w:gridCol w:w="508"/>
        <w:gridCol w:w="1640"/>
        <w:gridCol w:w="892"/>
      </w:tblGrid>
      <w:tr w:rsidR="0092514C" w:rsidRPr="00D429B4" w14:paraId="64164048" w14:textId="77777777">
        <w:trPr>
          <w:cantSplit/>
          <w:trHeight w:val="20"/>
        </w:trPr>
        <w:tc>
          <w:tcPr>
            <w:tcW w:w="3949" w:type="dxa"/>
            <w:gridSpan w:val="2"/>
            <w:tcBorders>
              <w:top w:val="double" w:sz="6" w:space="0" w:color="auto"/>
              <w:left w:val="double" w:sz="6" w:space="0" w:color="auto"/>
              <w:bottom w:val="single" w:sz="6" w:space="0" w:color="auto"/>
            </w:tcBorders>
            <w:shd w:val="clear" w:color="000000" w:fill="FFFFFF"/>
            <w:noWrap/>
          </w:tcPr>
          <w:p w14:paraId="41D483EF"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Revisión del sistema de gestión de calidad</w:t>
            </w:r>
          </w:p>
        </w:tc>
        <w:tc>
          <w:tcPr>
            <w:tcW w:w="1757" w:type="dxa"/>
            <w:tcBorders>
              <w:top w:val="double" w:sz="6" w:space="0" w:color="auto"/>
              <w:bottom w:val="single" w:sz="6" w:space="0" w:color="auto"/>
            </w:tcBorders>
            <w:shd w:val="clear" w:color="000000" w:fill="FFFFFF"/>
          </w:tcPr>
          <w:p w14:paraId="10D642A4"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508" w:type="dxa"/>
            <w:tcBorders>
              <w:top w:val="double" w:sz="6" w:space="0" w:color="auto"/>
              <w:bottom w:val="single" w:sz="6" w:space="0" w:color="auto"/>
            </w:tcBorders>
            <w:shd w:val="clear" w:color="000000" w:fill="FFFFFF"/>
          </w:tcPr>
          <w:p w14:paraId="06C746C1"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c>
          <w:tcPr>
            <w:tcW w:w="1640" w:type="dxa"/>
            <w:tcBorders>
              <w:top w:val="double" w:sz="6" w:space="0" w:color="auto"/>
              <w:bottom w:val="single" w:sz="6" w:space="0" w:color="auto"/>
            </w:tcBorders>
            <w:shd w:val="clear" w:color="000000" w:fill="FFFFFF"/>
          </w:tcPr>
          <w:p w14:paraId="25F1FDEE" w14:textId="77777777" w:rsidR="0092514C" w:rsidRPr="00D429B4" w:rsidRDefault="0092514C" w:rsidP="005C0901">
            <w:pPr>
              <w:pStyle w:val="Texto"/>
              <w:spacing w:line="276" w:lineRule="auto"/>
              <w:ind w:firstLine="0"/>
              <w:jc w:val="center"/>
              <w:rPr>
                <w:rFonts w:ascii="Verdana" w:hAnsi="Verdana"/>
                <w:b/>
                <w:sz w:val="16"/>
                <w:szCs w:val="16"/>
                <w:lang w:val="es-MX"/>
              </w:rPr>
            </w:pPr>
            <w:r w:rsidRPr="00D429B4">
              <w:rPr>
                <w:rFonts w:ascii="Verdana" w:hAnsi="Verdana"/>
                <w:b/>
                <w:sz w:val="16"/>
                <w:szCs w:val="16"/>
                <w:lang w:val="es-MX"/>
              </w:rPr>
              <w:t>Fecha:</w:t>
            </w:r>
          </w:p>
        </w:tc>
        <w:tc>
          <w:tcPr>
            <w:tcW w:w="892" w:type="dxa"/>
            <w:tcBorders>
              <w:top w:val="double" w:sz="6" w:space="0" w:color="auto"/>
              <w:bottom w:val="single" w:sz="6" w:space="0" w:color="auto"/>
              <w:right w:val="double" w:sz="6" w:space="0" w:color="auto"/>
            </w:tcBorders>
            <w:shd w:val="clear" w:color="000000" w:fill="FFFFFF"/>
          </w:tcPr>
          <w:p w14:paraId="4FA7668E"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 </w:t>
            </w:r>
          </w:p>
        </w:tc>
      </w:tr>
      <w:tr w:rsidR="0092514C" w:rsidRPr="00D429B4" w14:paraId="3892CE5A" w14:textId="77777777">
        <w:trPr>
          <w:cantSplit/>
          <w:trHeight w:val="20"/>
        </w:trPr>
        <w:tc>
          <w:tcPr>
            <w:tcW w:w="2282" w:type="dxa"/>
            <w:tcBorders>
              <w:top w:val="single" w:sz="6" w:space="0" w:color="auto"/>
              <w:left w:val="double" w:sz="6" w:space="0" w:color="auto"/>
            </w:tcBorders>
            <w:shd w:val="clear" w:color="000000" w:fill="FFFFFF"/>
          </w:tcPr>
          <w:p w14:paraId="44ACFD2C"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Desviaciones y/o producto no conforme</w:t>
            </w:r>
          </w:p>
        </w:tc>
        <w:tc>
          <w:tcPr>
            <w:tcW w:w="6464" w:type="dxa"/>
            <w:gridSpan w:val="5"/>
            <w:tcBorders>
              <w:top w:val="single" w:sz="6" w:space="0" w:color="auto"/>
              <w:bottom w:val="single" w:sz="6" w:space="0" w:color="auto"/>
              <w:right w:val="double" w:sz="6" w:space="0" w:color="auto"/>
            </w:tcBorders>
            <w:shd w:val="clear" w:color="000000" w:fill="FFFFFF"/>
          </w:tcPr>
          <w:p w14:paraId="3B7953DB" w14:textId="77777777" w:rsidR="0092514C" w:rsidRPr="00D429B4" w:rsidRDefault="0092514C" w:rsidP="005C0901">
            <w:pPr>
              <w:pStyle w:val="Texto"/>
              <w:spacing w:line="276" w:lineRule="auto"/>
              <w:ind w:firstLine="0"/>
              <w:rPr>
                <w:rFonts w:ascii="Verdana" w:hAnsi="Verdana"/>
                <w:i/>
                <w:sz w:val="16"/>
                <w:szCs w:val="16"/>
                <w:lang w:val="es-MX"/>
              </w:rPr>
            </w:pPr>
            <w:r w:rsidRPr="00D429B4">
              <w:rPr>
                <w:rFonts w:ascii="Verdana" w:hAnsi="Verdana"/>
                <w:i/>
                <w:sz w:val="16"/>
                <w:szCs w:val="16"/>
                <w:lang w:val="es-MX"/>
              </w:rPr>
              <w:t>Información: Incluir referencias cruzadas, reportes e investigación de fallas y CAPA asociadas.</w:t>
            </w:r>
          </w:p>
        </w:tc>
      </w:tr>
      <w:tr w:rsidR="0092514C" w:rsidRPr="00D429B4" w14:paraId="0CAE8FEB" w14:textId="77777777">
        <w:trPr>
          <w:cantSplit/>
          <w:trHeight w:val="20"/>
        </w:trPr>
        <w:tc>
          <w:tcPr>
            <w:tcW w:w="2282" w:type="dxa"/>
            <w:tcBorders>
              <w:left w:val="double" w:sz="6" w:space="0" w:color="auto"/>
              <w:bottom w:val="double" w:sz="6" w:space="0" w:color="auto"/>
            </w:tcBorders>
            <w:shd w:val="clear" w:color="000000" w:fill="FFFFFF"/>
          </w:tcPr>
          <w:p w14:paraId="73032BB5"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Resultados analíticos fuera de especificación (OOS) / resultados analíticos fuera de tendencia (OOT)</w:t>
            </w:r>
          </w:p>
        </w:tc>
        <w:tc>
          <w:tcPr>
            <w:tcW w:w="6464" w:type="dxa"/>
            <w:gridSpan w:val="5"/>
            <w:tcBorders>
              <w:bottom w:val="double" w:sz="6" w:space="0" w:color="auto"/>
              <w:right w:val="double" w:sz="6" w:space="0" w:color="auto"/>
            </w:tcBorders>
            <w:shd w:val="clear" w:color="000000" w:fill="FFFFFF"/>
          </w:tcPr>
          <w:p w14:paraId="5BB0B6DD" w14:textId="77777777" w:rsidR="0092514C" w:rsidRPr="00D429B4" w:rsidRDefault="0092514C" w:rsidP="005C0901">
            <w:pPr>
              <w:pStyle w:val="Texto"/>
              <w:spacing w:line="276" w:lineRule="auto"/>
              <w:ind w:firstLine="0"/>
              <w:rPr>
                <w:rFonts w:ascii="Verdana" w:hAnsi="Verdana"/>
                <w:i/>
                <w:sz w:val="16"/>
                <w:szCs w:val="16"/>
                <w:lang w:val="es-MX"/>
              </w:rPr>
            </w:pPr>
            <w:r w:rsidRPr="00D429B4">
              <w:rPr>
                <w:rFonts w:ascii="Verdana" w:hAnsi="Verdana"/>
                <w:i/>
                <w:sz w:val="16"/>
                <w:szCs w:val="16"/>
                <w:lang w:val="es-MX"/>
              </w:rPr>
              <w:t>Información: Incluir referencias cruzadas, reportes e investigación de fallas asociadas.</w:t>
            </w:r>
          </w:p>
          <w:p w14:paraId="25641CB8" w14:textId="77777777" w:rsidR="0092514C" w:rsidRPr="00D429B4" w:rsidRDefault="0092514C" w:rsidP="005C0901">
            <w:pPr>
              <w:pStyle w:val="Texto"/>
              <w:spacing w:line="276" w:lineRule="auto"/>
              <w:ind w:firstLine="0"/>
              <w:rPr>
                <w:rFonts w:ascii="Verdana" w:hAnsi="Verdana"/>
                <w:i/>
                <w:sz w:val="16"/>
                <w:szCs w:val="16"/>
                <w:lang w:val="es-MX"/>
              </w:rPr>
            </w:pPr>
            <w:r w:rsidRPr="00D429B4">
              <w:rPr>
                <w:rFonts w:ascii="Verdana" w:hAnsi="Verdana"/>
                <w:i/>
                <w:sz w:val="16"/>
                <w:szCs w:val="16"/>
                <w:lang w:val="es-MX"/>
              </w:rPr>
              <w:t>_______________________________________________________________________</w:t>
            </w:r>
          </w:p>
        </w:tc>
      </w:tr>
    </w:tbl>
    <w:p w14:paraId="1FD3F261" w14:textId="77777777" w:rsidR="0092514C" w:rsidRPr="00D429B4" w:rsidRDefault="0092514C" w:rsidP="005C0901">
      <w:pPr>
        <w:pStyle w:val="Texto"/>
        <w:spacing w:line="276" w:lineRule="auto"/>
        <w:rPr>
          <w:rFonts w:ascii="Verdana" w:hAnsi="Verdana"/>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515"/>
        <w:gridCol w:w="1640"/>
        <w:gridCol w:w="1267"/>
      </w:tblGrid>
      <w:tr w:rsidR="0092514C" w:rsidRPr="00D429B4" w14:paraId="55B6ACC2" w14:textId="77777777">
        <w:trPr>
          <w:cantSplit/>
          <w:trHeight w:val="20"/>
        </w:trPr>
        <w:tc>
          <w:tcPr>
            <w:tcW w:w="4046" w:type="dxa"/>
            <w:gridSpan w:val="2"/>
            <w:tcBorders>
              <w:top w:val="double" w:sz="6" w:space="0" w:color="auto"/>
              <w:bottom w:val="double" w:sz="6" w:space="0" w:color="auto"/>
            </w:tcBorders>
            <w:shd w:val="clear" w:color="000000" w:fill="FFFFFF"/>
            <w:noWrap/>
          </w:tcPr>
          <w:p w14:paraId="21063C12"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Revisión de los datos del proceso</w:t>
            </w:r>
          </w:p>
        </w:tc>
        <w:tc>
          <w:tcPr>
            <w:tcW w:w="1244" w:type="dxa"/>
            <w:shd w:val="clear" w:color="000000" w:fill="FFFFFF"/>
          </w:tcPr>
          <w:p w14:paraId="073B474C"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515" w:type="dxa"/>
            <w:tcBorders>
              <w:top w:val="double" w:sz="6" w:space="0" w:color="auto"/>
              <w:bottom w:val="single" w:sz="6" w:space="0" w:color="auto"/>
            </w:tcBorders>
            <w:shd w:val="clear" w:color="000000" w:fill="FFFFFF"/>
          </w:tcPr>
          <w:p w14:paraId="082AF066"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c>
          <w:tcPr>
            <w:tcW w:w="1640" w:type="dxa"/>
            <w:shd w:val="clear" w:color="000000" w:fill="FFFFFF"/>
          </w:tcPr>
          <w:p w14:paraId="72553EF6" w14:textId="77777777" w:rsidR="0092514C" w:rsidRPr="00D429B4" w:rsidRDefault="0092514C" w:rsidP="005C0901">
            <w:pPr>
              <w:pStyle w:val="Texto"/>
              <w:spacing w:line="276" w:lineRule="auto"/>
              <w:ind w:firstLine="0"/>
              <w:jc w:val="left"/>
              <w:rPr>
                <w:rFonts w:ascii="Verdana" w:hAnsi="Verdana"/>
                <w:b/>
                <w:sz w:val="16"/>
                <w:szCs w:val="16"/>
                <w:lang w:val="es-MX"/>
              </w:rPr>
            </w:pPr>
            <w:r w:rsidRPr="00D429B4">
              <w:rPr>
                <w:rFonts w:ascii="Verdana" w:hAnsi="Verdana"/>
                <w:b/>
                <w:sz w:val="16"/>
                <w:szCs w:val="16"/>
                <w:lang w:val="es-MX"/>
              </w:rPr>
              <w:t>Fecha:</w:t>
            </w:r>
          </w:p>
        </w:tc>
        <w:tc>
          <w:tcPr>
            <w:tcW w:w="1267" w:type="dxa"/>
            <w:tcBorders>
              <w:top w:val="double" w:sz="6" w:space="0" w:color="auto"/>
              <w:bottom w:val="single" w:sz="6" w:space="0" w:color="auto"/>
            </w:tcBorders>
            <w:shd w:val="clear" w:color="000000" w:fill="FFFFFF"/>
          </w:tcPr>
          <w:p w14:paraId="4B5D4F43"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219E59E6" w14:textId="77777777">
        <w:trPr>
          <w:cantSplit/>
          <w:trHeight w:val="20"/>
        </w:trPr>
        <w:tc>
          <w:tcPr>
            <w:tcW w:w="2682" w:type="dxa"/>
            <w:shd w:val="clear" w:color="000000" w:fill="FFFFFF"/>
          </w:tcPr>
          <w:p w14:paraId="5C0E6C23"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Parámetros críticos</w:t>
            </w:r>
          </w:p>
        </w:tc>
        <w:tc>
          <w:tcPr>
            <w:tcW w:w="6030" w:type="dxa"/>
            <w:gridSpan w:val="5"/>
            <w:tcBorders>
              <w:bottom w:val="nil"/>
            </w:tcBorders>
            <w:shd w:val="clear" w:color="000000" w:fill="FFFFFF"/>
          </w:tcPr>
          <w:p w14:paraId="30575681" w14:textId="77777777" w:rsidR="0092514C" w:rsidRPr="00D429B4" w:rsidRDefault="0092514C" w:rsidP="005C0901">
            <w:pPr>
              <w:pStyle w:val="Texto"/>
              <w:spacing w:line="276" w:lineRule="auto"/>
              <w:ind w:firstLine="0"/>
              <w:rPr>
                <w:rFonts w:ascii="Verdana" w:hAnsi="Verdana"/>
                <w:i/>
                <w:sz w:val="16"/>
                <w:szCs w:val="16"/>
                <w:lang w:val="es-MX"/>
              </w:rPr>
            </w:pPr>
            <w:r w:rsidRPr="00D429B4">
              <w:rPr>
                <w:rFonts w:ascii="Verdana" w:hAnsi="Verdana"/>
                <w:i/>
                <w:sz w:val="16"/>
                <w:szCs w:val="16"/>
                <w:lang w:val="es-MX"/>
              </w:rPr>
              <w:t>Información: Revisión de controles en proceso, incluir modificaciones.</w:t>
            </w:r>
          </w:p>
        </w:tc>
      </w:tr>
      <w:tr w:rsidR="0092514C" w:rsidRPr="00D429B4" w14:paraId="0FBB583A" w14:textId="77777777">
        <w:trPr>
          <w:cantSplit/>
          <w:trHeight w:val="20"/>
        </w:trPr>
        <w:tc>
          <w:tcPr>
            <w:tcW w:w="2682" w:type="dxa"/>
            <w:shd w:val="clear" w:color="000000" w:fill="FFFFFF"/>
          </w:tcPr>
          <w:p w14:paraId="52EB8786" w14:textId="77777777" w:rsidR="0092514C" w:rsidRPr="00D429B4" w:rsidRDefault="0092514C" w:rsidP="005C0901">
            <w:pPr>
              <w:pStyle w:val="Texto"/>
              <w:spacing w:line="276" w:lineRule="auto"/>
              <w:ind w:firstLine="0"/>
              <w:rPr>
                <w:rFonts w:ascii="Verdana" w:hAnsi="Verdana"/>
                <w:sz w:val="16"/>
                <w:szCs w:val="16"/>
                <w:lang w:val="es-MX"/>
              </w:rPr>
            </w:pPr>
            <w:r w:rsidRPr="00D429B4">
              <w:rPr>
                <w:rFonts w:ascii="Verdana" w:hAnsi="Verdana"/>
                <w:sz w:val="16"/>
                <w:szCs w:val="16"/>
                <w:lang w:val="es-MX"/>
              </w:rPr>
              <w:t> </w:t>
            </w:r>
          </w:p>
        </w:tc>
        <w:tc>
          <w:tcPr>
            <w:tcW w:w="6030" w:type="dxa"/>
            <w:gridSpan w:val="5"/>
            <w:tcBorders>
              <w:top w:val="nil"/>
              <w:bottom w:val="single" w:sz="6" w:space="0" w:color="auto"/>
            </w:tcBorders>
            <w:shd w:val="clear" w:color="000000" w:fill="FFFFFF"/>
          </w:tcPr>
          <w:p w14:paraId="30BAF7A6" w14:textId="77777777" w:rsidR="0092514C" w:rsidRPr="00D429B4" w:rsidRDefault="0092514C" w:rsidP="005C0901">
            <w:pPr>
              <w:pStyle w:val="Texto"/>
              <w:spacing w:line="276" w:lineRule="auto"/>
              <w:ind w:firstLine="0"/>
              <w:rPr>
                <w:rFonts w:ascii="Verdana" w:hAnsi="Verdana"/>
                <w:i/>
                <w:sz w:val="16"/>
                <w:szCs w:val="16"/>
                <w:lang w:val="es-MX"/>
              </w:rPr>
            </w:pPr>
          </w:p>
        </w:tc>
      </w:tr>
      <w:tr w:rsidR="0092514C" w:rsidRPr="00D429B4" w14:paraId="6EEF2E20" w14:textId="77777777">
        <w:trPr>
          <w:cantSplit/>
          <w:trHeight w:val="20"/>
        </w:trPr>
        <w:tc>
          <w:tcPr>
            <w:tcW w:w="8712" w:type="dxa"/>
            <w:gridSpan w:val="6"/>
            <w:shd w:val="clear" w:color="000000" w:fill="FFFFFF"/>
          </w:tcPr>
          <w:p w14:paraId="21345009" w14:textId="77777777" w:rsidR="0092514C" w:rsidRPr="00D429B4" w:rsidRDefault="0092514C" w:rsidP="005C0901">
            <w:pPr>
              <w:pStyle w:val="Texto"/>
              <w:spacing w:line="276" w:lineRule="auto"/>
              <w:ind w:firstLine="0"/>
              <w:rPr>
                <w:rFonts w:ascii="Verdana" w:hAnsi="Verdana"/>
                <w:i/>
                <w:sz w:val="16"/>
                <w:szCs w:val="16"/>
                <w:lang w:val="es-MX"/>
              </w:rPr>
            </w:pPr>
          </w:p>
        </w:tc>
      </w:tr>
    </w:tbl>
    <w:p w14:paraId="68C97F0E" w14:textId="77777777" w:rsidR="0092514C" w:rsidRPr="00D429B4" w:rsidRDefault="0092514C" w:rsidP="005C0901">
      <w:pPr>
        <w:pStyle w:val="Texto"/>
        <w:spacing w:line="276" w:lineRule="auto"/>
        <w:rPr>
          <w:rFonts w:ascii="Verdana" w:hAnsi="Verdana"/>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515"/>
        <w:gridCol w:w="1640"/>
        <w:gridCol w:w="1267"/>
      </w:tblGrid>
      <w:tr w:rsidR="0092514C" w:rsidRPr="00D429B4" w14:paraId="39341FF0" w14:textId="77777777">
        <w:trPr>
          <w:cantSplit/>
          <w:trHeight w:val="20"/>
        </w:trPr>
        <w:tc>
          <w:tcPr>
            <w:tcW w:w="4046" w:type="dxa"/>
            <w:gridSpan w:val="2"/>
            <w:tcBorders>
              <w:top w:val="double" w:sz="6" w:space="0" w:color="auto"/>
              <w:bottom w:val="double" w:sz="6" w:space="0" w:color="auto"/>
            </w:tcBorders>
            <w:shd w:val="clear" w:color="000000" w:fill="FFFFFF"/>
            <w:noWrap/>
          </w:tcPr>
          <w:p w14:paraId="151C18A0"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Mantenimiento del estado validado</w:t>
            </w:r>
          </w:p>
        </w:tc>
        <w:tc>
          <w:tcPr>
            <w:tcW w:w="1244" w:type="dxa"/>
            <w:shd w:val="clear" w:color="000000" w:fill="FFFFFF"/>
          </w:tcPr>
          <w:p w14:paraId="71E9721C"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515" w:type="dxa"/>
            <w:tcBorders>
              <w:top w:val="double" w:sz="6" w:space="0" w:color="auto"/>
              <w:bottom w:val="single" w:sz="6" w:space="0" w:color="auto"/>
            </w:tcBorders>
            <w:shd w:val="clear" w:color="000000" w:fill="FFFFFF"/>
          </w:tcPr>
          <w:p w14:paraId="23CBA106"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c>
          <w:tcPr>
            <w:tcW w:w="1640" w:type="dxa"/>
            <w:shd w:val="clear" w:color="000000" w:fill="FFFFFF"/>
          </w:tcPr>
          <w:p w14:paraId="55ED189A" w14:textId="77777777" w:rsidR="0092514C" w:rsidRPr="00D429B4" w:rsidRDefault="0092514C" w:rsidP="005C0901">
            <w:pPr>
              <w:pStyle w:val="Texto"/>
              <w:spacing w:line="276" w:lineRule="auto"/>
              <w:ind w:firstLine="0"/>
              <w:jc w:val="left"/>
              <w:rPr>
                <w:rFonts w:ascii="Verdana" w:hAnsi="Verdana"/>
                <w:b/>
                <w:sz w:val="16"/>
                <w:szCs w:val="16"/>
                <w:lang w:val="es-MX"/>
              </w:rPr>
            </w:pPr>
            <w:r w:rsidRPr="00D429B4">
              <w:rPr>
                <w:rFonts w:ascii="Verdana" w:hAnsi="Verdana"/>
                <w:b/>
                <w:sz w:val="16"/>
                <w:szCs w:val="16"/>
                <w:lang w:val="es-MX"/>
              </w:rPr>
              <w:t>Fecha:</w:t>
            </w:r>
          </w:p>
        </w:tc>
        <w:tc>
          <w:tcPr>
            <w:tcW w:w="1267" w:type="dxa"/>
            <w:tcBorders>
              <w:top w:val="double" w:sz="6" w:space="0" w:color="auto"/>
              <w:bottom w:val="single" w:sz="6" w:space="0" w:color="auto"/>
            </w:tcBorders>
            <w:shd w:val="clear" w:color="000000" w:fill="FFFFFF"/>
          </w:tcPr>
          <w:p w14:paraId="03D5B958" w14:textId="77777777" w:rsidR="0092514C" w:rsidRPr="00D429B4" w:rsidRDefault="0092514C" w:rsidP="005C0901">
            <w:pPr>
              <w:pStyle w:val="Texto"/>
              <w:spacing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6F101A1A" w14:textId="77777777">
        <w:trPr>
          <w:cantSplit/>
          <w:trHeight w:val="20"/>
        </w:trPr>
        <w:tc>
          <w:tcPr>
            <w:tcW w:w="2682" w:type="dxa"/>
            <w:shd w:val="clear" w:color="000000" w:fill="FFFFFF"/>
          </w:tcPr>
          <w:p w14:paraId="1FBA1228" w14:textId="77777777" w:rsidR="0092514C" w:rsidRPr="00D429B4" w:rsidRDefault="0092514C" w:rsidP="005C0901">
            <w:pPr>
              <w:pStyle w:val="Texto"/>
              <w:spacing w:line="276" w:lineRule="auto"/>
              <w:ind w:firstLine="0"/>
              <w:jc w:val="right"/>
              <w:rPr>
                <w:rFonts w:ascii="Verdana" w:hAnsi="Verdana"/>
                <w:sz w:val="16"/>
                <w:szCs w:val="16"/>
                <w:lang w:val="es-MX"/>
              </w:rPr>
            </w:pPr>
            <w:r w:rsidRPr="00D429B4">
              <w:rPr>
                <w:rFonts w:ascii="Verdana" w:hAnsi="Verdana"/>
                <w:sz w:val="16"/>
                <w:szCs w:val="16"/>
                <w:lang w:val="es-MX"/>
              </w:rPr>
              <w:t>Validación de proceso</w:t>
            </w:r>
          </w:p>
        </w:tc>
        <w:tc>
          <w:tcPr>
            <w:tcW w:w="6030" w:type="dxa"/>
            <w:gridSpan w:val="5"/>
            <w:shd w:val="clear" w:color="000000" w:fill="FFFFFF"/>
          </w:tcPr>
          <w:p w14:paraId="40574573" w14:textId="77777777" w:rsidR="0092514C" w:rsidRPr="00D429B4" w:rsidRDefault="0092514C" w:rsidP="005C0901">
            <w:pPr>
              <w:pStyle w:val="Texto"/>
              <w:spacing w:line="276" w:lineRule="auto"/>
              <w:ind w:firstLine="0"/>
              <w:rPr>
                <w:rFonts w:ascii="Verdana" w:hAnsi="Verdana"/>
                <w:i/>
                <w:sz w:val="16"/>
                <w:szCs w:val="16"/>
                <w:lang w:val="es-MX"/>
              </w:rPr>
            </w:pPr>
            <w:r w:rsidRPr="00D429B4">
              <w:rPr>
                <w:rFonts w:ascii="Verdana" w:hAnsi="Verdana"/>
                <w:i/>
                <w:sz w:val="16"/>
                <w:szCs w:val="16"/>
                <w:lang w:val="es-MX"/>
              </w:rPr>
              <w:t>Información: Revisión de estatus de la validación de proceso, incluir revalidaciones.</w:t>
            </w:r>
          </w:p>
        </w:tc>
      </w:tr>
      <w:tr w:rsidR="0092514C" w:rsidRPr="00D429B4" w14:paraId="351DFAB2" w14:textId="77777777">
        <w:trPr>
          <w:cantSplit/>
          <w:trHeight w:val="20"/>
        </w:trPr>
        <w:tc>
          <w:tcPr>
            <w:tcW w:w="2682" w:type="dxa"/>
            <w:shd w:val="clear" w:color="000000" w:fill="FFFFFF"/>
          </w:tcPr>
          <w:p w14:paraId="57C642AB" w14:textId="77777777" w:rsidR="0092514C" w:rsidRPr="00D429B4" w:rsidRDefault="0092514C" w:rsidP="005C0901">
            <w:pPr>
              <w:pStyle w:val="Texto"/>
              <w:spacing w:line="276" w:lineRule="auto"/>
              <w:ind w:firstLine="0"/>
              <w:jc w:val="right"/>
              <w:rPr>
                <w:rFonts w:ascii="Verdana" w:hAnsi="Verdana"/>
                <w:sz w:val="16"/>
                <w:szCs w:val="16"/>
                <w:lang w:val="es-MX"/>
              </w:rPr>
            </w:pPr>
            <w:r w:rsidRPr="00D429B4">
              <w:rPr>
                <w:rFonts w:ascii="Verdana" w:hAnsi="Verdana"/>
                <w:sz w:val="16"/>
                <w:szCs w:val="16"/>
                <w:lang w:val="es-MX"/>
              </w:rPr>
              <w:lastRenderedPageBreak/>
              <w:t>Validación de métodos analíticos</w:t>
            </w:r>
          </w:p>
        </w:tc>
        <w:tc>
          <w:tcPr>
            <w:tcW w:w="6030" w:type="dxa"/>
            <w:gridSpan w:val="5"/>
            <w:shd w:val="clear" w:color="000000" w:fill="FFFFFF"/>
          </w:tcPr>
          <w:p w14:paraId="6BF87143" w14:textId="77777777" w:rsidR="0092514C" w:rsidRPr="00D429B4" w:rsidRDefault="0092514C" w:rsidP="005C0901">
            <w:pPr>
              <w:pStyle w:val="Texto"/>
              <w:spacing w:line="276" w:lineRule="auto"/>
              <w:ind w:firstLine="0"/>
              <w:rPr>
                <w:rFonts w:ascii="Verdana" w:hAnsi="Verdana"/>
                <w:i/>
                <w:sz w:val="16"/>
                <w:szCs w:val="16"/>
                <w:lang w:val="es-MX"/>
              </w:rPr>
            </w:pPr>
            <w:r w:rsidRPr="00D429B4">
              <w:rPr>
                <w:rFonts w:ascii="Verdana" w:hAnsi="Verdana"/>
                <w:i/>
                <w:sz w:val="16"/>
                <w:szCs w:val="16"/>
                <w:lang w:val="es-MX"/>
              </w:rPr>
              <w:t>Información: Revisión de estatus de la validación de métodos analíticos, incluir revalidaciones.</w:t>
            </w:r>
          </w:p>
        </w:tc>
      </w:tr>
      <w:tr w:rsidR="0092514C" w:rsidRPr="00D429B4" w14:paraId="34817F08" w14:textId="77777777">
        <w:trPr>
          <w:cantSplit/>
          <w:trHeight w:val="20"/>
        </w:trPr>
        <w:tc>
          <w:tcPr>
            <w:tcW w:w="2682" w:type="dxa"/>
            <w:shd w:val="clear" w:color="000000" w:fill="FFFFFF"/>
          </w:tcPr>
          <w:p w14:paraId="5A27531B" w14:textId="77777777" w:rsidR="0092514C" w:rsidRPr="00D429B4" w:rsidRDefault="0092514C" w:rsidP="005C0901">
            <w:pPr>
              <w:pStyle w:val="Texto"/>
              <w:spacing w:line="276" w:lineRule="auto"/>
              <w:ind w:firstLine="0"/>
              <w:jc w:val="right"/>
              <w:rPr>
                <w:rFonts w:ascii="Verdana" w:hAnsi="Verdana"/>
                <w:sz w:val="16"/>
                <w:szCs w:val="16"/>
                <w:lang w:val="es-MX"/>
              </w:rPr>
            </w:pPr>
            <w:r w:rsidRPr="00D429B4">
              <w:rPr>
                <w:rFonts w:ascii="Verdana" w:hAnsi="Verdana"/>
                <w:sz w:val="16"/>
                <w:szCs w:val="16"/>
                <w:lang w:val="es-MX"/>
              </w:rPr>
              <w:t>Sistemas críticos</w:t>
            </w:r>
          </w:p>
        </w:tc>
        <w:tc>
          <w:tcPr>
            <w:tcW w:w="6030" w:type="dxa"/>
            <w:gridSpan w:val="5"/>
            <w:shd w:val="clear" w:color="000000" w:fill="FFFFFF"/>
          </w:tcPr>
          <w:p w14:paraId="31AC27D9" w14:textId="77777777" w:rsidR="0092514C" w:rsidRPr="00D429B4" w:rsidRDefault="0092514C" w:rsidP="005C0901">
            <w:pPr>
              <w:pStyle w:val="Texto"/>
              <w:spacing w:line="276" w:lineRule="auto"/>
              <w:ind w:firstLine="0"/>
              <w:rPr>
                <w:rFonts w:ascii="Verdana" w:hAnsi="Verdana"/>
                <w:i/>
                <w:sz w:val="16"/>
                <w:szCs w:val="16"/>
                <w:lang w:val="es-MX"/>
              </w:rPr>
            </w:pPr>
            <w:r w:rsidRPr="00D429B4">
              <w:rPr>
                <w:rFonts w:ascii="Verdana" w:hAnsi="Verdana"/>
                <w:i/>
                <w:sz w:val="16"/>
                <w:szCs w:val="16"/>
                <w:lang w:val="es-MX"/>
              </w:rPr>
              <w:t>Información: Descripción y revisión del estado validado.</w:t>
            </w:r>
          </w:p>
        </w:tc>
      </w:tr>
      <w:tr w:rsidR="0092514C" w:rsidRPr="00D429B4" w14:paraId="1A72E473" w14:textId="77777777">
        <w:trPr>
          <w:cantSplit/>
          <w:trHeight w:val="20"/>
        </w:trPr>
        <w:tc>
          <w:tcPr>
            <w:tcW w:w="8712" w:type="dxa"/>
            <w:gridSpan w:val="6"/>
            <w:shd w:val="clear" w:color="000000" w:fill="FFFFFF"/>
          </w:tcPr>
          <w:p w14:paraId="66F32F85" w14:textId="77777777" w:rsidR="0092514C" w:rsidRPr="00D429B4" w:rsidRDefault="0092514C" w:rsidP="005C0901">
            <w:pPr>
              <w:pStyle w:val="Texto"/>
              <w:spacing w:line="276" w:lineRule="auto"/>
              <w:ind w:firstLine="0"/>
              <w:rPr>
                <w:rFonts w:ascii="Verdana" w:hAnsi="Verdana"/>
                <w:i/>
                <w:sz w:val="16"/>
                <w:szCs w:val="16"/>
                <w:lang w:val="es-MX"/>
              </w:rPr>
            </w:pPr>
          </w:p>
        </w:tc>
      </w:tr>
    </w:tbl>
    <w:p w14:paraId="44B2CF2B" w14:textId="77777777" w:rsidR="0092514C" w:rsidRPr="00D429B4" w:rsidRDefault="0092514C" w:rsidP="005C0901">
      <w:pPr>
        <w:pStyle w:val="Texto"/>
        <w:spacing w:line="276" w:lineRule="auto"/>
        <w:rPr>
          <w:rFonts w:ascii="Verdana" w:hAnsi="Verdana"/>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37"/>
        <w:gridCol w:w="1466"/>
        <w:gridCol w:w="730"/>
        <w:gridCol w:w="1233"/>
      </w:tblGrid>
      <w:tr w:rsidR="0092514C" w:rsidRPr="00D429B4" w14:paraId="4E954227" w14:textId="77777777">
        <w:trPr>
          <w:cantSplit/>
          <w:trHeight w:val="20"/>
        </w:trPr>
        <w:tc>
          <w:tcPr>
            <w:tcW w:w="4046" w:type="dxa"/>
            <w:gridSpan w:val="2"/>
            <w:tcBorders>
              <w:top w:val="double" w:sz="6" w:space="0" w:color="auto"/>
              <w:bottom w:val="double" w:sz="6" w:space="0" w:color="auto"/>
            </w:tcBorders>
            <w:shd w:val="clear" w:color="000000" w:fill="FFFFFF"/>
            <w:noWrap/>
          </w:tcPr>
          <w:p w14:paraId="1AC271BA"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xml:space="preserve">Revisión de muestras de retención </w:t>
            </w:r>
          </w:p>
        </w:tc>
        <w:tc>
          <w:tcPr>
            <w:tcW w:w="1244" w:type="dxa"/>
            <w:tcBorders>
              <w:top w:val="double" w:sz="6" w:space="0" w:color="auto"/>
            </w:tcBorders>
            <w:shd w:val="clear" w:color="000000" w:fill="FFFFFF"/>
          </w:tcPr>
          <w:p w14:paraId="30919C87"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1507" w:type="dxa"/>
            <w:tcBorders>
              <w:top w:val="double" w:sz="6" w:space="0" w:color="auto"/>
              <w:bottom w:val="single" w:sz="6" w:space="0" w:color="auto"/>
            </w:tcBorders>
            <w:shd w:val="clear" w:color="000000" w:fill="FFFFFF"/>
          </w:tcPr>
          <w:p w14:paraId="5D2EA41C"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c>
          <w:tcPr>
            <w:tcW w:w="648" w:type="dxa"/>
            <w:tcBorders>
              <w:top w:val="double" w:sz="6" w:space="0" w:color="auto"/>
            </w:tcBorders>
            <w:shd w:val="clear" w:color="000000" w:fill="FFFFFF"/>
          </w:tcPr>
          <w:p w14:paraId="615AA16F"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Fecha:</w:t>
            </w:r>
          </w:p>
        </w:tc>
        <w:tc>
          <w:tcPr>
            <w:tcW w:w="1267" w:type="dxa"/>
            <w:tcBorders>
              <w:top w:val="double" w:sz="6" w:space="0" w:color="auto"/>
              <w:bottom w:val="single" w:sz="6" w:space="0" w:color="auto"/>
              <w:right w:val="double" w:sz="6" w:space="0" w:color="auto"/>
            </w:tcBorders>
            <w:shd w:val="clear" w:color="000000" w:fill="FFFFFF"/>
          </w:tcPr>
          <w:p w14:paraId="6CF0024D"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70654300" w14:textId="77777777">
        <w:trPr>
          <w:cantSplit/>
          <w:trHeight w:val="20"/>
        </w:trPr>
        <w:tc>
          <w:tcPr>
            <w:tcW w:w="2682" w:type="dxa"/>
            <w:tcBorders>
              <w:bottom w:val="double" w:sz="6" w:space="0" w:color="auto"/>
            </w:tcBorders>
            <w:shd w:val="clear" w:color="000000" w:fill="FFFFFF"/>
          </w:tcPr>
          <w:p w14:paraId="4F17A783"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c>
          <w:tcPr>
            <w:tcW w:w="6030" w:type="dxa"/>
            <w:gridSpan w:val="5"/>
            <w:tcBorders>
              <w:bottom w:val="double" w:sz="6" w:space="0" w:color="auto"/>
            </w:tcBorders>
            <w:shd w:val="clear" w:color="000000" w:fill="FFFFFF"/>
          </w:tcPr>
          <w:p w14:paraId="59822228" w14:textId="77777777" w:rsidR="0092514C" w:rsidRPr="00D429B4" w:rsidRDefault="0092514C" w:rsidP="005C0901">
            <w:pPr>
              <w:pStyle w:val="Texto"/>
              <w:spacing w:after="94" w:line="276" w:lineRule="auto"/>
              <w:ind w:firstLine="0"/>
              <w:rPr>
                <w:rFonts w:ascii="Verdana" w:hAnsi="Verdana"/>
                <w:i/>
                <w:sz w:val="16"/>
                <w:szCs w:val="16"/>
                <w:lang w:val="es-MX"/>
              </w:rPr>
            </w:pPr>
            <w:r w:rsidRPr="00D429B4">
              <w:rPr>
                <w:rFonts w:ascii="Verdana" w:hAnsi="Verdana"/>
                <w:i/>
                <w:sz w:val="16"/>
                <w:szCs w:val="16"/>
                <w:lang w:val="es-MX"/>
              </w:rPr>
              <w:t>Información: No existen observaciones adversas sobre una muestra representativa basadas en una inspección visual.</w:t>
            </w:r>
          </w:p>
        </w:tc>
      </w:tr>
    </w:tbl>
    <w:p w14:paraId="77C85B78" w14:textId="77777777" w:rsidR="0092514C" w:rsidRPr="00D429B4" w:rsidRDefault="0092514C" w:rsidP="005C0901">
      <w:pPr>
        <w:pStyle w:val="Texto"/>
        <w:spacing w:after="94" w:line="276" w:lineRule="auto"/>
        <w:rPr>
          <w:rFonts w:ascii="Verdana" w:hAnsi="Verdana"/>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37"/>
        <w:gridCol w:w="1466"/>
        <w:gridCol w:w="730"/>
        <w:gridCol w:w="1233"/>
      </w:tblGrid>
      <w:tr w:rsidR="0092514C" w:rsidRPr="00D429B4" w14:paraId="2E0E4048" w14:textId="77777777">
        <w:trPr>
          <w:cantSplit/>
          <w:trHeight w:val="20"/>
        </w:trPr>
        <w:tc>
          <w:tcPr>
            <w:tcW w:w="4046" w:type="dxa"/>
            <w:gridSpan w:val="2"/>
            <w:tcBorders>
              <w:top w:val="double" w:sz="6" w:space="0" w:color="auto"/>
              <w:bottom w:val="double" w:sz="6" w:space="0" w:color="auto"/>
            </w:tcBorders>
            <w:shd w:val="clear" w:color="000000" w:fill="FFFFFF"/>
            <w:noWrap/>
          </w:tcPr>
          <w:p w14:paraId="5C6A1031"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Revisión de estabilidad</w:t>
            </w:r>
          </w:p>
        </w:tc>
        <w:tc>
          <w:tcPr>
            <w:tcW w:w="1244" w:type="dxa"/>
            <w:tcBorders>
              <w:top w:val="double" w:sz="6" w:space="0" w:color="auto"/>
            </w:tcBorders>
            <w:shd w:val="clear" w:color="000000" w:fill="FFFFFF"/>
          </w:tcPr>
          <w:p w14:paraId="6BFBFC8B"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1507" w:type="dxa"/>
            <w:tcBorders>
              <w:top w:val="double" w:sz="6" w:space="0" w:color="auto"/>
              <w:bottom w:val="single" w:sz="6" w:space="0" w:color="auto"/>
            </w:tcBorders>
            <w:shd w:val="clear" w:color="000000" w:fill="FFFFFF"/>
          </w:tcPr>
          <w:p w14:paraId="3D144B0B"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c>
          <w:tcPr>
            <w:tcW w:w="648" w:type="dxa"/>
            <w:tcBorders>
              <w:top w:val="double" w:sz="6" w:space="0" w:color="auto"/>
            </w:tcBorders>
            <w:shd w:val="clear" w:color="000000" w:fill="FFFFFF"/>
          </w:tcPr>
          <w:p w14:paraId="4E8FCA39"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Fecha:</w:t>
            </w:r>
          </w:p>
        </w:tc>
        <w:tc>
          <w:tcPr>
            <w:tcW w:w="1267" w:type="dxa"/>
            <w:tcBorders>
              <w:top w:val="double" w:sz="6" w:space="0" w:color="auto"/>
              <w:bottom w:val="single" w:sz="6" w:space="0" w:color="auto"/>
              <w:right w:val="double" w:sz="6" w:space="0" w:color="auto"/>
            </w:tcBorders>
            <w:shd w:val="clear" w:color="000000" w:fill="FFFFFF"/>
          </w:tcPr>
          <w:p w14:paraId="7D4DD5C1"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1F06ECCB" w14:textId="77777777">
        <w:trPr>
          <w:cantSplit/>
          <w:trHeight w:val="20"/>
        </w:trPr>
        <w:tc>
          <w:tcPr>
            <w:tcW w:w="2682" w:type="dxa"/>
            <w:tcBorders>
              <w:bottom w:val="double" w:sz="6" w:space="0" w:color="auto"/>
            </w:tcBorders>
            <w:shd w:val="clear" w:color="000000" w:fill="FFFFFF"/>
          </w:tcPr>
          <w:p w14:paraId="73C4C4AC"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c>
          <w:tcPr>
            <w:tcW w:w="6030" w:type="dxa"/>
            <w:gridSpan w:val="5"/>
            <w:tcBorders>
              <w:bottom w:val="double" w:sz="6" w:space="0" w:color="auto"/>
            </w:tcBorders>
            <w:shd w:val="clear" w:color="000000" w:fill="FFFFFF"/>
          </w:tcPr>
          <w:p w14:paraId="5EB9F55D" w14:textId="77777777" w:rsidR="0092514C" w:rsidRPr="00D429B4" w:rsidRDefault="0092514C" w:rsidP="005C0901">
            <w:pPr>
              <w:pStyle w:val="Texto"/>
              <w:spacing w:after="94" w:line="276" w:lineRule="auto"/>
              <w:ind w:firstLine="0"/>
              <w:rPr>
                <w:rFonts w:ascii="Verdana" w:hAnsi="Verdana"/>
                <w:i/>
                <w:sz w:val="16"/>
                <w:szCs w:val="16"/>
                <w:lang w:val="es-MX"/>
              </w:rPr>
            </w:pPr>
            <w:r w:rsidRPr="00D429B4">
              <w:rPr>
                <w:rFonts w:ascii="Verdana" w:hAnsi="Verdana"/>
                <w:i/>
                <w:sz w:val="16"/>
                <w:szCs w:val="16"/>
                <w:lang w:val="es-MX"/>
              </w:rPr>
              <w:t>Información: El producto cumple consistentemente con la es</w:t>
            </w:r>
            <w:r w:rsidR="008637AD" w:rsidRPr="00D429B4">
              <w:rPr>
                <w:rFonts w:ascii="Verdana" w:hAnsi="Verdana"/>
                <w:i/>
                <w:sz w:val="16"/>
                <w:szCs w:val="16"/>
                <w:lang w:val="es-MX"/>
              </w:rPr>
              <w:t>pecificación a lo largo del peri</w:t>
            </w:r>
            <w:r w:rsidRPr="00D429B4">
              <w:rPr>
                <w:rFonts w:ascii="Verdana" w:hAnsi="Verdana"/>
                <w:i/>
                <w:sz w:val="16"/>
                <w:szCs w:val="16"/>
                <w:lang w:val="es-MX"/>
              </w:rPr>
              <w:t xml:space="preserve">odo de caducidad. Refiérase a la revisión de estabilidad para el análisis </w:t>
            </w:r>
            <w:r w:rsidR="00325B5C" w:rsidRPr="00D429B4">
              <w:rPr>
                <w:rFonts w:ascii="Verdana" w:hAnsi="Verdana"/>
                <w:i/>
                <w:sz w:val="16"/>
                <w:szCs w:val="16"/>
                <w:lang w:val="es-MX"/>
              </w:rPr>
              <w:t xml:space="preserve"> </w:t>
            </w:r>
            <w:r w:rsidRPr="00D429B4">
              <w:rPr>
                <w:rFonts w:ascii="Verdana" w:hAnsi="Verdana"/>
                <w:i/>
                <w:sz w:val="16"/>
                <w:szCs w:val="16"/>
                <w:lang w:val="es-MX"/>
              </w:rPr>
              <w:t>de tendencias</w:t>
            </w:r>
          </w:p>
        </w:tc>
      </w:tr>
    </w:tbl>
    <w:p w14:paraId="67B6F2D2" w14:textId="77777777" w:rsidR="0092514C" w:rsidRPr="00D429B4" w:rsidRDefault="0092514C" w:rsidP="005C0901">
      <w:pPr>
        <w:pStyle w:val="Texto"/>
        <w:spacing w:after="94" w:line="276" w:lineRule="auto"/>
        <w:rPr>
          <w:rFonts w:ascii="Verdana" w:hAnsi="Verdana"/>
          <w:i/>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37"/>
        <w:gridCol w:w="1466"/>
        <w:gridCol w:w="730"/>
        <w:gridCol w:w="1233"/>
      </w:tblGrid>
      <w:tr w:rsidR="0092514C" w:rsidRPr="00D429B4" w14:paraId="21F23178" w14:textId="77777777">
        <w:trPr>
          <w:cantSplit/>
          <w:trHeight w:val="20"/>
        </w:trPr>
        <w:tc>
          <w:tcPr>
            <w:tcW w:w="4046" w:type="dxa"/>
            <w:gridSpan w:val="2"/>
            <w:tcBorders>
              <w:top w:val="double" w:sz="6" w:space="0" w:color="auto"/>
              <w:bottom w:val="double" w:sz="6" w:space="0" w:color="auto"/>
            </w:tcBorders>
            <w:shd w:val="clear" w:color="000000" w:fill="FFFFFF"/>
            <w:noWrap/>
          </w:tcPr>
          <w:p w14:paraId="708E62A3"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Actividades subcontratadas analítico y proceso de fabricación</w:t>
            </w:r>
          </w:p>
        </w:tc>
        <w:tc>
          <w:tcPr>
            <w:tcW w:w="1244" w:type="dxa"/>
            <w:tcBorders>
              <w:top w:val="double" w:sz="6" w:space="0" w:color="auto"/>
            </w:tcBorders>
            <w:shd w:val="clear" w:color="000000" w:fill="FFFFFF"/>
          </w:tcPr>
          <w:p w14:paraId="216B0D30"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1507" w:type="dxa"/>
            <w:tcBorders>
              <w:top w:val="double" w:sz="6" w:space="0" w:color="auto"/>
              <w:bottom w:val="single" w:sz="6" w:space="0" w:color="auto"/>
            </w:tcBorders>
            <w:shd w:val="clear" w:color="000000" w:fill="FFFFFF"/>
          </w:tcPr>
          <w:p w14:paraId="22E5BB96"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c>
          <w:tcPr>
            <w:tcW w:w="648" w:type="dxa"/>
            <w:tcBorders>
              <w:top w:val="double" w:sz="6" w:space="0" w:color="auto"/>
            </w:tcBorders>
            <w:shd w:val="clear" w:color="000000" w:fill="FFFFFF"/>
          </w:tcPr>
          <w:p w14:paraId="625A3877"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Fecha:</w:t>
            </w:r>
          </w:p>
        </w:tc>
        <w:tc>
          <w:tcPr>
            <w:tcW w:w="1267" w:type="dxa"/>
            <w:tcBorders>
              <w:top w:val="double" w:sz="6" w:space="0" w:color="auto"/>
              <w:bottom w:val="single" w:sz="6" w:space="0" w:color="auto"/>
              <w:right w:val="double" w:sz="6" w:space="0" w:color="auto"/>
            </w:tcBorders>
            <w:shd w:val="clear" w:color="000000" w:fill="FFFFFF"/>
          </w:tcPr>
          <w:p w14:paraId="3A35184E"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0B38D144" w14:textId="77777777">
        <w:trPr>
          <w:cantSplit/>
          <w:trHeight w:val="20"/>
        </w:trPr>
        <w:tc>
          <w:tcPr>
            <w:tcW w:w="2682" w:type="dxa"/>
            <w:tcBorders>
              <w:bottom w:val="double" w:sz="6" w:space="0" w:color="auto"/>
            </w:tcBorders>
            <w:shd w:val="clear" w:color="000000" w:fill="FFFFFF"/>
          </w:tcPr>
          <w:p w14:paraId="636086DB"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c>
          <w:tcPr>
            <w:tcW w:w="6030" w:type="dxa"/>
            <w:gridSpan w:val="5"/>
            <w:tcBorders>
              <w:bottom w:val="double" w:sz="6" w:space="0" w:color="auto"/>
            </w:tcBorders>
            <w:shd w:val="clear" w:color="000000" w:fill="FFFFFF"/>
          </w:tcPr>
          <w:p w14:paraId="09227D97"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r>
    </w:tbl>
    <w:p w14:paraId="1DC0D527" w14:textId="77777777" w:rsidR="0092514C" w:rsidRPr="00D429B4" w:rsidRDefault="0092514C" w:rsidP="005C0901">
      <w:pPr>
        <w:pStyle w:val="Texto"/>
        <w:spacing w:after="94" w:line="276" w:lineRule="auto"/>
        <w:rPr>
          <w:rFonts w:ascii="Verdana" w:hAnsi="Verdana"/>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37"/>
        <w:gridCol w:w="1466"/>
        <w:gridCol w:w="730"/>
        <w:gridCol w:w="1233"/>
      </w:tblGrid>
      <w:tr w:rsidR="0092514C" w:rsidRPr="00D429B4" w14:paraId="0DCE9E01" w14:textId="77777777">
        <w:trPr>
          <w:cantSplit/>
          <w:trHeight w:val="20"/>
        </w:trPr>
        <w:tc>
          <w:tcPr>
            <w:tcW w:w="4046" w:type="dxa"/>
            <w:gridSpan w:val="2"/>
            <w:tcBorders>
              <w:top w:val="double" w:sz="6" w:space="0" w:color="auto"/>
              <w:bottom w:val="double" w:sz="6" w:space="0" w:color="auto"/>
            </w:tcBorders>
            <w:shd w:val="clear" w:color="000000" w:fill="FFFFFF"/>
            <w:noWrap/>
          </w:tcPr>
          <w:p w14:paraId="09BDFC88"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Modificación a las condiciones de registro</w:t>
            </w:r>
          </w:p>
        </w:tc>
        <w:tc>
          <w:tcPr>
            <w:tcW w:w="1244" w:type="dxa"/>
            <w:tcBorders>
              <w:top w:val="double" w:sz="6" w:space="0" w:color="auto"/>
            </w:tcBorders>
            <w:shd w:val="clear" w:color="000000" w:fill="FFFFFF"/>
          </w:tcPr>
          <w:p w14:paraId="588DAC32"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1507" w:type="dxa"/>
            <w:tcBorders>
              <w:top w:val="double" w:sz="6" w:space="0" w:color="auto"/>
              <w:bottom w:val="single" w:sz="6" w:space="0" w:color="auto"/>
            </w:tcBorders>
            <w:shd w:val="clear" w:color="000000" w:fill="FFFFFF"/>
          </w:tcPr>
          <w:p w14:paraId="4E13DC3F"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c>
          <w:tcPr>
            <w:tcW w:w="648" w:type="dxa"/>
            <w:tcBorders>
              <w:top w:val="double" w:sz="6" w:space="0" w:color="auto"/>
            </w:tcBorders>
            <w:shd w:val="clear" w:color="000000" w:fill="FFFFFF"/>
          </w:tcPr>
          <w:p w14:paraId="6AF52DCF"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Fecha:</w:t>
            </w:r>
          </w:p>
        </w:tc>
        <w:tc>
          <w:tcPr>
            <w:tcW w:w="1267" w:type="dxa"/>
            <w:tcBorders>
              <w:top w:val="double" w:sz="6" w:space="0" w:color="auto"/>
              <w:bottom w:val="single" w:sz="6" w:space="0" w:color="auto"/>
              <w:right w:val="double" w:sz="6" w:space="0" w:color="auto"/>
            </w:tcBorders>
            <w:shd w:val="clear" w:color="000000" w:fill="FFFFFF"/>
          </w:tcPr>
          <w:p w14:paraId="5AEB3EA1"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3EBF6D89" w14:textId="77777777">
        <w:trPr>
          <w:cantSplit/>
          <w:trHeight w:val="20"/>
        </w:trPr>
        <w:tc>
          <w:tcPr>
            <w:tcW w:w="2682" w:type="dxa"/>
            <w:tcBorders>
              <w:bottom w:val="double" w:sz="6" w:space="0" w:color="auto"/>
            </w:tcBorders>
            <w:shd w:val="clear" w:color="000000" w:fill="FFFFFF"/>
          </w:tcPr>
          <w:p w14:paraId="4A9034F9"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c>
          <w:tcPr>
            <w:tcW w:w="6030" w:type="dxa"/>
            <w:gridSpan w:val="5"/>
            <w:tcBorders>
              <w:bottom w:val="double" w:sz="6" w:space="0" w:color="auto"/>
            </w:tcBorders>
            <w:shd w:val="clear" w:color="000000" w:fill="FFFFFF"/>
          </w:tcPr>
          <w:p w14:paraId="194D1F88" w14:textId="77777777" w:rsidR="0092514C" w:rsidRPr="00D429B4" w:rsidRDefault="0092514C" w:rsidP="005C0901">
            <w:pPr>
              <w:pStyle w:val="Texto"/>
              <w:spacing w:after="94" w:line="276" w:lineRule="auto"/>
              <w:ind w:firstLine="0"/>
              <w:rPr>
                <w:rFonts w:ascii="Verdana" w:hAnsi="Verdana"/>
                <w:i/>
                <w:sz w:val="16"/>
                <w:szCs w:val="16"/>
                <w:lang w:val="es-MX"/>
              </w:rPr>
            </w:pPr>
            <w:r w:rsidRPr="00D429B4">
              <w:rPr>
                <w:rFonts w:ascii="Verdana" w:hAnsi="Verdana"/>
                <w:i/>
                <w:sz w:val="16"/>
                <w:szCs w:val="16"/>
                <w:lang w:val="es-MX"/>
              </w:rPr>
              <w:t>Información: Incluir las modificaciones técnicas y administrativas del periodo con sus referencias cruzadas al número de solicitud (total sometido, aprobado, rechazado y en evaluación por la COFEPRIS).</w:t>
            </w:r>
          </w:p>
        </w:tc>
      </w:tr>
    </w:tbl>
    <w:p w14:paraId="50DA0566" w14:textId="77777777" w:rsidR="0092514C" w:rsidRPr="00D429B4" w:rsidRDefault="0092514C" w:rsidP="005C0901">
      <w:pPr>
        <w:pStyle w:val="Texto"/>
        <w:spacing w:after="94" w:line="276" w:lineRule="auto"/>
        <w:rPr>
          <w:rFonts w:ascii="Verdana" w:hAnsi="Verdana"/>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37"/>
        <w:gridCol w:w="1466"/>
        <w:gridCol w:w="730"/>
        <w:gridCol w:w="1233"/>
      </w:tblGrid>
      <w:tr w:rsidR="0092514C" w:rsidRPr="00D429B4" w14:paraId="6B763797" w14:textId="77777777">
        <w:trPr>
          <w:cantSplit/>
          <w:trHeight w:val="20"/>
        </w:trPr>
        <w:tc>
          <w:tcPr>
            <w:tcW w:w="4046" w:type="dxa"/>
            <w:gridSpan w:val="2"/>
            <w:tcBorders>
              <w:top w:val="double" w:sz="6" w:space="0" w:color="auto"/>
              <w:bottom w:val="double" w:sz="6" w:space="0" w:color="auto"/>
            </w:tcBorders>
            <w:shd w:val="clear" w:color="000000" w:fill="FFFFFF"/>
            <w:noWrap/>
          </w:tcPr>
          <w:p w14:paraId="570DF1B8"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Compromisos post-mercadeo adquiridos con las entidades regulatorias</w:t>
            </w:r>
          </w:p>
        </w:tc>
        <w:tc>
          <w:tcPr>
            <w:tcW w:w="1244" w:type="dxa"/>
            <w:tcBorders>
              <w:top w:val="double" w:sz="6" w:space="0" w:color="auto"/>
            </w:tcBorders>
            <w:shd w:val="clear" w:color="000000" w:fill="FFFFFF"/>
          </w:tcPr>
          <w:p w14:paraId="4CFF0D9D"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1507" w:type="dxa"/>
            <w:tcBorders>
              <w:top w:val="double" w:sz="6" w:space="0" w:color="auto"/>
              <w:bottom w:val="single" w:sz="6" w:space="0" w:color="auto"/>
            </w:tcBorders>
            <w:shd w:val="clear" w:color="000000" w:fill="FFFFFF"/>
          </w:tcPr>
          <w:p w14:paraId="6FBA1DD8"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c>
          <w:tcPr>
            <w:tcW w:w="648" w:type="dxa"/>
            <w:tcBorders>
              <w:top w:val="double" w:sz="6" w:space="0" w:color="auto"/>
            </w:tcBorders>
            <w:shd w:val="clear" w:color="000000" w:fill="FFFFFF"/>
          </w:tcPr>
          <w:p w14:paraId="5217D131"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Fecha:</w:t>
            </w:r>
          </w:p>
        </w:tc>
        <w:tc>
          <w:tcPr>
            <w:tcW w:w="1267" w:type="dxa"/>
            <w:tcBorders>
              <w:top w:val="double" w:sz="6" w:space="0" w:color="auto"/>
              <w:bottom w:val="single" w:sz="6" w:space="0" w:color="auto"/>
              <w:right w:val="double" w:sz="6" w:space="0" w:color="auto"/>
            </w:tcBorders>
            <w:shd w:val="clear" w:color="000000" w:fill="FFFFFF"/>
          </w:tcPr>
          <w:p w14:paraId="76C12A07"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19E1E255" w14:textId="77777777">
        <w:trPr>
          <w:cantSplit/>
          <w:trHeight w:val="20"/>
        </w:trPr>
        <w:tc>
          <w:tcPr>
            <w:tcW w:w="2682" w:type="dxa"/>
            <w:tcBorders>
              <w:bottom w:val="single" w:sz="6" w:space="0" w:color="auto"/>
            </w:tcBorders>
            <w:shd w:val="clear" w:color="000000" w:fill="FFFFFF"/>
          </w:tcPr>
          <w:p w14:paraId="313F8F2C"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c>
          <w:tcPr>
            <w:tcW w:w="6030" w:type="dxa"/>
            <w:gridSpan w:val="5"/>
            <w:tcBorders>
              <w:bottom w:val="single" w:sz="6" w:space="0" w:color="auto"/>
            </w:tcBorders>
            <w:shd w:val="clear" w:color="000000" w:fill="FFFFFF"/>
          </w:tcPr>
          <w:p w14:paraId="6E645370" w14:textId="77777777" w:rsidR="0092514C" w:rsidRPr="00D429B4" w:rsidRDefault="0092514C" w:rsidP="005C0901">
            <w:pPr>
              <w:pStyle w:val="Texto"/>
              <w:spacing w:after="94" w:line="276" w:lineRule="auto"/>
              <w:ind w:firstLine="0"/>
              <w:rPr>
                <w:rFonts w:ascii="Verdana" w:hAnsi="Verdana"/>
                <w:i/>
                <w:sz w:val="16"/>
                <w:szCs w:val="16"/>
                <w:lang w:val="es-MX"/>
              </w:rPr>
            </w:pPr>
            <w:r w:rsidRPr="00D429B4">
              <w:rPr>
                <w:rFonts w:ascii="Verdana" w:hAnsi="Verdana"/>
                <w:i/>
                <w:sz w:val="16"/>
                <w:szCs w:val="16"/>
                <w:lang w:val="es-MX"/>
              </w:rPr>
              <w:t>Incluir farmacovigilancia, estudios fase IV, planes de manejo de riesgo, planes de estabilidad adicionales.</w:t>
            </w:r>
          </w:p>
        </w:tc>
      </w:tr>
    </w:tbl>
    <w:p w14:paraId="09B48710" w14:textId="77777777" w:rsidR="0092514C" w:rsidRPr="00D429B4" w:rsidRDefault="0092514C" w:rsidP="005C0901">
      <w:pPr>
        <w:pStyle w:val="Texto"/>
        <w:spacing w:after="94" w:line="276" w:lineRule="auto"/>
        <w:rPr>
          <w:rFonts w:ascii="Verdana" w:hAnsi="Verdana"/>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37"/>
        <w:gridCol w:w="1466"/>
        <w:gridCol w:w="730"/>
        <w:gridCol w:w="1233"/>
      </w:tblGrid>
      <w:tr w:rsidR="0092514C" w:rsidRPr="00D429B4" w14:paraId="0FE0C48B" w14:textId="77777777">
        <w:trPr>
          <w:cantSplit/>
          <w:trHeight w:val="20"/>
        </w:trPr>
        <w:tc>
          <w:tcPr>
            <w:tcW w:w="4046" w:type="dxa"/>
            <w:gridSpan w:val="2"/>
            <w:tcBorders>
              <w:top w:val="double" w:sz="6" w:space="0" w:color="auto"/>
              <w:bottom w:val="double" w:sz="6" w:space="0" w:color="auto"/>
            </w:tcBorders>
            <w:shd w:val="clear" w:color="000000" w:fill="FFFFFF"/>
            <w:noWrap/>
          </w:tcPr>
          <w:p w14:paraId="6DAE1C6B"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xml:space="preserve">Notificaciones de sospechas de reacciones adversas </w:t>
            </w:r>
          </w:p>
        </w:tc>
        <w:tc>
          <w:tcPr>
            <w:tcW w:w="1244" w:type="dxa"/>
            <w:tcBorders>
              <w:top w:val="double" w:sz="6" w:space="0" w:color="auto"/>
            </w:tcBorders>
            <w:shd w:val="clear" w:color="000000" w:fill="FFFFFF"/>
          </w:tcPr>
          <w:p w14:paraId="4B852A22"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1507" w:type="dxa"/>
            <w:tcBorders>
              <w:top w:val="double" w:sz="6" w:space="0" w:color="auto"/>
              <w:bottom w:val="single" w:sz="6" w:space="0" w:color="auto"/>
            </w:tcBorders>
            <w:shd w:val="clear" w:color="000000" w:fill="FFFFFF"/>
          </w:tcPr>
          <w:p w14:paraId="4EAE3E88"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c>
          <w:tcPr>
            <w:tcW w:w="648" w:type="dxa"/>
            <w:tcBorders>
              <w:top w:val="double" w:sz="6" w:space="0" w:color="auto"/>
            </w:tcBorders>
            <w:shd w:val="clear" w:color="000000" w:fill="FFFFFF"/>
          </w:tcPr>
          <w:p w14:paraId="0DA1BBA1"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Fecha:</w:t>
            </w:r>
          </w:p>
        </w:tc>
        <w:tc>
          <w:tcPr>
            <w:tcW w:w="1267" w:type="dxa"/>
            <w:tcBorders>
              <w:top w:val="double" w:sz="6" w:space="0" w:color="auto"/>
              <w:bottom w:val="single" w:sz="6" w:space="0" w:color="auto"/>
              <w:right w:val="double" w:sz="6" w:space="0" w:color="auto"/>
            </w:tcBorders>
            <w:shd w:val="clear" w:color="000000" w:fill="FFFFFF"/>
          </w:tcPr>
          <w:p w14:paraId="10A7C943"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67E28658" w14:textId="77777777">
        <w:trPr>
          <w:cantSplit/>
          <w:trHeight w:val="20"/>
        </w:trPr>
        <w:tc>
          <w:tcPr>
            <w:tcW w:w="2682" w:type="dxa"/>
            <w:tcBorders>
              <w:bottom w:val="double" w:sz="6" w:space="0" w:color="auto"/>
            </w:tcBorders>
            <w:shd w:val="clear" w:color="000000" w:fill="FFFFFF"/>
          </w:tcPr>
          <w:p w14:paraId="3CE0BAA0"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c>
          <w:tcPr>
            <w:tcW w:w="6030" w:type="dxa"/>
            <w:gridSpan w:val="5"/>
            <w:tcBorders>
              <w:bottom w:val="double" w:sz="6" w:space="0" w:color="auto"/>
            </w:tcBorders>
            <w:shd w:val="clear" w:color="000000" w:fill="FFFFFF"/>
          </w:tcPr>
          <w:p w14:paraId="14645376" w14:textId="77777777" w:rsidR="0092514C" w:rsidRPr="00D429B4" w:rsidRDefault="0092514C" w:rsidP="005C0901">
            <w:pPr>
              <w:pStyle w:val="Texto"/>
              <w:spacing w:after="94" w:line="276" w:lineRule="auto"/>
              <w:ind w:firstLine="0"/>
              <w:rPr>
                <w:rFonts w:ascii="Verdana" w:hAnsi="Verdana"/>
                <w:i/>
                <w:sz w:val="16"/>
                <w:szCs w:val="16"/>
                <w:lang w:val="es-MX"/>
              </w:rPr>
            </w:pPr>
            <w:r w:rsidRPr="00D429B4">
              <w:rPr>
                <w:rFonts w:ascii="Verdana" w:hAnsi="Verdana"/>
                <w:i/>
                <w:sz w:val="16"/>
                <w:szCs w:val="16"/>
                <w:lang w:val="es-MX"/>
              </w:rPr>
              <w:t>Información: Incluir las relacionadas con la calidad y/o proceso de fabricación del producto.</w:t>
            </w:r>
          </w:p>
        </w:tc>
      </w:tr>
    </w:tbl>
    <w:p w14:paraId="7848CBCF" w14:textId="77777777" w:rsidR="0092514C" w:rsidRPr="00D429B4" w:rsidRDefault="0092514C" w:rsidP="005C0901">
      <w:pPr>
        <w:pStyle w:val="Texto"/>
        <w:spacing w:after="94" w:line="276" w:lineRule="auto"/>
        <w:rPr>
          <w:rFonts w:ascii="Verdana" w:hAnsi="Verdana"/>
          <w:i/>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37"/>
        <w:gridCol w:w="1466"/>
        <w:gridCol w:w="730"/>
        <w:gridCol w:w="1233"/>
      </w:tblGrid>
      <w:tr w:rsidR="0092514C" w:rsidRPr="00D429B4" w14:paraId="58156C11" w14:textId="77777777">
        <w:trPr>
          <w:cantSplit/>
          <w:trHeight w:val="20"/>
        </w:trPr>
        <w:tc>
          <w:tcPr>
            <w:tcW w:w="4046" w:type="dxa"/>
            <w:gridSpan w:val="2"/>
            <w:tcBorders>
              <w:top w:val="double" w:sz="6" w:space="0" w:color="auto"/>
              <w:bottom w:val="double" w:sz="6" w:space="0" w:color="auto"/>
            </w:tcBorders>
            <w:shd w:val="clear" w:color="000000" w:fill="FFFFFF"/>
            <w:noWrap/>
          </w:tcPr>
          <w:p w14:paraId="1BBFCF58"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Acciones derivadas de la revisión del rap anterior</w:t>
            </w:r>
          </w:p>
        </w:tc>
        <w:tc>
          <w:tcPr>
            <w:tcW w:w="1244" w:type="dxa"/>
            <w:tcBorders>
              <w:top w:val="double" w:sz="6" w:space="0" w:color="auto"/>
            </w:tcBorders>
            <w:shd w:val="clear" w:color="000000" w:fill="FFFFFF"/>
          </w:tcPr>
          <w:p w14:paraId="28822249"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1507" w:type="dxa"/>
            <w:tcBorders>
              <w:top w:val="double" w:sz="6" w:space="0" w:color="auto"/>
              <w:bottom w:val="single" w:sz="6" w:space="0" w:color="auto"/>
            </w:tcBorders>
            <w:shd w:val="clear" w:color="000000" w:fill="FFFFFF"/>
          </w:tcPr>
          <w:p w14:paraId="236A10A8"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c>
          <w:tcPr>
            <w:tcW w:w="648" w:type="dxa"/>
            <w:tcBorders>
              <w:top w:val="double" w:sz="6" w:space="0" w:color="auto"/>
            </w:tcBorders>
            <w:shd w:val="clear" w:color="000000" w:fill="FFFFFF"/>
          </w:tcPr>
          <w:p w14:paraId="370DB11B"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Fecha:</w:t>
            </w:r>
          </w:p>
        </w:tc>
        <w:tc>
          <w:tcPr>
            <w:tcW w:w="1267" w:type="dxa"/>
            <w:tcBorders>
              <w:top w:val="double" w:sz="6" w:space="0" w:color="auto"/>
              <w:bottom w:val="single" w:sz="6" w:space="0" w:color="auto"/>
              <w:right w:val="double" w:sz="6" w:space="0" w:color="auto"/>
            </w:tcBorders>
            <w:shd w:val="clear" w:color="000000" w:fill="FFFFFF"/>
          </w:tcPr>
          <w:p w14:paraId="23503BDE"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2035EC9C" w14:textId="77777777">
        <w:trPr>
          <w:cantSplit/>
          <w:trHeight w:val="20"/>
        </w:trPr>
        <w:tc>
          <w:tcPr>
            <w:tcW w:w="2682" w:type="dxa"/>
            <w:tcBorders>
              <w:bottom w:val="double" w:sz="6" w:space="0" w:color="auto"/>
            </w:tcBorders>
            <w:shd w:val="clear" w:color="000000" w:fill="FFFFFF"/>
          </w:tcPr>
          <w:p w14:paraId="48DFBFC3"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c>
          <w:tcPr>
            <w:tcW w:w="6030" w:type="dxa"/>
            <w:gridSpan w:val="5"/>
            <w:tcBorders>
              <w:bottom w:val="double" w:sz="6" w:space="0" w:color="auto"/>
            </w:tcBorders>
            <w:shd w:val="clear" w:color="000000" w:fill="FFFFFF"/>
          </w:tcPr>
          <w:p w14:paraId="4ACC71C8"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r>
    </w:tbl>
    <w:p w14:paraId="4FC2E62D" w14:textId="77777777" w:rsidR="0092514C" w:rsidRPr="00D429B4" w:rsidRDefault="0092514C" w:rsidP="005C0901">
      <w:pPr>
        <w:pStyle w:val="Texto"/>
        <w:spacing w:after="94" w:line="276" w:lineRule="auto"/>
        <w:rPr>
          <w:rFonts w:ascii="Verdana" w:hAnsi="Verdana"/>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37"/>
        <w:gridCol w:w="1466"/>
        <w:gridCol w:w="730"/>
        <w:gridCol w:w="1233"/>
      </w:tblGrid>
      <w:tr w:rsidR="0092514C" w:rsidRPr="00D429B4" w14:paraId="31424FB1" w14:textId="77777777">
        <w:trPr>
          <w:cantSplit/>
          <w:trHeight w:val="20"/>
        </w:trPr>
        <w:tc>
          <w:tcPr>
            <w:tcW w:w="4046" w:type="dxa"/>
            <w:gridSpan w:val="2"/>
            <w:tcBorders>
              <w:top w:val="double" w:sz="6" w:space="0" w:color="auto"/>
              <w:bottom w:val="double" w:sz="6" w:space="0" w:color="auto"/>
            </w:tcBorders>
            <w:shd w:val="clear" w:color="000000" w:fill="FFFFFF"/>
            <w:noWrap/>
          </w:tcPr>
          <w:p w14:paraId="03052D75"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Conclusión del RAP</w:t>
            </w:r>
          </w:p>
        </w:tc>
        <w:tc>
          <w:tcPr>
            <w:tcW w:w="1244" w:type="dxa"/>
            <w:tcBorders>
              <w:top w:val="double" w:sz="6" w:space="0" w:color="auto"/>
            </w:tcBorders>
            <w:shd w:val="clear" w:color="000000" w:fill="FFFFFF"/>
          </w:tcPr>
          <w:p w14:paraId="78ADA490"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1507" w:type="dxa"/>
            <w:tcBorders>
              <w:top w:val="double" w:sz="6" w:space="0" w:color="auto"/>
              <w:bottom w:val="single" w:sz="6" w:space="0" w:color="auto"/>
            </w:tcBorders>
            <w:shd w:val="clear" w:color="000000" w:fill="FFFFFF"/>
          </w:tcPr>
          <w:p w14:paraId="388F17F5"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c>
          <w:tcPr>
            <w:tcW w:w="648" w:type="dxa"/>
            <w:tcBorders>
              <w:top w:val="double" w:sz="6" w:space="0" w:color="auto"/>
            </w:tcBorders>
            <w:shd w:val="clear" w:color="000000" w:fill="FFFFFF"/>
          </w:tcPr>
          <w:p w14:paraId="6496F548"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Fecha:</w:t>
            </w:r>
          </w:p>
        </w:tc>
        <w:tc>
          <w:tcPr>
            <w:tcW w:w="1267" w:type="dxa"/>
            <w:tcBorders>
              <w:top w:val="double" w:sz="6" w:space="0" w:color="auto"/>
              <w:bottom w:val="single" w:sz="6" w:space="0" w:color="auto"/>
              <w:right w:val="double" w:sz="6" w:space="0" w:color="auto"/>
            </w:tcBorders>
            <w:shd w:val="clear" w:color="000000" w:fill="FFFFFF"/>
          </w:tcPr>
          <w:p w14:paraId="0E4CBED9"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196BDA30" w14:textId="77777777">
        <w:trPr>
          <w:cantSplit/>
          <w:trHeight w:val="20"/>
        </w:trPr>
        <w:tc>
          <w:tcPr>
            <w:tcW w:w="2682" w:type="dxa"/>
            <w:tcBorders>
              <w:bottom w:val="double" w:sz="6" w:space="0" w:color="auto"/>
            </w:tcBorders>
            <w:shd w:val="clear" w:color="000000" w:fill="FFFFFF"/>
          </w:tcPr>
          <w:p w14:paraId="57F8105E"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lastRenderedPageBreak/>
              <w:t> </w:t>
            </w:r>
          </w:p>
        </w:tc>
        <w:tc>
          <w:tcPr>
            <w:tcW w:w="6030" w:type="dxa"/>
            <w:gridSpan w:val="5"/>
            <w:tcBorders>
              <w:bottom w:val="double" w:sz="6" w:space="0" w:color="auto"/>
            </w:tcBorders>
            <w:shd w:val="clear" w:color="000000" w:fill="FFFFFF"/>
          </w:tcPr>
          <w:p w14:paraId="6298C289" w14:textId="77777777" w:rsidR="0092514C" w:rsidRPr="00D429B4" w:rsidRDefault="0092514C" w:rsidP="005C0901">
            <w:pPr>
              <w:pStyle w:val="Texto"/>
              <w:spacing w:after="94" w:line="276" w:lineRule="auto"/>
              <w:ind w:firstLine="0"/>
              <w:rPr>
                <w:rFonts w:ascii="Verdana" w:hAnsi="Verdana"/>
                <w:i/>
                <w:sz w:val="16"/>
                <w:szCs w:val="16"/>
                <w:lang w:val="es-MX"/>
              </w:rPr>
            </w:pPr>
            <w:r w:rsidRPr="00D429B4">
              <w:rPr>
                <w:rFonts w:ascii="Verdana" w:hAnsi="Verdana"/>
                <w:i/>
                <w:sz w:val="16"/>
                <w:szCs w:val="16"/>
                <w:lang w:val="es-MX"/>
              </w:rPr>
              <w:t xml:space="preserve">Información: </w:t>
            </w:r>
          </w:p>
        </w:tc>
      </w:tr>
    </w:tbl>
    <w:p w14:paraId="599E23CD" w14:textId="77777777" w:rsidR="0092514C" w:rsidRPr="00D429B4" w:rsidRDefault="0092514C" w:rsidP="005C0901">
      <w:pPr>
        <w:pStyle w:val="Texto"/>
        <w:spacing w:after="94" w:line="276" w:lineRule="auto"/>
        <w:rPr>
          <w:rFonts w:ascii="Verdana" w:hAnsi="Verdana"/>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37"/>
        <w:gridCol w:w="1466"/>
        <w:gridCol w:w="730"/>
        <w:gridCol w:w="1233"/>
      </w:tblGrid>
      <w:tr w:rsidR="0092514C" w:rsidRPr="00D429B4" w14:paraId="70647FA9" w14:textId="77777777">
        <w:trPr>
          <w:cantSplit/>
          <w:trHeight w:val="20"/>
        </w:trPr>
        <w:tc>
          <w:tcPr>
            <w:tcW w:w="4046" w:type="dxa"/>
            <w:gridSpan w:val="2"/>
            <w:tcBorders>
              <w:top w:val="double" w:sz="6" w:space="0" w:color="auto"/>
              <w:bottom w:val="double" w:sz="6" w:space="0" w:color="auto"/>
            </w:tcBorders>
            <w:shd w:val="clear" w:color="000000" w:fill="FFFFFF"/>
            <w:noWrap/>
          </w:tcPr>
          <w:p w14:paraId="22D04A70"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Acciones derivadas de las conclusiones del RAP</w:t>
            </w:r>
          </w:p>
        </w:tc>
        <w:tc>
          <w:tcPr>
            <w:tcW w:w="1244" w:type="dxa"/>
            <w:tcBorders>
              <w:top w:val="double" w:sz="6" w:space="0" w:color="auto"/>
            </w:tcBorders>
            <w:shd w:val="clear" w:color="000000" w:fill="FFFFFF"/>
          </w:tcPr>
          <w:p w14:paraId="2BC471CC"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Realizado por:</w:t>
            </w:r>
          </w:p>
        </w:tc>
        <w:tc>
          <w:tcPr>
            <w:tcW w:w="1507" w:type="dxa"/>
            <w:tcBorders>
              <w:top w:val="double" w:sz="6" w:space="0" w:color="auto"/>
              <w:bottom w:val="single" w:sz="6" w:space="0" w:color="auto"/>
            </w:tcBorders>
            <w:shd w:val="clear" w:color="000000" w:fill="FFFFFF"/>
          </w:tcPr>
          <w:p w14:paraId="2A4E610C"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c>
          <w:tcPr>
            <w:tcW w:w="648" w:type="dxa"/>
            <w:tcBorders>
              <w:top w:val="double" w:sz="6" w:space="0" w:color="auto"/>
            </w:tcBorders>
            <w:shd w:val="clear" w:color="000000" w:fill="FFFFFF"/>
          </w:tcPr>
          <w:p w14:paraId="1BEDDD35"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Fecha:</w:t>
            </w:r>
          </w:p>
        </w:tc>
        <w:tc>
          <w:tcPr>
            <w:tcW w:w="1267" w:type="dxa"/>
            <w:tcBorders>
              <w:top w:val="double" w:sz="6" w:space="0" w:color="auto"/>
              <w:bottom w:val="single" w:sz="6" w:space="0" w:color="auto"/>
              <w:right w:val="double" w:sz="6" w:space="0" w:color="auto"/>
            </w:tcBorders>
            <w:shd w:val="clear" w:color="000000" w:fill="FFFFFF"/>
          </w:tcPr>
          <w:p w14:paraId="0F4BF78C" w14:textId="77777777" w:rsidR="0092514C" w:rsidRPr="00D429B4" w:rsidRDefault="0092514C" w:rsidP="005C0901">
            <w:pPr>
              <w:pStyle w:val="Texto"/>
              <w:spacing w:after="94" w:line="276" w:lineRule="auto"/>
              <w:ind w:firstLine="0"/>
              <w:rPr>
                <w:rFonts w:ascii="Verdana" w:hAnsi="Verdana"/>
                <w:b/>
                <w:sz w:val="16"/>
                <w:szCs w:val="16"/>
                <w:lang w:val="es-MX"/>
              </w:rPr>
            </w:pPr>
            <w:r w:rsidRPr="00D429B4">
              <w:rPr>
                <w:rFonts w:ascii="Verdana" w:hAnsi="Verdana"/>
                <w:b/>
                <w:sz w:val="16"/>
                <w:szCs w:val="16"/>
                <w:lang w:val="es-MX"/>
              </w:rPr>
              <w:t> </w:t>
            </w:r>
          </w:p>
        </w:tc>
      </w:tr>
      <w:tr w:rsidR="0092514C" w:rsidRPr="00D429B4" w14:paraId="2B25D6B5" w14:textId="77777777">
        <w:trPr>
          <w:cantSplit/>
          <w:trHeight w:val="20"/>
        </w:trPr>
        <w:tc>
          <w:tcPr>
            <w:tcW w:w="2682" w:type="dxa"/>
            <w:tcBorders>
              <w:bottom w:val="double" w:sz="6" w:space="0" w:color="auto"/>
            </w:tcBorders>
            <w:shd w:val="clear" w:color="000000" w:fill="FFFFFF"/>
          </w:tcPr>
          <w:p w14:paraId="5A827360"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c>
          <w:tcPr>
            <w:tcW w:w="6030" w:type="dxa"/>
            <w:gridSpan w:val="5"/>
            <w:tcBorders>
              <w:bottom w:val="double" w:sz="6" w:space="0" w:color="auto"/>
            </w:tcBorders>
            <w:shd w:val="clear" w:color="000000" w:fill="FFFFFF"/>
          </w:tcPr>
          <w:p w14:paraId="599102D0"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r>
    </w:tbl>
    <w:p w14:paraId="65AA9BDE" w14:textId="77777777" w:rsidR="0092514C" w:rsidRPr="00D429B4" w:rsidRDefault="0092514C" w:rsidP="005C0901">
      <w:pPr>
        <w:pStyle w:val="Texto"/>
        <w:spacing w:after="94" w:line="276" w:lineRule="auto"/>
        <w:rPr>
          <w:rFonts w:ascii="Verdana" w:hAnsi="Verdana"/>
          <w:sz w:val="16"/>
          <w:szCs w:val="16"/>
          <w:lang w:val="es-MX"/>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3123"/>
        <w:gridCol w:w="1383"/>
        <w:gridCol w:w="1524"/>
      </w:tblGrid>
      <w:tr w:rsidR="0092514C" w:rsidRPr="00D429B4" w14:paraId="430CDFAC" w14:textId="77777777">
        <w:trPr>
          <w:cantSplit/>
          <w:trHeight w:val="20"/>
        </w:trPr>
        <w:tc>
          <w:tcPr>
            <w:tcW w:w="8712" w:type="dxa"/>
            <w:gridSpan w:val="4"/>
            <w:tcBorders>
              <w:top w:val="double" w:sz="6" w:space="0" w:color="auto"/>
              <w:bottom w:val="double" w:sz="6" w:space="0" w:color="auto"/>
            </w:tcBorders>
            <w:shd w:val="clear" w:color="000000" w:fill="FFFFFF"/>
            <w:noWrap/>
          </w:tcPr>
          <w:p w14:paraId="5D2A83BD" w14:textId="77777777" w:rsidR="0092514C" w:rsidRPr="00D429B4" w:rsidRDefault="0092514C" w:rsidP="005C0901">
            <w:pPr>
              <w:pStyle w:val="Texto"/>
              <w:spacing w:after="94" w:line="276" w:lineRule="auto"/>
              <w:ind w:firstLine="0"/>
              <w:jc w:val="center"/>
              <w:rPr>
                <w:rFonts w:ascii="Verdana" w:hAnsi="Verdana"/>
                <w:b/>
                <w:sz w:val="16"/>
                <w:szCs w:val="16"/>
                <w:lang w:val="es-MX"/>
              </w:rPr>
            </w:pPr>
            <w:r w:rsidRPr="00D429B4">
              <w:rPr>
                <w:rFonts w:ascii="Verdana" w:hAnsi="Verdana"/>
                <w:b/>
                <w:sz w:val="16"/>
                <w:szCs w:val="16"/>
                <w:lang w:val="es-MX"/>
              </w:rPr>
              <w:t>Resumen de la Revisión Anual del Producto</w:t>
            </w:r>
          </w:p>
        </w:tc>
      </w:tr>
      <w:tr w:rsidR="0092514C" w:rsidRPr="00D429B4" w14:paraId="06F13755" w14:textId="77777777">
        <w:trPr>
          <w:cantSplit/>
          <w:trHeight w:val="20"/>
        </w:trPr>
        <w:tc>
          <w:tcPr>
            <w:tcW w:w="2682" w:type="dxa"/>
            <w:tcBorders>
              <w:top w:val="double" w:sz="6" w:space="0" w:color="auto"/>
            </w:tcBorders>
            <w:shd w:val="clear" w:color="000000" w:fill="FFFFFF"/>
          </w:tcPr>
          <w:p w14:paraId="5FEDA68B" w14:textId="77777777" w:rsidR="0092514C" w:rsidRPr="00D429B4" w:rsidRDefault="0092514C" w:rsidP="005C0901">
            <w:pPr>
              <w:pStyle w:val="Texto"/>
              <w:spacing w:after="94" w:line="276" w:lineRule="auto"/>
              <w:ind w:firstLine="0"/>
              <w:jc w:val="right"/>
              <w:rPr>
                <w:rFonts w:ascii="Verdana" w:hAnsi="Verdana"/>
                <w:sz w:val="16"/>
                <w:szCs w:val="16"/>
                <w:lang w:val="es-MX"/>
              </w:rPr>
            </w:pPr>
            <w:r w:rsidRPr="00D429B4">
              <w:rPr>
                <w:rFonts w:ascii="Verdana" w:hAnsi="Verdana"/>
                <w:sz w:val="16"/>
                <w:szCs w:val="16"/>
                <w:lang w:val="es-MX"/>
              </w:rPr>
              <w:t>Realizado por:</w:t>
            </w:r>
          </w:p>
        </w:tc>
        <w:tc>
          <w:tcPr>
            <w:tcW w:w="3123" w:type="dxa"/>
            <w:tcBorders>
              <w:top w:val="double" w:sz="6" w:space="0" w:color="auto"/>
              <w:bottom w:val="single" w:sz="6" w:space="0" w:color="auto"/>
              <w:right w:val="nil"/>
            </w:tcBorders>
            <w:shd w:val="clear" w:color="000000" w:fill="FFFFFF"/>
          </w:tcPr>
          <w:p w14:paraId="3B1B1344"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c>
          <w:tcPr>
            <w:tcW w:w="1383" w:type="dxa"/>
            <w:tcBorders>
              <w:top w:val="double" w:sz="6" w:space="0" w:color="auto"/>
              <w:left w:val="nil"/>
            </w:tcBorders>
            <w:shd w:val="clear" w:color="000000" w:fill="FFFFFF"/>
          </w:tcPr>
          <w:p w14:paraId="18BED958" w14:textId="77777777" w:rsidR="0092514C" w:rsidRPr="00D429B4" w:rsidRDefault="0092514C" w:rsidP="005C0901">
            <w:pPr>
              <w:pStyle w:val="Texto"/>
              <w:spacing w:after="94" w:line="276" w:lineRule="auto"/>
              <w:ind w:firstLine="0"/>
              <w:jc w:val="center"/>
              <w:rPr>
                <w:rFonts w:ascii="Verdana" w:hAnsi="Verdana"/>
                <w:sz w:val="16"/>
                <w:szCs w:val="16"/>
                <w:lang w:val="es-MX"/>
              </w:rPr>
            </w:pPr>
            <w:r w:rsidRPr="00D429B4">
              <w:rPr>
                <w:rFonts w:ascii="Verdana" w:hAnsi="Verdana"/>
                <w:sz w:val="16"/>
                <w:szCs w:val="16"/>
                <w:lang w:val="es-MX"/>
              </w:rPr>
              <w:t>Fecha:</w:t>
            </w:r>
          </w:p>
        </w:tc>
        <w:tc>
          <w:tcPr>
            <w:tcW w:w="1524" w:type="dxa"/>
            <w:tcBorders>
              <w:top w:val="double" w:sz="6" w:space="0" w:color="auto"/>
              <w:bottom w:val="single" w:sz="6" w:space="0" w:color="auto"/>
            </w:tcBorders>
            <w:shd w:val="clear" w:color="000000" w:fill="FFFFFF"/>
          </w:tcPr>
          <w:p w14:paraId="6CA4BCF0"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r>
      <w:tr w:rsidR="0092514C" w:rsidRPr="00D429B4" w14:paraId="0BAB3752" w14:textId="77777777">
        <w:trPr>
          <w:cantSplit/>
          <w:trHeight w:val="20"/>
        </w:trPr>
        <w:tc>
          <w:tcPr>
            <w:tcW w:w="2682" w:type="dxa"/>
            <w:shd w:val="clear" w:color="000000" w:fill="FFFFFF"/>
          </w:tcPr>
          <w:p w14:paraId="6EE459F8" w14:textId="77777777" w:rsidR="0092514C" w:rsidRPr="00D429B4" w:rsidRDefault="0092514C" w:rsidP="005C0901">
            <w:pPr>
              <w:pStyle w:val="Texto"/>
              <w:spacing w:after="94" w:line="276" w:lineRule="auto"/>
              <w:ind w:firstLine="0"/>
              <w:jc w:val="right"/>
              <w:rPr>
                <w:rFonts w:ascii="Verdana" w:hAnsi="Verdana"/>
                <w:sz w:val="16"/>
                <w:szCs w:val="16"/>
                <w:lang w:val="es-MX"/>
              </w:rPr>
            </w:pPr>
            <w:r w:rsidRPr="00D429B4">
              <w:rPr>
                <w:rFonts w:ascii="Verdana" w:hAnsi="Verdana"/>
                <w:sz w:val="16"/>
                <w:szCs w:val="16"/>
                <w:lang w:val="es-MX"/>
              </w:rPr>
              <w:t>Aprobado por:</w:t>
            </w:r>
          </w:p>
        </w:tc>
        <w:tc>
          <w:tcPr>
            <w:tcW w:w="3123" w:type="dxa"/>
            <w:tcBorders>
              <w:top w:val="single" w:sz="6" w:space="0" w:color="auto"/>
              <w:bottom w:val="single" w:sz="6" w:space="0" w:color="auto"/>
            </w:tcBorders>
            <w:shd w:val="clear" w:color="000000" w:fill="FFFFFF"/>
          </w:tcPr>
          <w:p w14:paraId="495C71BC"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c>
          <w:tcPr>
            <w:tcW w:w="1383" w:type="dxa"/>
            <w:shd w:val="clear" w:color="000000" w:fill="FFFFFF"/>
          </w:tcPr>
          <w:p w14:paraId="7A840FD6" w14:textId="77777777" w:rsidR="0092514C" w:rsidRPr="00D429B4" w:rsidRDefault="0092514C" w:rsidP="005C0901">
            <w:pPr>
              <w:pStyle w:val="Texto"/>
              <w:spacing w:after="94" w:line="276" w:lineRule="auto"/>
              <w:ind w:firstLine="0"/>
              <w:jc w:val="center"/>
              <w:rPr>
                <w:rFonts w:ascii="Verdana" w:hAnsi="Verdana"/>
                <w:sz w:val="16"/>
                <w:szCs w:val="16"/>
                <w:lang w:val="es-MX"/>
              </w:rPr>
            </w:pPr>
            <w:r w:rsidRPr="00D429B4">
              <w:rPr>
                <w:rFonts w:ascii="Verdana" w:hAnsi="Verdana"/>
                <w:sz w:val="16"/>
                <w:szCs w:val="16"/>
                <w:lang w:val="es-MX"/>
              </w:rPr>
              <w:t>Fecha:</w:t>
            </w:r>
          </w:p>
        </w:tc>
        <w:tc>
          <w:tcPr>
            <w:tcW w:w="1524" w:type="dxa"/>
            <w:shd w:val="clear" w:color="000000" w:fill="FFFFFF"/>
          </w:tcPr>
          <w:p w14:paraId="37607D14" w14:textId="77777777" w:rsidR="0092514C" w:rsidRPr="00D429B4" w:rsidRDefault="0092514C" w:rsidP="005C0901">
            <w:pPr>
              <w:pStyle w:val="Texto"/>
              <w:spacing w:after="94" w:line="276" w:lineRule="auto"/>
              <w:ind w:firstLine="0"/>
              <w:rPr>
                <w:rFonts w:ascii="Verdana" w:hAnsi="Verdana"/>
                <w:sz w:val="16"/>
                <w:szCs w:val="16"/>
                <w:lang w:val="es-MX"/>
              </w:rPr>
            </w:pPr>
            <w:r w:rsidRPr="00D429B4">
              <w:rPr>
                <w:rFonts w:ascii="Verdana" w:hAnsi="Verdana"/>
                <w:sz w:val="16"/>
                <w:szCs w:val="16"/>
                <w:lang w:val="es-MX"/>
              </w:rPr>
              <w:t> </w:t>
            </w:r>
          </w:p>
        </w:tc>
      </w:tr>
      <w:tr w:rsidR="0092514C" w:rsidRPr="00D429B4" w14:paraId="7F485978" w14:textId="77777777">
        <w:trPr>
          <w:cantSplit/>
          <w:trHeight w:val="20"/>
        </w:trPr>
        <w:tc>
          <w:tcPr>
            <w:tcW w:w="2682" w:type="dxa"/>
            <w:tcBorders>
              <w:bottom w:val="double" w:sz="6" w:space="0" w:color="auto"/>
            </w:tcBorders>
            <w:shd w:val="clear" w:color="000000" w:fill="FFFFFF"/>
          </w:tcPr>
          <w:p w14:paraId="4275EA1B" w14:textId="77777777" w:rsidR="0092514C" w:rsidRPr="00D429B4" w:rsidRDefault="0092514C" w:rsidP="005C0901">
            <w:pPr>
              <w:pStyle w:val="Texto"/>
              <w:spacing w:after="94" w:line="276" w:lineRule="auto"/>
              <w:ind w:firstLine="0"/>
              <w:jc w:val="right"/>
              <w:rPr>
                <w:rFonts w:ascii="Verdana" w:hAnsi="Verdana"/>
                <w:sz w:val="16"/>
                <w:szCs w:val="16"/>
                <w:lang w:val="es-MX"/>
              </w:rPr>
            </w:pPr>
          </w:p>
        </w:tc>
        <w:tc>
          <w:tcPr>
            <w:tcW w:w="3123" w:type="dxa"/>
            <w:tcBorders>
              <w:top w:val="single" w:sz="6" w:space="0" w:color="auto"/>
              <w:bottom w:val="double" w:sz="6" w:space="0" w:color="auto"/>
            </w:tcBorders>
            <w:shd w:val="clear" w:color="000000" w:fill="FFFFFF"/>
          </w:tcPr>
          <w:p w14:paraId="40A2D2D1" w14:textId="77777777" w:rsidR="0092514C" w:rsidRPr="00D429B4" w:rsidRDefault="0092514C" w:rsidP="005C0901">
            <w:pPr>
              <w:pStyle w:val="Texto"/>
              <w:spacing w:after="94" w:line="276" w:lineRule="auto"/>
              <w:ind w:firstLine="0"/>
              <w:rPr>
                <w:rFonts w:ascii="Verdana" w:hAnsi="Verdana"/>
                <w:sz w:val="16"/>
                <w:szCs w:val="16"/>
                <w:lang w:val="es-MX"/>
              </w:rPr>
            </w:pPr>
          </w:p>
        </w:tc>
        <w:tc>
          <w:tcPr>
            <w:tcW w:w="1383" w:type="dxa"/>
            <w:tcBorders>
              <w:bottom w:val="double" w:sz="6" w:space="0" w:color="auto"/>
            </w:tcBorders>
            <w:shd w:val="clear" w:color="000000" w:fill="FFFFFF"/>
          </w:tcPr>
          <w:p w14:paraId="417E80EE" w14:textId="77777777" w:rsidR="0092514C" w:rsidRPr="00D429B4" w:rsidRDefault="0092514C" w:rsidP="005C0901">
            <w:pPr>
              <w:pStyle w:val="Texto"/>
              <w:spacing w:after="94" w:line="276" w:lineRule="auto"/>
              <w:ind w:firstLine="0"/>
              <w:jc w:val="center"/>
              <w:rPr>
                <w:rFonts w:ascii="Verdana" w:hAnsi="Verdana"/>
                <w:sz w:val="16"/>
                <w:szCs w:val="16"/>
                <w:lang w:val="es-MX"/>
              </w:rPr>
            </w:pPr>
          </w:p>
        </w:tc>
        <w:tc>
          <w:tcPr>
            <w:tcW w:w="1524" w:type="dxa"/>
            <w:tcBorders>
              <w:bottom w:val="double" w:sz="6" w:space="0" w:color="auto"/>
            </w:tcBorders>
            <w:shd w:val="clear" w:color="000000" w:fill="FFFFFF"/>
          </w:tcPr>
          <w:p w14:paraId="2D24FE9B" w14:textId="77777777" w:rsidR="0092514C" w:rsidRPr="00D429B4" w:rsidRDefault="0092514C" w:rsidP="005C0901">
            <w:pPr>
              <w:pStyle w:val="Texto"/>
              <w:spacing w:after="94" w:line="276" w:lineRule="auto"/>
              <w:ind w:firstLine="0"/>
              <w:rPr>
                <w:rFonts w:ascii="Verdana" w:hAnsi="Verdana"/>
                <w:sz w:val="16"/>
                <w:szCs w:val="16"/>
                <w:lang w:val="es-MX"/>
              </w:rPr>
            </w:pPr>
          </w:p>
        </w:tc>
      </w:tr>
    </w:tbl>
    <w:p w14:paraId="159D56A5" w14:textId="77777777" w:rsidR="0092514C" w:rsidRDefault="0092514C" w:rsidP="003342BC">
      <w:pPr>
        <w:pStyle w:val="Texto"/>
        <w:pBdr>
          <w:bottom w:val="single" w:sz="6" w:space="1" w:color="auto"/>
        </w:pBdr>
        <w:spacing w:after="94" w:line="276" w:lineRule="auto"/>
        <w:ind w:firstLine="0"/>
        <w:jc w:val="center"/>
        <w:rPr>
          <w:rFonts w:ascii="Verdana" w:hAnsi="Verdana"/>
          <w:sz w:val="16"/>
          <w:szCs w:val="16"/>
        </w:rPr>
      </w:pPr>
    </w:p>
    <w:p w14:paraId="5011A9C5" w14:textId="77777777" w:rsidR="003342BC" w:rsidRDefault="003342BC" w:rsidP="003342BC">
      <w:pPr>
        <w:pStyle w:val="Texto"/>
        <w:spacing w:after="94" w:line="276" w:lineRule="auto"/>
        <w:ind w:firstLine="0"/>
        <w:jc w:val="center"/>
        <w:rPr>
          <w:rFonts w:ascii="Verdana" w:hAnsi="Verdana"/>
          <w:sz w:val="16"/>
          <w:szCs w:val="16"/>
        </w:rPr>
      </w:pPr>
    </w:p>
    <w:p w14:paraId="50AABC63" w14:textId="77777777" w:rsidR="003342BC" w:rsidRPr="003342BC" w:rsidRDefault="003342BC" w:rsidP="003342BC">
      <w:pPr>
        <w:spacing w:after="101" w:line="276" w:lineRule="auto"/>
        <w:jc w:val="center"/>
        <w:rPr>
          <w:rFonts w:ascii="Verdana" w:hAnsi="Verdana" w:cs="Arial"/>
          <w:b/>
          <w:sz w:val="16"/>
          <w:szCs w:val="16"/>
          <w:lang w:val="en-US"/>
        </w:rPr>
      </w:pPr>
      <w:r w:rsidRPr="003342BC">
        <w:rPr>
          <w:rFonts w:ascii="Verdana" w:hAnsi="Verdana" w:cs="Arial"/>
          <w:b/>
          <w:sz w:val="16"/>
          <w:szCs w:val="16"/>
          <w:lang w:val="en-US"/>
        </w:rPr>
        <w:t>21.2 Obligatory Appendix B. Annual Review of the Product.</w:t>
      </w:r>
    </w:p>
    <w:tbl>
      <w:tblPr>
        <w:tblW w:w="8712" w:type="dxa"/>
        <w:tblInd w:w="144" w:type="dxa"/>
        <w:tblBorders>
          <w:top w:val="double" w:sz="6" w:space="0" w:color="auto"/>
          <w:left w:val="double" w:sz="6" w:space="0" w:color="auto"/>
          <w:bottom w:val="single" w:sz="6" w:space="0" w:color="auto"/>
          <w:right w:val="double" w:sz="6" w:space="0" w:color="auto"/>
        </w:tblBorders>
        <w:tblLayout w:type="fixed"/>
        <w:tblCellMar>
          <w:left w:w="43" w:type="dxa"/>
          <w:right w:w="43" w:type="dxa"/>
        </w:tblCellMar>
        <w:tblLook w:val="0000" w:firstRow="0" w:lastRow="0" w:firstColumn="0" w:lastColumn="0" w:noHBand="0" w:noVBand="0"/>
      </w:tblPr>
      <w:tblGrid>
        <w:gridCol w:w="2682"/>
        <w:gridCol w:w="3123"/>
        <w:gridCol w:w="992"/>
        <w:gridCol w:w="391"/>
        <w:gridCol w:w="1524"/>
      </w:tblGrid>
      <w:tr w:rsidR="003342BC" w:rsidRPr="00861FCE" w14:paraId="3913483B" w14:textId="77777777" w:rsidTr="00DC4FDA">
        <w:trPr>
          <w:cantSplit/>
          <w:trHeight w:val="20"/>
        </w:trPr>
        <w:tc>
          <w:tcPr>
            <w:tcW w:w="8712" w:type="dxa"/>
            <w:gridSpan w:val="5"/>
            <w:tcBorders>
              <w:top w:val="double" w:sz="6" w:space="0" w:color="auto"/>
            </w:tcBorders>
            <w:shd w:val="clear" w:color="000000" w:fill="FFFFFF"/>
            <w:noWrap/>
          </w:tcPr>
          <w:p w14:paraId="410A094B" w14:textId="77777777" w:rsidR="003342BC" w:rsidRPr="003342BC" w:rsidRDefault="003342BC" w:rsidP="003342BC">
            <w:pPr>
              <w:spacing w:after="101" w:line="276" w:lineRule="auto"/>
              <w:jc w:val="center"/>
              <w:rPr>
                <w:rFonts w:ascii="Verdana" w:hAnsi="Verdana" w:cs="Arial"/>
                <w:b/>
                <w:sz w:val="16"/>
                <w:szCs w:val="16"/>
                <w:u w:val="single"/>
                <w:lang w:val="en-US"/>
              </w:rPr>
            </w:pPr>
            <w:r w:rsidRPr="003342BC">
              <w:rPr>
                <w:rFonts w:ascii="Verdana" w:hAnsi="Verdana" w:cs="Arial"/>
                <w:b/>
                <w:sz w:val="16"/>
                <w:szCs w:val="16"/>
                <w:u w:val="single"/>
                <w:lang w:val="en-US"/>
              </w:rPr>
              <w:t>Annual Review of the Product</w:t>
            </w:r>
          </w:p>
        </w:tc>
      </w:tr>
      <w:tr w:rsidR="003342BC" w:rsidRPr="00861FCE" w14:paraId="17A2324D" w14:textId="77777777" w:rsidTr="00DC4FDA">
        <w:trPr>
          <w:cantSplit/>
          <w:trHeight w:val="20"/>
        </w:trPr>
        <w:tc>
          <w:tcPr>
            <w:tcW w:w="2682" w:type="dxa"/>
            <w:shd w:val="clear" w:color="000000" w:fill="FFFFFF"/>
          </w:tcPr>
          <w:p w14:paraId="33C6CBF0"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6030" w:type="dxa"/>
            <w:gridSpan w:val="4"/>
            <w:shd w:val="clear" w:color="000000" w:fill="FFFFFF"/>
          </w:tcPr>
          <w:p w14:paraId="6C8A7B1E"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3342BC" w14:paraId="25073535" w14:textId="77777777" w:rsidTr="00DC4FDA">
        <w:trPr>
          <w:cantSplit/>
          <w:trHeight w:val="20"/>
        </w:trPr>
        <w:tc>
          <w:tcPr>
            <w:tcW w:w="2682" w:type="dxa"/>
            <w:shd w:val="clear" w:color="000000" w:fill="FFFFFF"/>
          </w:tcPr>
          <w:p w14:paraId="447065F3"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Name of the Product</w:t>
            </w:r>
          </w:p>
        </w:tc>
        <w:tc>
          <w:tcPr>
            <w:tcW w:w="3123" w:type="dxa"/>
            <w:tcBorders>
              <w:top w:val="nil"/>
              <w:bottom w:val="single" w:sz="6" w:space="0" w:color="auto"/>
            </w:tcBorders>
            <w:shd w:val="clear" w:color="000000" w:fill="FFFFFF"/>
          </w:tcPr>
          <w:p w14:paraId="2703FB0A"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1383" w:type="dxa"/>
            <w:gridSpan w:val="2"/>
            <w:shd w:val="clear" w:color="000000" w:fill="FFFFFF"/>
          </w:tcPr>
          <w:p w14:paraId="5EC2675A"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Registry #:</w:t>
            </w:r>
          </w:p>
        </w:tc>
        <w:tc>
          <w:tcPr>
            <w:tcW w:w="1524" w:type="dxa"/>
            <w:tcBorders>
              <w:top w:val="nil"/>
              <w:bottom w:val="single" w:sz="6" w:space="0" w:color="auto"/>
            </w:tcBorders>
            <w:shd w:val="clear" w:color="000000" w:fill="FFFFFF"/>
          </w:tcPr>
          <w:p w14:paraId="6303D4CA"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3342BC" w14:paraId="2C722665" w14:textId="77777777" w:rsidTr="00DC4FDA">
        <w:trPr>
          <w:cantSplit/>
          <w:trHeight w:val="20"/>
        </w:trPr>
        <w:tc>
          <w:tcPr>
            <w:tcW w:w="2682" w:type="dxa"/>
            <w:shd w:val="clear" w:color="000000" w:fill="FFFFFF"/>
          </w:tcPr>
          <w:p w14:paraId="2090F458"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DCI</w:t>
            </w:r>
          </w:p>
        </w:tc>
        <w:tc>
          <w:tcPr>
            <w:tcW w:w="3123" w:type="dxa"/>
            <w:tcBorders>
              <w:top w:val="single" w:sz="6" w:space="0" w:color="auto"/>
              <w:bottom w:val="single" w:sz="6" w:space="0" w:color="auto"/>
            </w:tcBorders>
            <w:shd w:val="clear" w:color="000000" w:fill="FFFFFF"/>
          </w:tcPr>
          <w:p w14:paraId="73FA8F62"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1383" w:type="dxa"/>
            <w:gridSpan w:val="2"/>
            <w:shd w:val="clear" w:color="000000" w:fill="FFFFFF"/>
          </w:tcPr>
          <w:p w14:paraId="6E5BA460"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concentration:</w:t>
            </w:r>
          </w:p>
        </w:tc>
        <w:tc>
          <w:tcPr>
            <w:tcW w:w="1524" w:type="dxa"/>
            <w:tcBorders>
              <w:top w:val="single" w:sz="6" w:space="0" w:color="auto"/>
              <w:bottom w:val="single" w:sz="6" w:space="0" w:color="auto"/>
            </w:tcBorders>
            <w:shd w:val="clear" w:color="000000" w:fill="FFFFFF"/>
          </w:tcPr>
          <w:p w14:paraId="4CBDE7CB"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3342BC" w14:paraId="04618C9A" w14:textId="77777777" w:rsidTr="00DC4FDA">
        <w:trPr>
          <w:cantSplit/>
          <w:trHeight w:val="20"/>
        </w:trPr>
        <w:tc>
          <w:tcPr>
            <w:tcW w:w="2682" w:type="dxa"/>
            <w:shd w:val="clear" w:color="000000" w:fill="FFFFFF"/>
          </w:tcPr>
          <w:p w14:paraId="3237CDC1"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Review of the Period:</w:t>
            </w:r>
          </w:p>
        </w:tc>
        <w:tc>
          <w:tcPr>
            <w:tcW w:w="3123" w:type="dxa"/>
            <w:tcBorders>
              <w:top w:val="single" w:sz="6" w:space="0" w:color="auto"/>
              <w:bottom w:val="single" w:sz="6" w:space="0" w:color="auto"/>
            </w:tcBorders>
            <w:shd w:val="clear" w:color="000000" w:fill="FFFFFF"/>
          </w:tcPr>
          <w:p w14:paraId="21DD2F85"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1383" w:type="dxa"/>
            <w:gridSpan w:val="2"/>
            <w:shd w:val="clear" w:color="000000" w:fill="FFFFFF"/>
          </w:tcPr>
          <w:p w14:paraId="3D74C2F4"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to:</w:t>
            </w:r>
          </w:p>
        </w:tc>
        <w:tc>
          <w:tcPr>
            <w:tcW w:w="1524" w:type="dxa"/>
            <w:tcBorders>
              <w:top w:val="single" w:sz="6" w:space="0" w:color="auto"/>
              <w:bottom w:val="single" w:sz="6" w:space="0" w:color="auto"/>
            </w:tcBorders>
            <w:shd w:val="clear" w:color="000000" w:fill="FFFFFF"/>
          </w:tcPr>
          <w:p w14:paraId="4367E8FA"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3342BC" w14:paraId="57A5CE41" w14:textId="77777777" w:rsidTr="00DC4FDA">
        <w:trPr>
          <w:cantSplit/>
          <w:trHeight w:val="20"/>
        </w:trPr>
        <w:tc>
          <w:tcPr>
            <w:tcW w:w="6797" w:type="dxa"/>
            <w:gridSpan w:val="3"/>
            <w:shd w:val="clear" w:color="000000" w:fill="FFFFFF"/>
          </w:tcPr>
          <w:p w14:paraId="2D5B91E4"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xml:space="preserve">Total of lots reviewed: </w:t>
            </w:r>
          </w:p>
        </w:tc>
        <w:tc>
          <w:tcPr>
            <w:tcW w:w="1915" w:type="dxa"/>
            <w:gridSpan w:val="2"/>
            <w:tcBorders>
              <w:bottom w:val="nil"/>
            </w:tcBorders>
            <w:shd w:val="clear" w:color="000000" w:fill="FFFFFF"/>
          </w:tcPr>
          <w:p w14:paraId="2CF8962C"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3342BC" w14:paraId="04B219A7" w14:textId="77777777" w:rsidTr="00DC4FDA">
        <w:trPr>
          <w:cantSplit/>
          <w:trHeight w:val="20"/>
        </w:trPr>
        <w:tc>
          <w:tcPr>
            <w:tcW w:w="2682" w:type="dxa"/>
            <w:shd w:val="clear" w:color="000000" w:fill="FFFFFF"/>
          </w:tcPr>
          <w:p w14:paraId="0EE67D44"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4115" w:type="dxa"/>
            <w:gridSpan w:val="2"/>
            <w:tcBorders>
              <w:top w:val="nil"/>
              <w:bottom w:val="nil"/>
            </w:tcBorders>
            <w:shd w:val="clear" w:color="000000" w:fill="FFFFFF"/>
          </w:tcPr>
          <w:p w14:paraId="3B605186"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Approved</w:t>
            </w:r>
          </w:p>
        </w:tc>
        <w:tc>
          <w:tcPr>
            <w:tcW w:w="1915" w:type="dxa"/>
            <w:gridSpan w:val="2"/>
            <w:tcBorders>
              <w:top w:val="nil"/>
              <w:bottom w:val="single" w:sz="6" w:space="0" w:color="auto"/>
            </w:tcBorders>
            <w:shd w:val="clear" w:color="000000" w:fill="FFFFFF"/>
          </w:tcPr>
          <w:p w14:paraId="792467E1"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3342BC" w14:paraId="5DD5CAE6" w14:textId="77777777" w:rsidTr="00DC4FDA">
        <w:trPr>
          <w:cantSplit/>
          <w:trHeight w:val="20"/>
        </w:trPr>
        <w:tc>
          <w:tcPr>
            <w:tcW w:w="2682" w:type="dxa"/>
            <w:shd w:val="clear" w:color="000000" w:fill="FFFFFF"/>
          </w:tcPr>
          <w:p w14:paraId="3F8ED956"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4115" w:type="dxa"/>
            <w:gridSpan w:val="2"/>
            <w:tcBorders>
              <w:top w:val="nil"/>
              <w:bottom w:val="nil"/>
            </w:tcBorders>
            <w:shd w:val="clear" w:color="000000" w:fill="FFFFFF"/>
          </w:tcPr>
          <w:p w14:paraId="66347E86"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Approved with deviation</w:t>
            </w:r>
          </w:p>
        </w:tc>
        <w:tc>
          <w:tcPr>
            <w:tcW w:w="1915" w:type="dxa"/>
            <w:gridSpan w:val="2"/>
            <w:tcBorders>
              <w:top w:val="single" w:sz="6" w:space="0" w:color="auto"/>
              <w:bottom w:val="single" w:sz="6" w:space="0" w:color="auto"/>
            </w:tcBorders>
            <w:shd w:val="clear" w:color="000000" w:fill="FFFFFF"/>
          </w:tcPr>
          <w:p w14:paraId="06E6C30F" w14:textId="77777777" w:rsidR="003342BC" w:rsidRPr="003342BC" w:rsidRDefault="003342BC" w:rsidP="003342BC">
            <w:pPr>
              <w:spacing w:after="101" w:line="276" w:lineRule="auto"/>
              <w:jc w:val="both"/>
              <w:rPr>
                <w:rFonts w:ascii="Verdana" w:hAnsi="Verdana" w:cs="Arial"/>
                <w:b/>
                <w:sz w:val="16"/>
                <w:szCs w:val="16"/>
                <w:lang w:val="en-US"/>
              </w:rPr>
            </w:pPr>
          </w:p>
        </w:tc>
      </w:tr>
      <w:tr w:rsidR="003342BC" w:rsidRPr="003342BC" w14:paraId="026D33BA" w14:textId="77777777" w:rsidTr="00DC4FDA">
        <w:trPr>
          <w:cantSplit/>
          <w:trHeight w:val="20"/>
        </w:trPr>
        <w:tc>
          <w:tcPr>
            <w:tcW w:w="2682" w:type="dxa"/>
            <w:shd w:val="clear" w:color="000000" w:fill="FFFFFF"/>
          </w:tcPr>
          <w:p w14:paraId="6DD5B916"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4115" w:type="dxa"/>
            <w:gridSpan w:val="2"/>
            <w:tcBorders>
              <w:top w:val="nil"/>
            </w:tcBorders>
            <w:shd w:val="clear" w:color="000000" w:fill="FFFFFF"/>
          </w:tcPr>
          <w:p w14:paraId="3B2A7189"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Rejected</w:t>
            </w:r>
          </w:p>
        </w:tc>
        <w:tc>
          <w:tcPr>
            <w:tcW w:w="1915" w:type="dxa"/>
            <w:gridSpan w:val="2"/>
            <w:tcBorders>
              <w:top w:val="single" w:sz="6" w:space="0" w:color="auto"/>
              <w:bottom w:val="single" w:sz="6" w:space="0" w:color="auto"/>
            </w:tcBorders>
            <w:shd w:val="clear" w:color="000000" w:fill="FFFFFF"/>
          </w:tcPr>
          <w:p w14:paraId="66526803" w14:textId="77777777" w:rsidR="003342BC" w:rsidRPr="003342BC" w:rsidRDefault="003342BC" w:rsidP="003342BC">
            <w:pPr>
              <w:spacing w:after="101" w:line="276" w:lineRule="auto"/>
              <w:jc w:val="both"/>
              <w:rPr>
                <w:rFonts w:ascii="Verdana" w:hAnsi="Verdana" w:cs="Arial"/>
                <w:b/>
                <w:sz w:val="16"/>
                <w:szCs w:val="16"/>
                <w:lang w:val="en-US"/>
              </w:rPr>
            </w:pPr>
          </w:p>
        </w:tc>
      </w:tr>
      <w:tr w:rsidR="003342BC" w:rsidRPr="003342BC" w14:paraId="0B3A63F6" w14:textId="77777777" w:rsidTr="00DC4FDA">
        <w:trPr>
          <w:cantSplit/>
          <w:trHeight w:val="20"/>
        </w:trPr>
        <w:tc>
          <w:tcPr>
            <w:tcW w:w="2682" w:type="dxa"/>
            <w:shd w:val="clear" w:color="000000" w:fill="FFFFFF"/>
          </w:tcPr>
          <w:p w14:paraId="32662AFB"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4115" w:type="dxa"/>
            <w:gridSpan w:val="2"/>
            <w:shd w:val="clear" w:color="000000" w:fill="FFFFFF"/>
          </w:tcPr>
          <w:p w14:paraId="148BB2CF"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Total:</w:t>
            </w:r>
          </w:p>
        </w:tc>
        <w:tc>
          <w:tcPr>
            <w:tcW w:w="1915" w:type="dxa"/>
            <w:gridSpan w:val="2"/>
            <w:tcBorders>
              <w:top w:val="single" w:sz="6" w:space="0" w:color="auto"/>
              <w:bottom w:val="single" w:sz="6" w:space="0" w:color="auto"/>
            </w:tcBorders>
            <w:shd w:val="clear" w:color="000000" w:fill="FFFFFF"/>
          </w:tcPr>
          <w:p w14:paraId="4E576E97" w14:textId="77777777" w:rsidR="003342BC" w:rsidRPr="003342BC" w:rsidRDefault="003342BC" w:rsidP="003342BC">
            <w:pPr>
              <w:spacing w:after="101" w:line="276" w:lineRule="auto"/>
              <w:jc w:val="both"/>
              <w:rPr>
                <w:rFonts w:ascii="Verdana" w:hAnsi="Verdana" w:cs="Arial"/>
                <w:b/>
                <w:sz w:val="16"/>
                <w:szCs w:val="16"/>
                <w:lang w:val="en-US"/>
              </w:rPr>
            </w:pPr>
          </w:p>
        </w:tc>
      </w:tr>
      <w:tr w:rsidR="003342BC" w:rsidRPr="003342BC" w14:paraId="40653C9B" w14:textId="77777777" w:rsidTr="00DC4FDA">
        <w:trPr>
          <w:cantSplit/>
          <w:trHeight w:val="20"/>
        </w:trPr>
        <w:tc>
          <w:tcPr>
            <w:tcW w:w="6797" w:type="dxa"/>
            <w:gridSpan w:val="3"/>
            <w:tcBorders>
              <w:bottom w:val="double" w:sz="6" w:space="0" w:color="auto"/>
            </w:tcBorders>
            <w:shd w:val="clear" w:color="000000" w:fill="FFFFFF"/>
          </w:tcPr>
          <w:p w14:paraId="5A198452"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xml:space="preserve">Lots exportation only/country: </w:t>
            </w:r>
          </w:p>
        </w:tc>
        <w:tc>
          <w:tcPr>
            <w:tcW w:w="1915" w:type="dxa"/>
            <w:gridSpan w:val="2"/>
            <w:tcBorders>
              <w:top w:val="single" w:sz="6" w:space="0" w:color="auto"/>
              <w:bottom w:val="double" w:sz="6" w:space="0" w:color="auto"/>
            </w:tcBorders>
            <w:shd w:val="clear" w:color="000000" w:fill="FFFFFF"/>
          </w:tcPr>
          <w:p w14:paraId="1FF62139" w14:textId="77777777" w:rsidR="003342BC" w:rsidRPr="003342BC" w:rsidRDefault="003342BC" w:rsidP="003342BC">
            <w:pPr>
              <w:spacing w:after="101" w:line="276" w:lineRule="auto"/>
              <w:jc w:val="both"/>
              <w:rPr>
                <w:rFonts w:ascii="Verdana" w:hAnsi="Verdana" w:cs="Arial"/>
                <w:b/>
                <w:sz w:val="16"/>
                <w:szCs w:val="16"/>
                <w:lang w:val="en-US"/>
              </w:rPr>
            </w:pPr>
          </w:p>
        </w:tc>
      </w:tr>
    </w:tbl>
    <w:p w14:paraId="06D2E94B" w14:textId="77777777" w:rsidR="003342BC" w:rsidRPr="003342BC" w:rsidRDefault="003342BC" w:rsidP="003342BC">
      <w:pPr>
        <w:spacing w:after="101" w:line="276" w:lineRule="auto"/>
        <w:ind w:firstLine="288"/>
        <w:jc w:val="both"/>
        <w:rPr>
          <w:rFonts w:ascii="Verdana" w:hAnsi="Verdana" w:cs="Arial"/>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3123"/>
        <w:gridCol w:w="2907"/>
      </w:tblGrid>
      <w:tr w:rsidR="003342BC" w:rsidRPr="003342BC" w14:paraId="5B133ABD" w14:textId="77777777" w:rsidTr="00DC4FDA">
        <w:trPr>
          <w:cantSplit/>
          <w:trHeight w:val="20"/>
        </w:trPr>
        <w:tc>
          <w:tcPr>
            <w:tcW w:w="2682" w:type="dxa"/>
            <w:shd w:val="clear" w:color="000000" w:fill="FFFFFF"/>
            <w:noWrap/>
          </w:tcPr>
          <w:p w14:paraId="644C93B2"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Review of documentation</w:t>
            </w:r>
          </w:p>
        </w:tc>
        <w:tc>
          <w:tcPr>
            <w:tcW w:w="3123" w:type="dxa"/>
            <w:tcBorders>
              <w:top w:val="double" w:sz="6" w:space="0" w:color="auto"/>
              <w:bottom w:val="single" w:sz="6" w:space="0" w:color="auto"/>
            </w:tcBorders>
            <w:shd w:val="clear" w:color="000000" w:fill="FFFFFF"/>
          </w:tcPr>
          <w:p w14:paraId="68CB0F5E"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Made by:</w:t>
            </w:r>
          </w:p>
        </w:tc>
        <w:tc>
          <w:tcPr>
            <w:tcW w:w="2907" w:type="dxa"/>
            <w:tcBorders>
              <w:top w:val="double" w:sz="6" w:space="0" w:color="auto"/>
              <w:bottom w:val="single" w:sz="6" w:space="0" w:color="auto"/>
            </w:tcBorders>
            <w:shd w:val="clear" w:color="000000" w:fill="FFFFFF"/>
          </w:tcPr>
          <w:p w14:paraId="51198514"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Date:</w:t>
            </w:r>
          </w:p>
        </w:tc>
      </w:tr>
      <w:tr w:rsidR="003342BC" w:rsidRPr="00861FCE" w14:paraId="6AE0B324" w14:textId="77777777" w:rsidTr="00DC4FDA">
        <w:trPr>
          <w:cantSplit/>
          <w:trHeight w:val="20"/>
        </w:trPr>
        <w:tc>
          <w:tcPr>
            <w:tcW w:w="2682" w:type="dxa"/>
            <w:shd w:val="clear" w:color="000000" w:fill="FFFFFF"/>
          </w:tcPr>
          <w:p w14:paraId="0BC142C6" w14:textId="77777777" w:rsidR="003342BC" w:rsidRPr="003342BC" w:rsidRDefault="003342BC" w:rsidP="003342BC">
            <w:pPr>
              <w:spacing w:after="101" w:line="276" w:lineRule="auto"/>
              <w:jc w:val="both"/>
              <w:rPr>
                <w:rFonts w:ascii="Verdana" w:hAnsi="Verdana" w:cs="Arial"/>
                <w:sz w:val="16"/>
                <w:szCs w:val="16"/>
                <w:lang w:val="en-US"/>
              </w:rPr>
            </w:pPr>
            <w:r w:rsidRPr="003342BC">
              <w:rPr>
                <w:rFonts w:ascii="Verdana" w:hAnsi="Verdana" w:cs="Arial"/>
                <w:sz w:val="16"/>
                <w:szCs w:val="16"/>
                <w:lang w:val="en-US"/>
              </w:rPr>
              <w:t>Formula</w:t>
            </w:r>
          </w:p>
        </w:tc>
        <w:tc>
          <w:tcPr>
            <w:tcW w:w="6030" w:type="dxa"/>
            <w:gridSpan w:val="2"/>
            <w:tcBorders>
              <w:top w:val="single" w:sz="6" w:space="0" w:color="auto"/>
              <w:bottom w:val="single" w:sz="6" w:space="0" w:color="auto"/>
            </w:tcBorders>
            <w:shd w:val="clear" w:color="000000" w:fill="FFFFFF"/>
          </w:tcPr>
          <w:p w14:paraId="102B5ECE" w14:textId="77777777" w:rsidR="003342BC" w:rsidRPr="003342BC" w:rsidRDefault="003342BC" w:rsidP="003342BC">
            <w:pPr>
              <w:spacing w:after="101" w:line="276" w:lineRule="auto"/>
              <w:jc w:val="both"/>
              <w:rPr>
                <w:rFonts w:ascii="Verdana" w:hAnsi="Verdana" w:cs="Arial"/>
                <w:i/>
                <w:sz w:val="16"/>
                <w:szCs w:val="16"/>
                <w:lang w:val="en-US"/>
              </w:rPr>
            </w:pPr>
            <w:r w:rsidRPr="003342BC">
              <w:rPr>
                <w:rFonts w:ascii="Verdana" w:hAnsi="Verdana" w:cs="Arial"/>
                <w:i/>
                <w:sz w:val="16"/>
                <w:szCs w:val="16"/>
                <w:lang w:val="en-US"/>
              </w:rPr>
              <w:t>Information: Modifications in the qualitative-quantitative formula</w:t>
            </w:r>
          </w:p>
        </w:tc>
      </w:tr>
      <w:tr w:rsidR="003342BC" w:rsidRPr="00861FCE" w14:paraId="42F0970B" w14:textId="77777777" w:rsidTr="00DC4FDA">
        <w:trPr>
          <w:cantSplit/>
          <w:trHeight w:val="20"/>
        </w:trPr>
        <w:tc>
          <w:tcPr>
            <w:tcW w:w="2682" w:type="dxa"/>
            <w:shd w:val="clear" w:color="000000" w:fill="FFFFFF"/>
          </w:tcPr>
          <w:p w14:paraId="49454FA8" w14:textId="77777777" w:rsidR="003342BC" w:rsidRPr="003342BC" w:rsidRDefault="003342BC" w:rsidP="003342BC">
            <w:pPr>
              <w:spacing w:after="101" w:line="276" w:lineRule="auto"/>
              <w:jc w:val="both"/>
              <w:rPr>
                <w:rFonts w:ascii="Verdana" w:hAnsi="Verdana" w:cs="Arial"/>
                <w:sz w:val="16"/>
                <w:szCs w:val="16"/>
                <w:lang w:val="en-US"/>
              </w:rPr>
            </w:pPr>
            <w:r w:rsidRPr="003342BC">
              <w:rPr>
                <w:rFonts w:ascii="Verdana" w:hAnsi="Verdana" w:cs="Arial"/>
                <w:sz w:val="16"/>
                <w:szCs w:val="16"/>
                <w:lang w:val="en-US"/>
              </w:rPr>
              <w:t>Review of the product specifications</w:t>
            </w:r>
          </w:p>
        </w:tc>
        <w:tc>
          <w:tcPr>
            <w:tcW w:w="6030" w:type="dxa"/>
            <w:gridSpan w:val="2"/>
            <w:tcBorders>
              <w:top w:val="single" w:sz="6" w:space="0" w:color="auto"/>
              <w:bottom w:val="single" w:sz="6" w:space="0" w:color="auto"/>
            </w:tcBorders>
            <w:shd w:val="clear" w:color="000000" w:fill="FFFFFF"/>
          </w:tcPr>
          <w:p w14:paraId="030DC94F" w14:textId="77777777" w:rsidR="003342BC" w:rsidRPr="003342BC" w:rsidRDefault="003342BC" w:rsidP="003342BC">
            <w:pPr>
              <w:spacing w:after="101" w:line="276" w:lineRule="auto"/>
              <w:jc w:val="both"/>
              <w:rPr>
                <w:rFonts w:ascii="Verdana" w:hAnsi="Verdana" w:cs="Arial"/>
                <w:i/>
                <w:sz w:val="16"/>
                <w:szCs w:val="16"/>
                <w:lang w:val="en-US"/>
              </w:rPr>
            </w:pPr>
            <w:r w:rsidRPr="003342BC">
              <w:rPr>
                <w:rFonts w:ascii="Verdana" w:hAnsi="Verdana" w:cs="Arial"/>
                <w:i/>
                <w:sz w:val="16"/>
                <w:szCs w:val="16"/>
                <w:lang w:val="en-US"/>
              </w:rPr>
              <w:t>Information: Modifications in the methods and analytical methods of the product</w:t>
            </w:r>
          </w:p>
        </w:tc>
      </w:tr>
      <w:tr w:rsidR="003342BC" w:rsidRPr="00861FCE" w14:paraId="10918D12" w14:textId="77777777" w:rsidTr="00DC4FDA">
        <w:trPr>
          <w:cantSplit/>
          <w:trHeight w:val="20"/>
        </w:trPr>
        <w:tc>
          <w:tcPr>
            <w:tcW w:w="2682" w:type="dxa"/>
            <w:shd w:val="clear" w:color="000000" w:fill="FFFFFF"/>
          </w:tcPr>
          <w:p w14:paraId="22DF5572" w14:textId="77777777" w:rsidR="003342BC" w:rsidRPr="003342BC" w:rsidRDefault="003342BC" w:rsidP="003342BC">
            <w:pPr>
              <w:spacing w:after="101" w:line="276" w:lineRule="auto"/>
              <w:jc w:val="both"/>
              <w:rPr>
                <w:rFonts w:ascii="Verdana" w:hAnsi="Verdana" w:cs="Arial"/>
                <w:sz w:val="16"/>
                <w:szCs w:val="16"/>
                <w:lang w:val="en-US"/>
              </w:rPr>
            </w:pPr>
            <w:r w:rsidRPr="003342BC">
              <w:rPr>
                <w:rFonts w:ascii="Verdana" w:hAnsi="Verdana" w:cs="Arial"/>
                <w:sz w:val="16"/>
                <w:szCs w:val="16"/>
                <w:lang w:val="en-US"/>
              </w:rPr>
              <w:t>Review of the history of drug substanes / bio-drug substances / additives/ primary packaging material</w:t>
            </w:r>
          </w:p>
        </w:tc>
        <w:tc>
          <w:tcPr>
            <w:tcW w:w="6030" w:type="dxa"/>
            <w:gridSpan w:val="2"/>
            <w:tcBorders>
              <w:top w:val="single" w:sz="6" w:space="0" w:color="auto"/>
            </w:tcBorders>
            <w:shd w:val="clear" w:color="000000" w:fill="FFFFFF"/>
          </w:tcPr>
          <w:p w14:paraId="6CDDB5BA" w14:textId="77777777" w:rsidR="003342BC" w:rsidRPr="003342BC" w:rsidRDefault="003342BC" w:rsidP="003342BC">
            <w:pPr>
              <w:spacing w:after="101" w:line="276" w:lineRule="auto"/>
              <w:jc w:val="both"/>
              <w:rPr>
                <w:rFonts w:ascii="Verdana" w:hAnsi="Verdana" w:cs="Arial"/>
                <w:i/>
                <w:sz w:val="16"/>
                <w:szCs w:val="16"/>
                <w:lang w:val="en-US"/>
              </w:rPr>
            </w:pPr>
            <w:r w:rsidRPr="003342BC">
              <w:rPr>
                <w:rFonts w:ascii="Verdana" w:hAnsi="Verdana" w:cs="Arial"/>
                <w:i/>
                <w:sz w:val="16"/>
                <w:szCs w:val="16"/>
                <w:lang w:val="en-US"/>
              </w:rPr>
              <w:t>Information: Review the history of the materials involved in the manufacturing of the ARP lots, including changes in manufacturers, changes of specification and analytical methods, cross references, reports and programs</w:t>
            </w:r>
          </w:p>
        </w:tc>
      </w:tr>
    </w:tbl>
    <w:p w14:paraId="3ADD9F9D" w14:textId="77777777" w:rsidR="003342BC" w:rsidRPr="003342BC" w:rsidRDefault="003342BC" w:rsidP="003342BC">
      <w:pPr>
        <w:spacing w:after="101" w:line="276" w:lineRule="auto"/>
        <w:ind w:firstLine="288"/>
        <w:jc w:val="both"/>
        <w:rPr>
          <w:rFonts w:ascii="Verdana" w:hAnsi="Verdana" w:cs="Arial"/>
          <w:sz w:val="16"/>
          <w:szCs w:val="16"/>
          <w:lang w:val="en-US"/>
        </w:rPr>
      </w:pPr>
    </w:p>
    <w:tbl>
      <w:tblPr>
        <w:tblW w:w="8746" w:type="dxa"/>
        <w:tblInd w:w="144" w:type="dxa"/>
        <w:tblLayout w:type="fixed"/>
        <w:tblCellMar>
          <w:left w:w="70" w:type="dxa"/>
          <w:right w:w="70" w:type="dxa"/>
        </w:tblCellMar>
        <w:tblLook w:val="0000" w:firstRow="0" w:lastRow="0" w:firstColumn="0" w:lastColumn="0" w:noHBand="0" w:noVBand="0"/>
      </w:tblPr>
      <w:tblGrid>
        <w:gridCol w:w="2282"/>
        <w:gridCol w:w="1667"/>
        <w:gridCol w:w="1757"/>
        <w:gridCol w:w="508"/>
        <w:gridCol w:w="1640"/>
        <w:gridCol w:w="892"/>
      </w:tblGrid>
      <w:tr w:rsidR="003342BC" w:rsidRPr="003342BC" w14:paraId="2267B0BF" w14:textId="77777777" w:rsidTr="00DC4FDA">
        <w:trPr>
          <w:cantSplit/>
          <w:trHeight w:val="20"/>
        </w:trPr>
        <w:tc>
          <w:tcPr>
            <w:tcW w:w="3949" w:type="dxa"/>
            <w:gridSpan w:val="2"/>
            <w:tcBorders>
              <w:top w:val="double" w:sz="6" w:space="0" w:color="auto"/>
              <w:left w:val="double" w:sz="6" w:space="0" w:color="auto"/>
              <w:bottom w:val="single" w:sz="6" w:space="0" w:color="auto"/>
            </w:tcBorders>
            <w:shd w:val="clear" w:color="000000" w:fill="FFFFFF"/>
            <w:noWrap/>
          </w:tcPr>
          <w:p w14:paraId="63412D17"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xml:space="preserve">Review of the Quality Management System </w:t>
            </w:r>
          </w:p>
        </w:tc>
        <w:tc>
          <w:tcPr>
            <w:tcW w:w="1757" w:type="dxa"/>
            <w:tcBorders>
              <w:top w:val="double" w:sz="6" w:space="0" w:color="auto"/>
              <w:bottom w:val="single" w:sz="6" w:space="0" w:color="auto"/>
            </w:tcBorders>
            <w:shd w:val="clear" w:color="000000" w:fill="FFFFFF"/>
          </w:tcPr>
          <w:p w14:paraId="566BAA24"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Made by:</w:t>
            </w:r>
          </w:p>
        </w:tc>
        <w:tc>
          <w:tcPr>
            <w:tcW w:w="508" w:type="dxa"/>
            <w:tcBorders>
              <w:top w:val="double" w:sz="6" w:space="0" w:color="auto"/>
              <w:bottom w:val="single" w:sz="6" w:space="0" w:color="auto"/>
            </w:tcBorders>
            <w:shd w:val="clear" w:color="000000" w:fill="FFFFFF"/>
          </w:tcPr>
          <w:p w14:paraId="7B6AF84C"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1640" w:type="dxa"/>
            <w:tcBorders>
              <w:top w:val="double" w:sz="6" w:space="0" w:color="auto"/>
              <w:bottom w:val="single" w:sz="6" w:space="0" w:color="auto"/>
            </w:tcBorders>
            <w:shd w:val="clear" w:color="000000" w:fill="FFFFFF"/>
          </w:tcPr>
          <w:p w14:paraId="51C477EA" w14:textId="77777777" w:rsidR="003342BC" w:rsidRPr="003342BC" w:rsidRDefault="003342BC" w:rsidP="003342BC">
            <w:pPr>
              <w:spacing w:after="101" w:line="276" w:lineRule="auto"/>
              <w:jc w:val="center"/>
              <w:rPr>
                <w:rFonts w:ascii="Verdana" w:hAnsi="Verdana" w:cs="Arial"/>
                <w:b/>
                <w:sz w:val="16"/>
                <w:szCs w:val="16"/>
                <w:lang w:val="en-US"/>
              </w:rPr>
            </w:pPr>
            <w:r w:rsidRPr="003342BC">
              <w:rPr>
                <w:rFonts w:ascii="Verdana" w:hAnsi="Verdana" w:cs="Arial"/>
                <w:b/>
                <w:sz w:val="16"/>
                <w:szCs w:val="16"/>
                <w:lang w:val="en-US"/>
              </w:rPr>
              <w:t>Date:</w:t>
            </w:r>
          </w:p>
        </w:tc>
        <w:tc>
          <w:tcPr>
            <w:tcW w:w="892" w:type="dxa"/>
            <w:tcBorders>
              <w:top w:val="double" w:sz="6" w:space="0" w:color="auto"/>
              <w:bottom w:val="single" w:sz="6" w:space="0" w:color="auto"/>
              <w:right w:val="double" w:sz="6" w:space="0" w:color="auto"/>
            </w:tcBorders>
            <w:shd w:val="clear" w:color="000000" w:fill="FFFFFF"/>
          </w:tcPr>
          <w:p w14:paraId="79393308" w14:textId="77777777" w:rsidR="003342BC" w:rsidRPr="003342BC" w:rsidRDefault="003342BC" w:rsidP="003342BC">
            <w:pPr>
              <w:spacing w:after="101" w:line="276" w:lineRule="auto"/>
              <w:jc w:val="both"/>
              <w:rPr>
                <w:rFonts w:ascii="Verdana" w:hAnsi="Verdana" w:cs="Arial"/>
                <w:sz w:val="16"/>
                <w:szCs w:val="16"/>
                <w:lang w:val="en-US"/>
              </w:rPr>
            </w:pPr>
            <w:r w:rsidRPr="003342BC">
              <w:rPr>
                <w:rFonts w:ascii="Verdana" w:hAnsi="Verdana" w:cs="Arial"/>
                <w:sz w:val="16"/>
                <w:szCs w:val="16"/>
                <w:lang w:val="en-US"/>
              </w:rPr>
              <w:t> </w:t>
            </w:r>
          </w:p>
        </w:tc>
      </w:tr>
      <w:tr w:rsidR="003342BC" w:rsidRPr="00861FCE" w14:paraId="00F768BD" w14:textId="77777777" w:rsidTr="00DC4FDA">
        <w:trPr>
          <w:cantSplit/>
          <w:trHeight w:val="20"/>
        </w:trPr>
        <w:tc>
          <w:tcPr>
            <w:tcW w:w="2282" w:type="dxa"/>
            <w:tcBorders>
              <w:top w:val="single" w:sz="6" w:space="0" w:color="auto"/>
              <w:left w:val="double" w:sz="6" w:space="0" w:color="auto"/>
            </w:tcBorders>
            <w:shd w:val="clear" w:color="000000" w:fill="FFFFFF"/>
          </w:tcPr>
          <w:p w14:paraId="7EF44628" w14:textId="77777777" w:rsidR="003342BC" w:rsidRPr="003342BC" w:rsidRDefault="003342BC" w:rsidP="003342BC">
            <w:pPr>
              <w:spacing w:after="101" w:line="276" w:lineRule="auto"/>
              <w:jc w:val="both"/>
              <w:rPr>
                <w:rFonts w:ascii="Verdana" w:hAnsi="Verdana" w:cs="Arial"/>
                <w:sz w:val="16"/>
                <w:szCs w:val="16"/>
                <w:lang w:val="en-US"/>
              </w:rPr>
            </w:pPr>
            <w:r w:rsidRPr="003342BC">
              <w:rPr>
                <w:rFonts w:ascii="Verdana" w:hAnsi="Verdana" w:cs="Arial"/>
                <w:sz w:val="16"/>
                <w:szCs w:val="16"/>
                <w:lang w:val="en-US"/>
              </w:rPr>
              <w:t>Deviations and/or noncompliant product</w:t>
            </w:r>
          </w:p>
        </w:tc>
        <w:tc>
          <w:tcPr>
            <w:tcW w:w="6464" w:type="dxa"/>
            <w:gridSpan w:val="5"/>
            <w:tcBorders>
              <w:top w:val="single" w:sz="6" w:space="0" w:color="auto"/>
              <w:bottom w:val="single" w:sz="6" w:space="0" w:color="auto"/>
              <w:right w:val="double" w:sz="6" w:space="0" w:color="auto"/>
            </w:tcBorders>
            <w:shd w:val="clear" w:color="000000" w:fill="FFFFFF"/>
          </w:tcPr>
          <w:p w14:paraId="7C346443" w14:textId="77777777" w:rsidR="003342BC" w:rsidRPr="003342BC" w:rsidRDefault="003342BC" w:rsidP="003342BC">
            <w:pPr>
              <w:spacing w:after="101" w:line="276" w:lineRule="auto"/>
              <w:jc w:val="both"/>
              <w:rPr>
                <w:rFonts w:ascii="Verdana" w:hAnsi="Verdana" w:cs="Arial"/>
                <w:i/>
                <w:sz w:val="16"/>
                <w:szCs w:val="16"/>
                <w:lang w:val="en-US"/>
              </w:rPr>
            </w:pPr>
            <w:r w:rsidRPr="003342BC">
              <w:rPr>
                <w:rFonts w:ascii="Verdana" w:hAnsi="Verdana" w:cs="Arial"/>
                <w:i/>
                <w:sz w:val="16"/>
                <w:szCs w:val="16"/>
                <w:lang w:val="en-US"/>
              </w:rPr>
              <w:t xml:space="preserve">Information: Include cross references, reports and investigation of failures and associated CAPA </w:t>
            </w:r>
          </w:p>
        </w:tc>
      </w:tr>
      <w:tr w:rsidR="003342BC" w:rsidRPr="003342BC" w14:paraId="1AAA61B7" w14:textId="77777777" w:rsidTr="00DC4FDA">
        <w:trPr>
          <w:cantSplit/>
          <w:trHeight w:val="20"/>
        </w:trPr>
        <w:tc>
          <w:tcPr>
            <w:tcW w:w="2282" w:type="dxa"/>
            <w:tcBorders>
              <w:left w:val="double" w:sz="6" w:space="0" w:color="auto"/>
              <w:bottom w:val="double" w:sz="6" w:space="0" w:color="auto"/>
            </w:tcBorders>
            <w:shd w:val="clear" w:color="000000" w:fill="FFFFFF"/>
          </w:tcPr>
          <w:p w14:paraId="2E79BAA8" w14:textId="77777777" w:rsidR="003342BC" w:rsidRPr="003342BC" w:rsidRDefault="003342BC" w:rsidP="003342BC">
            <w:pPr>
              <w:spacing w:after="101" w:line="276" w:lineRule="auto"/>
              <w:jc w:val="both"/>
              <w:rPr>
                <w:rFonts w:ascii="Verdana" w:hAnsi="Verdana" w:cs="Arial"/>
                <w:sz w:val="16"/>
                <w:szCs w:val="16"/>
                <w:lang w:val="en-US"/>
              </w:rPr>
            </w:pPr>
            <w:r w:rsidRPr="003342BC">
              <w:rPr>
                <w:rFonts w:ascii="Verdana" w:hAnsi="Verdana" w:cs="Arial"/>
                <w:sz w:val="16"/>
                <w:szCs w:val="16"/>
                <w:lang w:val="en-US"/>
              </w:rPr>
              <w:lastRenderedPageBreak/>
              <w:t>Analytical results outside of specification / analytical results outside of tendency</w:t>
            </w:r>
          </w:p>
        </w:tc>
        <w:tc>
          <w:tcPr>
            <w:tcW w:w="6464" w:type="dxa"/>
            <w:gridSpan w:val="5"/>
            <w:tcBorders>
              <w:bottom w:val="double" w:sz="6" w:space="0" w:color="auto"/>
              <w:right w:val="double" w:sz="6" w:space="0" w:color="auto"/>
            </w:tcBorders>
            <w:shd w:val="clear" w:color="000000" w:fill="FFFFFF"/>
          </w:tcPr>
          <w:p w14:paraId="0EFA8804" w14:textId="77777777" w:rsidR="003342BC" w:rsidRPr="003342BC" w:rsidRDefault="003342BC" w:rsidP="003342BC">
            <w:pPr>
              <w:spacing w:after="101" w:line="276" w:lineRule="auto"/>
              <w:jc w:val="both"/>
              <w:rPr>
                <w:rFonts w:ascii="Verdana" w:hAnsi="Verdana" w:cs="Arial"/>
                <w:i/>
                <w:sz w:val="16"/>
                <w:szCs w:val="16"/>
                <w:lang w:val="en-US"/>
              </w:rPr>
            </w:pPr>
            <w:r w:rsidRPr="003342BC">
              <w:rPr>
                <w:rFonts w:ascii="Verdana" w:hAnsi="Verdana" w:cs="Arial"/>
                <w:i/>
                <w:sz w:val="16"/>
                <w:szCs w:val="16"/>
                <w:lang w:val="en-US"/>
              </w:rPr>
              <w:t>Information: Include cross references, reports and investigation of associated failures.</w:t>
            </w:r>
          </w:p>
          <w:p w14:paraId="3C40BD49" w14:textId="77777777" w:rsidR="003342BC" w:rsidRPr="003342BC" w:rsidRDefault="003342BC" w:rsidP="003342BC">
            <w:pPr>
              <w:spacing w:after="101" w:line="276" w:lineRule="auto"/>
              <w:jc w:val="both"/>
              <w:rPr>
                <w:rFonts w:ascii="Verdana" w:hAnsi="Verdana" w:cs="Arial"/>
                <w:i/>
                <w:sz w:val="16"/>
                <w:szCs w:val="16"/>
                <w:lang w:val="en-US"/>
              </w:rPr>
            </w:pPr>
            <w:r w:rsidRPr="003342BC">
              <w:rPr>
                <w:rFonts w:ascii="Verdana" w:hAnsi="Verdana" w:cs="Arial"/>
                <w:i/>
                <w:sz w:val="16"/>
                <w:szCs w:val="16"/>
                <w:lang w:val="en-US"/>
              </w:rPr>
              <w:t>_______________________________________________________________________</w:t>
            </w:r>
          </w:p>
        </w:tc>
      </w:tr>
    </w:tbl>
    <w:p w14:paraId="15737084" w14:textId="77777777" w:rsidR="003342BC" w:rsidRPr="003342BC" w:rsidRDefault="003342BC" w:rsidP="003342BC">
      <w:pPr>
        <w:spacing w:after="101" w:line="276" w:lineRule="auto"/>
        <w:ind w:firstLine="288"/>
        <w:jc w:val="both"/>
        <w:rPr>
          <w:rFonts w:ascii="Verdana" w:hAnsi="Verdana" w:cs="Arial"/>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515"/>
        <w:gridCol w:w="1640"/>
        <w:gridCol w:w="1267"/>
      </w:tblGrid>
      <w:tr w:rsidR="003342BC" w:rsidRPr="003342BC" w14:paraId="030F147D" w14:textId="77777777" w:rsidTr="00DC4FDA">
        <w:trPr>
          <w:cantSplit/>
          <w:trHeight w:val="20"/>
        </w:trPr>
        <w:tc>
          <w:tcPr>
            <w:tcW w:w="4046" w:type="dxa"/>
            <w:gridSpan w:val="2"/>
            <w:tcBorders>
              <w:top w:val="double" w:sz="6" w:space="0" w:color="auto"/>
              <w:bottom w:val="double" w:sz="6" w:space="0" w:color="auto"/>
            </w:tcBorders>
            <w:shd w:val="clear" w:color="000000" w:fill="FFFFFF"/>
            <w:noWrap/>
          </w:tcPr>
          <w:p w14:paraId="08B032ED"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Review of process data</w:t>
            </w:r>
          </w:p>
        </w:tc>
        <w:tc>
          <w:tcPr>
            <w:tcW w:w="1244" w:type="dxa"/>
            <w:shd w:val="clear" w:color="000000" w:fill="FFFFFF"/>
          </w:tcPr>
          <w:p w14:paraId="6A9E5FB3"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xml:space="preserve">Made by: </w:t>
            </w:r>
          </w:p>
        </w:tc>
        <w:tc>
          <w:tcPr>
            <w:tcW w:w="515" w:type="dxa"/>
            <w:tcBorders>
              <w:top w:val="double" w:sz="6" w:space="0" w:color="auto"/>
              <w:bottom w:val="single" w:sz="6" w:space="0" w:color="auto"/>
            </w:tcBorders>
            <w:shd w:val="clear" w:color="000000" w:fill="FFFFFF"/>
          </w:tcPr>
          <w:p w14:paraId="58CA394E"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1640" w:type="dxa"/>
            <w:shd w:val="clear" w:color="000000" w:fill="FFFFFF"/>
          </w:tcPr>
          <w:p w14:paraId="61055906" w14:textId="77777777" w:rsidR="003342BC" w:rsidRPr="003342BC" w:rsidRDefault="003342BC" w:rsidP="003342BC">
            <w:pPr>
              <w:spacing w:after="101" w:line="276" w:lineRule="auto"/>
              <w:rPr>
                <w:rFonts w:ascii="Verdana" w:hAnsi="Verdana" w:cs="Arial"/>
                <w:b/>
                <w:sz w:val="16"/>
                <w:szCs w:val="16"/>
                <w:lang w:val="en-US"/>
              </w:rPr>
            </w:pPr>
            <w:r w:rsidRPr="003342BC">
              <w:rPr>
                <w:rFonts w:ascii="Verdana" w:hAnsi="Verdana" w:cs="Arial"/>
                <w:b/>
                <w:sz w:val="16"/>
                <w:szCs w:val="16"/>
                <w:lang w:val="en-US"/>
              </w:rPr>
              <w:t>Date:</w:t>
            </w:r>
          </w:p>
        </w:tc>
        <w:tc>
          <w:tcPr>
            <w:tcW w:w="1267" w:type="dxa"/>
            <w:tcBorders>
              <w:top w:val="double" w:sz="6" w:space="0" w:color="auto"/>
              <w:bottom w:val="single" w:sz="6" w:space="0" w:color="auto"/>
            </w:tcBorders>
            <w:shd w:val="clear" w:color="000000" w:fill="FFFFFF"/>
          </w:tcPr>
          <w:p w14:paraId="25352667" w14:textId="77777777" w:rsidR="003342BC" w:rsidRPr="003342BC" w:rsidRDefault="003342BC" w:rsidP="003342BC">
            <w:pPr>
              <w:spacing w:after="101"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861FCE" w14:paraId="7902BF76" w14:textId="77777777" w:rsidTr="00DC4FDA">
        <w:trPr>
          <w:cantSplit/>
          <w:trHeight w:val="20"/>
        </w:trPr>
        <w:tc>
          <w:tcPr>
            <w:tcW w:w="2682" w:type="dxa"/>
            <w:shd w:val="clear" w:color="000000" w:fill="FFFFFF"/>
          </w:tcPr>
          <w:p w14:paraId="7491B56E" w14:textId="77777777" w:rsidR="003342BC" w:rsidRPr="003342BC" w:rsidRDefault="003342BC" w:rsidP="003342BC">
            <w:pPr>
              <w:spacing w:after="101" w:line="276" w:lineRule="auto"/>
              <w:jc w:val="both"/>
              <w:rPr>
                <w:rFonts w:ascii="Verdana" w:hAnsi="Verdana" w:cs="Arial"/>
                <w:sz w:val="16"/>
                <w:szCs w:val="16"/>
                <w:lang w:val="en-US"/>
              </w:rPr>
            </w:pPr>
            <w:r w:rsidRPr="003342BC">
              <w:rPr>
                <w:rFonts w:ascii="Verdana" w:hAnsi="Verdana" w:cs="Arial"/>
                <w:sz w:val="16"/>
                <w:szCs w:val="16"/>
                <w:lang w:val="en-US"/>
              </w:rPr>
              <w:t xml:space="preserve">Critical parameters: </w:t>
            </w:r>
          </w:p>
        </w:tc>
        <w:tc>
          <w:tcPr>
            <w:tcW w:w="6030" w:type="dxa"/>
            <w:gridSpan w:val="5"/>
            <w:tcBorders>
              <w:bottom w:val="nil"/>
            </w:tcBorders>
            <w:shd w:val="clear" w:color="000000" w:fill="FFFFFF"/>
          </w:tcPr>
          <w:p w14:paraId="14EA3BBF" w14:textId="77777777" w:rsidR="003342BC" w:rsidRPr="003342BC" w:rsidRDefault="003342BC" w:rsidP="003342BC">
            <w:pPr>
              <w:spacing w:after="101" w:line="276" w:lineRule="auto"/>
              <w:jc w:val="both"/>
              <w:rPr>
                <w:rFonts w:ascii="Verdana" w:hAnsi="Verdana" w:cs="Arial"/>
                <w:i/>
                <w:sz w:val="16"/>
                <w:szCs w:val="16"/>
                <w:lang w:val="en-US"/>
              </w:rPr>
            </w:pPr>
            <w:r w:rsidRPr="003342BC">
              <w:rPr>
                <w:rFonts w:ascii="Verdana" w:hAnsi="Verdana" w:cs="Arial"/>
                <w:i/>
                <w:sz w:val="16"/>
                <w:szCs w:val="16"/>
                <w:lang w:val="en-US"/>
              </w:rPr>
              <w:t xml:space="preserve">Information: Review of controls in process, include modifications. </w:t>
            </w:r>
          </w:p>
        </w:tc>
      </w:tr>
      <w:tr w:rsidR="003342BC" w:rsidRPr="00861FCE" w14:paraId="1652663F" w14:textId="77777777" w:rsidTr="00DC4FDA">
        <w:trPr>
          <w:cantSplit/>
          <w:trHeight w:val="20"/>
        </w:trPr>
        <w:tc>
          <w:tcPr>
            <w:tcW w:w="2682" w:type="dxa"/>
            <w:shd w:val="clear" w:color="000000" w:fill="FFFFFF"/>
          </w:tcPr>
          <w:p w14:paraId="79781118" w14:textId="77777777" w:rsidR="003342BC" w:rsidRPr="003342BC" w:rsidRDefault="003342BC" w:rsidP="003342BC">
            <w:pPr>
              <w:spacing w:after="101" w:line="276" w:lineRule="auto"/>
              <w:jc w:val="both"/>
              <w:rPr>
                <w:rFonts w:ascii="Verdana" w:hAnsi="Verdana" w:cs="Arial"/>
                <w:sz w:val="16"/>
                <w:szCs w:val="16"/>
                <w:lang w:val="en-US"/>
              </w:rPr>
            </w:pPr>
            <w:r w:rsidRPr="003342BC">
              <w:rPr>
                <w:rFonts w:ascii="Verdana" w:hAnsi="Verdana" w:cs="Arial"/>
                <w:sz w:val="16"/>
                <w:szCs w:val="16"/>
                <w:lang w:val="en-US"/>
              </w:rPr>
              <w:t> </w:t>
            </w:r>
          </w:p>
        </w:tc>
        <w:tc>
          <w:tcPr>
            <w:tcW w:w="6030" w:type="dxa"/>
            <w:gridSpan w:val="5"/>
            <w:tcBorders>
              <w:top w:val="nil"/>
              <w:bottom w:val="single" w:sz="6" w:space="0" w:color="auto"/>
            </w:tcBorders>
            <w:shd w:val="clear" w:color="000000" w:fill="FFFFFF"/>
          </w:tcPr>
          <w:p w14:paraId="0E34B00C" w14:textId="77777777" w:rsidR="003342BC" w:rsidRPr="003342BC" w:rsidRDefault="003342BC" w:rsidP="003342BC">
            <w:pPr>
              <w:spacing w:after="101" w:line="276" w:lineRule="auto"/>
              <w:jc w:val="both"/>
              <w:rPr>
                <w:rFonts w:ascii="Verdana" w:hAnsi="Verdana" w:cs="Arial"/>
                <w:i/>
                <w:sz w:val="16"/>
                <w:szCs w:val="16"/>
                <w:lang w:val="en-US"/>
              </w:rPr>
            </w:pPr>
          </w:p>
        </w:tc>
      </w:tr>
      <w:tr w:rsidR="003342BC" w:rsidRPr="00861FCE" w14:paraId="349467E5" w14:textId="77777777" w:rsidTr="00DC4FDA">
        <w:trPr>
          <w:cantSplit/>
          <w:trHeight w:val="20"/>
        </w:trPr>
        <w:tc>
          <w:tcPr>
            <w:tcW w:w="8712" w:type="dxa"/>
            <w:gridSpan w:val="6"/>
            <w:shd w:val="clear" w:color="000000" w:fill="FFFFFF"/>
          </w:tcPr>
          <w:p w14:paraId="722946F7" w14:textId="77777777" w:rsidR="003342BC" w:rsidRPr="003342BC" w:rsidRDefault="003342BC" w:rsidP="003342BC">
            <w:pPr>
              <w:spacing w:after="101" w:line="276" w:lineRule="auto"/>
              <w:jc w:val="both"/>
              <w:rPr>
                <w:rFonts w:ascii="Verdana" w:hAnsi="Verdana" w:cs="Arial"/>
                <w:i/>
                <w:sz w:val="16"/>
                <w:szCs w:val="16"/>
                <w:lang w:val="en-US"/>
              </w:rPr>
            </w:pPr>
          </w:p>
        </w:tc>
      </w:tr>
    </w:tbl>
    <w:p w14:paraId="3C6280E7" w14:textId="77777777" w:rsidR="003342BC" w:rsidRPr="003342BC" w:rsidRDefault="003342BC" w:rsidP="003342BC">
      <w:pPr>
        <w:spacing w:after="101" w:line="276" w:lineRule="auto"/>
        <w:ind w:firstLine="288"/>
        <w:jc w:val="both"/>
        <w:rPr>
          <w:rFonts w:ascii="Verdana" w:hAnsi="Verdana" w:cs="Arial"/>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515"/>
        <w:gridCol w:w="1640"/>
        <w:gridCol w:w="1267"/>
      </w:tblGrid>
      <w:tr w:rsidR="003342BC" w:rsidRPr="003342BC" w14:paraId="68A96357" w14:textId="77777777" w:rsidTr="00DC4FDA">
        <w:trPr>
          <w:cantSplit/>
          <w:trHeight w:val="20"/>
        </w:trPr>
        <w:tc>
          <w:tcPr>
            <w:tcW w:w="4046" w:type="dxa"/>
            <w:gridSpan w:val="2"/>
            <w:tcBorders>
              <w:top w:val="double" w:sz="6" w:space="0" w:color="auto"/>
              <w:bottom w:val="double" w:sz="6" w:space="0" w:color="auto"/>
            </w:tcBorders>
            <w:shd w:val="clear" w:color="000000" w:fill="FFFFFF"/>
            <w:noWrap/>
          </w:tcPr>
          <w:p w14:paraId="29F7E70D" w14:textId="77777777" w:rsidR="003342BC" w:rsidRPr="003342BC" w:rsidRDefault="003342BC" w:rsidP="003342BC">
            <w:pPr>
              <w:spacing w:after="101" w:line="276" w:lineRule="auto"/>
              <w:jc w:val="both"/>
              <w:rPr>
                <w:rFonts w:ascii="Verdana" w:hAnsi="Verdana" w:cs="Arial"/>
                <w:b/>
                <w:sz w:val="16"/>
                <w:szCs w:val="16"/>
                <w:lang w:val="es-MX"/>
              </w:rPr>
            </w:pPr>
            <w:r w:rsidRPr="003342BC">
              <w:rPr>
                <w:rFonts w:ascii="Verdana" w:hAnsi="Verdana" w:cs="Arial"/>
                <w:b/>
                <w:sz w:val="16"/>
                <w:szCs w:val="16"/>
                <w:lang w:val="es-MX"/>
              </w:rPr>
              <w:t>Maintenance of validated state</w:t>
            </w:r>
          </w:p>
        </w:tc>
        <w:tc>
          <w:tcPr>
            <w:tcW w:w="1244" w:type="dxa"/>
            <w:shd w:val="clear" w:color="000000" w:fill="FFFFFF"/>
          </w:tcPr>
          <w:p w14:paraId="26679BFD" w14:textId="77777777" w:rsidR="003342BC" w:rsidRPr="003342BC" w:rsidRDefault="003342BC" w:rsidP="003342BC">
            <w:pPr>
              <w:spacing w:after="101" w:line="276" w:lineRule="auto"/>
              <w:jc w:val="both"/>
              <w:rPr>
                <w:rFonts w:ascii="Verdana" w:hAnsi="Verdana" w:cs="Arial"/>
                <w:b/>
                <w:sz w:val="16"/>
                <w:szCs w:val="16"/>
                <w:lang w:val="es-MX"/>
              </w:rPr>
            </w:pPr>
            <w:r w:rsidRPr="003342BC">
              <w:rPr>
                <w:rFonts w:ascii="Verdana" w:hAnsi="Verdana" w:cs="Arial"/>
                <w:b/>
                <w:sz w:val="16"/>
                <w:szCs w:val="16"/>
                <w:lang w:val="es-MX"/>
              </w:rPr>
              <w:t xml:space="preserve">Made by: </w:t>
            </w:r>
          </w:p>
        </w:tc>
        <w:tc>
          <w:tcPr>
            <w:tcW w:w="515" w:type="dxa"/>
            <w:tcBorders>
              <w:top w:val="double" w:sz="6" w:space="0" w:color="auto"/>
              <w:bottom w:val="single" w:sz="6" w:space="0" w:color="auto"/>
            </w:tcBorders>
            <w:shd w:val="clear" w:color="000000" w:fill="FFFFFF"/>
          </w:tcPr>
          <w:p w14:paraId="6FD81093" w14:textId="77777777" w:rsidR="003342BC" w:rsidRPr="003342BC" w:rsidRDefault="003342BC" w:rsidP="003342BC">
            <w:pPr>
              <w:spacing w:after="101" w:line="276" w:lineRule="auto"/>
              <w:jc w:val="both"/>
              <w:rPr>
                <w:rFonts w:ascii="Verdana" w:hAnsi="Verdana" w:cs="Arial"/>
                <w:b/>
                <w:sz w:val="16"/>
                <w:szCs w:val="16"/>
                <w:lang w:val="es-MX"/>
              </w:rPr>
            </w:pPr>
            <w:r w:rsidRPr="003342BC">
              <w:rPr>
                <w:rFonts w:ascii="Verdana" w:hAnsi="Verdana" w:cs="Arial"/>
                <w:b/>
                <w:sz w:val="16"/>
                <w:szCs w:val="16"/>
                <w:lang w:val="es-MX"/>
              </w:rPr>
              <w:t> </w:t>
            </w:r>
          </w:p>
        </w:tc>
        <w:tc>
          <w:tcPr>
            <w:tcW w:w="1640" w:type="dxa"/>
            <w:shd w:val="clear" w:color="000000" w:fill="FFFFFF"/>
          </w:tcPr>
          <w:p w14:paraId="4F00C52C" w14:textId="77777777" w:rsidR="003342BC" w:rsidRPr="003342BC" w:rsidRDefault="003342BC" w:rsidP="003342BC">
            <w:pPr>
              <w:spacing w:after="101" w:line="276" w:lineRule="auto"/>
              <w:rPr>
                <w:rFonts w:ascii="Verdana" w:hAnsi="Verdana" w:cs="Arial"/>
                <w:b/>
                <w:sz w:val="16"/>
                <w:szCs w:val="16"/>
                <w:lang w:val="es-MX"/>
              </w:rPr>
            </w:pPr>
            <w:r w:rsidRPr="003342BC">
              <w:rPr>
                <w:rFonts w:ascii="Verdana" w:hAnsi="Verdana" w:cs="Arial"/>
                <w:b/>
                <w:sz w:val="16"/>
                <w:szCs w:val="16"/>
                <w:lang w:val="es-MX"/>
              </w:rPr>
              <w:t>Date:</w:t>
            </w:r>
          </w:p>
        </w:tc>
        <w:tc>
          <w:tcPr>
            <w:tcW w:w="1267" w:type="dxa"/>
            <w:tcBorders>
              <w:top w:val="double" w:sz="6" w:space="0" w:color="auto"/>
              <w:bottom w:val="single" w:sz="6" w:space="0" w:color="auto"/>
            </w:tcBorders>
            <w:shd w:val="clear" w:color="000000" w:fill="FFFFFF"/>
          </w:tcPr>
          <w:p w14:paraId="6B9906DE" w14:textId="77777777" w:rsidR="003342BC" w:rsidRPr="003342BC" w:rsidRDefault="003342BC" w:rsidP="003342BC">
            <w:pPr>
              <w:spacing w:after="101" w:line="276" w:lineRule="auto"/>
              <w:jc w:val="both"/>
              <w:rPr>
                <w:rFonts w:ascii="Verdana" w:hAnsi="Verdana" w:cs="Arial"/>
                <w:b/>
                <w:sz w:val="16"/>
                <w:szCs w:val="16"/>
                <w:lang w:val="es-MX"/>
              </w:rPr>
            </w:pPr>
            <w:r w:rsidRPr="003342BC">
              <w:rPr>
                <w:rFonts w:ascii="Verdana" w:hAnsi="Verdana" w:cs="Arial"/>
                <w:b/>
                <w:sz w:val="16"/>
                <w:szCs w:val="16"/>
                <w:lang w:val="es-MX"/>
              </w:rPr>
              <w:t> </w:t>
            </w:r>
          </w:p>
        </w:tc>
      </w:tr>
      <w:tr w:rsidR="003342BC" w:rsidRPr="00861FCE" w14:paraId="7A2FEFE2" w14:textId="77777777" w:rsidTr="00DC4FDA">
        <w:trPr>
          <w:cantSplit/>
          <w:trHeight w:val="20"/>
        </w:trPr>
        <w:tc>
          <w:tcPr>
            <w:tcW w:w="2682" w:type="dxa"/>
            <w:shd w:val="clear" w:color="000000" w:fill="FFFFFF"/>
          </w:tcPr>
          <w:p w14:paraId="4554E1A3" w14:textId="77777777" w:rsidR="003342BC" w:rsidRPr="003342BC" w:rsidRDefault="003342BC" w:rsidP="003342BC">
            <w:pPr>
              <w:spacing w:after="101" w:line="276" w:lineRule="auto"/>
              <w:jc w:val="right"/>
              <w:rPr>
                <w:rFonts w:ascii="Verdana" w:hAnsi="Verdana" w:cs="Arial"/>
                <w:sz w:val="16"/>
                <w:szCs w:val="16"/>
                <w:lang w:val="en-US"/>
              </w:rPr>
            </w:pPr>
            <w:r w:rsidRPr="003342BC">
              <w:rPr>
                <w:rFonts w:ascii="Verdana" w:hAnsi="Verdana" w:cs="Arial"/>
                <w:sz w:val="16"/>
                <w:szCs w:val="16"/>
                <w:lang w:val="es-MX"/>
              </w:rPr>
              <w:t>Validation of process</w:t>
            </w:r>
          </w:p>
        </w:tc>
        <w:tc>
          <w:tcPr>
            <w:tcW w:w="6030" w:type="dxa"/>
            <w:gridSpan w:val="5"/>
            <w:shd w:val="clear" w:color="000000" w:fill="FFFFFF"/>
          </w:tcPr>
          <w:p w14:paraId="64610CAB" w14:textId="77777777" w:rsidR="003342BC" w:rsidRPr="003342BC" w:rsidRDefault="003342BC" w:rsidP="003342BC">
            <w:pPr>
              <w:spacing w:after="101" w:line="276" w:lineRule="auto"/>
              <w:jc w:val="both"/>
              <w:rPr>
                <w:rFonts w:ascii="Verdana" w:hAnsi="Verdana" w:cs="Arial"/>
                <w:i/>
                <w:sz w:val="16"/>
                <w:szCs w:val="16"/>
                <w:lang w:val="en-US"/>
              </w:rPr>
            </w:pPr>
            <w:r w:rsidRPr="003342BC">
              <w:rPr>
                <w:rFonts w:ascii="Verdana" w:hAnsi="Verdana" w:cs="Arial"/>
                <w:i/>
                <w:sz w:val="16"/>
                <w:szCs w:val="16"/>
                <w:lang w:val="en-US"/>
              </w:rPr>
              <w:t xml:space="preserve">Information: Review of validation of process status, include revalidations. </w:t>
            </w:r>
          </w:p>
        </w:tc>
      </w:tr>
      <w:tr w:rsidR="003342BC" w:rsidRPr="00861FCE" w14:paraId="6F2AFF8F" w14:textId="77777777" w:rsidTr="00DC4FDA">
        <w:trPr>
          <w:cantSplit/>
          <w:trHeight w:val="20"/>
        </w:trPr>
        <w:tc>
          <w:tcPr>
            <w:tcW w:w="2682" w:type="dxa"/>
            <w:shd w:val="clear" w:color="000000" w:fill="FFFFFF"/>
          </w:tcPr>
          <w:p w14:paraId="1C12A34B" w14:textId="77777777" w:rsidR="003342BC" w:rsidRPr="003342BC" w:rsidRDefault="003342BC" w:rsidP="003342BC">
            <w:pPr>
              <w:spacing w:after="101" w:line="276" w:lineRule="auto"/>
              <w:jc w:val="right"/>
              <w:rPr>
                <w:rFonts w:ascii="Verdana" w:hAnsi="Verdana" w:cs="Arial"/>
                <w:sz w:val="16"/>
                <w:szCs w:val="16"/>
                <w:lang w:val="es-MX"/>
              </w:rPr>
            </w:pPr>
            <w:r w:rsidRPr="003342BC">
              <w:rPr>
                <w:rFonts w:ascii="Verdana" w:hAnsi="Verdana" w:cs="Arial"/>
                <w:sz w:val="16"/>
                <w:szCs w:val="16"/>
                <w:lang w:val="es-MX"/>
              </w:rPr>
              <w:t>Validation of analytical methods</w:t>
            </w:r>
          </w:p>
        </w:tc>
        <w:tc>
          <w:tcPr>
            <w:tcW w:w="6030" w:type="dxa"/>
            <w:gridSpan w:val="5"/>
            <w:shd w:val="clear" w:color="000000" w:fill="FFFFFF"/>
          </w:tcPr>
          <w:p w14:paraId="120F4732" w14:textId="77777777" w:rsidR="003342BC" w:rsidRPr="003342BC" w:rsidRDefault="003342BC" w:rsidP="003342BC">
            <w:pPr>
              <w:spacing w:after="101" w:line="276" w:lineRule="auto"/>
              <w:jc w:val="both"/>
              <w:rPr>
                <w:rFonts w:ascii="Verdana" w:hAnsi="Verdana" w:cs="Arial"/>
                <w:i/>
                <w:sz w:val="16"/>
                <w:szCs w:val="16"/>
                <w:lang w:val="en-US"/>
              </w:rPr>
            </w:pPr>
            <w:r w:rsidRPr="003342BC">
              <w:rPr>
                <w:rFonts w:ascii="Verdana" w:hAnsi="Verdana" w:cs="Arial"/>
                <w:i/>
                <w:sz w:val="16"/>
                <w:szCs w:val="16"/>
                <w:lang w:val="en-US"/>
              </w:rPr>
              <w:t>Information: Review of status of validation of the analytical methods, including revalidations.</w:t>
            </w:r>
          </w:p>
        </w:tc>
      </w:tr>
      <w:tr w:rsidR="003342BC" w:rsidRPr="00861FCE" w14:paraId="03336296" w14:textId="77777777" w:rsidTr="00DC4FDA">
        <w:trPr>
          <w:cantSplit/>
          <w:trHeight w:val="20"/>
        </w:trPr>
        <w:tc>
          <w:tcPr>
            <w:tcW w:w="2682" w:type="dxa"/>
            <w:shd w:val="clear" w:color="000000" w:fill="FFFFFF"/>
          </w:tcPr>
          <w:p w14:paraId="5F9B0C34" w14:textId="77777777" w:rsidR="003342BC" w:rsidRPr="003342BC" w:rsidRDefault="003342BC" w:rsidP="003342BC">
            <w:pPr>
              <w:spacing w:after="101" w:line="276" w:lineRule="auto"/>
              <w:jc w:val="right"/>
              <w:rPr>
                <w:rFonts w:ascii="Verdana" w:hAnsi="Verdana" w:cs="Arial"/>
                <w:sz w:val="16"/>
                <w:szCs w:val="16"/>
                <w:lang w:val="en-US"/>
              </w:rPr>
            </w:pPr>
            <w:r w:rsidRPr="003342BC">
              <w:rPr>
                <w:rFonts w:ascii="Verdana" w:hAnsi="Verdana" w:cs="Arial"/>
                <w:sz w:val="16"/>
                <w:szCs w:val="16"/>
                <w:lang w:val="en-US"/>
              </w:rPr>
              <w:t>Critical systems</w:t>
            </w:r>
          </w:p>
        </w:tc>
        <w:tc>
          <w:tcPr>
            <w:tcW w:w="6030" w:type="dxa"/>
            <w:gridSpan w:val="5"/>
            <w:shd w:val="clear" w:color="000000" w:fill="FFFFFF"/>
          </w:tcPr>
          <w:p w14:paraId="5A301F73" w14:textId="77777777" w:rsidR="003342BC" w:rsidRPr="003342BC" w:rsidRDefault="003342BC" w:rsidP="003342BC">
            <w:pPr>
              <w:spacing w:after="101" w:line="276" w:lineRule="auto"/>
              <w:jc w:val="both"/>
              <w:rPr>
                <w:rFonts w:ascii="Verdana" w:hAnsi="Verdana" w:cs="Arial"/>
                <w:i/>
                <w:sz w:val="16"/>
                <w:szCs w:val="16"/>
                <w:lang w:val="en-US"/>
              </w:rPr>
            </w:pPr>
            <w:r w:rsidRPr="003342BC">
              <w:rPr>
                <w:rFonts w:ascii="Verdana" w:hAnsi="Verdana" w:cs="Arial"/>
                <w:i/>
                <w:sz w:val="16"/>
                <w:szCs w:val="16"/>
                <w:lang w:val="en-US"/>
              </w:rPr>
              <w:t>Information: Description and review of validated state.</w:t>
            </w:r>
          </w:p>
        </w:tc>
      </w:tr>
      <w:tr w:rsidR="003342BC" w:rsidRPr="00861FCE" w14:paraId="4008CA64" w14:textId="77777777" w:rsidTr="00DC4FDA">
        <w:trPr>
          <w:cantSplit/>
          <w:trHeight w:val="20"/>
        </w:trPr>
        <w:tc>
          <w:tcPr>
            <w:tcW w:w="8712" w:type="dxa"/>
            <w:gridSpan w:val="6"/>
            <w:shd w:val="clear" w:color="000000" w:fill="FFFFFF"/>
          </w:tcPr>
          <w:p w14:paraId="6559C5DE" w14:textId="77777777" w:rsidR="003342BC" w:rsidRPr="003342BC" w:rsidRDefault="003342BC" w:rsidP="003342BC">
            <w:pPr>
              <w:spacing w:after="101" w:line="276" w:lineRule="auto"/>
              <w:jc w:val="both"/>
              <w:rPr>
                <w:rFonts w:ascii="Verdana" w:hAnsi="Verdana" w:cs="Arial"/>
                <w:i/>
                <w:sz w:val="16"/>
                <w:szCs w:val="16"/>
                <w:lang w:val="en-US"/>
              </w:rPr>
            </w:pPr>
          </w:p>
        </w:tc>
      </w:tr>
    </w:tbl>
    <w:p w14:paraId="2C4928A9" w14:textId="77777777" w:rsidR="003342BC" w:rsidRPr="003342BC" w:rsidRDefault="003342BC" w:rsidP="003342BC">
      <w:pPr>
        <w:spacing w:after="101" w:line="276" w:lineRule="auto"/>
        <w:ind w:firstLine="288"/>
        <w:jc w:val="both"/>
        <w:rPr>
          <w:rFonts w:ascii="Verdana" w:hAnsi="Verdana" w:cs="Arial"/>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1507"/>
        <w:gridCol w:w="648"/>
        <w:gridCol w:w="1267"/>
      </w:tblGrid>
      <w:tr w:rsidR="003342BC" w:rsidRPr="003342BC" w14:paraId="692C1478" w14:textId="77777777" w:rsidTr="00DC4FDA">
        <w:trPr>
          <w:cantSplit/>
          <w:trHeight w:val="20"/>
        </w:trPr>
        <w:tc>
          <w:tcPr>
            <w:tcW w:w="4046" w:type="dxa"/>
            <w:gridSpan w:val="2"/>
            <w:tcBorders>
              <w:top w:val="double" w:sz="6" w:space="0" w:color="auto"/>
              <w:bottom w:val="double" w:sz="6" w:space="0" w:color="auto"/>
            </w:tcBorders>
            <w:shd w:val="clear" w:color="000000" w:fill="FFFFFF"/>
            <w:noWrap/>
          </w:tcPr>
          <w:p w14:paraId="0DA99611" w14:textId="77777777" w:rsidR="003342BC" w:rsidRPr="003342BC" w:rsidRDefault="003342BC" w:rsidP="003342BC">
            <w:pPr>
              <w:spacing w:after="94" w:line="276" w:lineRule="auto"/>
              <w:jc w:val="both"/>
              <w:rPr>
                <w:rFonts w:ascii="Verdana" w:hAnsi="Verdana" w:cs="Arial"/>
                <w:b/>
                <w:sz w:val="16"/>
                <w:szCs w:val="16"/>
                <w:lang w:val="es-MX"/>
              </w:rPr>
            </w:pPr>
            <w:r w:rsidRPr="003342BC">
              <w:rPr>
                <w:rFonts w:ascii="Verdana" w:hAnsi="Verdana" w:cs="Arial"/>
                <w:b/>
                <w:sz w:val="16"/>
                <w:szCs w:val="16"/>
                <w:lang w:val="es-MX"/>
              </w:rPr>
              <w:t xml:space="preserve">Review of retention samples </w:t>
            </w:r>
          </w:p>
        </w:tc>
        <w:tc>
          <w:tcPr>
            <w:tcW w:w="1244" w:type="dxa"/>
            <w:tcBorders>
              <w:top w:val="double" w:sz="6" w:space="0" w:color="auto"/>
            </w:tcBorders>
            <w:shd w:val="clear" w:color="000000" w:fill="FFFFFF"/>
          </w:tcPr>
          <w:p w14:paraId="3DEEC645" w14:textId="77777777" w:rsidR="003342BC" w:rsidRPr="003342BC" w:rsidRDefault="003342BC" w:rsidP="003342BC">
            <w:pPr>
              <w:spacing w:after="94" w:line="276" w:lineRule="auto"/>
              <w:jc w:val="both"/>
              <w:rPr>
                <w:rFonts w:ascii="Verdana" w:hAnsi="Verdana" w:cs="Arial"/>
                <w:b/>
                <w:sz w:val="16"/>
                <w:szCs w:val="16"/>
                <w:lang w:val="es-MX"/>
              </w:rPr>
            </w:pPr>
            <w:r w:rsidRPr="003342BC">
              <w:rPr>
                <w:rFonts w:ascii="Verdana" w:hAnsi="Verdana" w:cs="Arial"/>
                <w:b/>
                <w:sz w:val="16"/>
                <w:szCs w:val="16"/>
                <w:lang w:val="es-MX"/>
              </w:rPr>
              <w:t xml:space="preserve">Made by: </w:t>
            </w:r>
          </w:p>
        </w:tc>
        <w:tc>
          <w:tcPr>
            <w:tcW w:w="1507" w:type="dxa"/>
            <w:tcBorders>
              <w:top w:val="double" w:sz="6" w:space="0" w:color="auto"/>
              <w:bottom w:val="single" w:sz="6" w:space="0" w:color="auto"/>
            </w:tcBorders>
            <w:shd w:val="clear" w:color="000000" w:fill="FFFFFF"/>
          </w:tcPr>
          <w:p w14:paraId="0C391279" w14:textId="77777777" w:rsidR="003342BC" w:rsidRPr="003342BC" w:rsidRDefault="003342BC" w:rsidP="003342BC">
            <w:pPr>
              <w:spacing w:after="94" w:line="276" w:lineRule="auto"/>
              <w:jc w:val="both"/>
              <w:rPr>
                <w:rFonts w:ascii="Verdana" w:hAnsi="Verdana" w:cs="Arial"/>
                <w:b/>
                <w:sz w:val="16"/>
                <w:szCs w:val="16"/>
                <w:lang w:val="es-MX"/>
              </w:rPr>
            </w:pPr>
            <w:r w:rsidRPr="003342BC">
              <w:rPr>
                <w:rFonts w:ascii="Verdana" w:hAnsi="Verdana" w:cs="Arial"/>
                <w:b/>
                <w:sz w:val="16"/>
                <w:szCs w:val="16"/>
                <w:lang w:val="es-MX"/>
              </w:rPr>
              <w:t> </w:t>
            </w:r>
          </w:p>
        </w:tc>
        <w:tc>
          <w:tcPr>
            <w:tcW w:w="648" w:type="dxa"/>
            <w:tcBorders>
              <w:top w:val="double" w:sz="6" w:space="0" w:color="auto"/>
            </w:tcBorders>
            <w:shd w:val="clear" w:color="000000" w:fill="FFFFFF"/>
          </w:tcPr>
          <w:p w14:paraId="0486516D" w14:textId="77777777" w:rsidR="003342BC" w:rsidRPr="003342BC" w:rsidRDefault="003342BC" w:rsidP="003342BC">
            <w:pPr>
              <w:spacing w:after="94" w:line="276" w:lineRule="auto"/>
              <w:jc w:val="both"/>
              <w:rPr>
                <w:rFonts w:ascii="Verdana" w:hAnsi="Verdana" w:cs="Arial"/>
                <w:b/>
                <w:sz w:val="16"/>
                <w:szCs w:val="16"/>
                <w:lang w:val="es-MX"/>
              </w:rPr>
            </w:pPr>
            <w:r w:rsidRPr="003342BC">
              <w:rPr>
                <w:rFonts w:ascii="Verdana" w:hAnsi="Verdana" w:cs="Arial"/>
                <w:b/>
                <w:sz w:val="16"/>
                <w:szCs w:val="16"/>
                <w:lang w:val="es-MX"/>
              </w:rPr>
              <w:t>Date:</w:t>
            </w:r>
          </w:p>
        </w:tc>
        <w:tc>
          <w:tcPr>
            <w:tcW w:w="1267" w:type="dxa"/>
            <w:tcBorders>
              <w:top w:val="double" w:sz="6" w:space="0" w:color="auto"/>
              <w:bottom w:val="single" w:sz="6" w:space="0" w:color="auto"/>
              <w:right w:val="double" w:sz="6" w:space="0" w:color="auto"/>
            </w:tcBorders>
            <w:shd w:val="clear" w:color="000000" w:fill="FFFFFF"/>
          </w:tcPr>
          <w:p w14:paraId="2FEE6F2E" w14:textId="77777777" w:rsidR="003342BC" w:rsidRPr="003342BC" w:rsidRDefault="003342BC" w:rsidP="003342BC">
            <w:pPr>
              <w:spacing w:after="94" w:line="276" w:lineRule="auto"/>
              <w:jc w:val="both"/>
              <w:rPr>
                <w:rFonts w:ascii="Verdana" w:hAnsi="Verdana" w:cs="Arial"/>
                <w:b/>
                <w:sz w:val="16"/>
                <w:szCs w:val="16"/>
                <w:lang w:val="es-MX"/>
              </w:rPr>
            </w:pPr>
            <w:r w:rsidRPr="003342BC">
              <w:rPr>
                <w:rFonts w:ascii="Verdana" w:hAnsi="Verdana" w:cs="Arial"/>
                <w:b/>
                <w:sz w:val="16"/>
                <w:szCs w:val="16"/>
                <w:lang w:val="es-MX"/>
              </w:rPr>
              <w:t> </w:t>
            </w:r>
          </w:p>
        </w:tc>
      </w:tr>
      <w:tr w:rsidR="003342BC" w:rsidRPr="00861FCE" w14:paraId="6596F343" w14:textId="77777777" w:rsidTr="00DC4FDA">
        <w:trPr>
          <w:cantSplit/>
          <w:trHeight w:val="20"/>
        </w:trPr>
        <w:tc>
          <w:tcPr>
            <w:tcW w:w="2682" w:type="dxa"/>
            <w:tcBorders>
              <w:bottom w:val="double" w:sz="6" w:space="0" w:color="auto"/>
            </w:tcBorders>
            <w:shd w:val="clear" w:color="000000" w:fill="FFFFFF"/>
          </w:tcPr>
          <w:p w14:paraId="5B1A3AD9" w14:textId="77777777" w:rsidR="003342BC" w:rsidRPr="003342BC" w:rsidRDefault="003342BC" w:rsidP="003342BC">
            <w:pPr>
              <w:spacing w:after="94" w:line="276" w:lineRule="auto"/>
              <w:jc w:val="both"/>
              <w:rPr>
                <w:rFonts w:ascii="Verdana" w:hAnsi="Verdana" w:cs="Arial"/>
                <w:sz w:val="16"/>
                <w:szCs w:val="16"/>
                <w:lang w:val="es-MX"/>
              </w:rPr>
            </w:pPr>
            <w:r w:rsidRPr="003342BC">
              <w:rPr>
                <w:rFonts w:ascii="Verdana" w:hAnsi="Verdana" w:cs="Arial"/>
                <w:sz w:val="16"/>
                <w:szCs w:val="16"/>
                <w:lang w:val="es-MX"/>
              </w:rPr>
              <w:t> </w:t>
            </w:r>
          </w:p>
        </w:tc>
        <w:tc>
          <w:tcPr>
            <w:tcW w:w="6030" w:type="dxa"/>
            <w:gridSpan w:val="5"/>
            <w:tcBorders>
              <w:bottom w:val="double" w:sz="6" w:space="0" w:color="auto"/>
            </w:tcBorders>
            <w:shd w:val="clear" w:color="000000" w:fill="FFFFFF"/>
          </w:tcPr>
          <w:p w14:paraId="18508F52" w14:textId="77777777" w:rsidR="003342BC" w:rsidRPr="003342BC" w:rsidRDefault="003342BC" w:rsidP="003342BC">
            <w:pPr>
              <w:spacing w:after="94" w:line="276" w:lineRule="auto"/>
              <w:jc w:val="both"/>
              <w:rPr>
                <w:rFonts w:ascii="Verdana" w:hAnsi="Verdana" w:cs="Arial"/>
                <w:i/>
                <w:sz w:val="16"/>
                <w:szCs w:val="16"/>
                <w:lang w:val="en-US"/>
              </w:rPr>
            </w:pPr>
            <w:r w:rsidRPr="003342BC">
              <w:rPr>
                <w:rFonts w:ascii="Verdana" w:hAnsi="Verdana" w:cs="Arial"/>
                <w:i/>
                <w:sz w:val="16"/>
                <w:szCs w:val="16"/>
                <w:lang w:val="en-US"/>
              </w:rPr>
              <w:t xml:space="preserve">Information: No adverse observations existo on a representative sample based on a visual inspection </w:t>
            </w:r>
          </w:p>
        </w:tc>
      </w:tr>
    </w:tbl>
    <w:p w14:paraId="6AFF2D33" w14:textId="77777777" w:rsidR="003342BC" w:rsidRPr="003342BC" w:rsidRDefault="003342BC" w:rsidP="003342BC">
      <w:pPr>
        <w:spacing w:after="94" w:line="276" w:lineRule="auto"/>
        <w:ind w:firstLine="288"/>
        <w:jc w:val="both"/>
        <w:rPr>
          <w:rFonts w:ascii="Verdana" w:hAnsi="Verdana" w:cs="Arial"/>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1507"/>
        <w:gridCol w:w="648"/>
        <w:gridCol w:w="1267"/>
      </w:tblGrid>
      <w:tr w:rsidR="003342BC" w:rsidRPr="003342BC" w14:paraId="0A8ABB48" w14:textId="77777777" w:rsidTr="00DC4FDA">
        <w:trPr>
          <w:cantSplit/>
          <w:trHeight w:val="20"/>
        </w:trPr>
        <w:tc>
          <w:tcPr>
            <w:tcW w:w="4046" w:type="dxa"/>
            <w:gridSpan w:val="2"/>
            <w:tcBorders>
              <w:top w:val="double" w:sz="6" w:space="0" w:color="auto"/>
              <w:bottom w:val="double" w:sz="6" w:space="0" w:color="auto"/>
            </w:tcBorders>
            <w:shd w:val="clear" w:color="000000" w:fill="FFFFFF"/>
            <w:noWrap/>
          </w:tcPr>
          <w:p w14:paraId="5A75F1E4"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Review of stability</w:t>
            </w:r>
          </w:p>
        </w:tc>
        <w:tc>
          <w:tcPr>
            <w:tcW w:w="1244" w:type="dxa"/>
            <w:tcBorders>
              <w:top w:val="double" w:sz="6" w:space="0" w:color="auto"/>
            </w:tcBorders>
            <w:shd w:val="clear" w:color="000000" w:fill="FFFFFF"/>
          </w:tcPr>
          <w:p w14:paraId="79CD951C"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xml:space="preserve">Made by: </w:t>
            </w:r>
          </w:p>
        </w:tc>
        <w:tc>
          <w:tcPr>
            <w:tcW w:w="1507" w:type="dxa"/>
            <w:tcBorders>
              <w:top w:val="double" w:sz="6" w:space="0" w:color="auto"/>
              <w:bottom w:val="single" w:sz="6" w:space="0" w:color="auto"/>
            </w:tcBorders>
            <w:shd w:val="clear" w:color="000000" w:fill="FFFFFF"/>
          </w:tcPr>
          <w:p w14:paraId="5EDE58D8"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648" w:type="dxa"/>
            <w:tcBorders>
              <w:top w:val="double" w:sz="6" w:space="0" w:color="auto"/>
            </w:tcBorders>
            <w:shd w:val="clear" w:color="000000" w:fill="FFFFFF"/>
          </w:tcPr>
          <w:p w14:paraId="1303321C"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Date:</w:t>
            </w:r>
          </w:p>
        </w:tc>
        <w:tc>
          <w:tcPr>
            <w:tcW w:w="1267" w:type="dxa"/>
            <w:tcBorders>
              <w:top w:val="double" w:sz="6" w:space="0" w:color="auto"/>
              <w:bottom w:val="single" w:sz="6" w:space="0" w:color="auto"/>
              <w:right w:val="double" w:sz="6" w:space="0" w:color="auto"/>
            </w:tcBorders>
            <w:shd w:val="clear" w:color="000000" w:fill="FFFFFF"/>
          </w:tcPr>
          <w:p w14:paraId="7CA61544"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861FCE" w14:paraId="6B5861C9" w14:textId="77777777" w:rsidTr="00DC4FDA">
        <w:trPr>
          <w:cantSplit/>
          <w:trHeight w:val="20"/>
        </w:trPr>
        <w:tc>
          <w:tcPr>
            <w:tcW w:w="2682" w:type="dxa"/>
            <w:tcBorders>
              <w:bottom w:val="double" w:sz="6" w:space="0" w:color="auto"/>
            </w:tcBorders>
            <w:shd w:val="clear" w:color="000000" w:fill="FFFFFF"/>
          </w:tcPr>
          <w:p w14:paraId="073F6A17"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c>
          <w:tcPr>
            <w:tcW w:w="6030" w:type="dxa"/>
            <w:gridSpan w:val="5"/>
            <w:tcBorders>
              <w:bottom w:val="double" w:sz="6" w:space="0" w:color="auto"/>
            </w:tcBorders>
            <w:shd w:val="clear" w:color="000000" w:fill="FFFFFF"/>
          </w:tcPr>
          <w:p w14:paraId="26D598EC" w14:textId="77777777" w:rsidR="003342BC" w:rsidRPr="003342BC" w:rsidRDefault="003342BC" w:rsidP="003342BC">
            <w:pPr>
              <w:spacing w:after="94" w:line="276" w:lineRule="auto"/>
              <w:jc w:val="both"/>
              <w:rPr>
                <w:rFonts w:ascii="Verdana" w:hAnsi="Verdana" w:cs="Arial"/>
                <w:i/>
                <w:sz w:val="16"/>
                <w:szCs w:val="16"/>
                <w:lang w:val="en-US"/>
              </w:rPr>
            </w:pPr>
            <w:r w:rsidRPr="003342BC">
              <w:rPr>
                <w:rFonts w:ascii="Verdana" w:hAnsi="Verdana" w:cs="Arial"/>
                <w:i/>
                <w:sz w:val="16"/>
                <w:szCs w:val="16"/>
                <w:lang w:val="en-US"/>
              </w:rPr>
              <w:t>Information: The product consistently complies with the specification during the unexpired period. Refer to the review of stability for the analysis of tendencies.</w:t>
            </w:r>
          </w:p>
        </w:tc>
      </w:tr>
    </w:tbl>
    <w:p w14:paraId="38AC43DF" w14:textId="77777777" w:rsidR="003342BC" w:rsidRPr="003342BC" w:rsidRDefault="003342BC" w:rsidP="003342BC">
      <w:pPr>
        <w:spacing w:after="94" w:line="276" w:lineRule="auto"/>
        <w:ind w:firstLine="288"/>
        <w:jc w:val="both"/>
        <w:rPr>
          <w:rFonts w:ascii="Verdana" w:hAnsi="Verdana" w:cs="Arial"/>
          <w:i/>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1507"/>
        <w:gridCol w:w="648"/>
        <w:gridCol w:w="1267"/>
      </w:tblGrid>
      <w:tr w:rsidR="003342BC" w:rsidRPr="003342BC" w14:paraId="66629982" w14:textId="77777777" w:rsidTr="00DC4FDA">
        <w:trPr>
          <w:cantSplit/>
          <w:trHeight w:val="20"/>
        </w:trPr>
        <w:tc>
          <w:tcPr>
            <w:tcW w:w="4046" w:type="dxa"/>
            <w:gridSpan w:val="2"/>
            <w:tcBorders>
              <w:top w:val="double" w:sz="6" w:space="0" w:color="auto"/>
              <w:bottom w:val="double" w:sz="6" w:space="0" w:color="auto"/>
            </w:tcBorders>
            <w:shd w:val="clear" w:color="000000" w:fill="FFFFFF"/>
            <w:noWrap/>
          </w:tcPr>
          <w:p w14:paraId="43B4928F"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Subcontracted activities, analytical and process of manufacturing</w:t>
            </w:r>
          </w:p>
        </w:tc>
        <w:tc>
          <w:tcPr>
            <w:tcW w:w="1244" w:type="dxa"/>
            <w:tcBorders>
              <w:top w:val="double" w:sz="6" w:space="0" w:color="auto"/>
            </w:tcBorders>
            <w:shd w:val="clear" w:color="000000" w:fill="FFFFFF"/>
          </w:tcPr>
          <w:p w14:paraId="01675BE8"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xml:space="preserve">Made by: </w:t>
            </w:r>
          </w:p>
        </w:tc>
        <w:tc>
          <w:tcPr>
            <w:tcW w:w="1507" w:type="dxa"/>
            <w:tcBorders>
              <w:top w:val="double" w:sz="6" w:space="0" w:color="auto"/>
              <w:bottom w:val="single" w:sz="6" w:space="0" w:color="auto"/>
            </w:tcBorders>
            <w:shd w:val="clear" w:color="000000" w:fill="FFFFFF"/>
          </w:tcPr>
          <w:p w14:paraId="753D9298"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648" w:type="dxa"/>
            <w:tcBorders>
              <w:top w:val="double" w:sz="6" w:space="0" w:color="auto"/>
            </w:tcBorders>
            <w:shd w:val="clear" w:color="000000" w:fill="FFFFFF"/>
          </w:tcPr>
          <w:p w14:paraId="562DBDB7"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Date:</w:t>
            </w:r>
          </w:p>
        </w:tc>
        <w:tc>
          <w:tcPr>
            <w:tcW w:w="1267" w:type="dxa"/>
            <w:tcBorders>
              <w:top w:val="double" w:sz="6" w:space="0" w:color="auto"/>
              <w:bottom w:val="single" w:sz="6" w:space="0" w:color="auto"/>
              <w:right w:val="double" w:sz="6" w:space="0" w:color="auto"/>
            </w:tcBorders>
            <w:shd w:val="clear" w:color="000000" w:fill="FFFFFF"/>
          </w:tcPr>
          <w:p w14:paraId="33D3FB75"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3342BC" w14:paraId="2AACF892" w14:textId="77777777" w:rsidTr="00DC4FDA">
        <w:trPr>
          <w:cantSplit/>
          <w:trHeight w:val="20"/>
        </w:trPr>
        <w:tc>
          <w:tcPr>
            <w:tcW w:w="2682" w:type="dxa"/>
            <w:tcBorders>
              <w:bottom w:val="double" w:sz="6" w:space="0" w:color="auto"/>
            </w:tcBorders>
            <w:shd w:val="clear" w:color="000000" w:fill="FFFFFF"/>
          </w:tcPr>
          <w:p w14:paraId="6FA8008B"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c>
          <w:tcPr>
            <w:tcW w:w="6030" w:type="dxa"/>
            <w:gridSpan w:val="5"/>
            <w:tcBorders>
              <w:bottom w:val="double" w:sz="6" w:space="0" w:color="auto"/>
            </w:tcBorders>
            <w:shd w:val="clear" w:color="000000" w:fill="FFFFFF"/>
          </w:tcPr>
          <w:p w14:paraId="1B29B90D"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r>
    </w:tbl>
    <w:p w14:paraId="48C8D281" w14:textId="77777777" w:rsidR="003342BC" w:rsidRPr="003342BC" w:rsidRDefault="003342BC" w:rsidP="003342BC">
      <w:pPr>
        <w:spacing w:after="94" w:line="276" w:lineRule="auto"/>
        <w:ind w:firstLine="288"/>
        <w:jc w:val="both"/>
        <w:rPr>
          <w:rFonts w:ascii="Verdana" w:hAnsi="Verdana" w:cs="Arial"/>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1507"/>
        <w:gridCol w:w="648"/>
        <w:gridCol w:w="1267"/>
      </w:tblGrid>
      <w:tr w:rsidR="003342BC" w:rsidRPr="003342BC" w14:paraId="66496F2F" w14:textId="77777777" w:rsidTr="00DC4FDA">
        <w:trPr>
          <w:cantSplit/>
          <w:trHeight w:val="20"/>
        </w:trPr>
        <w:tc>
          <w:tcPr>
            <w:tcW w:w="4046" w:type="dxa"/>
            <w:gridSpan w:val="2"/>
            <w:tcBorders>
              <w:top w:val="double" w:sz="6" w:space="0" w:color="auto"/>
              <w:bottom w:val="double" w:sz="6" w:space="0" w:color="auto"/>
            </w:tcBorders>
            <w:shd w:val="clear" w:color="000000" w:fill="FFFFFF"/>
            <w:noWrap/>
          </w:tcPr>
          <w:p w14:paraId="5B40740E"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Modification to the registration conditions</w:t>
            </w:r>
          </w:p>
        </w:tc>
        <w:tc>
          <w:tcPr>
            <w:tcW w:w="1244" w:type="dxa"/>
            <w:tcBorders>
              <w:top w:val="double" w:sz="6" w:space="0" w:color="auto"/>
            </w:tcBorders>
            <w:shd w:val="clear" w:color="000000" w:fill="FFFFFF"/>
          </w:tcPr>
          <w:p w14:paraId="52B12B14"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xml:space="preserve">Made by: </w:t>
            </w:r>
          </w:p>
        </w:tc>
        <w:tc>
          <w:tcPr>
            <w:tcW w:w="1507" w:type="dxa"/>
            <w:tcBorders>
              <w:top w:val="double" w:sz="6" w:space="0" w:color="auto"/>
              <w:bottom w:val="single" w:sz="6" w:space="0" w:color="auto"/>
            </w:tcBorders>
            <w:shd w:val="clear" w:color="000000" w:fill="FFFFFF"/>
          </w:tcPr>
          <w:p w14:paraId="71CE90FA"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648" w:type="dxa"/>
            <w:tcBorders>
              <w:top w:val="double" w:sz="6" w:space="0" w:color="auto"/>
            </w:tcBorders>
            <w:shd w:val="clear" w:color="000000" w:fill="FFFFFF"/>
          </w:tcPr>
          <w:p w14:paraId="1C9CCA8C"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Date:</w:t>
            </w:r>
          </w:p>
        </w:tc>
        <w:tc>
          <w:tcPr>
            <w:tcW w:w="1267" w:type="dxa"/>
            <w:tcBorders>
              <w:top w:val="double" w:sz="6" w:space="0" w:color="auto"/>
              <w:bottom w:val="single" w:sz="6" w:space="0" w:color="auto"/>
              <w:right w:val="double" w:sz="6" w:space="0" w:color="auto"/>
            </w:tcBorders>
            <w:shd w:val="clear" w:color="000000" w:fill="FFFFFF"/>
          </w:tcPr>
          <w:p w14:paraId="46131CEC"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861FCE" w14:paraId="20C494E7" w14:textId="77777777" w:rsidTr="00DC4FDA">
        <w:trPr>
          <w:cantSplit/>
          <w:trHeight w:val="20"/>
        </w:trPr>
        <w:tc>
          <w:tcPr>
            <w:tcW w:w="2682" w:type="dxa"/>
            <w:tcBorders>
              <w:bottom w:val="double" w:sz="6" w:space="0" w:color="auto"/>
            </w:tcBorders>
            <w:shd w:val="clear" w:color="000000" w:fill="FFFFFF"/>
          </w:tcPr>
          <w:p w14:paraId="2A3B5C08"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c>
          <w:tcPr>
            <w:tcW w:w="6030" w:type="dxa"/>
            <w:gridSpan w:val="5"/>
            <w:tcBorders>
              <w:bottom w:val="double" w:sz="6" w:space="0" w:color="auto"/>
            </w:tcBorders>
            <w:shd w:val="clear" w:color="000000" w:fill="FFFFFF"/>
          </w:tcPr>
          <w:p w14:paraId="42465F58" w14:textId="77777777" w:rsidR="003342BC" w:rsidRPr="003342BC" w:rsidRDefault="003342BC" w:rsidP="003342BC">
            <w:pPr>
              <w:spacing w:after="94" w:line="276" w:lineRule="auto"/>
              <w:jc w:val="both"/>
              <w:rPr>
                <w:rFonts w:ascii="Verdana" w:hAnsi="Verdana" w:cs="Arial"/>
                <w:i/>
                <w:sz w:val="16"/>
                <w:szCs w:val="16"/>
                <w:lang w:val="en-US"/>
              </w:rPr>
            </w:pPr>
            <w:r w:rsidRPr="003342BC">
              <w:rPr>
                <w:rFonts w:ascii="Verdana" w:hAnsi="Verdana" w:cs="Arial"/>
                <w:i/>
                <w:sz w:val="16"/>
                <w:szCs w:val="16"/>
                <w:lang w:val="en-US"/>
              </w:rPr>
              <w:t xml:space="preserve">Information: include the technical and administrative modifications of the period with their cross references to the application number (total submitted, approved, rejected and in evaluation by COFEPRIS). </w:t>
            </w:r>
          </w:p>
        </w:tc>
      </w:tr>
    </w:tbl>
    <w:p w14:paraId="309124E8" w14:textId="77777777" w:rsidR="003342BC" w:rsidRPr="003342BC" w:rsidRDefault="003342BC" w:rsidP="003342BC">
      <w:pPr>
        <w:spacing w:after="94" w:line="276" w:lineRule="auto"/>
        <w:ind w:firstLine="288"/>
        <w:jc w:val="both"/>
        <w:rPr>
          <w:rFonts w:ascii="Verdana" w:hAnsi="Verdana" w:cs="Arial"/>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1507"/>
        <w:gridCol w:w="648"/>
        <w:gridCol w:w="1267"/>
      </w:tblGrid>
      <w:tr w:rsidR="003342BC" w:rsidRPr="003342BC" w14:paraId="6AA08F14" w14:textId="77777777" w:rsidTr="00DC4FDA">
        <w:trPr>
          <w:cantSplit/>
          <w:trHeight w:val="20"/>
        </w:trPr>
        <w:tc>
          <w:tcPr>
            <w:tcW w:w="4046" w:type="dxa"/>
            <w:gridSpan w:val="2"/>
            <w:tcBorders>
              <w:top w:val="double" w:sz="6" w:space="0" w:color="auto"/>
              <w:bottom w:val="double" w:sz="6" w:space="0" w:color="auto"/>
            </w:tcBorders>
            <w:shd w:val="clear" w:color="000000" w:fill="FFFFFF"/>
            <w:noWrap/>
          </w:tcPr>
          <w:p w14:paraId="4B419A98"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Post market commitments acquired with the regulatory entities</w:t>
            </w:r>
          </w:p>
        </w:tc>
        <w:tc>
          <w:tcPr>
            <w:tcW w:w="1244" w:type="dxa"/>
            <w:tcBorders>
              <w:top w:val="double" w:sz="6" w:space="0" w:color="auto"/>
            </w:tcBorders>
            <w:shd w:val="clear" w:color="000000" w:fill="FFFFFF"/>
          </w:tcPr>
          <w:p w14:paraId="2ED4898B"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xml:space="preserve">Made by: </w:t>
            </w:r>
          </w:p>
        </w:tc>
        <w:tc>
          <w:tcPr>
            <w:tcW w:w="1507" w:type="dxa"/>
            <w:tcBorders>
              <w:top w:val="double" w:sz="6" w:space="0" w:color="auto"/>
              <w:bottom w:val="single" w:sz="6" w:space="0" w:color="auto"/>
            </w:tcBorders>
            <w:shd w:val="clear" w:color="000000" w:fill="FFFFFF"/>
          </w:tcPr>
          <w:p w14:paraId="2AAD688C"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648" w:type="dxa"/>
            <w:tcBorders>
              <w:top w:val="double" w:sz="6" w:space="0" w:color="auto"/>
            </w:tcBorders>
            <w:shd w:val="clear" w:color="000000" w:fill="FFFFFF"/>
          </w:tcPr>
          <w:p w14:paraId="59908E89"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Date:</w:t>
            </w:r>
          </w:p>
        </w:tc>
        <w:tc>
          <w:tcPr>
            <w:tcW w:w="1267" w:type="dxa"/>
            <w:tcBorders>
              <w:top w:val="double" w:sz="6" w:space="0" w:color="auto"/>
              <w:bottom w:val="single" w:sz="6" w:space="0" w:color="auto"/>
              <w:right w:val="double" w:sz="6" w:space="0" w:color="auto"/>
            </w:tcBorders>
            <w:shd w:val="clear" w:color="000000" w:fill="FFFFFF"/>
          </w:tcPr>
          <w:p w14:paraId="19B90925"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861FCE" w14:paraId="7C7B1566" w14:textId="77777777" w:rsidTr="00DC4FDA">
        <w:trPr>
          <w:cantSplit/>
          <w:trHeight w:val="20"/>
        </w:trPr>
        <w:tc>
          <w:tcPr>
            <w:tcW w:w="2682" w:type="dxa"/>
            <w:tcBorders>
              <w:bottom w:val="single" w:sz="6" w:space="0" w:color="auto"/>
            </w:tcBorders>
            <w:shd w:val="clear" w:color="000000" w:fill="FFFFFF"/>
          </w:tcPr>
          <w:p w14:paraId="2C9DECC6"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c>
          <w:tcPr>
            <w:tcW w:w="6030" w:type="dxa"/>
            <w:gridSpan w:val="5"/>
            <w:tcBorders>
              <w:bottom w:val="single" w:sz="6" w:space="0" w:color="auto"/>
            </w:tcBorders>
            <w:shd w:val="clear" w:color="000000" w:fill="FFFFFF"/>
          </w:tcPr>
          <w:p w14:paraId="41914118" w14:textId="77777777" w:rsidR="003342BC" w:rsidRPr="003342BC" w:rsidRDefault="003342BC" w:rsidP="003342BC">
            <w:pPr>
              <w:spacing w:after="94" w:line="276" w:lineRule="auto"/>
              <w:jc w:val="both"/>
              <w:rPr>
                <w:rFonts w:ascii="Verdana" w:hAnsi="Verdana" w:cs="Arial"/>
                <w:i/>
                <w:sz w:val="16"/>
                <w:szCs w:val="16"/>
                <w:lang w:val="en-US"/>
              </w:rPr>
            </w:pPr>
            <w:r w:rsidRPr="003342BC">
              <w:rPr>
                <w:rFonts w:ascii="Verdana" w:hAnsi="Verdana" w:cs="Arial"/>
                <w:i/>
                <w:sz w:val="16"/>
                <w:szCs w:val="16"/>
                <w:lang w:val="en-US"/>
              </w:rPr>
              <w:t>Include pharmacovigilance, phase IV studies, risk management plans, additional stability plans.</w:t>
            </w:r>
          </w:p>
        </w:tc>
      </w:tr>
    </w:tbl>
    <w:p w14:paraId="18F0E889" w14:textId="77777777" w:rsidR="003342BC" w:rsidRPr="003342BC" w:rsidRDefault="003342BC" w:rsidP="003342BC">
      <w:pPr>
        <w:spacing w:after="94" w:line="276" w:lineRule="auto"/>
        <w:ind w:firstLine="288"/>
        <w:jc w:val="both"/>
        <w:rPr>
          <w:rFonts w:ascii="Verdana" w:hAnsi="Verdana" w:cs="Arial"/>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1507"/>
        <w:gridCol w:w="648"/>
        <w:gridCol w:w="1267"/>
      </w:tblGrid>
      <w:tr w:rsidR="003342BC" w:rsidRPr="003342BC" w14:paraId="0BFB4F97" w14:textId="77777777" w:rsidTr="00DC4FDA">
        <w:trPr>
          <w:cantSplit/>
          <w:trHeight w:val="20"/>
        </w:trPr>
        <w:tc>
          <w:tcPr>
            <w:tcW w:w="4046" w:type="dxa"/>
            <w:gridSpan w:val="2"/>
            <w:tcBorders>
              <w:top w:val="double" w:sz="6" w:space="0" w:color="auto"/>
              <w:bottom w:val="double" w:sz="6" w:space="0" w:color="auto"/>
            </w:tcBorders>
            <w:shd w:val="clear" w:color="000000" w:fill="FFFFFF"/>
            <w:noWrap/>
          </w:tcPr>
          <w:p w14:paraId="6D159A9F"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lastRenderedPageBreak/>
              <w:t>Notifications of suspected adverse reactions</w:t>
            </w:r>
          </w:p>
        </w:tc>
        <w:tc>
          <w:tcPr>
            <w:tcW w:w="1244" w:type="dxa"/>
            <w:tcBorders>
              <w:top w:val="double" w:sz="6" w:space="0" w:color="auto"/>
            </w:tcBorders>
            <w:shd w:val="clear" w:color="000000" w:fill="FFFFFF"/>
          </w:tcPr>
          <w:p w14:paraId="70D9B135"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xml:space="preserve">Made by: </w:t>
            </w:r>
          </w:p>
        </w:tc>
        <w:tc>
          <w:tcPr>
            <w:tcW w:w="1507" w:type="dxa"/>
            <w:tcBorders>
              <w:top w:val="double" w:sz="6" w:space="0" w:color="auto"/>
              <w:bottom w:val="single" w:sz="6" w:space="0" w:color="auto"/>
            </w:tcBorders>
            <w:shd w:val="clear" w:color="000000" w:fill="FFFFFF"/>
          </w:tcPr>
          <w:p w14:paraId="6A702A60"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648" w:type="dxa"/>
            <w:tcBorders>
              <w:top w:val="double" w:sz="6" w:space="0" w:color="auto"/>
            </w:tcBorders>
            <w:shd w:val="clear" w:color="000000" w:fill="FFFFFF"/>
          </w:tcPr>
          <w:p w14:paraId="6C1682E8"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Date:</w:t>
            </w:r>
          </w:p>
        </w:tc>
        <w:tc>
          <w:tcPr>
            <w:tcW w:w="1267" w:type="dxa"/>
            <w:tcBorders>
              <w:top w:val="double" w:sz="6" w:space="0" w:color="auto"/>
              <w:bottom w:val="single" w:sz="6" w:space="0" w:color="auto"/>
              <w:right w:val="double" w:sz="6" w:space="0" w:color="auto"/>
            </w:tcBorders>
            <w:shd w:val="clear" w:color="000000" w:fill="FFFFFF"/>
          </w:tcPr>
          <w:p w14:paraId="36A8FCE9"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861FCE" w14:paraId="6796EB96" w14:textId="77777777" w:rsidTr="00DC4FDA">
        <w:trPr>
          <w:cantSplit/>
          <w:trHeight w:val="20"/>
        </w:trPr>
        <w:tc>
          <w:tcPr>
            <w:tcW w:w="2682" w:type="dxa"/>
            <w:tcBorders>
              <w:bottom w:val="double" w:sz="6" w:space="0" w:color="auto"/>
            </w:tcBorders>
            <w:shd w:val="clear" w:color="000000" w:fill="FFFFFF"/>
          </w:tcPr>
          <w:p w14:paraId="4328F845"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c>
          <w:tcPr>
            <w:tcW w:w="6030" w:type="dxa"/>
            <w:gridSpan w:val="5"/>
            <w:tcBorders>
              <w:bottom w:val="double" w:sz="6" w:space="0" w:color="auto"/>
            </w:tcBorders>
            <w:shd w:val="clear" w:color="000000" w:fill="FFFFFF"/>
          </w:tcPr>
          <w:p w14:paraId="15C9538C" w14:textId="77777777" w:rsidR="003342BC" w:rsidRPr="003342BC" w:rsidRDefault="003342BC" w:rsidP="003342BC">
            <w:pPr>
              <w:spacing w:after="94" w:line="276" w:lineRule="auto"/>
              <w:jc w:val="both"/>
              <w:rPr>
                <w:rFonts w:ascii="Verdana" w:hAnsi="Verdana" w:cs="Arial"/>
                <w:i/>
                <w:sz w:val="16"/>
                <w:szCs w:val="16"/>
                <w:lang w:val="en-US"/>
              </w:rPr>
            </w:pPr>
            <w:r w:rsidRPr="003342BC">
              <w:rPr>
                <w:rFonts w:ascii="Verdana" w:hAnsi="Verdana" w:cs="Arial"/>
                <w:i/>
                <w:sz w:val="16"/>
                <w:szCs w:val="16"/>
                <w:lang w:val="en-US"/>
              </w:rPr>
              <w:t xml:space="preserve">Information: Include those related to the quality and/or manufacturing process of the product. </w:t>
            </w:r>
          </w:p>
        </w:tc>
      </w:tr>
    </w:tbl>
    <w:p w14:paraId="23D8CF82" w14:textId="77777777" w:rsidR="003342BC" w:rsidRPr="003342BC" w:rsidRDefault="003342BC" w:rsidP="003342BC">
      <w:pPr>
        <w:spacing w:after="94" w:line="276" w:lineRule="auto"/>
        <w:ind w:firstLine="288"/>
        <w:jc w:val="both"/>
        <w:rPr>
          <w:rFonts w:ascii="Verdana" w:hAnsi="Verdana" w:cs="Arial"/>
          <w:i/>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1507"/>
        <w:gridCol w:w="648"/>
        <w:gridCol w:w="1267"/>
      </w:tblGrid>
      <w:tr w:rsidR="003342BC" w:rsidRPr="003342BC" w14:paraId="6B57B57E" w14:textId="77777777" w:rsidTr="00DC4FDA">
        <w:trPr>
          <w:cantSplit/>
          <w:trHeight w:val="20"/>
        </w:trPr>
        <w:tc>
          <w:tcPr>
            <w:tcW w:w="4046" w:type="dxa"/>
            <w:gridSpan w:val="2"/>
            <w:tcBorders>
              <w:top w:val="double" w:sz="6" w:space="0" w:color="auto"/>
              <w:bottom w:val="double" w:sz="6" w:space="0" w:color="auto"/>
            </w:tcBorders>
            <w:shd w:val="clear" w:color="000000" w:fill="FFFFFF"/>
            <w:noWrap/>
          </w:tcPr>
          <w:p w14:paraId="4F9D64EC"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xml:space="preserve">Actions derived from the review of the preceding ARP </w:t>
            </w:r>
          </w:p>
        </w:tc>
        <w:tc>
          <w:tcPr>
            <w:tcW w:w="1244" w:type="dxa"/>
            <w:tcBorders>
              <w:top w:val="double" w:sz="6" w:space="0" w:color="auto"/>
            </w:tcBorders>
            <w:shd w:val="clear" w:color="000000" w:fill="FFFFFF"/>
          </w:tcPr>
          <w:p w14:paraId="6435A280"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xml:space="preserve">Made by: </w:t>
            </w:r>
          </w:p>
        </w:tc>
        <w:tc>
          <w:tcPr>
            <w:tcW w:w="1507" w:type="dxa"/>
            <w:tcBorders>
              <w:top w:val="double" w:sz="6" w:space="0" w:color="auto"/>
              <w:bottom w:val="single" w:sz="6" w:space="0" w:color="auto"/>
            </w:tcBorders>
            <w:shd w:val="clear" w:color="000000" w:fill="FFFFFF"/>
          </w:tcPr>
          <w:p w14:paraId="78A7F07F"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648" w:type="dxa"/>
            <w:tcBorders>
              <w:top w:val="double" w:sz="6" w:space="0" w:color="auto"/>
            </w:tcBorders>
            <w:shd w:val="clear" w:color="000000" w:fill="FFFFFF"/>
          </w:tcPr>
          <w:p w14:paraId="5DC23CD5"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Date:</w:t>
            </w:r>
          </w:p>
        </w:tc>
        <w:tc>
          <w:tcPr>
            <w:tcW w:w="1267" w:type="dxa"/>
            <w:tcBorders>
              <w:top w:val="double" w:sz="6" w:space="0" w:color="auto"/>
              <w:bottom w:val="single" w:sz="6" w:space="0" w:color="auto"/>
              <w:right w:val="double" w:sz="6" w:space="0" w:color="auto"/>
            </w:tcBorders>
            <w:shd w:val="clear" w:color="000000" w:fill="FFFFFF"/>
          </w:tcPr>
          <w:p w14:paraId="7FA4AB97"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3342BC" w14:paraId="08D43AF5" w14:textId="77777777" w:rsidTr="00DC4FDA">
        <w:trPr>
          <w:cantSplit/>
          <w:trHeight w:val="20"/>
        </w:trPr>
        <w:tc>
          <w:tcPr>
            <w:tcW w:w="2682" w:type="dxa"/>
            <w:tcBorders>
              <w:bottom w:val="double" w:sz="6" w:space="0" w:color="auto"/>
            </w:tcBorders>
            <w:shd w:val="clear" w:color="000000" w:fill="FFFFFF"/>
          </w:tcPr>
          <w:p w14:paraId="1EDA8382"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c>
          <w:tcPr>
            <w:tcW w:w="6030" w:type="dxa"/>
            <w:gridSpan w:val="5"/>
            <w:tcBorders>
              <w:bottom w:val="double" w:sz="6" w:space="0" w:color="auto"/>
            </w:tcBorders>
            <w:shd w:val="clear" w:color="000000" w:fill="FFFFFF"/>
          </w:tcPr>
          <w:p w14:paraId="3FF3D8E2"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r>
    </w:tbl>
    <w:p w14:paraId="50E68F36" w14:textId="77777777" w:rsidR="003342BC" w:rsidRPr="003342BC" w:rsidRDefault="003342BC" w:rsidP="003342BC">
      <w:pPr>
        <w:spacing w:after="94" w:line="276" w:lineRule="auto"/>
        <w:ind w:firstLine="288"/>
        <w:jc w:val="both"/>
        <w:rPr>
          <w:rFonts w:ascii="Verdana" w:hAnsi="Verdana" w:cs="Arial"/>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1507"/>
        <w:gridCol w:w="648"/>
        <w:gridCol w:w="1267"/>
      </w:tblGrid>
      <w:tr w:rsidR="003342BC" w:rsidRPr="003342BC" w14:paraId="16309AA8" w14:textId="77777777" w:rsidTr="00DC4FDA">
        <w:trPr>
          <w:cantSplit/>
          <w:trHeight w:val="20"/>
        </w:trPr>
        <w:tc>
          <w:tcPr>
            <w:tcW w:w="4046" w:type="dxa"/>
            <w:gridSpan w:val="2"/>
            <w:tcBorders>
              <w:top w:val="double" w:sz="6" w:space="0" w:color="auto"/>
              <w:bottom w:val="double" w:sz="6" w:space="0" w:color="auto"/>
            </w:tcBorders>
            <w:shd w:val="clear" w:color="000000" w:fill="FFFFFF"/>
            <w:noWrap/>
          </w:tcPr>
          <w:p w14:paraId="3810EC06"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Conclusion of the ARP</w:t>
            </w:r>
          </w:p>
        </w:tc>
        <w:tc>
          <w:tcPr>
            <w:tcW w:w="1244" w:type="dxa"/>
            <w:tcBorders>
              <w:top w:val="double" w:sz="6" w:space="0" w:color="auto"/>
            </w:tcBorders>
            <w:shd w:val="clear" w:color="000000" w:fill="FFFFFF"/>
          </w:tcPr>
          <w:p w14:paraId="7C3B811C"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xml:space="preserve">Made by: </w:t>
            </w:r>
          </w:p>
        </w:tc>
        <w:tc>
          <w:tcPr>
            <w:tcW w:w="1507" w:type="dxa"/>
            <w:tcBorders>
              <w:top w:val="double" w:sz="6" w:space="0" w:color="auto"/>
              <w:bottom w:val="single" w:sz="6" w:space="0" w:color="auto"/>
            </w:tcBorders>
            <w:shd w:val="clear" w:color="000000" w:fill="FFFFFF"/>
          </w:tcPr>
          <w:p w14:paraId="11D514B2"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648" w:type="dxa"/>
            <w:tcBorders>
              <w:top w:val="double" w:sz="6" w:space="0" w:color="auto"/>
            </w:tcBorders>
            <w:shd w:val="clear" w:color="000000" w:fill="FFFFFF"/>
          </w:tcPr>
          <w:p w14:paraId="3687BE84"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Date:</w:t>
            </w:r>
          </w:p>
        </w:tc>
        <w:tc>
          <w:tcPr>
            <w:tcW w:w="1267" w:type="dxa"/>
            <w:tcBorders>
              <w:top w:val="double" w:sz="6" w:space="0" w:color="auto"/>
              <w:bottom w:val="single" w:sz="6" w:space="0" w:color="auto"/>
              <w:right w:val="double" w:sz="6" w:space="0" w:color="auto"/>
            </w:tcBorders>
            <w:shd w:val="clear" w:color="000000" w:fill="FFFFFF"/>
          </w:tcPr>
          <w:p w14:paraId="10A49D3B"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3342BC" w14:paraId="368D5967" w14:textId="77777777" w:rsidTr="00DC4FDA">
        <w:trPr>
          <w:cantSplit/>
          <w:trHeight w:val="20"/>
        </w:trPr>
        <w:tc>
          <w:tcPr>
            <w:tcW w:w="2682" w:type="dxa"/>
            <w:tcBorders>
              <w:bottom w:val="double" w:sz="6" w:space="0" w:color="auto"/>
            </w:tcBorders>
            <w:shd w:val="clear" w:color="000000" w:fill="FFFFFF"/>
          </w:tcPr>
          <w:p w14:paraId="61A9D7AD"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c>
          <w:tcPr>
            <w:tcW w:w="6030" w:type="dxa"/>
            <w:gridSpan w:val="5"/>
            <w:tcBorders>
              <w:bottom w:val="double" w:sz="6" w:space="0" w:color="auto"/>
            </w:tcBorders>
            <w:shd w:val="clear" w:color="000000" w:fill="FFFFFF"/>
          </w:tcPr>
          <w:p w14:paraId="4BC3EDF9" w14:textId="77777777" w:rsidR="003342BC" w:rsidRPr="003342BC" w:rsidRDefault="003342BC" w:rsidP="003342BC">
            <w:pPr>
              <w:spacing w:after="94" w:line="276" w:lineRule="auto"/>
              <w:jc w:val="both"/>
              <w:rPr>
                <w:rFonts w:ascii="Verdana" w:hAnsi="Verdana" w:cs="Arial"/>
                <w:i/>
                <w:sz w:val="16"/>
                <w:szCs w:val="16"/>
                <w:lang w:val="en-US"/>
              </w:rPr>
            </w:pPr>
            <w:r w:rsidRPr="003342BC">
              <w:rPr>
                <w:rFonts w:ascii="Verdana" w:hAnsi="Verdana" w:cs="Arial"/>
                <w:i/>
                <w:sz w:val="16"/>
                <w:szCs w:val="16"/>
                <w:lang w:val="en-US"/>
              </w:rPr>
              <w:t xml:space="preserve">Information: </w:t>
            </w:r>
          </w:p>
        </w:tc>
      </w:tr>
    </w:tbl>
    <w:p w14:paraId="67AB8621" w14:textId="77777777" w:rsidR="003342BC" w:rsidRPr="003342BC" w:rsidRDefault="003342BC" w:rsidP="003342BC">
      <w:pPr>
        <w:spacing w:after="94" w:line="276" w:lineRule="auto"/>
        <w:ind w:firstLine="288"/>
        <w:jc w:val="both"/>
        <w:rPr>
          <w:rFonts w:ascii="Verdana" w:hAnsi="Verdana" w:cs="Arial"/>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1364"/>
        <w:gridCol w:w="1244"/>
        <w:gridCol w:w="1507"/>
        <w:gridCol w:w="648"/>
        <w:gridCol w:w="1267"/>
      </w:tblGrid>
      <w:tr w:rsidR="003342BC" w:rsidRPr="003342BC" w14:paraId="3C5B6AF5" w14:textId="77777777" w:rsidTr="00DC4FDA">
        <w:trPr>
          <w:cantSplit/>
          <w:trHeight w:val="20"/>
        </w:trPr>
        <w:tc>
          <w:tcPr>
            <w:tcW w:w="4046" w:type="dxa"/>
            <w:gridSpan w:val="2"/>
            <w:tcBorders>
              <w:top w:val="double" w:sz="6" w:space="0" w:color="auto"/>
              <w:bottom w:val="double" w:sz="6" w:space="0" w:color="auto"/>
            </w:tcBorders>
            <w:shd w:val="clear" w:color="000000" w:fill="FFFFFF"/>
            <w:noWrap/>
          </w:tcPr>
          <w:p w14:paraId="3A45854B"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Actions derived from the conclusions of the ARP</w:t>
            </w:r>
          </w:p>
        </w:tc>
        <w:tc>
          <w:tcPr>
            <w:tcW w:w="1244" w:type="dxa"/>
            <w:tcBorders>
              <w:top w:val="double" w:sz="6" w:space="0" w:color="auto"/>
            </w:tcBorders>
            <w:shd w:val="clear" w:color="000000" w:fill="FFFFFF"/>
          </w:tcPr>
          <w:p w14:paraId="181757E7"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xml:space="preserve">Made by: </w:t>
            </w:r>
          </w:p>
        </w:tc>
        <w:tc>
          <w:tcPr>
            <w:tcW w:w="1507" w:type="dxa"/>
            <w:tcBorders>
              <w:top w:val="double" w:sz="6" w:space="0" w:color="auto"/>
              <w:bottom w:val="single" w:sz="6" w:space="0" w:color="auto"/>
            </w:tcBorders>
            <w:shd w:val="clear" w:color="000000" w:fill="FFFFFF"/>
          </w:tcPr>
          <w:p w14:paraId="52940199"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c>
          <w:tcPr>
            <w:tcW w:w="648" w:type="dxa"/>
            <w:tcBorders>
              <w:top w:val="double" w:sz="6" w:space="0" w:color="auto"/>
            </w:tcBorders>
            <w:shd w:val="clear" w:color="000000" w:fill="FFFFFF"/>
          </w:tcPr>
          <w:p w14:paraId="130E2BC4"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Date:</w:t>
            </w:r>
          </w:p>
        </w:tc>
        <w:tc>
          <w:tcPr>
            <w:tcW w:w="1267" w:type="dxa"/>
            <w:tcBorders>
              <w:top w:val="double" w:sz="6" w:space="0" w:color="auto"/>
              <w:bottom w:val="single" w:sz="6" w:space="0" w:color="auto"/>
              <w:right w:val="double" w:sz="6" w:space="0" w:color="auto"/>
            </w:tcBorders>
            <w:shd w:val="clear" w:color="000000" w:fill="FFFFFF"/>
          </w:tcPr>
          <w:p w14:paraId="21B1C83C" w14:textId="77777777" w:rsidR="003342BC" w:rsidRPr="003342BC" w:rsidRDefault="003342BC" w:rsidP="003342BC">
            <w:pPr>
              <w:spacing w:after="94" w:line="276" w:lineRule="auto"/>
              <w:jc w:val="both"/>
              <w:rPr>
                <w:rFonts w:ascii="Verdana" w:hAnsi="Verdana" w:cs="Arial"/>
                <w:b/>
                <w:sz w:val="16"/>
                <w:szCs w:val="16"/>
                <w:lang w:val="en-US"/>
              </w:rPr>
            </w:pPr>
            <w:r w:rsidRPr="003342BC">
              <w:rPr>
                <w:rFonts w:ascii="Verdana" w:hAnsi="Verdana" w:cs="Arial"/>
                <w:b/>
                <w:sz w:val="16"/>
                <w:szCs w:val="16"/>
                <w:lang w:val="en-US"/>
              </w:rPr>
              <w:t> </w:t>
            </w:r>
          </w:p>
        </w:tc>
      </w:tr>
      <w:tr w:rsidR="003342BC" w:rsidRPr="003342BC" w14:paraId="48C099D2" w14:textId="77777777" w:rsidTr="00DC4FDA">
        <w:trPr>
          <w:cantSplit/>
          <w:trHeight w:val="20"/>
        </w:trPr>
        <w:tc>
          <w:tcPr>
            <w:tcW w:w="2682" w:type="dxa"/>
            <w:tcBorders>
              <w:bottom w:val="double" w:sz="6" w:space="0" w:color="auto"/>
            </w:tcBorders>
            <w:shd w:val="clear" w:color="000000" w:fill="FFFFFF"/>
          </w:tcPr>
          <w:p w14:paraId="1A230595"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c>
          <w:tcPr>
            <w:tcW w:w="6030" w:type="dxa"/>
            <w:gridSpan w:val="5"/>
            <w:tcBorders>
              <w:bottom w:val="double" w:sz="6" w:space="0" w:color="auto"/>
            </w:tcBorders>
            <w:shd w:val="clear" w:color="000000" w:fill="FFFFFF"/>
          </w:tcPr>
          <w:p w14:paraId="4C99F108"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r>
    </w:tbl>
    <w:p w14:paraId="1FD9E5EE" w14:textId="77777777" w:rsidR="003342BC" w:rsidRPr="003342BC" w:rsidRDefault="003342BC" w:rsidP="003342BC">
      <w:pPr>
        <w:spacing w:after="94" w:line="276" w:lineRule="auto"/>
        <w:ind w:firstLine="288"/>
        <w:jc w:val="both"/>
        <w:rPr>
          <w:rFonts w:ascii="Verdana" w:hAnsi="Verdana" w:cs="Arial"/>
          <w:sz w:val="16"/>
          <w:szCs w:val="16"/>
          <w:lang w:val="en-US"/>
        </w:rPr>
      </w:pPr>
    </w:p>
    <w:tbl>
      <w:tblPr>
        <w:tblW w:w="8712" w:type="dxa"/>
        <w:tblInd w:w="144" w:type="dxa"/>
        <w:tblBorders>
          <w:top w:val="double" w:sz="6" w:space="0" w:color="auto"/>
          <w:left w:val="double" w:sz="6" w:space="0" w:color="auto"/>
          <w:bottom w:val="double" w:sz="6" w:space="0" w:color="auto"/>
          <w:right w:val="double" w:sz="6" w:space="0" w:color="auto"/>
        </w:tblBorders>
        <w:tblCellMar>
          <w:left w:w="70" w:type="dxa"/>
          <w:right w:w="70" w:type="dxa"/>
        </w:tblCellMar>
        <w:tblLook w:val="0000" w:firstRow="0" w:lastRow="0" w:firstColumn="0" w:lastColumn="0" w:noHBand="0" w:noVBand="0"/>
      </w:tblPr>
      <w:tblGrid>
        <w:gridCol w:w="2682"/>
        <w:gridCol w:w="3123"/>
        <w:gridCol w:w="1383"/>
        <w:gridCol w:w="1524"/>
      </w:tblGrid>
      <w:tr w:rsidR="003342BC" w:rsidRPr="00861FCE" w14:paraId="69C6C488" w14:textId="77777777" w:rsidTr="00DC4FDA">
        <w:trPr>
          <w:cantSplit/>
          <w:trHeight w:val="20"/>
        </w:trPr>
        <w:tc>
          <w:tcPr>
            <w:tcW w:w="8712" w:type="dxa"/>
            <w:gridSpan w:val="4"/>
            <w:tcBorders>
              <w:top w:val="double" w:sz="6" w:space="0" w:color="auto"/>
              <w:bottom w:val="double" w:sz="6" w:space="0" w:color="auto"/>
            </w:tcBorders>
            <w:shd w:val="clear" w:color="000000" w:fill="FFFFFF"/>
            <w:noWrap/>
          </w:tcPr>
          <w:p w14:paraId="0556B0BC" w14:textId="77777777" w:rsidR="003342BC" w:rsidRPr="003342BC" w:rsidRDefault="003342BC" w:rsidP="003342BC">
            <w:pPr>
              <w:spacing w:after="94" w:line="276" w:lineRule="auto"/>
              <w:jc w:val="center"/>
              <w:rPr>
                <w:rFonts w:ascii="Verdana" w:hAnsi="Verdana" w:cs="Arial"/>
                <w:b/>
                <w:sz w:val="16"/>
                <w:szCs w:val="16"/>
                <w:lang w:val="en-US"/>
              </w:rPr>
            </w:pPr>
            <w:r w:rsidRPr="003342BC">
              <w:rPr>
                <w:rFonts w:ascii="Verdana" w:hAnsi="Verdana" w:cs="Arial"/>
                <w:b/>
                <w:sz w:val="16"/>
                <w:szCs w:val="16"/>
                <w:lang w:val="en-US"/>
              </w:rPr>
              <w:t>Summary of the Annual Review of the Product</w:t>
            </w:r>
          </w:p>
        </w:tc>
      </w:tr>
      <w:tr w:rsidR="003342BC" w:rsidRPr="003342BC" w14:paraId="5DAE4315" w14:textId="77777777" w:rsidTr="00DC4FDA">
        <w:trPr>
          <w:cantSplit/>
          <w:trHeight w:val="20"/>
        </w:trPr>
        <w:tc>
          <w:tcPr>
            <w:tcW w:w="2682" w:type="dxa"/>
            <w:tcBorders>
              <w:top w:val="double" w:sz="6" w:space="0" w:color="auto"/>
            </w:tcBorders>
            <w:shd w:val="clear" w:color="000000" w:fill="FFFFFF"/>
          </w:tcPr>
          <w:p w14:paraId="096E8401" w14:textId="77777777" w:rsidR="003342BC" w:rsidRPr="003342BC" w:rsidRDefault="003342BC" w:rsidP="003342BC">
            <w:pPr>
              <w:spacing w:after="94" w:line="276" w:lineRule="auto"/>
              <w:jc w:val="right"/>
              <w:rPr>
                <w:rFonts w:ascii="Verdana" w:hAnsi="Verdana" w:cs="Arial"/>
                <w:sz w:val="16"/>
                <w:szCs w:val="16"/>
                <w:lang w:val="en-US"/>
              </w:rPr>
            </w:pPr>
            <w:r w:rsidRPr="003342BC">
              <w:rPr>
                <w:rFonts w:ascii="Verdana" w:hAnsi="Verdana" w:cs="Arial"/>
                <w:sz w:val="16"/>
                <w:szCs w:val="16"/>
                <w:lang w:val="en-US"/>
              </w:rPr>
              <w:t>Made by:</w:t>
            </w:r>
          </w:p>
        </w:tc>
        <w:tc>
          <w:tcPr>
            <w:tcW w:w="3123" w:type="dxa"/>
            <w:tcBorders>
              <w:top w:val="double" w:sz="6" w:space="0" w:color="auto"/>
              <w:bottom w:val="single" w:sz="6" w:space="0" w:color="auto"/>
              <w:right w:val="nil"/>
            </w:tcBorders>
            <w:shd w:val="clear" w:color="000000" w:fill="FFFFFF"/>
          </w:tcPr>
          <w:p w14:paraId="6FCAD1BC"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c>
          <w:tcPr>
            <w:tcW w:w="1383" w:type="dxa"/>
            <w:tcBorders>
              <w:top w:val="double" w:sz="6" w:space="0" w:color="auto"/>
              <w:left w:val="nil"/>
            </w:tcBorders>
            <w:shd w:val="clear" w:color="000000" w:fill="FFFFFF"/>
          </w:tcPr>
          <w:p w14:paraId="52DCFC0D" w14:textId="77777777" w:rsidR="003342BC" w:rsidRPr="003342BC" w:rsidRDefault="003342BC" w:rsidP="003342BC">
            <w:pPr>
              <w:spacing w:after="94" w:line="276" w:lineRule="auto"/>
              <w:jc w:val="center"/>
              <w:rPr>
                <w:rFonts w:ascii="Verdana" w:hAnsi="Verdana" w:cs="Arial"/>
                <w:sz w:val="16"/>
                <w:szCs w:val="16"/>
                <w:lang w:val="en-US"/>
              </w:rPr>
            </w:pPr>
            <w:r w:rsidRPr="003342BC">
              <w:rPr>
                <w:rFonts w:ascii="Verdana" w:hAnsi="Verdana" w:cs="Arial"/>
                <w:sz w:val="16"/>
                <w:szCs w:val="16"/>
                <w:lang w:val="en-US"/>
              </w:rPr>
              <w:t>Date:</w:t>
            </w:r>
          </w:p>
        </w:tc>
        <w:tc>
          <w:tcPr>
            <w:tcW w:w="1524" w:type="dxa"/>
            <w:tcBorders>
              <w:top w:val="double" w:sz="6" w:space="0" w:color="auto"/>
              <w:bottom w:val="single" w:sz="6" w:space="0" w:color="auto"/>
            </w:tcBorders>
            <w:shd w:val="clear" w:color="000000" w:fill="FFFFFF"/>
          </w:tcPr>
          <w:p w14:paraId="02BE6827"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r>
      <w:tr w:rsidR="003342BC" w:rsidRPr="003342BC" w14:paraId="52480AD3" w14:textId="77777777" w:rsidTr="00DC4FDA">
        <w:trPr>
          <w:cantSplit/>
          <w:trHeight w:val="20"/>
        </w:trPr>
        <w:tc>
          <w:tcPr>
            <w:tcW w:w="2682" w:type="dxa"/>
            <w:shd w:val="clear" w:color="000000" w:fill="FFFFFF"/>
          </w:tcPr>
          <w:p w14:paraId="01506F33" w14:textId="77777777" w:rsidR="003342BC" w:rsidRPr="003342BC" w:rsidRDefault="003342BC" w:rsidP="003342BC">
            <w:pPr>
              <w:spacing w:after="94" w:line="276" w:lineRule="auto"/>
              <w:jc w:val="right"/>
              <w:rPr>
                <w:rFonts w:ascii="Verdana" w:hAnsi="Verdana" w:cs="Arial"/>
                <w:sz w:val="16"/>
                <w:szCs w:val="16"/>
                <w:lang w:val="en-US"/>
              </w:rPr>
            </w:pPr>
            <w:r w:rsidRPr="003342BC">
              <w:rPr>
                <w:rFonts w:ascii="Verdana" w:hAnsi="Verdana" w:cs="Arial"/>
                <w:sz w:val="16"/>
                <w:szCs w:val="16"/>
                <w:lang w:val="en-US"/>
              </w:rPr>
              <w:t>Approved by:</w:t>
            </w:r>
          </w:p>
        </w:tc>
        <w:tc>
          <w:tcPr>
            <w:tcW w:w="3123" w:type="dxa"/>
            <w:tcBorders>
              <w:top w:val="single" w:sz="6" w:space="0" w:color="auto"/>
              <w:bottom w:val="single" w:sz="6" w:space="0" w:color="auto"/>
            </w:tcBorders>
            <w:shd w:val="clear" w:color="000000" w:fill="FFFFFF"/>
          </w:tcPr>
          <w:p w14:paraId="05C6B798"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c>
          <w:tcPr>
            <w:tcW w:w="1383" w:type="dxa"/>
            <w:shd w:val="clear" w:color="000000" w:fill="FFFFFF"/>
          </w:tcPr>
          <w:p w14:paraId="337E0150" w14:textId="77777777" w:rsidR="003342BC" w:rsidRPr="003342BC" w:rsidRDefault="003342BC" w:rsidP="003342BC">
            <w:pPr>
              <w:spacing w:after="94" w:line="276" w:lineRule="auto"/>
              <w:jc w:val="center"/>
              <w:rPr>
                <w:rFonts w:ascii="Verdana" w:hAnsi="Verdana" w:cs="Arial"/>
                <w:sz w:val="16"/>
                <w:szCs w:val="16"/>
                <w:lang w:val="en-US"/>
              </w:rPr>
            </w:pPr>
            <w:r w:rsidRPr="003342BC">
              <w:rPr>
                <w:rFonts w:ascii="Verdana" w:hAnsi="Verdana" w:cs="Arial"/>
                <w:sz w:val="16"/>
                <w:szCs w:val="16"/>
                <w:lang w:val="en-US"/>
              </w:rPr>
              <w:t>Date:</w:t>
            </w:r>
          </w:p>
        </w:tc>
        <w:tc>
          <w:tcPr>
            <w:tcW w:w="1524" w:type="dxa"/>
            <w:shd w:val="clear" w:color="000000" w:fill="FFFFFF"/>
          </w:tcPr>
          <w:p w14:paraId="040516CB" w14:textId="77777777" w:rsidR="003342BC" w:rsidRPr="003342BC" w:rsidRDefault="003342BC" w:rsidP="003342BC">
            <w:pPr>
              <w:spacing w:after="94" w:line="276" w:lineRule="auto"/>
              <w:jc w:val="both"/>
              <w:rPr>
                <w:rFonts w:ascii="Verdana" w:hAnsi="Verdana" w:cs="Arial"/>
                <w:sz w:val="16"/>
                <w:szCs w:val="16"/>
                <w:lang w:val="en-US"/>
              </w:rPr>
            </w:pPr>
            <w:r w:rsidRPr="003342BC">
              <w:rPr>
                <w:rFonts w:ascii="Verdana" w:hAnsi="Verdana" w:cs="Arial"/>
                <w:sz w:val="16"/>
                <w:szCs w:val="16"/>
                <w:lang w:val="en-US"/>
              </w:rPr>
              <w:t> </w:t>
            </w:r>
          </w:p>
        </w:tc>
      </w:tr>
      <w:tr w:rsidR="003342BC" w:rsidRPr="003342BC" w14:paraId="28E7DD59" w14:textId="77777777" w:rsidTr="00DC4FDA">
        <w:trPr>
          <w:cantSplit/>
          <w:trHeight w:val="20"/>
        </w:trPr>
        <w:tc>
          <w:tcPr>
            <w:tcW w:w="2682" w:type="dxa"/>
            <w:tcBorders>
              <w:bottom w:val="double" w:sz="6" w:space="0" w:color="auto"/>
            </w:tcBorders>
            <w:shd w:val="clear" w:color="000000" w:fill="FFFFFF"/>
          </w:tcPr>
          <w:p w14:paraId="30D43521" w14:textId="77777777" w:rsidR="003342BC" w:rsidRPr="003342BC" w:rsidRDefault="003342BC" w:rsidP="003342BC">
            <w:pPr>
              <w:spacing w:after="94" w:line="276" w:lineRule="auto"/>
              <w:jc w:val="right"/>
              <w:rPr>
                <w:rFonts w:ascii="Verdana" w:hAnsi="Verdana" w:cs="Arial"/>
                <w:sz w:val="16"/>
                <w:szCs w:val="16"/>
                <w:lang w:val="en-US"/>
              </w:rPr>
            </w:pPr>
          </w:p>
        </w:tc>
        <w:tc>
          <w:tcPr>
            <w:tcW w:w="3123" w:type="dxa"/>
            <w:tcBorders>
              <w:top w:val="single" w:sz="6" w:space="0" w:color="auto"/>
              <w:bottom w:val="double" w:sz="6" w:space="0" w:color="auto"/>
            </w:tcBorders>
            <w:shd w:val="clear" w:color="000000" w:fill="FFFFFF"/>
          </w:tcPr>
          <w:p w14:paraId="58070782" w14:textId="77777777" w:rsidR="003342BC" w:rsidRPr="003342BC" w:rsidRDefault="003342BC" w:rsidP="003342BC">
            <w:pPr>
              <w:spacing w:after="94" w:line="276" w:lineRule="auto"/>
              <w:jc w:val="both"/>
              <w:rPr>
                <w:rFonts w:ascii="Verdana" w:hAnsi="Verdana" w:cs="Arial"/>
                <w:sz w:val="16"/>
                <w:szCs w:val="16"/>
                <w:lang w:val="en-US"/>
              </w:rPr>
            </w:pPr>
          </w:p>
        </w:tc>
        <w:tc>
          <w:tcPr>
            <w:tcW w:w="1383" w:type="dxa"/>
            <w:tcBorders>
              <w:bottom w:val="double" w:sz="6" w:space="0" w:color="auto"/>
            </w:tcBorders>
            <w:shd w:val="clear" w:color="000000" w:fill="FFFFFF"/>
          </w:tcPr>
          <w:p w14:paraId="20B7DBDF" w14:textId="77777777" w:rsidR="003342BC" w:rsidRPr="003342BC" w:rsidRDefault="003342BC" w:rsidP="003342BC">
            <w:pPr>
              <w:spacing w:after="94" w:line="276" w:lineRule="auto"/>
              <w:jc w:val="center"/>
              <w:rPr>
                <w:rFonts w:ascii="Verdana" w:hAnsi="Verdana" w:cs="Arial"/>
                <w:sz w:val="16"/>
                <w:szCs w:val="16"/>
                <w:lang w:val="en-US"/>
              </w:rPr>
            </w:pPr>
          </w:p>
        </w:tc>
        <w:tc>
          <w:tcPr>
            <w:tcW w:w="1524" w:type="dxa"/>
            <w:tcBorders>
              <w:bottom w:val="double" w:sz="6" w:space="0" w:color="auto"/>
            </w:tcBorders>
            <w:shd w:val="clear" w:color="000000" w:fill="FFFFFF"/>
          </w:tcPr>
          <w:p w14:paraId="487AC517" w14:textId="77777777" w:rsidR="003342BC" w:rsidRPr="003342BC" w:rsidRDefault="003342BC" w:rsidP="003342BC">
            <w:pPr>
              <w:spacing w:after="94" w:line="276" w:lineRule="auto"/>
              <w:jc w:val="both"/>
              <w:rPr>
                <w:rFonts w:ascii="Verdana" w:hAnsi="Verdana" w:cs="Arial"/>
                <w:sz w:val="16"/>
                <w:szCs w:val="16"/>
                <w:lang w:val="en-US"/>
              </w:rPr>
            </w:pPr>
          </w:p>
        </w:tc>
      </w:tr>
    </w:tbl>
    <w:p w14:paraId="62235893" w14:textId="77777777" w:rsidR="003342BC" w:rsidRPr="003342BC" w:rsidRDefault="003342BC" w:rsidP="003342BC">
      <w:pPr>
        <w:spacing w:after="94" w:line="276" w:lineRule="auto"/>
        <w:jc w:val="center"/>
        <w:rPr>
          <w:rFonts w:ascii="Verdana" w:hAnsi="Verdana" w:cs="Arial"/>
          <w:sz w:val="16"/>
          <w:szCs w:val="16"/>
          <w:lang w:val="en-US"/>
        </w:rPr>
      </w:pPr>
      <w:r w:rsidRPr="003342BC">
        <w:rPr>
          <w:rFonts w:ascii="Verdana" w:hAnsi="Verdana" w:cs="Arial"/>
          <w:sz w:val="16"/>
          <w:szCs w:val="16"/>
          <w:lang w:val="en-US"/>
        </w:rPr>
        <w:t>_____________________________</w:t>
      </w:r>
    </w:p>
    <w:p w14:paraId="0109F6EB" w14:textId="77777777" w:rsidR="003342BC" w:rsidRPr="003342BC" w:rsidRDefault="003342BC" w:rsidP="003342BC">
      <w:pPr>
        <w:spacing w:after="160" w:line="259" w:lineRule="auto"/>
        <w:rPr>
          <w:rFonts w:asciiTheme="minorHAnsi" w:eastAsiaTheme="minorHAnsi" w:hAnsiTheme="minorHAnsi" w:cstheme="minorBidi"/>
          <w:sz w:val="22"/>
          <w:szCs w:val="22"/>
          <w:lang w:val="en-US" w:eastAsia="en-US"/>
        </w:rPr>
      </w:pPr>
    </w:p>
    <w:p w14:paraId="76523DFB" w14:textId="0A9360B4" w:rsidR="003342BC" w:rsidRPr="001C52FF" w:rsidRDefault="006F1F2F" w:rsidP="003342BC">
      <w:pPr>
        <w:pStyle w:val="Texto"/>
        <w:spacing w:after="94" w:line="276" w:lineRule="auto"/>
        <w:ind w:firstLine="0"/>
        <w:jc w:val="center"/>
        <w:rPr>
          <w:rFonts w:ascii="Verdana" w:hAnsi="Verdana"/>
          <w:b/>
          <w:bCs/>
          <w:sz w:val="16"/>
          <w:szCs w:val="16"/>
        </w:rPr>
      </w:pPr>
      <w:r w:rsidRPr="001C52FF">
        <w:rPr>
          <w:rFonts w:ascii="Verdana" w:hAnsi="Verdana"/>
          <w:b/>
          <w:bCs/>
          <w:sz w:val="16"/>
          <w:szCs w:val="16"/>
        </w:rPr>
        <w:t xml:space="preserve">EMERGENCY MODIFICATION PUBLISHED AUGUST 23, 2023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402"/>
      </w:tblGrid>
      <w:tr w:rsidR="008F5C15" w:rsidRPr="00861FCE" w14:paraId="20C7DB54" w14:textId="77777777" w:rsidTr="00443DFD">
        <w:tc>
          <w:tcPr>
            <w:tcW w:w="4699" w:type="dxa"/>
          </w:tcPr>
          <w:p w14:paraId="50FE8B72" w14:textId="77777777" w:rsidR="008F5C15" w:rsidRPr="006C4DE7" w:rsidRDefault="008F5C15" w:rsidP="00443DFD">
            <w:pPr>
              <w:pStyle w:val="ANOTACION"/>
              <w:spacing w:after="80" w:line="218" w:lineRule="exact"/>
              <w:rPr>
                <w:rFonts w:ascii="Verdana" w:hAnsi="Verdana"/>
                <w:sz w:val="16"/>
                <w:szCs w:val="16"/>
              </w:rPr>
            </w:pPr>
            <w:r w:rsidRPr="006C4DE7">
              <w:rPr>
                <w:rFonts w:ascii="Verdana" w:hAnsi="Verdana"/>
                <w:sz w:val="16"/>
                <w:szCs w:val="16"/>
              </w:rPr>
              <w:t>MODIFICACIÓN DE EMERGENCIA A LA NORMA OFICIAL MEXICANA NOM-059-SSA1-2015, BUENAS PRÁCTICAS DE FABRICACIÓN DE MEDICAMENTOS, PUBLICADA EL 5 DE FEBRERO DE 2016</w:t>
            </w:r>
          </w:p>
        </w:tc>
        <w:tc>
          <w:tcPr>
            <w:tcW w:w="4651" w:type="dxa"/>
          </w:tcPr>
          <w:p w14:paraId="50387406" w14:textId="77777777" w:rsidR="008F5C15" w:rsidRPr="00967157" w:rsidRDefault="008F5C15" w:rsidP="00443DFD">
            <w:pPr>
              <w:pStyle w:val="ANOTACION"/>
              <w:spacing w:after="80" w:line="218" w:lineRule="exact"/>
              <w:rPr>
                <w:rFonts w:ascii="Verdana" w:hAnsi="Verdana"/>
                <w:sz w:val="16"/>
                <w:szCs w:val="16"/>
                <w:lang w:val="en-US"/>
              </w:rPr>
            </w:pPr>
            <w:r w:rsidRPr="00967157">
              <w:rPr>
                <w:rFonts w:ascii="Verdana" w:hAnsi="Verdana"/>
                <w:sz w:val="16"/>
                <w:szCs w:val="16"/>
                <w:lang w:val="en-US"/>
              </w:rPr>
              <w:t xml:space="preserve">EMERGENCY MODIFICATION TO THE OFFICIAL MEXICAN STANDARD NOM-059-SSA1-2015, GOOD PRACTICES IN THE MANUFACTURING OF </w:t>
            </w:r>
            <w:r>
              <w:rPr>
                <w:rFonts w:ascii="Verdana" w:hAnsi="Verdana"/>
                <w:sz w:val="16"/>
                <w:szCs w:val="16"/>
                <w:lang w:val="en-US"/>
              </w:rPr>
              <w:t>DRUG PRODUCTS</w:t>
            </w:r>
            <w:r w:rsidRPr="00967157">
              <w:rPr>
                <w:rFonts w:ascii="Verdana" w:hAnsi="Verdana"/>
                <w:sz w:val="16"/>
                <w:szCs w:val="16"/>
                <w:lang w:val="en-US"/>
              </w:rPr>
              <w:t>, PUBLISHED ON FEBRUARY 5, 2016</w:t>
            </w:r>
          </w:p>
        </w:tc>
      </w:tr>
      <w:tr w:rsidR="008F5C15" w:rsidRPr="00861FCE" w14:paraId="51C3402D" w14:textId="77777777" w:rsidTr="00443DFD">
        <w:tc>
          <w:tcPr>
            <w:tcW w:w="4699" w:type="dxa"/>
          </w:tcPr>
          <w:p w14:paraId="2E35F47E" w14:textId="77777777" w:rsidR="008F5C15" w:rsidRPr="006C4DE7" w:rsidRDefault="008F5C15" w:rsidP="00443DFD">
            <w:pPr>
              <w:pStyle w:val="Texto"/>
              <w:spacing w:after="80" w:line="218" w:lineRule="exact"/>
              <w:ind w:firstLine="0"/>
              <w:rPr>
                <w:rFonts w:ascii="Verdana" w:hAnsi="Verdana"/>
                <w:sz w:val="16"/>
                <w:szCs w:val="16"/>
              </w:rPr>
            </w:pPr>
            <w:r w:rsidRPr="006C4DE7">
              <w:rPr>
                <w:rFonts w:ascii="Verdana" w:hAnsi="Verdana"/>
                <w:b/>
                <w:sz w:val="16"/>
                <w:szCs w:val="16"/>
              </w:rPr>
              <w:t xml:space="preserve">UNICO </w:t>
            </w:r>
            <w:r w:rsidRPr="006C4DE7">
              <w:rPr>
                <w:rFonts w:ascii="Verdana" w:hAnsi="Verdana"/>
                <w:sz w:val="16"/>
                <w:szCs w:val="16"/>
              </w:rPr>
              <w:t xml:space="preserve">Se </w:t>
            </w:r>
            <w:r w:rsidRPr="006C4DE7">
              <w:rPr>
                <w:rFonts w:ascii="Verdana" w:hAnsi="Verdana"/>
                <w:b/>
                <w:sz w:val="16"/>
                <w:szCs w:val="16"/>
              </w:rPr>
              <w:t>ADICIONAN</w:t>
            </w:r>
            <w:r w:rsidRPr="006C4DE7">
              <w:rPr>
                <w:rFonts w:ascii="Verdana" w:hAnsi="Verdana"/>
                <w:sz w:val="16"/>
                <w:szCs w:val="16"/>
              </w:rPr>
              <w:t xml:space="preserve"> los puntos 3.128, 3.129 y 12.7 y se </w:t>
            </w:r>
            <w:r w:rsidRPr="006C4DE7">
              <w:rPr>
                <w:rFonts w:ascii="Verdana" w:hAnsi="Verdana"/>
                <w:b/>
                <w:sz w:val="16"/>
                <w:szCs w:val="16"/>
              </w:rPr>
              <w:t>MODIFICAN</w:t>
            </w:r>
            <w:r w:rsidRPr="006C4DE7">
              <w:rPr>
                <w:rFonts w:ascii="Verdana" w:hAnsi="Verdana"/>
                <w:sz w:val="16"/>
                <w:szCs w:val="16"/>
              </w:rPr>
              <w:t xml:space="preserve"> los puntos 10.5.10.3.1, 10.5.10.3.2.1, 10.5.10.3.3 de la Norma Oficial Mexicana NOM-059-SSA1-2015, Buenas Prácticas de Fabricación de Medicamentos, publicada en el Diario Oficial de la Federación el 5 de febrero de 2016, para quedar como sigue:</w:t>
            </w:r>
          </w:p>
        </w:tc>
        <w:tc>
          <w:tcPr>
            <w:tcW w:w="4651" w:type="dxa"/>
          </w:tcPr>
          <w:p w14:paraId="66F14A7B" w14:textId="77777777" w:rsidR="008F5C15" w:rsidRPr="00967157" w:rsidRDefault="008F5C15" w:rsidP="00443DFD">
            <w:pPr>
              <w:pStyle w:val="Texto"/>
              <w:spacing w:after="80" w:line="218" w:lineRule="exact"/>
              <w:ind w:firstLine="0"/>
              <w:rPr>
                <w:rFonts w:ascii="Verdana" w:hAnsi="Verdana"/>
                <w:b/>
                <w:sz w:val="16"/>
                <w:szCs w:val="16"/>
                <w:lang w:val="en-US"/>
              </w:rPr>
            </w:pPr>
            <w:r w:rsidRPr="00967157">
              <w:rPr>
                <w:rFonts w:ascii="Verdana" w:hAnsi="Verdana"/>
                <w:b/>
                <w:sz w:val="16"/>
                <w:szCs w:val="16"/>
                <w:lang w:val="en-US"/>
              </w:rPr>
              <w:t>S</w:t>
            </w:r>
            <w:r>
              <w:rPr>
                <w:rFonts w:ascii="Verdana" w:hAnsi="Verdana"/>
                <w:b/>
                <w:sz w:val="16"/>
                <w:szCs w:val="16"/>
                <w:lang w:val="en-US"/>
              </w:rPr>
              <w:t>O</w:t>
            </w:r>
            <w:r w:rsidRPr="00967157">
              <w:rPr>
                <w:rFonts w:ascii="Verdana" w:hAnsi="Verdana"/>
                <w:b/>
                <w:sz w:val="16"/>
                <w:szCs w:val="16"/>
                <w:lang w:val="en-US"/>
              </w:rPr>
              <w:t>LE</w:t>
            </w:r>
            <w:r>
              <w:rPr>
                <w:rFonts w:ascii="Verdana" w:hAnsi="Verdana"/>
                <w:b/>
                <w:sz w:val="16"/>
                <w:szCs w:val="16"/>
                <w:lang w:val="en-US"/>
              </w:rPr>
              <w:t xml:space="preserve"> ARTICLE.</w:t>
            </w:r>
            <w:r w:rsidRPr="00967157">
              <w:rPr>
                <w:rFonts w:ascii="Verdana" w:hAnsi="Verdana"/>
                <w:b/>
                <w:sz w:val="16"/>
                <w:szCs w:val="16"/>
                <w:lang w:val="en-US"/>
              </w:rPr>
              <w:t xml:space="preserve"> </w:t>
            </w:r>
            <w:r w:rsidRPr="00BB3C1F">
              <w:rPr>
                <w:rFonts w:ascii="Verdana" w:hAnsi="Verdana"/>
                <w:bCs/>
                <w:sz w:val="16"/>
                <w:szCs w:val="16"/>
                <w:lang w:val="en-US"/>
              </w:rPr>
              <w:t xml:space="preserve">The </w:t>
            </w:r>
            <w:r w:rsidRPr="00967157">
              <w:rPr>
                <w:rFonts w:ascii="Verdana" w:hAnsi="Verdana"/>
                <w:sz w:val="16"/>
                <w:szCs w:val="16"/>
                <w:lang w:val="en-US"/>
              </w:rPr>
              <w:t xml:space="preserve">Points 3.128, 3.129 and 12.7 are ADDED </w:t>
            </w:r>
            <w:r w:rsidRPr="00BB3C1F">
              <w:rPr>
                <w:rFonts w:ascii="Verdana" w:hAnsi="Verdana"/>
                <w:bCs/>
                <w:sz w:val="16"/>
                <w:szCs w:val="16"/>
                <w:lang w:val="en-US"/>
              </w:rPr>
              <w:t>and</w:t>
            </w:r>
            <w:r w:rsidRPr="00967157">
              <w:rPr>
                <w:rFonts w:ascii="Verdana" w:hAnsi="Verdana"/>
                <w:b/>
                <w:sz w:val="16"/>
                <w:szCs w:val="16"/>
                <w:lang w:val="en-US"/>
              </w:rPr>
              <w:t xml:space="preserve"> </w:t>
            </w:r>
            <w:r w:rsidRPr="00967157">
              <w:rPr>
                <w:rFonts w:ascii="Verdana" w:hAnsi="Verdana"/>
                <w:sz w:val="16"/>
                <w:szCs w:val="16"/>
                <w:lang w:val="en-US"/>
              </w:rPr>
              <w:t xml:space="preserve">points 10.5.10.3.1, 10.5.10.3.2.1, 10.5.10.3.3 of the Official Mexican Standard NOM-059-SSA1-2015, Good Manufacturing Practices </w:t>
            </w:r>
            <w:r w:rsidRPr="00967157">
              <w:rPr>
                <w:rFonts w:ascii="Verdana" w:hAnsi="Verdana"/>
                <w:b/>
                <w:sz w:val="16"/>
                <w:szCs w:val="16"/>
                <w:lang w:val="en-US"/>
              </w:rPr>
              <w:t xml:space="preserve">for </w:t>
            </w:r>
            <w:r w:rsidRPr="00BB3C1F">
              <w:rPr>
                <w:rFonts w:ascii="Verdana" w:hAnsi="Verdana"/>
                <w:sz w:val="16"/>
                <w:szCs w:val="16"/>
                <w:lang w:val="en-US"/>
              </w:rPr>
              <w:t>Drug Products</w:t>
            </w:r>
            <w:r w:rsidRPr="00967157">
              <w:rPr>
                <w:rFonts w:ascii="Verdana" w:hAnsi="Verdana"/>
                <w:sz w:val="16"/>
                <w:szCs w:val="16"/>
                <w:lang w:val="en-US"/>
              </w:rPr>
              <w:t xml:space="preserve">, published in the Official </w:t>
            </w:r>
            <w:r w:rsidRPr="00BB3C1F">
              <w:rPr>
                <w:rFonts w:ascii="Verdana" w:hAnsi="Verdana"/>
                <w:sz w:val="16"/>
                <w:szCs w:val="16"/>
                <w:lang w:val="en-US"/>
              </w:rPr>
              <w:t>Daily</w:t>
            </w:r>
            <w:r w:rsidRPr="00967157">
              <w:rPr>
                <w:rFonts w:ascii="Verdana" w:hAnsi="Verdana"/>
                <w:sz w:val="16"/>
                <w:szCs w:val="16"/>
                <w:lang w:val="en-US"/>
              </w:rPr>
              <w:t xml:space="preserve"> of the Federation on February 5, 2016, to read as follows:</w:t>
            </w:r>
          </w:p>
        </w:tc>
      </w:tr>
      <w:tr w:rsidR="008F5C15" w:rsidRPr="00861FCE" w14:paraId="75CE4AD0" w14:textId="77777777" w:rsidTr="00443DFD">
        <w:tc>
          <w:tcPr>
            <w:tcW w:w="4699" w:type="dxa"/>
          </w:tcPr>
          <w:p w14:paraId="4A81E2FA" w14:textId="77777777" w:rsidR="008F5C15" w:rsidRPr="006C4DE7" w:rsidRDefault="008F5C15" w:rsidP="00443DFD">
            <w:pPr>
              <w:pStyle w:val="Texto"/>
              <w:spacing w:after="80" w:line="218" w:lineRule="exact"/>
              <w:ind w:firstLine="0"/>
              <w:rPr>
                <w:rFonts w:ascii="Verdana" w:hAnsi="Verdana"/>
                <w:sz w:val="16"/>
                <w:szCs w:val="16"/>
              </w:rPr>
            </w:pPr>
            <w:r w:rsidRPr="006C4DE7">
              <w:rPr>
                <w:rFonts w:ascii="Verdana" w:hAnsi="Verdana"/>
                <w:b/>
                <w:sz w:val="16"/>
                <w:szCs w:val="16"/>
              </w:rPr>
              <w:t>3.128 Medicamento biotecnológico</w:t>
            </w:r>
            <w:r w:rsidRPr="006C4DE7">
              <w:rPr>
                <w:rFonts w:ascii="Verdana" w:hAnsi="Verdana"/>
                <w:sz w:val="16"/>
                <w:szCs w:val="16"/>
              </w:rPr>
              <w:t xml:space="preserve">, a toda sustancia que haya sido producida por biotecnología molecular, que tenga efecto terapéutico, preventivo o rehabilitatorio, que se presente en forma farmacéutica, que se identifique como tal por su actividad farmacológica y propiedades físicas, químicas y biológicas. Los medicamentos biotecnológicos innovadores podrán ser referencia para los medicamentos biotecnológicos no innovadores, a los cuales se les denominará </w:t>
            </w:r>
            <w:r w:rsidRPr="006C4DE7">
              <w:rPr>
                <w:rFonts w:ascii="Verdana" w:hAnsi="Verdana"/>
                <w:sz w:val="16"/>
                <w:szCs w:val="16"/>
              </w:rPr>
              <w:lastRenderedPageBreak/>
              <w:t>biocomparables. La forma de identificación de estos productos será determinada en el Reglamento de Insumos para la Salud y demás disposiciones aplicables.</w:t>
            </w:r>
          </w:p>
        </w:tc>
        <w:tc>
          <w:tcPr>
            <w:tcW w:w="4651" w:type="dxa"/>
          </w:tcPr>
          <w:p w14:paraId="73ED687C" w14:textId="77777777" w:rsidR="008F5C15" w:rsidRPr="00967157" w:rsidRDefault="008F5C15" w:rsidP="00443DFD">
            <w:pPr>
              <w:pStyle w:val="Texto"/>
              <w:spacing w:after="80" w:line="218" w:lineRule="exact"/>
              <w:ind w:firstLine="0"/>
              <w:rPr>
                <w:rFonts w:ascii="Verdana" w:hAnsi="Verdana"/>
                <w:b/>
                <w:sz w:val="16"/>
                <w:szCs w:val="16"/>
                <w:lang w:val="en-US"/>
              </w:rPr>
            </w:pPr>
            <w:r w:rsidRPr="00967157">
              <w:rPr>
                <w:rFonts w:ascii="Verdana" w:hAnsi="Verdana"/>
                <w:b/>
                <w:sz w:val="16"/>
                <w:szCs w:val="16"/>
                <w:lang w:val="en-US"/>
              </w:rPr>
              <w:lastRenderedPageBreak/>
              <w:t xml:space="preserve">3.128 Biotechnological </w:t>
            </w:r>
            <w:r>
              <w:rPr>
                <w:rFonts w:ascii="Verdana" w:hAnsi="Verdana"/>
                <w:b/>
                <w:sz w:val="16"/>
                <w:szCs w:val="16"/>
                <w:lang w:val="en-US"/>
              </w:rPr>
              <w:t>Drug Product</w:t>
            </w:r>
            <w:r w:rsidRPr="00967157">
              <w:rPr>
                <w:rFonts w:ascii="Verdana" w:hAnsi="Verdana"/>
                <w:sz w:val="16"/>
                <w:szCs w:val="16"/>
                <w:lang w:val="en-US"/>
              </w:rPr>
              <w:t xml:space="preserve">, any substance that has been produced by molecular biotechnology, that has a therapeutic, preventive or rehabilitative effect, that is presented in pharmaceutical form, that is identified as such by its pharmacological activity and physical, chemical and biological properties. Innovative biotechnological medicines may be a reference for non-innovative biotechnological medicines, which will be called biocomparable. The form of identification of these </w:t>
            </w:r>
            <w:r w:rsidRPr="00967157">
              <w:rPr>
                <w:rFonts w:ascii="Verdana" w:hAnsi="Verdana"/>
                <w:sz w:val="16"/>
                <w:szCs w:val="16"/>
                <w:lang w:val="en-US"/>
              </w:rPr>
              <w:lastRenderedPageBreak/>
              <w:t xml:space="preserve">products will be determined in the </w:t>
            </w:r>
            <w:r>
              <w:rPr>
                <w:rFonts w:ascii="Verdana" w:hAnsi="Verdana"/>
                <w:sz w:val="16"/>
                <w:szCs w:val="16"/>
                <w:lang w:val="en-US"/>
              </w:rPr>
              <w:t>Regulation for Health Supplies</w:t>
            </w:r>
            <w:r w:rsidRPr="00967157">
              <w:rPr>
                <w:rFonts w:ascii="Verdana" w:hAnsi="Verdana"/>
                <w:sz w:val="16"/>
                <w:szCs w:val="16"/>
                <w:lang w:val="en-US"/>
              </w:rPr>
              <w:t xml:space="preserve"> and other applicable provisions.</w:t>
            </w:r>
          </w:p>
        </w:tc>
      </w:tr>
      <w:tr w:rsidR="008F5C15" w:rsidRPr="00861FCE" w14:paraId="7AC345BA" w14:textId="77777777" w:rsidTr="00443DFD">
        <w:tc>
          <w:tcPr>
            <w:tcW w:w="4699" w:type="dxa"/>
          </w:tcPr>
          <w:p w14:paraId="061911D1" w14:textId="77777777" w:rsidR="008F5C15" w:rsidRPr="006C4DE7" w:rsidRDefault="008F5C15" w:rsidP="00443DFD">
            <w:pPr>
              <w:pStyle w:val="Texto"/>
              <w:spacing w:after="80" w:line="218" w:lineRule="exact"/>
              <w:ind w:firstLine="0"/>
              <w:rPr>
                <w:rFonts w:ascii="Verdana" w:hAnsi="Verdana"/>
                <w:sz w:val="16"/>
                <w:szCs w:val="16"/>
              </w:rPr>
            </w:pPr>
            <w:r w:rsidRPr="006C4DE7">
              <w:rPr>
                <w:rFonts w:ascii="Verdana" w:hAnsi="Verdana"/>
                <w:b/>
                <w:sz w:val="16"/>
                <w:szCs w:val="16"/>
              </w:rPr>
              <w:lastRenderedPageBreak/>
              <w:t>3.129</w:t>
            </w:r>
            <w:r w:rsidRPr="006C4DE7">
              <w:rPr>
                <w:rFonts w:ascii="Verdana" w:hAnsi="Verdana"/>
                <w:sz w:val="16"/>
                <w:szCs w:val="16"/>
              </w:rPr>
              <w:t xml:space="preserve"> </w:t>
            </w:r>
            <w:r w:rsidRPr="006C4DE7">
              <w:rPr>
                <w:rFonts w:ascii="Verdana" w:hAnsi="Verdana"/>
                <w:b/>
                <w:sz w:val="16"/>
                <w:szCs w:val="16"/>
              </w:rPr>
              <w:t>Acuerdo de Equivalencias</w:t>
            </w:r>
            <w:r w:rsidRPr="006C4DE7">
              <w:rPr>
                <w:rFonts w:ascii="Verdana" w:hAnsi="Verdana"/>
                <w:sz w:val="16"/>
                <w:szCs w:val="16"/>
              </w:rPr>
              <w:t>, a una resolución que especifica las condiciones mediante las cuales se reconocen unilateralmente o recíprocamente los reglamentos técnicos extranjeros, las medidas sanitarias o fitosanitarias, o los resultados de los procedimientos de evaluación de la conformidad emitidos por los organismos en el territorio de otro país y que contemplen cuando menos el mismo grado de conformidad para lograr los objetivos legítimos perseguidos por las Normas Oficiales Mexicanas apropiadas.</w:t>
            </w:r>
          </w:p>
        </w:tc>
        <w:tc>
          <w:tcPr>
            <w:tcW w:w="4651" w:type="dxa"/>
          </w:tcPr>
          <w:p w14:paraId="0ACD22F8" w14:textId="77777777" w:rsidR="008F5C15" w:rsidRPr="00967157" w:rsidRDefault="008F5C15" w:rsidP="00443DFD">
            <w:pPr>
              <w:pStyle w:val="Texto"/>
              <w:spacing w:after="80" w:line="218" w:lineRule="exact"/>
              <w:ind w:firstLine="0"/>
              <w:rPr>
                <w:rFonts w:ascii="Verdana" w:hAnsi="Verdana"/>
                <w:b/>
                <w:sz w:val="16"/>
                <w:szCs w:val="16"/>
                <w:lang w:val="en-US"/>
              </w:rPr>
            </w:pPr>
            <w:r w:rsidRPr="00967157">
              <w:rPr>
                <w:rFonts w:ascii="Verdana" w:hAnsi="Verdana"/>
                <w:b/>
                <w:sz w:val="16"/>
                <w:szCs w:val="16"/>
                <w:lang w:val="en-US"/>
              </w:rPr>
              <w:t>3,129</w:t>
            </w:r>
            <w:r w:rsidRPr="00967157">
              <w:rPr>
                <w:rFonts w:ascii="Verdana" w:hAnsi="Verdana"/>
                <w:sz w:val="16"/>
                <w:szCs w:val="16"/>
                <w:lang w:val="en-US"/>
              </w:rPr>
              <w:t xml:space="preserve"> </w:t>
            </w:r>
            <w:r w:rsidRPr="00967157">
              <w:rPr>
                <w:rFonts w:ascii="Verdana" w:hAnsi="Verdana"/>
                <w:b/>
                <w:sz w:val="16"/>
                <w:szCs w:val="16"/>
                <w:lang w:val="en-US"/>
              </w:rPr>
              <w:t>Equivalence Agreement</w:t>
            </w:r>
            <w:r w:rsidRPr="00967157">
              <w:rPr>
                <w:rFonts w:ascii="Verdana" w:hAnsi="Verdana"/>
                <w:sz w:val="16"/>
                <w:szCs w:val="16"/>
                <w:lang w:val="en-US"/>
              </w:rPr>
              <w:t xml:space="preserve">, a resolution that specifies the conditions by which foreign technical regulations, sanitary or phytosanitary measures, or the results of conformity assessment procedures issued by agencies in the territory of another country are recognized unilaterally or reciprocally and that </w:t>
            </w:r>
            <w:r>
              <w:rPr>
                <w:rFonts w:ascii="Verdana" w:hAnsi="Verdana"/>
                <w:sz w:val="16"/>
                <w:szCs w:val="16"/>
                <w:lang w:val="en-US"/>
              </w:rPr>
              <w:t>include</w:t>
            </w:r>
            <w:r w:rsidRPr="00967157">
              <w:rPr>
                <w:rFonts w:ascii="Verdana" w:hAnsi="Verdana"/>
                <w:sz w:val="16"/>
                <w:szCs w:val="16"/>
                <w:lang w:val="en-US"/>
              </w:rPr>
              <w:t xml:space="preserve"> at least the same degree of conformity to achieve the legitimate objectives pursued by the appropriate Official Mexican Standards.</w:t>
            </w:r>
          </w:p>
        </w:tc>
      </w:tr>
      <w:tr w:rsidR="008F5C15" w:rsidRPr="00861FCE" w14:paraId="541777A5" w14:textId="77777777" w:rsidTr="00443DFD">
        <w:tc>
          <w:tcPr>
            <w:tcW w:w="4699" w:type="dxa"/>
          </w:tcPr>
          <w:p w14:paraId="3056F545" w14:textId="77777777" w:rsidR="008F5C15" w:rsidRPr="006C4DE7" w:rsidRDefault="008F5C15" w:rsidP="00443DFD">
            <w:pPr>
              <w:pStyle w:val="Texto"/>
              <w:spacing w:after="80" w:line="218" w:lineRule="exact"/>
              <w:ind w:firstLine="0"/>
              <w:rPr>
                <w:rFonts w:ascii="Verdana" w:hAnsi="Verdana"/>
                <w:sz w:val="16"/>
                <w:szCs w:val="16"/>
              </w:rPr>
            </w:pPr>
            <w:r w:rsidRPr="006C4DE7">
              <w:rPr>
                <w:rFonts w:ascii="Verdana" w:hAnsi="Verdana"/>
                <w:b/>
                <w:sz w:val="16"/>
                <w:szCs w:val="16"/>
              </w:rPr>
              <w:t>10.5.10.3.1</w:t>
            </w:r>
            <w:r w:rsidRPr="006C4DE7">
              <w:rPr>
                <w:rFonts w:ascii="Verdana" w:hAnsi="Verdana"/>
                <w:sz w:val="16"/>
                <w:szCs w:val="16"/>
              </w:rPr>
              <w:t xml:space="preserve"> Cada lote debe contar con un certificado analítico del fabricante con los controles  necesarios para asegurar la calidad de los medicamentos, de acuerdo con el registro sanitario o autorización de comercialización.</w:t>
            </w:r>
          </w:p>
        </w:tc>
        <w:tc>
          <w:tcPr>
            <w:tcW w:w="4651" w:type="dxa"/>
          </w:tcPr>
          <w:p w14:paraId="130C25EC" w14:textId="77777777" w:rsidR="008F5C15" w:rsidRPr="00967157" w:rsidRDefault="008F5C15" w:rsidP="00443DFD">
            <w:pPr>
              <w:pStyle w:val="Texto"/>
              <w:spacing w:after="80" w:line="218" w:lineRule="exact"/>
              <w:ind w:firstLine="0"/>
              <w:rPr>
                <w:rFonts w:ascii="Verdana" w:hAnsi="Verdana"/>
                <w:b/>
                <w:sz w:val="16"/>
                <w:szCs w:val="16"/>
                <w:lang w:val="en-US"/>
              </w:rPr>
            </w:pPr>
            <w:r w:rsidRPr="00967157">
              <w:rPr>
                <w:rFonts w:ascii="Verdana" w:hAnsi="Verdana"/>
                <w:b/>
                <w:sz w:val="16"/>
                <w:szCs w:val="16"/>
                <w:lang w:val="en-US"/>
              </w:rPr>
              <w:t xml:space="preserve">10.5.10.3.1 </w:t>
            </w:r>
            <w:r w:rsidRPr="00967157">
              <w:rPr>
                <w:rFonts w:ascii="Verdana" w:hAnsi="Verdana"/>
                <w:sz w:val="16"/>
                <w:szCs w:val="16"/>
                <w:lang w:val="en-US"/>
              </w:rPr>
              <w:t xml:space="preserve">Each </w:t>
            </w:r>
            <w:r>
              <w:rPr>
                <w:rFonts w:ascii="Verdana" w:hAnsi="Verdana"/>
                <w:sz w:val="16"/>
                <w:szCs w:val="16"/>
                <w:lang w:val="en-US"/>
              </w:rPr>
              <w:t>lot</w:t>
            </w:r>
            <w:r w:rsidRPr="00967157">
              <w:rPr>
                <w:rFonts w:ascii="Verdana" w:hAnsi="Verdana"/>
                <w:sz w:val="16"/>
                <w:szCs w:val="16"/>
                <w:lang w:val="en-US"/>
              </w:rPr>
              <w:t xml:space="preserve"> must have an analytical certificate from the manufacturer with the necessary controls to ensure the quality of the drug</w:t>
            </w:r>
            <w:r>
              <w:rPr>
                <w:rFonts w:ascii="Verdana" w:hAnsi="Verdana"/>
                <w:sz w:val="16"/>
                <w:szCs w:val="16"/>
                <w:lang w:val="en-US"/>
              </w:rPr>
              <w:t xml:space="preserve"> product</w:t>
            </w:r>
            <w:r w:rsidRPr="00967157">
              <w:rPr>
                <w:rFonts w:ascii="Verdana" w:hAnsi="Verdana"/>
                <w:sz w:val="16"/>
                <w:szCs w:val="16"/>
                <w:lang w:val="en-US"/>
              </w:rPr>
              <w:t>s, in accordance with the sanitary registry or marketing authorization.</w:t>
            </w:r>
          </w:p>
        </w:tc>
      </w:tr>
      <w:tr w:rsidR="008F5C15" w:rsidRPr="00861FCE" w14:paraId="61D6CA10" w14:textId="77777777" w:rsidTr="00443DFD">
        <w:tc>
          <w:tcPr>
            <w:tcW w:w="4699" w:type="dxa"/>
          </w:tcPr>
          <w:p w14:paraId="2355D587" w14:textId="77777777" w:rsidR="008F5C15" w:rsidRPr="006C4DE7" w:rsidRDefault="008F5C15" w:rsidP="00443DFD">
            <w:pPr>
              <w:pStyle w:val="Texto"/>
              <w:spacing w:after="80" w:line="218" w:lineRule="exact"/>
              <w:ind w:firstLine="0"/>
              <w:rPr>
                <w:rFonts w:ascii="Verdana" w:hAnsi="Verdana"/>
                <w:sz w:val="16"/>
                <w:szCs w:val="16"/>
              </w:rPr>
            </w:pPr>
            <w:r w:rsidRPr="006C4DE7">
              <w:rPr>
                <w:rFonts w:ascii="Verdana" w:hAnsi="Verdana"/>
                <w:b/>
                <w:sz w:val="16"/>
                <w:szCs w:val="16"/>
              </w:rPr>
              <w:t>10.5.10.3.2.1</w:t>
            </w:r>
            <w:r w:rsidRPr="006C4DE7">
              <w:rPr>
                <w:rFonts w:ascii="Verdana" w:hAnsi="Verdana"/>
                <w:sz w:val="16"/>
                <w:szCs w:val="16"/>
              </w:rPr>
              <w:t xml:space="preserve"> Los análisis correspondientes podrán ser realizados en el laboratorio de control de calidad del fabricante o por un laboratorio de control de calidad certificado. En ambos casos deberán contar con un certificado de buenas prácticas de fabricación o documento equivalente emitido por la Secretaria o por una Autoridad Regulatoria Nacional miembro de la Pharmaceutical Inspection Convention and Pharmaceutical Inspection Co-operation Scheme (PIC/S) o Autoridad Regulatoria Nacional que conforme la “List of transitional WLAs”, con un nivel de reconocimiento B o D (con alcance en medicamentos) publicado en el sitio web de la OMS o que cuenten con un Acuerdo de Equivalencias con la Secretaría.</w:t>
            </w:r>
          </w:p>
        </w:tc>
        <w:tc>
          <w:tcPr>
            <w:tcW w:w="4651" w:type="dxa"/>
          </w:tcPr>
          <w:p w14:paraId="2EED54B1" w14:textId="77777777" w:rsidR="008F5C15" w:rsidRPr="00967157" w:rsidRDefault="008F5C15" w:rsidP="00443DFD">
            <w:pPr>
              <w:pStyle w:val="Texto"/>
              <w:spacing w:after="80" w:line="218" w:lineRule="exact"/>
              <w:ind w:firstLine="0"/>
              <w:rPr>
                <w:rFonts w:ascii="Verdana" w:hAnsi="Verdana"/>
                <w:b/>
                <w:sz w:val="16"/>
                <w:szCs w:val="16"/>
                <w:lang w:val="en-US"/>
              </w:rPr>
            </w:pPr>
            <w:r w:rsidRPr="00967157">
              <w:rPr>
                <w:rFonts w:ascii="Verdana" w:hAnsi="Verdana"/>
                <w:b/>
                <w:sz w:val="16"/>
                <w:szCs w:val="16"/>
                <w:lang w:val="en-US"/>
              </w:rPr>
              <w:t xml:space="preserve">10.5.10.3.2.1 </w:t>
            </w:r>
            <w:r w:rsidRPr="00967157">
              <w:rPr>
                <w:rFonts w:ascii="Verdana" w:hAnsi="Verdana"/>
                <w:sz w:val="16"/>
                <w:szCs w:val="16"/>
                <w:lang w:val="en-US"/>
              </w:rPr>
              <w:t>The corresponding analyzes may be carried out in the manufacturer's quality control laboratory or by a certified quality control laboratory. In both cases they must have a certificate of good manufacturing practices or equivalent document issued by the Secretary or by a National Regulatory Authority member of the Pharmaceutical inspection Convention and Pharmaceutical inspection cooperation Scheme (PIC/S) or National Regulatory Authority that conforms to the “List of transitional WLAs</w:t>
            </w:r>
            <w:r>
              <w:rPr>
                <w:rFonts w:ascii="Verdana" w:hAnsi="Verdana"/>
                <w:sz w:val="16"/>
                <w:szCs w:val="16"/>
                <w:lang w:val="en-US"/>
              </w:rPr>
              <w:t>,</w:t>
            </w:r>
            <w:r w:rsidRPr="00967157">
              <w:rPr>
                <w:rFonts w:ascii="Verdana" w:hAnsi="Verdana"/>
                <w:sz w:val="16"/>
                <w:szCs w:val="16"/>
                <w:lang w:val="en-US"/>
              </w:rPr>
              <w:t>” with a level of recognition B or D (with</w:t>
            </w:r>
            <w:r>
              <w:rPr>
                <w:rFonts w:ascii="Verdana" w:hAnsi="Verdana"/>
                <w:sz w:val="16"/>
                <w:szCs w:val="16"/>
                <w:lang w:val="en-US"/>
              </w:rPr>
              <w:t>in</w:t>
            </w:r>
            <w:r w:rsidRPr="00967157">
              <w:rPr>
                <w:rFonts w:ascii="Verdana" w:hAnsi="Verdana"/>
                <w:sz w:val="16"/>
                <w:szCs w:val="16"/>
                <w:lang w:val="en-US"/>
              </w:rPr>
              <w:t xml:space="preserve"> scope </w:t>
            </w:r>
            <w:r>
              <w:rPr>
                <w:rFonts w:ascii="Verdana" w:hAnsi="Verdana"/>
                <w:sz w:val="16"/>
                <w:szCs w:val="16"/>
                <w:lang w:val="en-US"/>
              </w:rPr>
              <w:t>of</w:t>
            </w:r>
            <w:r w:rsidRPr="00967157">
              <w:rPr>
                <w:rFonts w:ascii="Verdana" w:hAnsi="Verdana"/>
                <w:sz w:val="16"/>
                <w:szCs w:val="16"/>
                <w:lang w:val="en-US"/>
              </w:rPr>
              <w:t xml:space="preserve"> </w:t>
            </w:r>
            <w:r>
              <w:rPr>
                <w:rFonts w:ascii="Verdana" w:hAnsi="Verdana"/>
                <w:sz w:val="16"/>
                <w:szCs w:val="16"/>
                <w:lang w:val="en-US"/>
              </w:rPr>
              <w:t>drug products</w:t>
            </w:r>
            <w:r w:rsidRPr="00967157">
              <w:rPr>
                <w:rFonts w:ascii="Verdana" w:hAnsi="Verdana"/>
                <w:sz w:val="16"/>
                <w:szCs w:val="16"/>
                <w:lang w:val="en-US"/>
              </w:rPr>
              <w:t>) published on the WHO website or that have an Equivalence Agreement with the Secretar</w:t>
            </w:r>
            <w:r>
              <w:rPr>
                <w:rFonts w:ascii="Verdana" w:hAnsi="Verdana"/>
                <w:sz w:val="16"/>
                <w:szCs w:val="16"/>
                <w:lang w:val="en-US"/>
              </w:rPr>
              <w:t>y</w:t>
            </w:r>
            <w:r w:rsidRPr="00967157">
              <w:rPr>
                <w:rFonts w:ascii="Verdana" w:hAnsi="Verdana"/>
                <w:sz w:val="16"/>
                <w:szCs w:val="16"/>
                <w:lang w:val="en-US"/>
              </w:rPr>
              <w:t>.</w:t>
            </w:r>
          </w:p>
        </w:tc>
      </w:tr>
      <w:tr w:rsidR="008F5C15" w:rsidRPr="00861FCE" w14:paraId="5F8AC9BD" w14:textId="77777777" w:rsidTr="00443DFD">
        <w:tc>
          <w:tcPr>
            <w:tcW w:w="4699" w:type="dxa"/>
          </w:tcPr>
          <w:p w14:paraId="0812B7C2" w14:textId="77777777" w:rsidR="008F5C15" w:rsidRPr="006C4DE7" w:rsidRDefault="008F5C15" w:rsidP="00443DFD">
            <w:pPr>
              <w:pStyle w:val="Texto"/>
              <w:spacing w:after="80" w:line="218" w:lineRule="exact"/>
              <w:ind w:firstLine="0"/>
              <w:rPr>
                <w:rFonts w:ascii="Verdana" w:hAnsi="Verdana"/>
                <w:sz w:val="16"/>
                <w:szCs w:val="16"/>
              </w:rPr>
            </w:pPr>
            <w:r w:rsidRPr="006C4DE7">
              <w:rPr>
                <w:rFonts w:ascii="Verdana" w:hAnsi="Verdana"/>
                <w:b/>
                <w:sz w:val="16"/>
                <w:szCs w:val="16"/>
              </w:rPr>
              <w:t>10.5.10.3.3</w:t>
            </w:r>
            <w:r w:rsidRPr="006C4DE7">
              <w:rPr>
                <w:rFonts w:ascii="Verdana" w:hAnsi="Verdana"/>
                <w:sz w:val="16"/>
                <w:szCs w:val="16"/>
              </w:rPr>
              <w:t xml:space="preserve"> Cuando el fabricante cuente con un certificado de buenas prácticas de fabricación o documento equivalente del biofármaco y del medicamento, emitido por la Secretaría o por una Autoridad Regulatoria Nacional miembro de la Pharmaceutical Inspection Convention and Pharmaceutical Inspection Co-operation Scheme (PIC/S) o Autoridad Regulatoria Nacional que conforme la “List of transitional WLAs”, con un nivel de reconocimiento B o D (con alcance en medicamentos), publicado en el sitio web de la OMS o que cuenten con un Acuerdo de Equivalencias con la Secretaría, presentará sólo el certificado analítico del fabricante.</w:t>
            </w:r>
          </w:p>
        </w:tc>
        <w:tc>
          <w:tcPr>
            <w:tcW w:w="4651" w:type="dxa"/>
          </w:tcPr>
          <w:p w14:paraId="51204F30" w14:textId="77777777" w:rsidR="008F5C15" w:rsidRPr="00967157" w:rsidRDefault="008F5C15" w:rsidP="00443DFD">
            <w:pPr>
              <w:pStyle w:val="Texto"/>
              <w:spacing w:after="80" w:line="218" w:lineRule="exact"/>
              <w:ind w:firstLine="0"/>
              <w:rPr>
                <w:rFonts w:ascii="Verdana" w:hAnsi="Verdana"/>
                <w:b/>
                <w:sz w:val="16"/>
                <w:szCs w:val="16"/>
                <w:lang w:val="en-US"/>
              </w:rPr>
            </w:pPr>
            <w:r w:rsidRPr="00967157">
              <w:rPr>
                <w:rFonts w:ascii="Verdana" w:hAnsi="Verdana"/>
                <w:b/>
                <w:sz w:val="16"/>
                <w:szCs w:val="16"/>
                <w:lang w:val="en-US"/>
              </w:rPr>
              <w:t xml:space="preserve">10.5.10.3.3 </w:t>
            </w:r>
            <w:r w:rsidRPr="00967157">
              <w:rPr>
                <w:rFonts w:ascii="Verdana" w:hAnsi="Verdana"/>
                <w:sz w:val="16"/>
                <w:szCs w:val="16"/>
                <w:lang w:val="en-US"/>
              </w:rPr>
              <w:t>When the manufacturer has a certificate of good manufacturing practices or equivalent document of the biopharmaceutical and the drug, issued by the Secretar</w:t>
            </w:r>
            <w:r>
              <w:rPr>
                <w:rFonts w:ascii="Verdana" w:hAnsi="Verdana"/>
                <w:sz w:val="16"/>
                <w:szCs w:val="16"/>
                <w:lang w:val="en-US"/>
              </w:rPr>
              <w:t>y</w:t>
            </w:r>
            <w:r w:rsidRPr="00967157">
              <w:rPr>
                <w:rFonts w:ascii="Verdana" w:hAnsi="Verdana"/>
                <w:sz w:val="16"/>
                <w:szCs w:val="16"/>
                <w:lang w:val="en-US"/>
              </w:rPr>
              <w:t xml:space="preserve"> or by a National Regulatory Authority member of the Pharmaceutical inspection Convention and Pharmaceutical inspection cooperation Scheme (PIC/S) or National Regulatory Authority that conforms to the “List of transitional WLAs</w:t>
            </w:r>
            <w:r>
              <w:rPr>
                <w:rFonts w:ascii="Verdana" w:hAnsi="Verdana"/>
                <w:sz w:val="16"/>
                <w:szCs w:val="16"/>
                <w:lang w:val="en-US"/>
              </w:rPr>
              <w:t>,</w:t>
            </w:r>
            <w:r w:rsidRPr="00967157">
              <w:rPr>
                <w:rFonts w:ascii="Verdana" w:hAnsi="Verdana"/>
                <w:sz w:val="16"/>
                <w:szCs w:val="16"/>
                <w:lang w:val="en-US"/>
              </w:rPr>
              <w:t>” with a level of recognition B or D (with</w:t>
            </w:r>
            <w:r>
              <w:rPr>
                <w:rFonts w:ascii="Verdana" w:hAnsi="Verdana"/>
                <w:sz w:val="16"/>
                <w:szCs w:val="16"/>
                <w:lang w:val="en-US"/>
              </w:rPr>
              <w:t>in</w:t>
            </w:r>
            <w:r w:rsidRPr="00967157">
              <w:rPr>
                <w:rFonts w:ascii="Verdana" w:hAnsi="Verdana"/>
                <w:sz w:val="16"/>
                <w:szCs w:val="16"/>
                <w:lang w:val="en-US"/>
              </w:rPr>
              <w:t xml:space="preserve"> scope </w:t>
            </w:r>
            <w:r>
              <w:rPr>
                <w:rFonts w:ascii="Verdana" w:hAnsi="Verdana"/>
                <w:sz w:val="16"/>
                <w:szCs w:val="16"/>
                <w:lang w:val="en-US"/>
              </w:rPr>
              <w:t>of</w:t>
            </w:r>
            <w:r w:rsidRPr="00967157">
              <w:rPr>
                <w:rFonts w:ascii="Verdana" w:hAnsi="Verdana"/>
                <w:sz w:val="16"/>
                <w:szCs w:val="16"/>
                <w:lang w:val="en-US"/>
              </w:rPr>
              <w:t xml:space="preserve"> </w:t>
            </w:r>
            <w:r>
              <w:rPr>
                <w:rFonts w:ascii="Verdana" w:hAnsi="Verdana"/>
                <w:sz w:val="16"/>
                <w:szCs w:val="16"/>
                <w:lang w:val="en-US"/>
              </w:rPr>
              <w:t>drug products</w:t>
            </w:r>
            <w:r w:rsidRPr="00967157">
              <w:rPr>
                <w:rFonts w:ascii="Verdana" w:hAnsi="Verdana"/>
                <w:sz w:val="16"/>
                <w:szCs w:val="16"/>
                <w:lang w:val="en-US"/>
              </w:rPr>
              <w:t>), published on the WHO website or that have an Equivalence Agreement with the Secretar</w:t>
            </w:r>
            <w:r>
              <w:rPr>
                <w:rFonts w:ascii="Verdana" w:hAnsi="Verdana"/>
                <w:sz w:val="16"/>
                <w:szCs w:val="16"/>
                <w:lang w:val="en-US"/>
              </w:rPr>
              <w:t>y</w:t>
            </w:r>
            <w:r w:rsidRPr="00967157">
              <w:rPr>
                <w:rFonts w:ascii="Verdana" w:hAnsi="Verdana"/>
                <w:sz w:val="16"/>
                <w:szCs w:val="16"/>
                <w:lang w:val="en-US"/>
              </w:rPr>
              <w:t>, will present only the manufacturer's analytical certificate.</w:t>
            </w:r>
          </w:p>
        </w:tc>
      </w:tr>
      <w:tr w:rsidR="008F5C15" w:rsidRPr="00861FCE" w14:paraId="39AB5A03" w14:textId="77777777" w:rsidTr="00443DFD">
        <w:tc>
          <w:tcPr>
            <w:tcW w:w="4699" w:type="dxa"/>
          </w:tcPr>
          <w:p w14:paraId="6A6A47AD" w14:textId="77777777" w:rsidR="008F5C15" w:rsidRPr="006C4DE7" w:rsidRDefault="008F5C15" w:rsidP="00443DFD">
            <w:pPr>
              <w:pStyle w:val="Texto"/>
              <w:spacing w:after="80" w:line="218" w:lineRule="exact"/>
              <w:ind w:firstLine="0"/>
              <w:rPr>
                <w:rFonts w:ascii="Verdana" w:hAnsi="Verdana"/>
                <w:sz w:val="16"/>
                <w:szCs w:val="16"/>
              </w:rPr>
            </w:pPr>
            <w:r w:rsidRPr="006C4DE7">
              <w:rPr>
                <w:rFonts w:ascii="Verdana" w:hAnsi="Verdana"/>
                <w:b/>
                <w:sz w:val="16"/>
                <w:szCs w:val="16"/>
              </w:rPr>
              <w:t xml:space="preserve">12.7 </w:t>
            </w:r>
            <w:r w:rsidRPr="006C4DE7">
              <w:rPr>
                <w:rFonts w:ascii="Verdana" w:hAnsi="Verdana"/>
                <w:sz w:val="16"/>
                <w:szCs w:val="16"/>
              </w:rPr>
              <w:t>Para medicamentos biotecnológicos de importación, con excepción de vacunas, cada lote de producto terminado deberá ser aprobado por el responsable sanitario previo a su liberación para su comercialización. La liberación podrá ser a través de revisión documental o mediante análisis  de laboratorio.</w:t>
            </w:r>
          </w:p>
        </w:tc>
        <w:tc>
          <w:tcPr>
            <w:tcW w:w="4651" w:type="dxa"/>
          </w:tcPr>
          <w:p w14:paraId="0A4CA6E5" w14:textId="77777777" w:rsidR="008F5C15" w:rsidRPr="00967157" w:rsidRDefault="008F5C15" w:rsidP="00443DFD">
            <w:pPr>
              <w:pStyle w:val="Texto"/>
              <w:spacing w:after="80" w:line="218" w:lineRule="exact"/>
              <w:ind w:firstLine="0"/>
              <w:rPr>
                <w:rFonts w:ascii="Verdana" w:hAnsi="Verdana"/>
                <w:b/>
                <w:sz w:val="16"/>
                <w:szCs w:val="16"/>
                <w:lang w:val="en-US"/>
              </w:rPr>
            </w:pPr>
            <w:r w:rsidRPr="00967157">
              <w:rPr>
                <w:rFonts w:ascii="Verdana" w:hAnsi="Verdana"/>
                <w:b/>
                <w:sz w:val="16"/>
                <w:szCs w:val="16"/>
                <w:lang w:val="en-US"/>
              </w:rPr>
              <w:t xml:space="preserve">12.7 </w:t>
            </w:r>
            <w:r w:rsidRPr="00967157">
              <w:rPr>
                <w:rFonts w:ascii="Verdana" w:hAnsi="Verdana"/>
                <w:sz w:val="16"/>
                <w:szCs w:val="16"/>
                <w:lang w:val="en-US"/>
              </w:rPr>
              <w:t xml:space="preserve">For imported biotechnological </w:t>
            </w:r>
            <w:r>
              <w:rPr>
                <w:rFonts w:ascii="Verdana" w:hAnsi="Verdana"/>
                <w:sz w:val="16"/>
                <w:szCs w:val="16"/>
                <w:lang w:val="en-US"/>
              </w:rPr>
              <w:t>drug products</w:t>
            </w:r>
            <w:r w:rsidRPr="00967157">
              <w:rPr>
                <w:rFonts w:ascii="Verdana" w:hAnsi="Verdana"/>
                <w:sz w:val="16"/>
                <w:szCs w:val="16"/>
                <w:lang w:val="en-US"/>
              </w:rPr>
              <w:t xml:space="preserve">, with the exception of vaccines, each </w:t>
            </w:r>
            <w:r>
              <w:rPr>
                <w:rFonts w:ascii="Verdana" w:hAnsi="Verdana"/>
                <w:sz w:val="16"/>
                <w:szCs w:val="16"/>
                <w:lang w:val="en-US"/>
              </w:rPr>
              <w:t>lot</w:t>
            </w:r>
            <w:r w:rsidRPr="00967157">
              <w:rPr>
                <w:rFonts w:ascii="Verdana" w:hAnsi="Verdana"/>
                <w:sz w:val="16"/>
                <w:szCs w:val="16"/>
                <w:lang w:val="en-US"/>
              </w:rPr>
              <w:t xml:space="preserve"> of finished product must be approved by the health officer prior to its release for commercial</w:t>
            </w:r>
            <w:r>
              <w:rPr>
                <w:rFonts w:ascii="Verdana" w:hAnsi="Verdana"/>
                <w:sz w:val="16"/>
                <w:szCs w:val="16"/>
                <w:lang w:val="en-US"/>
              </w:rPr>
              <w:t xml:space="preserve"> distribution</w:t>
            </w:r>
            <w:r w:rsidRPr="00967157">
              <w:rPr>
                <w:rFonts w:ascii="Verdana" w:hAnsi="Verdana"/>
                <w:sz w:val="16"/>
                <w:szCs w:val="16"/>
                <w:lang w:val="en-US"/>
              </w:rPr>
              <w:t>. The release may be through documentary review or through laboratory analysis.</w:t>
            </w:r>
          </w:p>
        </w:tc>
      </w:tr>
      <w:tr w:rsidR="008F5C15" w:rsidRPr="006C4DE7" w14:paraId="394324E3" w14:textId="77777777" w:rsidTr="00443DFD">
        <w:tc>
          <w:tcPr>
            <w:tcW w:w="4699" w:type="dxa"/>
          </w:tcPr>
          <w:p w14:paraId="7DA8EF1E" w14:textId="77777777" w:rsidR="008F5C15" w:rsidRPr="006C4DE7" w:rsidRDefault="008F5C15" w:rsidP="00443DFD">
            <w:pPr>
              <w:pStyle w:val="ANOTACION"/>
              <w:spacing w:after="80" w:line="218" w:lineRule="exact"/>
              <w:rPr>
                <w:rFonts w:ascii="Verdana" w:hAnsi="Verdana"/>
                <w:sz w:val="16"/>
                <w:szCs w:val="16"/>
              </w:rPr>
            </w:pPr>
            <w:r w:rsidRPr="006C4DE7">
              <w:rPr>
                <w:rFonts w:ascii="Verdana" w:hAnsi="Verdana"/>
                <w:sz w:val="16"/>
                <w:szCs w:val="16"/>
              </w:rPr>
              <w:lastRenderedPageBreak/>
              <w:t>TRANSITORIO</w:t>
            </w:r>
          </w:p>
        </w:tc>
        <w:tc>
          <w:tcPr>
            <w:tcW w:w="4651" w:type="dxa"/>
          </w:tcPr>
          <w:p w14:paraId="54EA3D6B" w14:textId="77777777" w:rsidR="008F5C15" w:rsidRPr="006C4DE7" w:rsidRDefault="008F5C15" w:rsidP="00443DFD">
            <w:pPr>
              <w:pStyle w:val="ANOTACION"/>
              <w:spacing w:after="80" w:line="218" w:lineRule="exact"/>
              <w:rPr>
                <w:rFonts w:ascii="Verdana" w:hAnsi="Verdana"/>
                <w:sz w:val="16"/>
                <w:szCs w:val="16"/>
                <w:lang w:val="en-US"/>
              </w:rPr>
            </w:pPr>
            <w:r>
              <w:rPr>
                <w:rFonts w:ascii="Verdana" w:hAnsi="Verdana"/>
                <w:sz w:val="16"/>
                <w:szCs w:val="16"/>
              </w:rPr>
              <w:t>TRANSITIONAL ARTICLES</w:t>
            </w:r>
          </w:p>
        </w:tc>
      </w:tr>
      <w:tr w:rsidR="008F5C15" w:rsidRPr="00861FCE" w14:paraId="58CDEA48" w14:textId="77777777" w:rsidTr="00443DFD">
        <w:tc>
          <w:tcPr>
            <w:tcW w:w="4699" w:type="dxa"/>
          </w:tcPr>
          <w:p w14:paraId="5FEAEB55" w14:textId="77777777" w:rsidR="008F5C15" w:rsidRPr="006C4DE7" w:rsidRDefault="008F5C15" w:rsidP="00443DFD">
            <w:pPr>
              <w:pStyle w:val="Texto"/>
              <w:spacing w:after="80" w:line="218" w:lineRule="exact"/>
              <w:ind w:firstLine="0"/>
              <w:rPr>
                <w:rFonts w:ascii="Verdana" w:hAnsi="Verdana"/>
                <w:color w:val="000000"/>
                <w:sz w:val="16"/>
                <w:szCs w:val="16"/>
              </w:rPr>
            </w:pPr>
            <w:r w:rsidRPr="006C4DE7">
              <w:rPr>
                <w:rFonts w:ascii="Verdana" w:hAnsi="Verdana"/>
                <w:b/>
                <w:color w:val="000000"/>
                <w:sz w:val="16"/>
                <w:szCs w:val="16"/>
              </w:rPr>
              <w:t>ÚNICO.-</w:t>
            </w:r>
            <w:r w:rsidRPr="006C4DE7">
              <w:rPr>
                <w:rFonts w:ascii="Verdana" w:hAnsi="Verdana"/>
                <w:color w:val="000000"/>
                <w:sz w:val="16"/>
                <w:szCs w:val="16"/>
              </w:rPr>
              <w:t xml:space="preserve"> La presente Modificación de emergencia tendrá una vigencia de seis meses, contados a partir del día siguiente a aquel en que se publique en el Diario Oficial de la Federación, misma que podrá ser prorrogada una sola ocasión, hasta por un periodo igual conforme a lo previsto por el artículo 31, párrafo último de la Ley de Infraestructura de la Calidad.</w:t>
            </w:r>
          </w:p>
        </w:tc>
        <w:tc>
          <w:tcPr>
            <w:tcW w:w="4651" w:type="dxa"/>
          </w:tcPr>
          <w:p w14:paraId="52531809" w14:textId="77777777" w:rsidR="008F5C15" w:rsidRPr="00967157" w:rsidRDefault="008F5C15" w:rsidP="00443DFD">
            <w:pPr>
              <w:pStyle w:val="Texto"/>
              <w:spacing w:after="80" w:line="218" w:lineRule="exact"/>
              <w:ind w:firstLine="0"/>
              <w:rPr>
                <w:rFonts w:ascii="Verdana" w:hAnsi="Verdana"/>
                <w:b/>
                <w:color w:val="000000"/>
                <w:sz w:val="16"/>
                <w:szCs w:val="16"/>
                <w:lang w:val="en-US"/>
              </w:rPr>
            </w:pPr>
            <w:r w:rsidRPr="00967157">
              <w:rPr>
                <w:rFonts w:ascii="Verdana" w:hAnsi="Verdana"/>
                <w:b/>
                <w:color w:val="000000"/>
                <w:sz w:val="16"/>
                <w:szCs w:val="16"/>
                <w:lang w:val="en-US"/>
              </w:rPr>
              <w:t>S</w:t>
            </w:r>
            <w:r>
              <w:rPr>
                <w:rFonts w:ascii="Verdana" w:hAnsi="Verdana"/>
                <w:b/>
                <w:color w:val="000000"/>
                <w:sz w:val="16"/>
                <w:szCs w:val="16"/>
                <w:lang w:val="en-US"/>
              </w:rPr>
              <w:t>O</w:t>
            </w:r>
            <w:r w:rsidRPr="00967157">
              <w:rPr>
                <w:rFonts w:ascii="Verdana" w:hAnsi="Verdana"/>
                <w:b/>
                <w:color w:val="000000"/>
                <w:sz w:val="16"/>
                <w:szCs w:val="16"/>
                <w:lang w:val="en-US"/>
              </w:rPr>
              <w:t xml:space="preserve">LE.- </w:t>
            </w:r>
            <w:r w:rsidRPr="00967157">
              <w:rPr>
                <w:rFonts w:ascii="Verdana" w:hAnsi="Verdana"/>
                <w:color w:val="000000"/>
                <w:sz w:val="16"/>
                <w:szCs w:val="16"/>
                <w:lang w:val="en-US"/>
              </w:rPr>
              <w:t xml:space="preserve">This emergency Modification will be valid for six months, counted from the day following that on which it is published in the Official </w:t>
            </w:r>
            <w:r w:rsidRPr="00BB3C1F">
              <w:rPr>
                <w:rFonts w:ascii="Verdana" w:hAnsi="Verdana"/>
                <w:color w:val="000000"/>
                <w:sz w:val="16"/>
                <w:szCs w:val="16"/>
                <w:lang w:val="en-US"/>
              </w:rPr>
              <w:t>Daily</w:t>
            </w:r>
            <w:r w:rsidRPr="00967157">
              <w:rPr>
                <w:rFonts w:ascii="Verdana" w:hAnsi="Verdana"/>
                <w:color w:val="000000"/>
                <w:sz w:val="16"/>
                <w:szCs w:val="16"/>
                <w:lang w:val="en-US"/>
              </w:rPr>
              <w:t xml:space="preserve"> of the Federation, which may be extended only once, up to an equal period as to the provisions of article 31, last paragraph of the </w:t>
            </w:r>
            <w:r>
              <w:rPr>
                <w:rFonts w:ascii="Verdana" w:hAnsi="Verdana"/>
                <w:color w:val="000000"/>
                <w:sz w:val="16"/>
                <w:szCs w:val="16"/>
                <w:lang w:val="en-US"/>
              </w:rPr>
              <w:t xml:space="preserve">Law of </w:t>
            </w:r>
            <w:r w:rsidRPr="00967157">
              <w:rPr>
                <w:rFonts w:ascii="Verdana" w:hAnsi="Verdana"/>
                <w:color w:val="000000"/>
                <w:sz w:val="16"/>
                <w:szCs w:val="16"/>
                <w:lang w:val="en-US"/>
              </w:rPr>
              <w:t>Quality Infrastructure.</w:t>
            </w:r>
          </w:p>
        </w:tc>
      </w:tr>
      <w:tr w:rsidR="008F5C15" w:rsidRPr="006C4DE7" w14:paraId="65AD4111" w14:textId="77777777" w:rsidTr="00443DFD">
        <w:tc>
          <w:tcPr>
            <w:tcW w:w="4699" w:type="dxa"/>
          </w:tcPr>
          <w:p w14:paraId="6EA1C444" w14:textId="77777777" w:rsidR="008F5C15" w:rsidRPr="006C4DE7" w:rsidRDefault="008F5C15" w:rsidP="00443DFD">
            <w:pPr>
              <w:pStyle w:val="Texto"/>
              <w:spacing w:after="80" w:line="218" w:lineRule="exact"/>
              <w:ind w:firstLine="0"/>
              <w:rPr>
                <w:rFonts w:ascii="Verdana" w:hAnsi="Verdana"/>
                <w:sz w:val="16"/>
                <w:szCs w:val="16"/>
              </w:rPr>
            </w:pPr>
            <w:r w:rsidRPr="006C4DE7">
              <w:rPr>
                <w:rFonts w:ascii="Verdana" w:hAnsi="Verdana"/>
                <w:sz w:val="16"/>
                <w:szCs w:val="16"/>
              </w:rPr>
              <w:t xml:space="preserve">Ciudad de México, a 13 de junio de 2023.- El Comisionado Federal para la Protección contra Riesgos Sanitarios y Presidente del Comité Consultivo Nacional de Normalización de Regulación y Fomento Sanitario, </w:t>
            </w:r>
            <w:r w:rsidRPr="006C4DE7">
              <w:rPr>
                <w:rFonts w:ascii="Verdana" w:hAnsi="Verdana"/>
                <w:b/>
                <w:sz w:val="16"/>
                <w:szCs w:val="16"/>
              </w:rPr>
              <w:t>Alejandro Ernesto Svarch Pérez</w:t>
            </w:r>
            <w:r w:rsidRPr="006C4DE7">
              <w:rPr>
                <w:rFonts w:ascii="Verdana" w:hAnsi="Verdana"/>
                <w:sz w:val="16"/>
                <w:szCs w:val="16"/>
              </w:rPr>
              <w:t>.- Rúbrica.</w:t>
            </w:r>
          </w:p>
        </w:tc>
        <w:tc>
          <w:tcPr>
            <w:tcW w:w="4651" w:type="dxa"/>
          </w:tcPr>
          <w:p w14:paraId="4EF3450F" w14:textId="77777777" w:rsidR="008F5C15" w:rsidRPr="006C4DE7" w:rsidRDefault="008F5C15" w:rsidP="00443DFD">
            <w:pPr>
              <w:pStyle w:val="Texto"/>
              <w:spacing w:after="80" w:line="218" w:lineRule="exact"/>
              <w:ind w:firstLine="0"/>
              <w:rPr>
                <w:rFonts w:ascii="Verdana" w:hAnsi="Verdana"/>
                <w:sz w:val="16"/>
                <w:szCs w:val="16"/>
                <w:lang w:val="en-US"/>
              </w:rPr>
            </w:pPr>
            <w:r w:rsidRPr="00967157">
              <w:rPr>
                <w:rFonts w:ascii="Verdana" w:hAnsi="Verdana"/>
                <w:sz w:val="16"/>
                <w:szCs w:val="16"/>
                <w:lang w:val="en-US"/>
              </w:rPr>
              <w:t xml:space="preserve">Mexico City, June 13, 2023.- The Federal Commissioner for Protection against Sanitary Risks and President of the National </w:t>
            </w:r>
            <w:r>
              <w:rPr>
                <w:rFonts w:ascii="Verdana" w:hAnsi="Verdana"/>
                <w:sz w:val="16"/>
                <w:szCs w:val="16"/>
                <w:lang w:val="en-US"/>
              </w:rPr>
              <w:t>Consultative</w:t>
            </w:r>
            <w:r w:rsidRPr="00967157">
              <w:rPr>
                <w:rFonts w:ascii="Verdana" w:hAnsi="Verdana"/>
                <w:sz w:val="16"/>
                <w:szCs w:val="16"/>
                <w:lang w:val="en-US"/>
              </w:rPr>
              <w:t xml:space="preserve"> Committee for the Standardization of Regulation and Sanitary Promotion, Alejandro </w:t>
            </w:r>
            <w:r w:rsidRPr="00967157">
              <w:rPr>
                <w:rFonts w:ascii="Verdana" w:hAnsi="Verdana"/>
                <w:b/>
                <w:sz w:val="16"/>
                <w:szCs w:val="16"/>
                <w:lang w:val="en-US"/>
              </w:rPr>
              <w:t xml:space="preserve">Ernesto Svarch Pérez </w:t>
            </w:r>
            <w:r w:rsidRPr="00967157">
              <w:rPr>
                <w:rFonts w:ascii="Verdana" w:hAnsi="Verdana"/>
                <w:sz w:val="16"/>
                <w:szCs w:val="16"/>
                <w:lang w:val="en-US"/>
              </w:rPr>
              <w:t xml:space="preserve">.- </w:t>
            </w:r>
            <w:r>
              <w:rPr>
                <w:rFonts w:ascii="Verdana" w:hAnsi="Verdana"/>
                <w:sz w:val="16"/>
                <w:szCs w:val="16"/>
              </w:rPr>
              <w:t>Signed.</w:t>
            </w:r>
          </w:p>
        </w:tc>
      </w:tr>
    </w:tbl>
    <w:p w14:paraId="42A6033D" w14:textId="77777777" w:rsidR="008F5C15" w:rsidRPr="006C4DE7" w:rsidRDefault="008F5C15" w:rsidP="008F5C15">
      <w:pPr>
        <w:pStyle w:val="Texto"/>
        <w:spacing w:after="80" w:line="218" w:lineRule="exact"/>
        <w:ind w:firstLine="0"/>
        <w:rPr>
          <w:rFonts w:ascii="Verdana" w:hAnsi="Verdana"/>
          <w:sz w:val="16"/>
          <w:szCs w:val="16"/>
        </w:rPr>
      </w:pPr>
    </w:p>
    <w:p w14:paraId="2D55D5F9" w14:textId="685D30BF" w:rsidR="008F5C15" w:rsidRPr="00B838EC" w:rsidRDefault="00B838EC" w:rsidP="00B838EC">
      <w:pPr>
        <w:pStyle w:val="Texto"/>
        <w:spacing w:after="94" w:line="276" w:lineRule="auto"/>
        <w:ind w:firstLine="0"/>
        <w:jc w:val="center"/>
        <w:rPr>
          <w:rFonts w:ascii="Verdana" w:hAnsi="Verdana"/>
          <w:b/>
          <w:bCs/>
          <w:sz w:val="16"/>
          <w:szCs w:val="16"/>
          <w:lang w:val="en-US"/>
        </w:rPr>
      </w:pPr>
      <w:r w:rsidRPr="00B838EC">
        <w:rPr>
          <w:rFonts w:ascii="Verdana" w:hAnsi="Verdana"/>
          <w:b/>
          <w:bCs/>
          <w:sz w:val="16"/>
          <w:szCs w:val="16"/>
          <w:lang w:val="en-US"/>
        </w:rPr>
        <w:t>REFORM PUBLISHED IN THE DOF ON MARCH 19,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9"/>
        <w:gridCol w:w="4403"/>
      </w:tblGrid>
      <w:tr w:rsidR="00947A46" w:rsidRPr="008D5B6B" w14:paraId="1B437198" w14:textId="77777777" w:rsidTr="00772246">
        <w:tc>
          <w:tcPr>
            <w:tcW w:w="4698" w:type="dxa"/>
          </w:tcPr>
          <w:p w14:paraId="1BAD8F90" w14:textId="77777777" w:rsidR="00947A46" w:rsidRPr="008D5B6B" w:rsidRDefault="00947A46" w:rsidP="00772246">
            <w:pPr>
              <w:pStyle w:val="CABEZA"/>
              <w:rPr>
                <w:rFonts w:ascii="Verdana" w:hAnsi="Verdana" w:cs="Times New Roman"/>
                <w:sz w:val="16"/>
                <w:szCs w:val="16"/>
              </w:rPr>
            </w:pPr>
            <w:r w:rsidRPr="008D5B6B">
              <w:rPr>
                <w:rFonts w:ascii="Verdana" w:hAnsi="Verdana" w:cs="Times New Roman"/>
                <w:sz w:val="16"/>
                <w:szCs w:val="16"/>
              </w:rPr>
              <w:t>SECRETARIA DE SALUD</w:t>
            </w:r>
          </w:p>
        </w:tc>
        <w:tc>
          <w:tcPr>
            <w:tcW w:w="4652" w:type="dxa"/>
          </w:tcPr>
          <w:p w14:paraId="6C6935D7" w14:textId="77777777" w:rsidR="00947A46" w:rsidRPr="008D5B6B" w:rsidRDefault="00947A46" w:rsidP="00772246">
            <w:pPr>
              <w:pStyle w:val="CABEZA"/>
              <w:rPr>
                <w:rFonts w:ascii="Verdana" w:hAnsi="Verdana" w:cs="Times New Roman"/>
                <w:sz w:val="16"/>
                <w:szCs w:val="16"/>
                <w:lang w:val="en-US"/>
              </w:rPr>
            </w:pPr>
            <w:r w:rsidRPr="008D5B6B">
              <w:rPr>
                <w:rFonts w:ascii="Verdana" w:hAnsi="Verdana" w:cs="Times New Roman"/>
                <w:sz w:val="16"/>
                <w:szCs w:val="16"/>
              </w:rPr>
              <w:t>SECRETARY OF HEALTH</w:t>
            </w:r>
          </w:p>
        </w:tc>
      </w:tr>
      <w:tr w:rsidR="00947A46" w:rsidRPr="00C15D85" w14:paraId="71AD0D41" w14:textId="77777777" w:rsidTr="00772246">
        <w:trPr>
          <w:trHeight w:val="1115"/>
        </w:trPr>
        <w:tc>
          <w:tcPr>
            <w:tcW w:w="4698" w:type="dxa"/>
          </w:tcPr>
          <w:p w14:paraId="05698AB2" w14:textId="77777777" w:rsidR="00947A46" w:rsidRPr="008D5B6B" w:rsidRDefault="00947A46" w:rsidP="00772246">
            <w:pPr>
              <w:pStyle w:val="Titulo1"/>
              <w:pBdr>
                <w:bottom w:val="none" w:sz="0" w:space="0" w:color="auto"/>
              </w:pBdr>
              <w:rPr>
                <w:rFonts w:ascii="Verdana" w:hAnsi="Verdana" w:cs="Times New Roman"/>
                <w:sz w:val="16"/>
                <w:szCs w:val="16"/>
              </w:rPr>
            </w:pPr>
            <w:r w:rsidRPr="008D5B6B">
              <w:rPr>
                <w:rFonts w:ascii="Verdana" w:hAnsi="Verdana" w:cs="Times New Roman"/>
                <w:sz w:val="16"/>
                <w:szCs w:val="16"/>
              </w:rPr>
              <w:t>MODIFICACIÓN de diversos puntos de la Norma Oficial Mexicana NOM-059-SSA1-2015, Buenas prácticas de fabricación de medicamentos, publicada el 5 de febrero de 2016.</w:t>
            </w:r>
          </w:p>
        </w:tc>
        <w:tc>
          <w:tcPr>
            <w:tcW w:w="4652" w:type="dxa"/>
          </w:tcPr>
          <w:p w14:paraId="3CFA842A" w14:textId="77777777" w:rsidR="00947A46" w:rsidRPr="00C15D85" w:rsidRDefault="00947A46" w:rsidP="00772246">
            <w:pPr>
              <w:pStyle w:val="Titulo1"/>
              <w:pBdr>
                <w:bottom w:val="none" w:sz="0" w:space="0" w:color="auto"/>
              </w:pBdr>
              <w:rPr>
                <w:rFonts w:ascii="Verdana" w:hAnsi="Verdana" w:cs="Times New Roman"/>
                <w:sz w:val="16"/>
                <w:szCs w:val="16"/>
                <w:lang w:val="en-US"/>
              </w:rPr>
            </w:pPr>
            <w:r w:rsidRPr="00C15D85">
              <w:rPr>
                <w:rFonts w:ascii="Verdana" w:hAnsi="Verdana" w:cs="Times New Roman"/>
                <w:sz w:val="16"/>
                <w:szCs w:val="16"/>
                <w:lang w:val="en-US"/>
              </w:rPr>
              <w:t xml:space="preserve">MODIFICATION of various points of the </w:t>
            </w:r>
            <w:r>
              <w:rPr>
                <w:rFonts w:ascii="Verdana" w:hAnsi="Verdana" w:cs="Times New Roman"/>
                <w:sz w:val="16"/>
                <w:szCs w:val="16"/>
                <w:lang w:val="en-US"/>
              </w:rPr>
              <w:t>Official Mexican Standard</w:t>
            </w:r>
            <w:r w:rsidRPr="00C15D85">
              <w:rPr>
                <w:rFonts w:ascii="Verdana" w:hAnsi="Verdana" w:cs="Times New Roman"/>
                <w:sz w:val="16"/>
                <w:szCs w:val="16"/>
                <w:lang w:val="en-US"/>
              </w:rPr>
              <w:t xml:space="preserve"> NOM-059-SSA1-2015, Good manufacturing practices for </w:t>
            </w:r>
            <w:r>
              <w:rPr>
                <w:rFonts w:ascii="Verdana" w:hAnsi="Verdana" w:cs="Times New Roman"/>
                <w:sz w:val="16"/>
                <w:szCs w:val="16"/>
                <w:lang w:val="en-US"/>
              </w:rPr>
              <w:t>drug products</w:t>
            </w:r>
            <w:r w:rsidRPr="00C15D85">
              <w:rPr>
                <w:rFonts w:ascii="Verdana" w:hAnsi="Verdana" w:cs="Times New Roman"/>
                <w:sz w:val="16"/>
                <w:szCs w:val="16"/>
                <w:lang w:val="en-US"/>
              </w:rPr>
              <w:t>, published on February 5, 2016.</w:t>
            </w:r>
          </w:p>
        </w:tc>
      </w:tr>
      <w:tr w:rsidR="00947A46" w:rsidRPr="00C15D85" w14:paraId="1CABC10E" w14:textId="77777777" w:rsidTr="00772246">
        <w:tc>
          <w:tcPr>
            <w:tcW w:w="4698" w:type="dxa"/>
          </w:tcPr>
          <w:p w14:paraId="16E27A31" w14:textId="77777777" w:rsidR="00947A46" w:rsidRPr="008D5B6B" w:rsidRDefault="00947A46" w:rsidP="00772246">
            <w:pPr>
              <w:pStyle w:val="Titulo2"/>
              <w:pBdr>
                <w:top w:val="none" w:sz="0" w:space="0" w:color="auto"/>
              </w:pBdr>
              <w:rPr>
                <w:rFonts w:ascii="Verdana" w:hAnsi="Verdana"/>
                <w:sz w:val="16"/>
                <w:szCs w:val="16"/>
              </w:rPr>
            </w:pPr>
            <w:r w:rsidRPr="008D5B6B">
              <w:rPr>
                <w:rFonts w:ascii="Verdana" w:hAnsi="Verdana"/>
                <w:sz w:val="16"/>
                <w:szCs w:val="16"/>
              </w:rPr>
              <w:t>Al margen un sello con el Escudo Nacional, que dice: Estados Unidos Mexicanos.- Salud.- Secretaría de  Salud.- Comisión Federal para la Protección contra Riesgos Sanitarios.</w:t>
            </w:r>
          </w:p>
        </w:tc>
        <w:tc>
          <w:tcPr>
            <w:tcW w:w="4652" w:type="dxa"/>
          </w:tcPr>
          <w:p w14:paraId="09765BC8" w14:textId="77777777" w:rsidR="00947A46" w:rsidRPr="00C15D85" w:rsidRDefault="00947A46" w:rsidP="00772246">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w:t>
            </w:r>
            <w:r w:rsidRPr="00C15D85">
              <w:rPr>
                <w:rFonts w:ascii="Verdana" w:hAnsi="Verdana"/>
                <w:sz w:val="16"/>
                <w:szCs w:val="16"/>
                <w:lang w:val="en-US"/>
              </w:rPr>
              <w:t xml:space="preserve">- Health.- </w:t>
            </w:r>
            <w:r>
              <w:rPr>
                <w:rFonts w:ascii="Verdana" w:hAnsi="Verdana"/>
                <w:sz w:val="16"/>
                <w:szCs w:val="16"/>
                <w:lang w:val="en-US"/>
              </w:rPr>
              <w:t>Secretary</w:t>
            </w:r>
            <w:r w:rsidRPr="00C15D85">
              <w:rPr>
                <w:rFonts w:ascii="Verdana" w:hAnsi="Verdana"/>
                <w:sz w:val="16"/>
                <w:szCs w:val="16"/>
                <w:lang w:val="en-US"/>
              </w:rPr>
              <w:t xml:space="preserve"> of Health.- Federal Commission for the Protection against Sanitary Risks.</w:t>
            </w:r>
          </w:p>
        </w:tc>
      </w:tr>
      <w:tr w:rsidR="00947A46" w:rsidRPr="000F3C48" w14:paraId="694D3348" w14:textId="77777777" w:rsidTr="00772246">
        <w:tc>
          <w:tcPr>
            <w:tcW w:w="4698" w:type="dxa"/>
          </w:tcPr>
          <w:p w14:paraId="0419EED0" w14:textId="77777777" w:rsidR="00947A46" w:rsidRPr="000F3C48" w:rsidRDefault="00947A46" w:rsidP="00772246">
            <w:pPr>
              <w:pStyle w:val="Texto"/>
              <w:spacing w:line="263" w:lineRule="exact"/>
              <w:ind w:firstLine="0"/>
              <w:rPr>
                <w:rFonts w:ascii="Verdana" w:hAnsi="Verdana"/>
                <w:sz w:val="16"/>
                <w:szCs w:val="16"/>
              </w:rPr>
            </w:pPr>
            <w:r w:rsidRPr="000F3C48">
              <w:rPr>
                <w:rFonts w:ascii="Verdana" w:hAnsi="Verdana"/>
                <w:b/>
                <w:bCs/>
                <w:sz w:val="16"/>
                <w:szCs w:val="16"/>
              </w:rPr>
              <w:t>ARMIDA ZÚÑIGA ESTRADA,</w:t>
            </w:r>
            <w:r w:rsidRPr="000F3C48">
              <w:rPr>
                <w:rFonts w:ascii="Verdana" w:hAnsi="Verdana"/>
                <w:sz w:val="16"/>
                <w:szCs w:val="16"/>
              </w:rPr>
              <w:t xml:space="preserve"> Comisionada Federal para la Protección contra Riesgos Sanitarios y Presidenta del Comité Consultivo Nacional de Normalización de Regulación y Fomento Sanitario, con fundamento en los artículos 39 de la Ley Orgánica de la Administración Pública Federal; 4 de la Ley Federal de Procedimiento Administrativo; 3o, fracciones XXII y XXIV, 13, apartado A, fracciones I y ll, 17 bis, fracciones III y IV, 194, 194 Bis, 195, primer párrafo, 197, 198, fracción I, 201, 214, 221, 222, 222 Bis, 257, 258, 259, 260, 261 y 282 bis 2 de la Ley General de Salud; 10, fracción I, 29, párrafo tercero, 30, 34, 35 y 41 de la Ley de Infraestructura de la Calidad; 28 y 33 del Reglamento de la Ley Federal sobre Metrología y Normalización en relación con el Transitorio Tercero del Decreto por el que se expide la Ley de Infraestructura de la Calidad y se abroga la Ley Federal sobre Metrología y Normalización; 2, fracción XIII Bis 1, XIII Bis 2, 9, 10, 15, 81, 100, 102, 109, 111, 113 y 138-bis del Reglamento de Insumos para la Salud, y 3, fracciones I, literal b y II y 10, fracciones IV y VIII del Reglamento de la Comisión Federal para Protección contra Riesgos Sanitarios, y</w:t>
            </w:r>
          </w:p>
        </w:tc>
        <w:tc>
          <w:tcPr>
            <w:tcW w:w="4652" w:type="dxa"/>
          </w:tcPr>
          <w:p w14:paraId="71EB41EE" w14:textId="77777777" w:rsidR="00947A46" w:rsidRPr="000F3C48" w:rsidRDefault="00947A46" w:rsidP="00772246">
            <w:pPr>
              <w:pStyle w:val="Texto"/>
              <w:spacing w:line="263" w:lineRule="exact"/>
              <w:ind w:firstLine="0"/>
              <w:rPr>
                <w:rFonts w:ascii="Verdana" w:hAnsi="Verdana"/>
                <w:sz w:val="16"/>
                <w:szCs w:val="16"/>
                <w:lang w:val="en-US"/>
              </w:rPr>
            </w:pPr>
            <w:r w:rsidRPr="000F3C48">
              <w:rPr>
                <w:rFonts w:ascii="Verdana" w:hAnsi="Verdana"/>
                <w:b/>
                <w:bCs/>
                <w:sz w:val="16"/>
                <w:szCs w:val="16"/>
                <w:lang w:val="en-US"/>
              </w:rPr>
              <w:t>ARMIDA ZÚÑIGA ESTRADA,</w:t>
            </w:r>
            <w:r w:rsidRPr="000F3C48">
              <w:rPr>
                <w:rFonts w:ascii="Verdana" w:hAnsi="Verdana"/>
                <w:sz w:val="16"/>
                <w:szCs w:val="16"/>
                <w:lang w:val="en-US"/>
              </w:rPr>
              <w:t xml:space="preserve"> Federal Commissioner for the Protection against Health Risks and President of the National Consultative Committee for the Standardization of Regulation and Promotion of Health, pursuant to Articles 39 of the Organic Law of the Federal Public Administration; article 4 of the Federal Law of Administrative Procedure; 3, sections XXII and XXIV, 13, section A, sections I and II, 17 bis, sections III and IV, 194, 194 Bis, 195, first paragraph, 197, 198, section I, 201, 214, 221, 222, 222 Bis, 257, 258, 259, 260, 261 and 282 bis 2 of the General Law of Health; 10, section I, 29, third paragraph, 30, 34, 35 and 41 of the Law of Quality Infrastructure; 28 and 33 of the Regulation of the Federal Law on Metrology and Standardization with regards to the Third Transitional article of the Decree by which the Law of Quality Infrastructure is issued and the Federal Law on Metrology and Standardization is repealed; 2, section XIII Bis 1, XIII Bis 2, 9, 10, 15, 81, 100, 102, 109, 111, 113 and 138-bis of the Regulation of Health Supplies, and 3, sections I, literal by II and 10, sections IV and VIII of the Regulation of the </w:t>
            </w:r>
            <w:r w:rsidRPr="000F3C48">
              <w:rPr>
                <w:rFonts w:ascii="Verdana" w:hAnsi="Verdana"/>
                <w:sz w:val="16"/>
                <w:szCs w:val="16"/>
                <w:lang w:val="en-US"/>
              </w:rPr>
              <w:lastRenderedPageBreak/>
              <w:t>Federal Commission for Protection against Sanitary Risks, and</w:t>
            </w:r>
          </w:p>
        </w:tc>
      </w:tr>
      <w:tr w:rsidR="00947A46" w:rsidRPr="008D5B6B" w14:paraId="3AFBA4A9" w14:textId="77777777" w:rsidTr="00772246">
        <w:tc>
          <w:tcPr>
            <w:tcW w:w="4698" w:type="dxa"/>
          </w:tcPr>
          <w:p w14:paraId="51B539AE" w14:textId="77777777" w:rsidR="00947A46" w:rsidRPr="008D5B6B" w:rsidRDefault="00947A46" w:rsidP="00772246">
            <w:pPr>
              <w:pStyle w:val="ANOTACION"/>
              <w:spacing w:line="263" w:lineRule="exact"/>
              <w:rPr>
                <w:rFonts w:ascii="Verdana" w:hAnsi="Verdana"/>
                <w:sz w:val="16"/>
                <w:szCs w:val="16"/>
              </w:rPr>
            </w:pPr>
            <w:r w:rsidRPr="008D5B6B">
              <w:rPr>
                <w:rFonts w:ascii="Verdana" w:hAnsi="Verdana"/>
                <w:sz w:val="16"/>
                <w:szCs w:val="16"/>
              </w:rPr>
              <w:lastRenderedPageBreak/>
              <w:t>CONSIDERANDO</w:t>
            </w:r>
          </w:p>
        </w:tc>
        <w:tc>
          <w:tcPr>
            <w:tcW w:w="4652" w:type="dxa"/>
          </w:tcPr>
          <w:p w14:paraId="3072B0F6" w14:textId="77777777" w:rsidR="00947A46" w:rsidRPr="008D5B6B" w:rsidRDefault="00947A46" w:rsidP="00772246">
            <w:pPr>
              <w:pStyle w:val="ANOTACION"/>
              <w:spacing w:line="263" w:lineRule="exact"/>
              <w:rPr>
                <w:rFonts w:ascii="Verdana" w:hAnsi="Verdana"/>
                <w:sz w:val="16"/>
                <w:szCs w:val="16"/>
                <w:lang w:val="en-US"/>
              </w:rPr>
            </w:pPr>
            <w:r w:rsidRPr="008D5B6B">
              <w:rPr>
                <w:rFonts w:ascii="Verdana" w:hAnsi="Verdana"/>
                <w:sz w:val="16"/>
                <w:szCs w:val="16"/>
              </w:rPr>
              <w:t>CONSIDERING</w:t>
            </w:r>
          </w:p>
        </w:tc>
      </w:tr>
      <w:tr w:rsidR="00947A46" w:rsidRPr="00C15D85" w14:paraId="744540BD" w14:textId="77777777" w:rsidTr="00772246">
        <w:tc>
          <w:tcPr>
            <w:tcW w:w="4698" w:type="dxa"/>
          </w:tcPr>
          <w:p w14:paraId="62E8B252" w14:textId="77777777" w:rsidR="00947A46" w:rsidRPr="008D5B6B" w:rsidRDefault="00947A46" w:rsidP="00772246">
            <w:pPr>
              <w:pStyle w:val="Texto"/>
              <w:spacing w:line="263" w:lineRule="exact"/>
              <w:ind w:firstLine="0"/>
              <w:rPr>
                <w:rFonts w:ascii="Verdana" w:hAnsi="Verdana"/>
                <w:sz w:val="16"/>
                <w:szCs w:val="16"/>
              </w:rPr>
            </w:pPr>
            <w:r w:rsidRPr="008D5B6B">
              <w:rPr>
                <w:rFonts w:ascii="Verdana" w:hAnsi="Verdana"/>
                <w:sz w:val="16"/>
                <w:szCs w:val="16"/>
              </w:rPr>
              <w:t>Que la Constitución Política de los Estados Unidos Mexicanos en su artículo 4o, reconoce el derecho humano que toda persona tiene a la protección de la salud; por lo que el Estado tiene la obligación de garantizar y establecer los mecanismos necesarios para que toda persona goce de un estado de completo bienestar físico, mental y social para su desarrollo;</w:t>
            </w:r>
          </w:p>
        </w:tc>
        <w:tc>
          <w:tcPr>
            <w:tcW w:w="4652" w:type="dxa"/>
          </w:tcPr>
          <w:p w14:paraId="140DE635" w14:textId="77777777" w:rsidR="00947A46" w:rsidRPr="00C15D85" w:rsidRDefault="00947A46" w:rsidP="00772246">
            <w:pPr>
              <w:pStyle w:val="Texto"/>
              <w:spacing w:line="263" w:lineRule="exact"/>
              <w:ind w:firstLine="0"/>
              <w:rPr>
                <w:rFonts w:ascii="Verdana" w:hAnsi="Verdana"/>
                <w:sz w:val="16"/>
                <w:szCs w:val="16"/>
                <w:lang w:val="en-US"/>
              </w:rPr>
            </w:pPr>
            <w:r w:rsidRPr="00C15D85">
              <w:rPr>
                <w:rFonts w:ascii="Verdana" w:hAnsi="Verdana"/>
                <w:sz w:val="16"/>
                <w:szCs w:val="16"/>
                <w:lang w:val="en-US"/>
              </w:rPr>
              <w:t xml:space="preserve">That the Political Constitution of the United Mexican States, in its Article 4, recognizes the human right of every person to </w:t>
            </w:r>
            <w:r>
              <w:rPr>
                <w:rFonts w:ascii="Verdana" w:hAnsi="Verdana"/>
                <w:sz w:val="16"/>
                <w:szCs w:val="16"/>
                <w:lang w:val="en-US"/>
              </w:rPr>
              <w:t>the</w:t>
            </w:r>
            <w:r w:rsidRPr="00C15D85">
              <w:rPr>
                <w:rFonts w:ascii="Verdana" w:hAnsi="Verdana"/>
                <w:sz w:val="16"/>
                <w:szCs w:val="16"/>
                <w:lang w:val="en-US"/>
              </w:rPr>
              <w:t xml:space="preserve"> protection</w:t>
            </w:r>
            <w:r>
              <w:rPr>
                <w:rFonts w:ascii="Verdana" w:hAnsi="Verdana"/>
                <w:sz w:val="16"/>
                <w:szCs w:val="16"/>
                <w:lang w:val="en-US"/>
              </w:rPr>
              <w:t xml:space="preserve"> of health</w:t>
            </w:r>
            <w:r w:rsidRPr="00C15D85">
              <w:rPr>
                <w:rFonts w:ascii="Verdana" w:hAnsi="Verdana"/>
                <w:sz w:val="16"/>
                <w:szCs w:val="16"/>
                <w:lang w:val="en-US"/>
              </w:rPr>
              <w:t>; therefore, the State has the obligation to guarantee and establish the necessary mechanisms so that every person enjoys a state of complete physical, mental, and social well-being for their development;</w:t>
            </w:r>
          </w:p>
        </w:tc>
      </w:tr>
      <w:tr w:rsidR="00947A46" w:rsidRPr="00C15D85" w14:paraId="280BC70B" w14:textId="77777777" w:rsidTr="00772246">
        <w:tc>
          <w:tcPr>
            <w:tcW w:w="4698" w:type="dxa"/>
          </w:tcPr>
          <w:p w14:paraId="1FD1896C" w14:textId="77777777" w:rsidR="00947A46" w:rsidRPr="008D5B6B" w:rsidRDefault="00947A46" w:rsidP="00772246">
            <w:pPr>
              <w:pStyle w:val="Texto"/>
              <w:spacing w:line="263" w:lineRule="exact"/>
              <w:ind w:firstLine="0"/>
              <w:rPr>
                <w:rFonts w:ascii="Verdana" w:hAnsi="Verdana"/>
                <w:sz w:val="16"/>
                <w:szCs w:val="16"/>
              </w:rPr>
            </w:pPr>
            <w:r w:rsidRPr="008D5B6B">
              <w:rPr>
                <w:rFonts w:ascii="Verdana" w:hAnsi="Verdana"/>
                <w:sz w:val="16"/>
                <w:szCs w:val="16"/>
              </w:rPr>
              <w:t>Que el artículo 3o, fracciones I, II y XV de la Ley General de Salud establece que son materias de salubridad general, la organización, control y vigilancia de la prestación de servicios y de establecimientos de salud, la atención médica y la prevención y el control de enfermedades transmisibles, entre otros;</w:t>
            </w:r>
          </w:p>
        </w:tc>
        <w:tc>
          <w:tcPr>
            <w:tcW w:w="4652" w:type="dxa"/>
          </w:tcPr>
          <w:p w14:paraId="4491CA54" w14:textId="77777777" w:rsidR="00947A46" w:rsidRPr="00C15D85" w:rsidRDefault="00947A46" w:rsidP="00772246">
            <w:pPr>
              <w:pStyle w:val="Texto"/>
              <w:spacing w:line="263" w:lineRule="exact"/>
              <w:ind w:firstLine="0"/>
              <w:rPr>
                <w:rFonts w:ascii="Verdana" w:hAnsi="Verdana"/>
                <w:sz w:val="16"/>
                <w:szCs w:val="16"/>
                <w:lang w:val="en-US"/>
              </w:rPr>
            </w:pPr>
            <w:r w:rsidRPr="00C15D85">
              <w:rPr>
                <w:rFonts w:ascii="Verdana" w:hAnsi="Verdana"/>
                <w:sz w:val="16"/>
                <w:szCs w:val="16"/>
                <w:lang w:val="en-US"/>
              </w:rPr>
              <w:t xml:space="preserve">That article 3, sections I, II and XV of the </w:t>
            </w:r>
            <w:r>
              <w:rPr>
                <w:rFonts w:ascii="Verdana" w:hAnsi="Verdana"/>
                <w:sz w:val="16"/>
                <w:szCs w:val="16"/>
                <w:lang w:val="en-US"/>
              </w:rPr>
              <w:t>General Law of Health</w:t>
            </w:r>
            <w:r w:rsidRPr="00C15D85">
              <w:rPr>
                <w:rFonts w:ascii="Verdana" w:hAnsi="Verdana"/>
                <w:sz w:val="16"/>
                <w:szCs w:val="16"/>
                <w:lang w:val="en-US"/>
              </w:rPr>
              <w:t xml:space="preserve"> establishes that matters of general health include the organization, control and </w:t>
            </w:r>
            <w:r>
              <w:rPr>
                <w:rFonts w:ascii="Verdana" w:hAnsi="Verdana"/>
                <w:sz w:val="16"/>
                <w:szCs w:val="16"/>
                <w:lang w:val="en-US"/>
              </w:rPr>
              <w:t>oversight</w:t>
            </w:r>
            <w:r w:rsidRPr="00C15D85">
              <w:rPr>
                <w:rFonts w:ascii="Verdana" w:hAnsi="Verdana"/>
                <w:sz w:val="16"/>
                <w:szCs w:val="16"/>
                <w:lang w:val="en-US"/>
              </w:rPr>
              <w:t xml:space="preserve"> of the provision of health services and establishments, medical care and the prevention and control of communicable diseases, among others;</w:t>
            </w:r>
          </w:p>
        </w:tc>
      </w:tr>
      <w:tr w:rsidR="00947A46" w:rsidRPr="00C15D85" w14:paraId="0DBD20C3" w14:textId="77777777" w:rsidTr="00772246">
        <w:tc>
          <w:tcPr>
            <w:tcW w:w="4698" w:type="dxa"/>
          </w:tcPr>
          <w:p w14:paraId="66DFB242" w14:textId="77777777" w:rsidR="00947A46" w:rsidRPr="008D5B6B" w:rsidRDefault="00947A46" w:rsidP="00772246">
            <w:pPr>
              <w:pStyle w:val="Texto"/>
              <w:spacing w:line="263" w:lineRule="exact"/>
              <w:ind w:firstLine="0"/>
              <w:rPr>
                <w:rFonts w:ascii="Verdana" w:hAnsi="Verdana"/>
                <w:sz w:val="16"/>
                <w:szCs w:val="16"/>
              </w:rPr>
            </w:pPr>
            <w:r w:rsidRPr="008D5B6B">
              <w:rPr>
                <w:rFonts w:ascii="Verdana" w:hAnsi="Verdana"/>
                <w:sz w:val="16"/>
                <w:szCs w:val="16"/>
              </w:rPr>
              <w:t>Que el artículo 10 de la Ley de Infraestructura de la Calidad, establece que las Normas Oficiales Mexicanas tienen como finalidad atender las causas de los problemas identificados por las Autoridades Normalizadoras que afecten o que pongan en riesgo los objetivos legítimos de interés público, considerados entre otros, como objetivos legítimos de interés público, la protección y promoción a la salud y cualquier otra necesidad pública, en términos de las disposiciones legales aplicables;</w:t>
            </w:r>
          </w:p>
        </w:tc>
        <w:tc>
          <w:tcPr>
            <w:tcW w:w="4652" w:type="dxa"/>
          </w:tcPr>
          <w:p w14:paraId="2EC66FD6" w14:textId="77777777" w:rsidR="00947A46" w:rsidRPr="00C15D85" w:rsidRDefault="00947A46" w:rsidP="00772246">
            <w:pPr>
              <w:pStyle w:val="Texto"/>
              <w:spacing w:line="263" w:lineRule="exact"/>
              <w:ind w:firstLine="0"/>
              <w:rPr>
                <w:rFonts w:ascii="Verdana" w:hAnsi="Verdana"/>
                <w:sz w:val="16"/>
                <w:szCs w:val="16"/>
                <w:lang w:val="en-US"/>
              </w:rPr>
            </w:pPr>
            <w:r w:rsidRPr="00C15D85">
              <w:rPr>
                <w:rFonts w:ascii="Verdana" w:hAnsi="Verdana"/>
                <w:sz w:val="16"/>
                <w:szCs w:val="16"/>
                <w:lang w:val="en-US"/>
              </w:rPr>
              <w:t xml:space="preserve">That Article 10 of the </w:t>
            </w:r>
            <w:r>
              <w:rPr>
                <w:rFonts w:ascii="Verdana" w:hAnsi="Verdana"/>
                <w:sz w:val="16"/>
                <w:szCs w:val="16"/>
                <w:lang w:val="en-US"/>
              </w:rPr>
              <w:t>Law of Quality Infrastructure</w:t>
            </w:r>
            <w:r w:rsidRPr="00C15D85">
              <w:rPr>
                <w:rFonts w:ascii="Verdana" w:hAnsi="Verdana"/>
                <w:sz w:val="16"/>
                <w:szCs w:val="16"/>
                <w:lang w:val="en-US"/>
              </w:rPr>
              <w:t xml:space="preserve"> establishes that the purpose of </w:t>
            </w:r>
            <w:r>
              <w:rPr>
                <w:rFonts w:ascii="Verdana" w:hAnsi="Verdana"/>
                <w:sz w:val="16"/>
                <w:szCs w:val="16"/>
                <w:lang w:val="en-US"/>
              </w:rPr>
              <w:t>Official Mexican Standard</w:t>
            </w:r>
            <w:r w:rsidRPr="00C15D85">
              <w:rPr>
                <w:rFonts w:ascii="Verdana" w:hAnsi="Verdana"/>
                <w:sz w:val="16"/>
                <w:szCs w:val="16"/>
                <w:lang w:val="en-US"/>
              </w:rPr>
              <w:t>s is to address the causes of the problems identified by the Standards Authorities that affect or jeopardize legitimate objectives of public interest, considered among others, as legitimate objectives of public interest, the protection and promotion of health and any other public need, in terms of the applicable legal provisions;</w:t>
            </w:r>
          </w:p>
        </w:tc>
      </w:tr>
      <w:tr w:rsidR="00947A46" w:rsidRPr="00C15D85" w14:paraId="63EE2BCF" w14:textId="77777777" w:rsidTr="00772246">
        <w:tc>
          <w:tcPr>
            <w:tcW w:w="4698" w:type="dxa"/>
          </w:tcPr>
          <w:p w14:paraId="2B9E9F46" w14:textId="77777777" w:rsidR="00947A46" w:rsidRPr="008D5B6B" w:rsidRDefault="00947A46" w:rsidP="00772246">
            <w:pPr>
              <w:pStyle w:val="Texto"/>
              <w:spacing w:line="263" w:lineRule="exact"/>
              <w:ind w:firstLine="0"/>
              <w:rPr>
                <w:rFonts w:ascii="Verdana" w:hAnsi="Verdana"/>
                <w:sz w:val="16"/>
                <w:szCs w:val="16"/>
              </w:rPr>
            </w:pPr>
            <w:r w:rsidRPr="008D5B6B">
              <w:rPr>
                <w:rFonts w:ascii="Verdana" w:hAnsi="Verdana"/>
                <w:sz w:val="16"/>
                <w:szCs w:val="16"/>
              </w:rPr>
              <w:t>Que el artículo 41 de Ley de Infraestructura de la Calidad establece que el procedimiento de modificación o cancelación de las Normas Oficiales Mexicanas podrá iniciarse en cualquier momento, siempre que la Norma Oficial Mexicana haya entrado en vigor;</w:t>
            </w:r>
          </w:p>
        </w:tc>
        <w:tc>
          <w:tcPr>
            <w:tcW w:w="4652" w:type="dxa"/>
          </w:tcPr>
          <w:p w14:paraId="7F511060" w14:textId="77777777" w:rsidR="00947A46" w:rsidRPr="00C15D85" w:rsidRDefault="00947A46" w:rsidP="00772246">
            <w:pPr>
              <w:pStyle w:val="Texto"/>
              <w:spacing w:line="263" w:lineRule="exact"/>
              <w:ind w:firstLine="0"/>
              <w:rPr>
                <w:rFonts w:ascii="Verdana" w:hAnsi="Verdana"/>
                <w:sz w:val="16"/>
                <w:szCs w:val="16"/>
                <w:lang w:val="en-US"/>
              </w:rPr>
            </w:pPr>
            <w:r>
              <w:rPr>
                <w:rFonts w:ascii="Verdana" w:hAnsi="Verdana"/>
                <w:sz w:val="16"/>
                <w:szCs w:val="16"/>
                <w:lang w:val="en-US"/>
              </w:rPr>
              <w:t xml:space="preserve">That </w:t>
            </w:r>
            <w:r w:rsidRPr="00C15D85">
              <w:rPr>
                <w:rFonts w:ascii="Verdana" w:hAnsi="Verdana"/>
                <w:sz w:val="16"/>
                <w:szCs w:val="16"/>
                <w:lang w:val="en-US"/>
              </w:rPr>
              <w:t xml:space="preserve">Article 41 of the </w:t>
            </w:r>
            <w:r>
              <w:rPr>
                <w:rFonts w:ascii="Verdana" w:hAnsi="Verdana"/>
                <w:sz w:val="16"/>
                <w:szCs w:val="16"/>
                <w:lang w:val="en-US"/>
              </w:rPr>
              <w:t>Law of Quality Infrastructure</w:t>
            </w:r>
            <w:r w:rsidRPr="00C15D85">
              <w:rPr>
                <w:rFonts w:ascii="Verdana" w:hAnsi="Verdana"/>
                <w:sz w:val="16"/>
                <w:szCs w:val="16"/>
                <w:lang w:val="en-US"/>
              </w:rPr>
              <w:t xml:space="preserve"> establishes that the procedure for modifying or cancelling </w:t>
            </w:r>
            <w:r>
              <w:rPr>
                <w:rFonts w:ascii="Verdana" w:hAnsi="Verdana"/>
                <w:sz w:val="16"/>
                <w:szCs w:val="16"/>
                <w:lang w:val="en-US"/>
              </w:rPr>
              <w:t>Official Mexican Standard</w:t>
            </w:r>
            <w:r w:rsidRPr="00C15D85">
              <w:rPr>
                <w:rFonts w:ascii="Verdana" w:hAnsi="Verdana"/>
                <w:sz w:val="16"/>
                <w:szCs w:val="16"/>
                <w:lang w:val="en-US"/>
              </w:rPr>
              <w:t xml:space="preserve">s may be initiated at any time, provided that the </w:t>
            </w:r>
            <w:r>
              <w:rPr>
                <w:rFonts w:ascii="Verdana" w:hAnsi="Verdana"/>
                <w:sz w:val="16"/>
                <w:szCs w:val="16"/>
                <w:lang w:val="en-US"/>
              </w:rPr>
              <w:t>Official Mexican Standard</w:t>
            </w:r>
            <w:r w:rsidRPr="00C15D85">
              <w:rPr>
                <w:rFonts w:ascii="Verdana" w:hAnsi="Verdana"/>
                <w:sz w:val="16"/>
                <w:szCs w:val="16"/>
                <w:lang w:val="en-US"/>
              </w:rPr>
              <w:t xml:space="preserve"> has entered into force;</w:t>
            </w:r>
          </w:p>
        </w:tc>
      </w:tr>
      <w:tr w:rsidR="00947A46" w:rsidRPr="00C15D85" w14:paraId="07DA4B1C" w14:textId="77777777" w:rsidTr="00772246">
        <w:tc>
          <w:tcPr>
            <w:tcW w:w="4698" w:type="dxa"/>
          </w:tcPr>
          <w:p w14:paraId="431384A2" w14:textId="77777777" w:rsidR="00947A46" w:rsidRPr="008D5B6B" w:rsidRDefault="00947A46" w:rsidP="00772246">
            <w:pPr>
              <w:pStyle w:val="Texto"/>
              <w:spacing w:line="263" w:lineRule="exact"/>
              <w:ind w:firstLine="0"/>
              <w:rPr>
                <w:rFonts w:ascii="Verdana" w:hAnsi="Verdana"/>
                <w:sz w:val="16"/>
                <w:szCs w:val="16"/>
              </w:rPr>
            </w:pPr>
            <w:r w:rsidRPr="008D5B6B">
              <w:rPr>
                <w:rFonts w:ascii="Verdana" w:hAnsi="Verdana"/>
                <w:sz w:val="16"/>
                <w:szCs w:val="16"/>
              </w:rPr>
              <w:t>Que el artículo 282 bis 2 de la Ley General de Salud señala que las disposiciones y especificaciones relacionadas con el proceso, características y etiquetas de los productos biotecnológicos, se establecerán en las normas oficiales mexicanas correspondientes;</w:t>
            </w:r>
          </w:p>
        </w:tc>
        <w:tc>
          <w:tcPr>
            <w:tcW w:w="4652" w:type="dxa"/>
          </w:tcPr>
          <w:p w14:paraId="5ED40BEC" w14:textId="77777777" w:rsidR="00947A46" w:rsidRPr="00C15D85" w:rsidRDefault="00947A46" w:rsidP="00772246">
            <w:pPr>
              <w:pStyle w:val="Texto"/>
              <w:spacing w:line="263" w:lineRule="exact"/>
              <w:ind w:firstLine="0"/>
              <w:rPr>
                <w:rFonts w:ascii="Verdana" w:hAnsi="Verdana"/>
                <w:sz w:val="16"/>
                <w:szCs w:val="16"/>
                <w:lang w:val="en-US"/>
              </w:rPr>
            </w:pPr>
            <w:r w:rsidRPr="00C15D85">
              <w:rPr>
                <w:rFonts w:ascii="Verdana" w:hAnsi="Verdana"/>
                <w:sz w:val="16"/>
                <w:szCs w:val="16"/>
                <w:lang w:val="en-US"/>
              </w:rPr>
              <w:t xml:space="preserve">That </w:t>
            </w:r>
            <w:r>
              <w:rPr>
                <w:rFonts w:ascii="Verdana" w:hAnsi="Verdana"/>
                <w:sz w:val="16"/>
                <w:szCs w:val="16"/>
                <w:lang w:val="en-US"/>
              </w:rPr>
              <w:t xml:space="preserve">the </w:t>
            </w:r>
            <w:r w:rsidRPr="00C15D85">
              <w:rPr>
                <w:rFonts w:ascii="Verdana" w:hAnsi="Verdana"/>
                <w:sz w:val="16"/>
                <w:szCs w:val="16"/>
                <w:lang w:val="en-US"/>
              </w:rPr>
              <w:t xml:space="preserve">Article 282 bis 2 of the </w:t>
            </w:r>
            <w:r>
              <w:rPr>
                <w:rFonts w:ascii="Verdana" w:hAnsi="Verdana"/>
                <w:sz w:val="16"/>
                <w:szCs w:val="16"/>
                <w:lang w:val="en-US"/>
              </w:rPr>
              <w:t>General Law of Health</w:t>
            </w:r>
            <w:r w:rsidRPr="00C15D85">
              <w:rPr>
                <w:rFonts w:ascii="Verdana" w:hAnsi="Verdana"/>
                <w:sz w:val="16"/>
                <w:szCs w:val="16"/>
                <w:lang w:val="en-US"/>
              </w:rPr>
              <w:t xml:space="preserve"> states that the provisions and specifications related to the process, characteristics and labels of biotechnological products shall be established in the corresponding </w:t>
            </w:r>
            <w:r>
              <w:rPr>
                <w:rFonts w:ascii="Verdana" w:hAnsi="Verdana"/>
                <w:sz w:val="16"/>
                <w:szCs w:val="16"/>
                <w:lang w:val="en-US"/>
              </w:rPr>
              <w:t>Official Mexican Standard</w:t>
            </w:r>
            <w:r w:rsidRPr="00C15D85">
              <w:rPr>
                <w:rFonts w:ascii="Verdana" w:hAnsi="Verdana"/>
                <w:sz w:val="16"/>
                <w:szCs w:val="16"/>
                <w:lang w:val="en-US"/>
              </w:rPr>
              <w:t>s;</w:t>
            </w:r>
          </w:p>
        </w:tc>
      </w:tr>
      <w:tr w:rsidR="00947A46" w:rsidRPr="00C15D85" w14:paraId="5EE9FC07" w14:textId="77777777" w:rsidTr="00772246">
        <w:tc>
          <w:tcPr>
            <w:tcW w:w="4698" w:type="dxa"/>
          </w:tcPr>
          <w:p w14:paraId="5C8013A3" w14:textId="77777777" w:rsidR="00947A46" w:rsidRPr="008D5B6B" w:rsidRDefault="00947A46" w:rsidP="00772246">
            <w:pPr>
              <w:pStyle w:val="Texto"/>
              <w:spacing w:line="263" w:lineRule="exact"/>
              <w:ind w:firstLine="0"/>
              <w:rPr>
                <w:rFonts w:ascii="Verdana" w:hAnsi="Verdana"/>
                <w:sz w:val="16"/>
                <w:szCs w:val="16"/>
              </w:rPr>
            </w:pPr>
            <w:r w:rsidRPr="008D5B6B">
              <w:rPr>
                <w:rFonts w:ascii="Verdana" w:hAnsi="Verdana"/>
                <w:sz w:val="16"/>
                <w:szCs w:val="16"/>
              </w:rPr>
              <w:t xml:space="preserve">Que el artículo 113 del Reglamento de Insumos para la Salud señala que los establecimientos que fabriquen biofármacos y medicamentos biotecnológicos requerirán instalaciones de acuerdo a los procesos que realicen y, en su caso, contar con áreas separadas para cepas o líneas celulares, </w:t>
            </w:r>
            <w:r w:rsidRPr="008D5B6B">
              <w:rPr>
                <w:rFonts w:ascii="Verdana" w:hAnsi="Verdana"/>
                <w:sz w:val="16"/>
                <w:szCs w:val="16"/>
              </w:rPr>
              <w:lastRenderedPageBreak/>
              <w:t>animales o vegetales; además de dar cumplimiento a las disposiciones jurídicas aplicables, incluyendo la licencia sanitaria señalada en el artículo 198 de la Ley. En caso de ser de fabricación extranjera deberán contar con certificación del cumplimiento de buenas prácticas de fabricación;</w:t>
            </w:r>
          </w:p>
        </w:tc>
        <w:tc>
          <w:tcPr>
            <w:tcW w:w="4652" w:type="dxa"/>
          </w:tcPr>
          <w:p w14:paraId="387E4356" w14:textId="77777777" w:rsidR="00947A46" w:rsidRPr="00C15D85" w:rsidRDefault="00947A46" w:rsidP="00772246">
            <w:pPr>
              <w:pStyle w:val="Texto"/>
              <w:spacing w:line="263" w:lineRule="exact"/>
              <w:ind w:firstLine="0"/>
              <w:rPr>
                <w:rFonts w:ascii="Verdana" w:hAnsi="Verdana"/>
                <w:sz w:val="16"/>
                <w:szCs w:val="16"/>
                <w:lang w:val="en-US"/>
              </w:rPr>
            </w:pPr>
            <w:r w:rsidRPr="00C15D85">
              <w:rPr>
                <w:rFonts w:ascii="Verdana" w:hAnsi="Verdana"/>
                <w:sz w:val="16"/>
                <w:szCs w:val="16"/>
                <w:lang w:val="en-US"/>
              </w:rPr>
              <w:lastRenderedPageBreak/>
              <w:t xml:space="preserve">Article 113 of the </w:t>
            </w:r>
            <w:r>
              <w:rPr>
                <w:rFonts w:ascii="Verdana" w:hAnsi="Verdana"/>
                <w:sz w:val="16"/>
                <w:szCs w:val="16"/>
                <w:lang w:val="en-US"/>
              </w:rPr>
              <w:t>Regulation of Health Supplies</w:t>
            </w:r>
            <w:r w:rsidRPr="00C15D85">
              <w:rPr>
                <w:rFonts w:ascii="Verdana" w:hAnsi="Verdana"/>
                <w:sz w:val="16"/>
                <w:szCs w:val="16"/>
                <w:lang w:val="en-US"/>
              </w:rPr>
              <w:t xml:space="preserve"> states that establishments that manufacture biopharmaceuticals and biotechnological </w:t>
            </w:r>
            <w:r>
              <w:rPr>
                <w:rFonts w:ascii="Verdana" w:hAnsi="Verdana"/>
                <w:sz w:val="16"/>
                <w:szCs w:val="16"/>
                <w:lang w:val="en-US"/>
              </w:rPr>
              <w:t>drug products</w:t>
            </w:r>
            <w:r w:rsidRPr="00C15D85">
              <w:rPr>
                <w:rFonts w:ascii="Verdana" w:hAnsi="Verdana"/>
                <w:sz w:val="16"/>
                <w:szCs w:val="16"/>
                <w:lang w:val="en-US"/>
              </w:rPr>
              <w:t xml:space="preserve"> will require facilities appropriate to the processes they perform and, where applicable, separate areas for animal or plant strains or cell </w:t>
            </w:r>
            <w:r w:rsidRPr="00C15D85">
              <w:rPr>
                <w:rFonts w:ascii="Verdana" w:hAnsi="Verdana"/>
                <w:sz w:val="16"/>
                <w:szCs w:val="16"/>
                <w:lang w:val="en-US"/>
              </w:rPr>
              <w:lastRenderedPageBreak/>
              <w:t xml:space="preserve">lines. They must also comply with applicable legal provisions, including the </w:t>
            </w:r>
            <w:r>
              <w:rPr>
                <w:rFonts w:ascii="Verdana" w:hAnsi="Verdana"/>
                <w:sz w:val="16"/>
                <w:szCs w:val="16"/>
                <w:lang w:val="en-US"/>
              </w:rPr>
              <w:t>sanitary</w:t>
            </w:r>
            <w:r w:rsidRPr="00C15D85">
              <w:rPr>
                <w:rFonts w:ascii="Verdana" w:hAnsi="Verdana"/>
                <w:sz w:val="16"/>
                <w:szCs w:val="16"/>
                <w:lang w:val="en-US"/>
              </w:rPr>
              <w:t xml:space="preserve"> license specified in Article 198 of the Law. If manufactured abroad, they must have certification of compliance with good manufacturing practices.</w:t>
            </w:r>
          </w:p>
        </w:tc>
      </w:tr>
      <w:tr w:rsidR="00947A46" w:rsidRPr="00C15D85" w14:paraId="770E76EB" w14:textId="77777777" w:rsidTr="00772246">
        <w:tc>
          <w:tcPr>
            <w:tcW w:w="4698" w:type="dxa"/>
          </w:tcPr>
          <w:p w14:paraId="517684D0" w14:textId="77777777" w:rsidR="00947A46" w:rsidRPr="008D5B6B" w:rsidRDefault="00947A46" w:rsidP="00772246">
            <w:pPr>
              <w:pStyle w:val="Texto"/>
              <w:spacing w:line="263" w:lineRule="exact"/>
              <w:ind w:firstLine="0"/>
              <w:rPr>
                <w:rFonts w:ascii="Verdana" w:hAnsi="Verdana"/>
                <w:sz w:val="16"/>
                <w:szCs w:val="16"/>
              </w:rPr>
            </w:pPr>
            <w:r w:rsidRPr="008D5B6B">
              <w:rPr>
                <w:rFonts w:ascii="Verdana" w:hAnsi="Verdana"/>
                <w:sz w:val="16"/>
                <w:szCs w:val="16"/>
              </w:rPr>
              <w:lastRenderedPageBreak/>
              <w:t>Que el artículo 138 bis del Reglamento de Insumos para la Salud establece que para la liberación de medicamentos biotecnológicos de importación será necesario contar con el certificado analítico del fabricante y el importador deberá contar con los resultados analíticos y que los análisis correspondientes podrán ser realizados en su laboratorio de control de calidad o por cualquier laboratorio que cuente con Certificado de Buenas Prácticas de Fabricación;</w:t>
            </w:r>
          </w:p>
        </w:tc>
        <w:tc>
          <w:tcPr>
            <w:tcW w:w="4652" w:type="dxa"/>
          </w:tcPr>
          <w:p w14:paraId="4AD20B75" w14:textId="77777777" w:rsidR="00947A46" w:rsidRPr="00C15D85" w:rsidRDefault="00947A46" w:rsidP="00772246">
            <w:pPr>
              <w:pStyle w:val="Texto"/>
              <w:spacing w:line="263" w:lineRule="exact"/>
              <w:ind w:firstLine="0"/>
              <w:rPr>
                <w:rFonts w:ascii="Verdana" w:hAnsi="Verdana"/>
                <w:sz w:val="16"/>
                <w:szCs w:val="16"/>
                <w:lang w:val="en-US"/>
              </w:rPr>
            </w:pPr>
            <w:r w:rsidRPr="00C15D85">
              <w:rPr>
                <w:rFonts w:ascii="Verdana" w:hAnsi="Verdana"/>
                <w:sz w:val="16"/>
                <w:szCs w:val="16"/>
                <w:lang w:val="en-US"/>
              </w:rPr>
              <w:t>That Article 138 bis of the Regulation</w:t>
            </w:r>
            <w:r>
              <w:rPr>
                <w:rFonts w:ascii="Verdana" w:hAnsi="Verdana"/>
                <w:sz w:val="16"/>
                <w:szCs w:val="16"/>
                <w:lang w:val="en-US"/>
              </w:rPr>
              <w:t xml:space="preserve"> of</w:t>
            </w:r>
            <w:r w:rsidRPr="00C15D85">
              <w:rPr>
                <w:rFonts w:ascii="Verdana" w:hAnsi="Verdana"/>
                <w:sz w:val="16"/>
                <w:szCs w:val="16"/>
                <w:lang w:val="en-US"/>
              </w:rPr>
              <w:t xml:space="preserve"> Health Supplies establishes that for the release of imported biotechnological </w:t>
            </w:r>
            <w:r>
              <w:rPr>
                <w:rFonts w:ascii="Verdana" w:hAnsi="Verdana"/>
                <w:sz w:val="16"/>
                <w:szCs w:val="16"/>
                <w:lang w:val="en-US"/>
              </w:rPr>
              <w:t>drug products</w:t>
            </w:r>
            <w:r w:rsidRPr="00C15D85">
              <w:rPr>
                <w:rFonts w:ascii="Verdana" w:hAnsi="Verdana"/>
                <w:sz w:val="16"/>
                <w:szCs w:val="16"/>
                <w:lang w:val="en-US"/>
              </w:rPr>
              <w:t>, it will be necessary to have the analytical certificate from the manufacturer and the importer must have the analytical results and that the corresponding analyses may be carried out in its quality control laboratory or by any laboratory that has a Certificate of Good Manufacturing Practices;</w:t>
            </w:r>
          </w:p>
        </w:tc>
      </w:tr>
      <w:tr w:rsidR="00947A46" w:rsidRPr="00C15D85" w14:paraId="76E9DC75" w14:textId="77777777" w:rsidTr="00772246">
        <w:tc>
          <w:tcPr>
            <w:tcW w:w="4698" w:type="dxa"/>
          </w:tcPr>
          <w:p w14:paraId="00F51966" w14:textId="77777777" w:rsidR="00947A46" w:rsidRPr="008D5B6B" w:rsidRDefault="00947A46" w:rsidP="00772246">
            <w:pPr>
              <w:pStyle w:val="Texto"/>
              <w:spacing w:line="254" w:lineRule="exact"/>
              <w:ind w:firstLine="0"/>
              <w:rPr>
                <w:rFonts w:ascii="Verdana" w:hAnsi="Verdana"/>
                <w:sz w:val="16"/>
                <w:szCs w:val="16"/>
              </w:rPr>
            </w:pPr>
            <w:r w:rsidRPr="008D5B6B">
              <w:rPr>
                <w:rFonts w:ascii="Verdana" w:hAnsi="Verdana"/>
                <w:sz w:val="16"/>
                <w:szCs w:val="16"/>
              </w:rPr>
              <w:t>Que gran parte de los medicamentos biotecnológicos que son consumidos en el país son de fabricación extranjera, por lo que, la Comisión Federal para la Protección contra Riesgos Sanitarios (COFEPRIS) fortalece sus mecanismos normativos mediante el reconocimiento de la alta vigilancia y las determinaciones de autoridades sanitarias de otras jurisdicciones;</w:t>
            </w:r>
          </w:p>
        </w:tc>
        <w:tc>
          <w:tcPr>
            <w:tcW w:w="4652" w:type="dxa"/>
          </w:tcPr>
          <w:p w14:paraId="55DC13A1" w14:textId="77777777" w:rsidR="00947A46" w:rsidRPr="00C15D85" w:rsidRDefault="00947A46" w:rsidP="00772246">
            <w:pPr>
              <w:pStyle w:val="Texto"/>
              <w:spacing w:line="254" w:lineRule="exact"/>
              <w:ind w:firstLine="0"/>
              <w:rPr>
                <w:rFonts w:ascii="Verdana" w:hAnsi="Verdana"/>
                <w:sz w:val="16"/>
                <w:szCs w:val="16"/>
                <w:lang w:val="en-US"/>
              </w:rPr>
            </w:pPr>
            <w:r w:rsidRPr="00C15D85">
              <w:rPr>
                <w:rFonts w:ascii="Verdana" w:hAnsi="Verdana"/>
                <w:sz w:val="16"/>
                <w:szCs w:val="16"/>
                <w:lang w:val="en-US"/>
              </w:rPr>
              <w:t xml:space="preserve">That a large portion of the biotechnological </w:t>
            </w:r>
            <w:r>
              <w:rPr>
                <w:rFonts w:ascii="Verdana" w:hAnsi="Verdana"/>
                <w:sz w:val="16"/>
                <w:szCs w:val="16"/>
                <w:lang w:val="en-US"/>
              </w:rPr>
              <w:t>drug products</w:t>
            </w:r>
            <w:r w:rsidRPr="00C15D85">
              <w:rPr>
                <w:rFonts w:ascii="Verdana" w:hAnsi="Verdana"/>
                <w:sz w:val="16"/>
                <w:szCs w:val="16"/>
                <w:lang w:val="en-US"/>
              </w:rPr>
              <w:t xml:space="preserve"> consumed in the country are foreign-made, and therefore, the Federal Commission for the Protection against Sanitary Risks (COFEPRIS) strengthens its regulatory mechanisms by recognizing the high level of </w:t>
            </w:r>
            <w:r>
              <w:rPr>
                <w:rFonts w:ascii="Verdana" w:hAnsi="Verdana"/>
                <w:sz w:val="16"/>
                <w:szCs w:val="16"/>
                <w:lang w:val="en-US"/>
              </w:rPr>
              <w:t>oversight</w:t>
            </w:r>
            <w:r w:rsidRPr="00C15D85">
              <w:rPr>
                <w:rFonts w:ascii="Verdana" w:hAnsi="Verdana"/>
                <w:sz w:val="16"/>
                <w:szCs w:val="16"/>
                <w:lang w:val="en-US"/>
              </w:rPr>
              <w:t xml:space="preserve"> and the determinations of health authorities in other jurisdictions;</w:t>
            </w:r>
          </w:p>
        </w:tc>
      </w:tr>
      <w:tr w:rsidR="00947A46" w:rsidRPr="00C15D85" w14:paraId="1ABEEE14" w14:textId="77777777" w:rsidTr="00772246">
        <w:tc>
          <w:tcPr>
            <w:tcW w:w="4698" w:type="dxa"/>
          </w:tcPr>
          <w:p w14:paraId="04BB5910" w14:textId="77777777" w:rsidR="00947A46" w:rsidRPr="008D5B6B" w:rsidRDefault="00947A46" w:rsidP="00772246">
            <w:pPr>
              <w:pStyle w:val="Texto"/>
              <w:spacing w:line="254" w:lineRule="exact"/>
              <w:ind w:firstLine="0"/>
              <w:rPr>
                <w:rFonts w:ascii="Verdana" w:hAnsi="Verdana"/>
                <w:sz w:val="16"/>
                <w:szCs w:val="16"/>
              </w:rPr>
            </w:pPr>
            <w:r w:rsidRPr="008D5B6B">
              <w:rPr>
                <w:rFonts w:ascii="Verdana" w:hAnsi="Verdana"/>
                <w:sz w:val="16"/>
                <w:szCs w:val="16"/>
              </w:rPr>
              <w:t>Que la Organización Mundial de la Salud al ser un organismo de la Organización de las Naciones Unidas (ONU) especializado en gestiones políticas de prevención, promoción e intervención a nivel mundial de la salud, asegura que el reconocimiento de las decisiones de autoridades sanitarias de alta vigilancia de otras jurisdicciones (reliance) permite aprovechar el esfuerzo de evaluación regulatoria de otros en la medida de lo posible y, al mismo tiempo, poner un mayor enfoque a nivel nacional en las actividades reguladoras de valor agregado, tales como, la vigilancia, el control del mercado, la supervisión de la fabricación y la distribución. Además de facilitar el acceso oportuno a productos médicos seguros, eficaces y de calidad garantizada y puede respaldar la preparación y la respuesta regulatoria;</w:t>
            </w:r>
          </w:p>
        </w:tc>
        <w:tc>
          <w:tcPr>
            <w:tcW w:w="4652" w:type="dxa"/>
          </w:tcPr>
          <w:p w14:paraId="2254654D" w14:textId="77777777" w:rsidR="00947A46" w:rsidRPr="00C15D85" w:rsidRDefault="00947A46" w:rsidP="00772246">
            <w:pPr>
              <w:pStyle w:val="Texto"/>
              <w:spacing w:line="254" w:lineRule="exact"/>
              <w:ind w:firstLine="0"/>
              <w:rPr>
                <w:rFonts w:ascii="Verdana" w:hAnsi="Verdana"/>
                <w:sz w:val="16"/>
                <w:szCs w:val="16"/>
                <w:lang w:val="en-US"/>
              </w:rPr>
            </w:pPr>
            <w:r w:rsidRPr="00C15D85">
              <w:rPr>
                <w:rFonts w:ascii="Verdana" w:hAnsi="Verdana"/>
                <w:sz w:val="16"/>
                <w:szCs w:val="16"/>
                <w:lang w:val="en-US"/>
              </w:rPr>
              <w:t>That the World Health Organization, being an agency of the United Nations</w:t>
            </w:r>
            <w:r>
              <w:rPr>
                <w:rFonts w:ascii="Verdana" w:hAnsi="Verdana"/>
                <w:sz w:val="16"/>
                <w:szCs w:val="16"/>
                <w:lang w:val="en-US"/>
              </w:rPr>
              <w:t xml:space="preserve"> Organization</w:t>
            </w:r>
            <w:r w:rsidRPr="00C15D85">
              <w:rPr>
                <w:rFonts w:ascii="Verdana" w:hAnsi="Verdana"/>
                <w:sz w:val="16"/>
                <w:szCs w:val="16"/>
                <w:lang w:val="en-US"/>
              </w:rPr>
              <w:t xml:space="preserve"> (UN) specialized in political management of prevention, promotion and intervention at the global level of health, ensures that the recognition of the decisions of high </w:t>
            </w:r>
            <w:r>
              <w:rPr>
                <w:rFonts w:ascii="Verdana" w:hAnsi="Verdana"/>
                <w:sz w:val="16"/>
                <w:szCs w:val="16"/>
                <w:lang w:val="en-US"/>
              </w:rPr>
              <w:t>oversight</w:t>
            </w:r>
            <w:r w:rsidRPr="00C15D85">
              <w:rPr>
                <w:rFonts w:ascii="Verdana" w:hAnsi="Verdana"/>
                <w:sz w:val="16"/>
                <w:szCs w:val="16"/>
                <w:lang w:val="en-US"/>
              </w:rPr>
              <w:t xml:space="preserve"> health authorities of other jurisdictions (reliance) allows to take advantage of the regulatory evaluation effort of others to the extent possible and, at the same time, put a greater focus at the national level on value-added regulatory activities, such as </w:t>
            </w:r>
            <w:r>
              <w:rPr>
                <w:rFonts w:ascii="Verdana" w:hAnsi="Verdana"/>
                <w:sz w:val="16"/>
                <w:szCs w:val="16"/>
                <w:lang w:val="en-US"/>
              </w:rPr>
              <w:t>oversight</w:t>
            </w:r>
            <w:r w:rsidRPr="00C15D85">
              <w:rPr>
                <w:rFonts w:ascii="Verdana" w:hAnsi="Verdana"/>
                <w:sz w:val="16"/>
                <w:szCs w:val="16"/>
                <w:lang w:val="en-US"/>
              </w:rPr>
              <w:t>, market control, supervision of manufacturing and distribution. In addition to facilitating timely access to safe, effective and quality-assured medical products and can support regulatory preparedness and response;</w:t>
            </w:r>
          </w:p>
        </w:tc>
      </w:tr>
      <w:tr w:rsidR="00947A46" w:rsidRPr="00C15D85" w14:paraId="627D2AD5" w14:textId="77777777" w:rsidTr="00772246">
        <w:tc>
          <w:tcPr>
            <w:tcW w:w="4698" w:type="dxa"/>
          </w:tcPr>
          <w:p w14:paraId="29C02419" w14:textId="77777777" w:rsidR="00947A46" w:rsidRPr="008D5B6B" w:rsidRDefault="00947A46" w:rsidP="00772246">
            <w:pPr>
              <w:pStyle w:val="Texto"/>
              <w:spacing w:line="254" w:lineRule="exact"/>
              <w:ind w:firstLine="0"/>
              <w:rPr>
                <w:rFonts w:ascii="Verdana" w:hAnsi="Verdana"/>
                <w:sz w:val="16"/>
                <w:szCs w:val="16"/>
              </w:rPr>
            </w:pPr>
            <w:r w:rsidRPr="008D5B6B">
              <w:rPr>
                <w:rFonts w:ascii="Verdana" w:hAnsi="Verdana"/>
                <w:sz w:val="16"/>
                <w:szCs w:val="16"/>
              </w:rPr>
              <w:t xml:space="preserve">Que el 5 de febrero de 2016 se publicó en el Diario Oficial de la Federación la Norma Oficial Mexicana NOM-059-SSA1-2015, Buenas prácticas de fabricación de medicamentos, la cual tiene por objetivo establecer los requisitos mínimos necesarios para el proceso de fabricación de los medicamentos para uso humano comercializados en el país, y/o con fines de investigación, señala en su inciso 11.25.1.3 </w:t>
            </w:r>
            <w:r w:rsidRPr="008D5B6B">
              <w:rPr>
                <w:rFonts w:ascii="Verdana" w:hAnsi="Verdana"/>
                <w:sz w:val="16"/>
                <w:szCs w:val="16"/>
              </w:rPr>
              <w:lastRenderedPageBreak/>
              <w:t>que las empresas que producen medicamentos biotecnológicos fuera del país deberán contar con un Certificado de Buenas Prácticas de Manufactura emitido por la Secretaría de Salud, a través de la COFEPRIS, para su internación y comercialización en el país;</w:t>
            </w:r>
          </w:p>
        </w:tc>
        <w:tc>
          <w:tcPr>
            <w:tcW w:w="4652" w:type="dxa"/>
          </w:tcPr>
          <w:p w14:paraId="4B359AB7" w14:textId="77777777" w:rsidR="00947A46" w:rsidRPr="00C15D85" w:rsidRDefault="00947A46" w:rsidP="00772246">
            <w:pPr>
              <w:pStyle w:val="Texto"/>
              <w:spacing w:line="254" w:lineRule="exact"/>
              <w:ind w:firstLine="0"/>
              <w:rPr>
                <w:rFonts w:ascii="Verdana" w:hAnsi="Verdana"/>
                <w:sz w:val="16"/>
                <w:szCs w:val="16"/>
                <w:lang w:val="en-US"/>
              </w:rPr>
            </w:pPr>
            <w:r w:rsidRPr="00C15D85">
              <w:rPr>
                <w:rFonts w:ascii="Verdana" w:hAnsi="Verdana"/>
                <w:sz w:val="16"/>
                <w:szCs w:val="16"/>
                <w:lang w:val="en-US"/>
              </w:rPr>
              <w:lastRenderedPageBreak/>
              <w:t xml:space="preserve">That on February 5, 2016, the </w:t>
            </w:r>
            <w:r>
              <w:rPr>
                <w:rFonts w:ascii="Verdana" w:hAnsi="Verdana"/>
                <w:sz w:val="16"/>
                <w:szCs w:val="16"/>
                <w:lang w:val="en-US"/>
              </w:rPr>
              <w:t>Official Mexican Standard</w:t>
            </w:r>
            <w:r w:rsidRPr="00C15D85">
              <w:rPr>
                <w:rFonts w:ascii="Verdana" w:hAnsi="Verdana"/>
                <w:sz w:val="16"/>
                <w:szCs w:val="16"/>
                <w:lang w:val="en-US"/>
              </w:rPr>
              <w:t xml:space="preserve"> NOM-059-SSA1-2015, Good manufacturing practices for </w:t>
            </w:r>
            <w:r>
              <w:rPr>
                <w:rFonts w:ascii="Verdana" w:hAnsi="Verdana"/>
                <w:sz w:val="16"/>
                <w:szCs w:val="16"/>
                <w:lang w:val="en-US"/>
              </w:rPr>
              <w:t>drug products</w:t>
            </w:r>
            <w:r w:rsidRPr="00C15D85">
              <w:rPr>
                <w:rFonts w:ascii="Verdana" w:hAnsi="Verdana"/>
                <w:sz w:val="16"/>
                <w:szCs w:val="16"/>
                <w:lang w:val="en-US"/>
              </w:rPr>
              <w:t xml:space="preserve">, was published in the Official </w:t>
            </w:r>
            <w:r>
              <w:rPr>
                <w:rFonts w:ascii="Verdana" w:hAnsi="Verdana"/>
                <w:sz w:val="16"/>
                <w:szCs w:val="16"/>
                <w:lang w:val="en-US"/>
              </w:rPr>
              <w:t>Daily</w:t>
            </w:r>
            <w:r w:rsidRPr="00C15D85">
              <w:rPr>
                <w:rFonts w:ascii="Verdana" w:hAnsi="Verdana"/>
                <w:sz w:val="16"/>
                <w:szCs w:val="16"/>
                <w:lang w:val="en-US"/>
              </w:rPr>
              <w:t xml:space="preserve"> of the Federation</w:t>
            </w:r>
            <w:r>
              <w:rPr>
                <w:rFonts w:ascii="Verdana" w:hAnsi="Verdana"/>
                <w:sz w:val="16"/>
                <w:szCs w:val="16"/>
                <w:lang w:val="en-US"/>
              </w:rPr>
              <w:t xml:space="preserve"> (DOF)</w:t>
            </w:r>
            <w:r w:rsidRPr="00C15D85">
              <w:rPr>
                <w:rFonts w:ascii="Verdana" w:hAnsi="Verdana"/>
                <w:sz w:val="16"/>
                <w:szCs w:val="16"/>
                <w:lang w:val="en-US"/>
              </w:rPr>
              <w:t xml:space="preserve">, which aims to establish the minimum requirements necessary for the manufacturing process of </w:t>
            </w:r>
            <w:r>
              <w:rPr>
                <w:rFonts w:ascii="Verdana" w:hAnsi="Verdana"/>
                <w:sz w:val="16"/>
                <w:szCs w:val="16"/>
                <w:lang w:val="en-US"/>
              </w:rPr>
              <w:t>drug products</w:t>
            </w:r>
            <w:r w:rsidRPr="00C15D85">
              <w:rPr>
                <w:rFonts w:ascii="Verdana" w:hAnsi="Verdana"/>
                <w:sz w:val="16"/>
                <w:szCs w:val="16"/>
                <w:lang w:val="en-US"/>
              </w:rPr>
              <w:t xml:space="preserve"> for human use marketed in the country, and/or for research purposes, indicates </w:t>
            </w:r>
            <w:r w:rsidRPr="00C15D85">
              <w:rPr>
                <w:rFonts w:ascii="Verdana" w:hAnsi="Verdana"/>
                <w:sz w:val="16"/>
                <w:szCs w:val="16"/>
                <w:lang w:val="en-US"/>
              </w:rPr>
              <w:lastRenderedPageBreak/>
              <w:t xml:space="preserve">in its section 11.25.1.3 that companies that produce biotechnological </w:t>
            </w:r>
            <w:r>
              <w:rPr>
                <w:rFonts w:ascii="Verdana" w:hAnsi="Verdana"/>
                <w:sz w:val="16"/>
                <w:szCs w:val="16"/>
                <w:lang w:val="en-US"/>
              </w:rPr>
              <w:t>drug products</w:t>
            </w:r>
            <w:r w:rsidRPr="00C15D85">
              <w:rPr>
                <w:rFonts w:ascii="Verdana" w:hAnsi="Verdana"/>
                <w:sz w:val="16"/>
                <w:szCs w:val="16"/>
                <w:lang w:val="en-US"/>
              </w:rPr>
              <w:t xml:space="preserve"> outside the country must have a Certificate of Good Manufacturing Practices issued by the </w:t>
            </w:r>
            <w:r>
              <w:rPr>
                <w:rFonts w:ascii="Verdana" w:hAnsi="Verdana"/>
                <w:sz w:val="16"/>
                <w:szCs w:val="16"/>
                <w:lang w:val="en-US"/>
              </w:rPr>
              <w:t>Secretary</w:t>
            </w:r>
            <w:r w:rsidRPr="00C15D85">
              <w:rPr>
                <w:rFonts w:ascii="Verdana" w:hAnsi="Verdana"/>
                <w:sz w:val="16"/>
                <w:szCs w:val="16"/>
                <w:lang w:val="en-US"/>
              </w:rPr>
              <w:t xml:space="preserve"> of Health, through COFEPRIS, for their importation and commercial</w:t>
            </w:r>
            <w:r>
              <w:rPr>
                <w:rFonts w:ascii="Verdana" w:hAnsi="Verdana"/>
                <w:sz w:val="16"/>
                <w:szCs w:val="16"/>
                <w:lang w:val="en-US"/>
              </w:rPr>
              <w:t xml:space="preserve"> distribution</w:t>
            </w:r>
            <w:r w:rsidRPr="00C15D85">
              <w:rPr>
                <w:rFonts w:ascii="Verdana" w:hAnsi="Verdana"/>
                <w:sz w:val="16"/>
                <w:szCs w:val="16"/>
                <w:lang w:val="en-US"/>
              </w:rPr>
              <w:t xml:space="preserve"> in the country;</w:t>
            </w:r>
          </w:p>
        </w:tc>
      </w:tr>
      <w:tr w:rsidR="00947A46" w:rsidRPr="00C15D85" w14:paraId="088D00C8" w14:textId="77777777" w:rsidTr="00772246">
        <w:tc>
          <w:tcPr>
            <w:tcW w:w="4698" w:type="dxa"/>
          </w:tcPr>
          <w:p w14:paraId="76E10ABD" w14:textId="77777777" w:rsidR="00947A46" w:rsidRPr="008D5B6B" w:rsidRDefault="00947A46" w:rsidP="00772246">
            <w:pPr>
              <w:pStyle w:val="Texto"/>
              <w:spacing w:line="254" w:lineRule="exact"/>
              <w:ind w:firstLine="0"/>
              <w:rPr>
                <w:rFonts w:ascii="Verdana" w:hAnsi="Verdana"/>
                <w:sz w:val="16"/>
                <w:szCs w:val="16"/>
              </w:rPr>
            </w:pPr>
            <w:r w:rsidRPr="008D5B6B">
              <w:rPr>
                <w:rFonts w:ascii="Verdana" w:hAnsi="Verdana"/>
                <w:sz w:val="16"/>
                <w:szCs w:val="16"/>
              </w:rPr>
              <w:lastRenderedPageBreak/>
              <w:t>Que la Norma Oficial Mexicana NOM-059-SSA1-2015, Buenas prácticas de fabricación de medicamentos, establece en el inciso 12.6.2.2 que el proceso de liberación de productos farmacéuticos al mercado nacional obliga a las empresas que producen biotecnológicos fuera del país a contar con un Certificado de Buenas Prácticas de Manufactura emitido por la Secretaría de Salud, a través de la COFEPRIS, para su internación y comercialización en el país, lo cual es contrario a lo sugerido por la OMS, obstaculizando el ingreso eficaz de nuevas opciones terapéuticas, afectando con ello una óptima obtención de medicamentos por parte de las instituciones de salud;</w:t>
            </w:r>
          </w:p>
        </w:tc>
        <w:tc>
          <w:tcPr>
            <w:tcW w:w="4652" w:type="dxa"/>
          </w:tcPr>
          <w:p w14:paraId="3265DAF0" w14:textId="77777777" w:rsidR="00947A46" w:rsidRPr="00C15D85" w:rsidRDefault="00947A46" w:rsidP="00772246">
            <w:pPr>
              <w:pStyle w:val="Texto"/>
              <w:spacing w:line="254" w:lineRule="exact"/>
              <w:ind w:firstLine="0"/>
              <w:rPr>
                <w:rFonts w:ascii="Verdana" w:hAnsi="Verdana"/>
                <w:sz w:val="16"/>
                <w:szCs w:val="16"/>
                <w:lang w:val="en-US"/>
              </w:rPr>
            </w:pPr>
            <w:r w:rsidRPr="00C15D85">
              <w:rPr>
                <w:rFonts w:ascii="Verdana" w:hAnsi="Verdana"/>
                <w:sz w:val="16"/>
                <w:szCs w:val="16"/>
                <w:lang w:val="en-US"/>
              </w:rPr>
              <w:t xml:space="preserve">That the </w:t>
            </w:r>
            <w:r>
              <w:rPr>
                <w:rFonts w:ascii="Verdana" w:hAnsi="Verdana"/>
                <w:sz w:val="16"/>
                <w:szCs w:val="16"/>
                <w:lang w:val="en-US"/>
              </w:rPr>
              <w:t>Official Mexican Standard</w:t>
            </w:r>
            <w:r w:rsidRPr="00C15D85">
              <w:rPr>
                <w:rFonts w:ascii="Verdana" w:hAnsi="Verdana"/>
                <w:sz w:val="16"/>
                <w:szCs w:val="16"/>
                <w:lang w:val="en-US"/>
              </w:rPr>
              <w:t xml:space="preserve"> NOM-059-SSA1-2015, Good manufacturing practices for </w:t>
            </w:r>
            <w:r>
              <w:rPr>
                <w:rFonts w:ascii="Verdana" w:hAnsi="Verdana"/>
                <w:sz w:val="16"/>
                <w:szCs w:val="16"/>
                <w:lang w:val="en-US"/>
              </w:rPr>
              <w:t>drug products</w:t>
            </w:r>
            <w:r w:rsidRPr="00C15D85">
              <w:rPr>
                <w:rFonts w:ascii="Verdana" w:hAnsi="Verdana"/>
                <w:sz w:val="16"/>
                <w:szCs w:val="16"/>
                <w:lang w:val="en-US"/>
              </w:rPr>
              <w:t xml:space="preserve">, establishes in section 12.6.2.2 that the process of releasing pharmaceutical products to the national market requires companies that produce biotechnological products outside the country to have a Certificate of Good Manufacturing Practices issued by the </w:t>
            </w:r>
            <w:r>
              <w:rPr>
                <w:rFonts w:ascii="Verdana" w:hAnsi="Verdana"/>
                <w:sz w:val="16"/>
                <w:szCs w:val="16"/>
                <w:lang w:val="en-US"/>
              </w:rPr>
              <w:t>Secretary</w:t>
            </w:r>
            <w:r w:rsidRPr="00C15D85">
              <w:rPr>
                <w:rFonts w:ascii="Verdana" w:hAnsi="Verdana"/>
                <w:sz w:val="16"/>
                <w:szCs w:val="16"/>
                <w:lang w:val="en-US"/>
              </w:rPr>
              <w:t xml:space="preserve"> of Health, through COFEPRIS, for their importation and </w:t>
            </w:r>
            <w:r>
              <w:rPr>
                <w:rFonts w:ascii="Verdana" w:hAnsi="Verdana"/>
                <w:sz w:val="16"/>
                <w:szCs w:val="16"/>
                <w:lang w:val="en-US"/>
              </w:rPr>
              <w:t>commercial distribution</w:t>
            </w:r>
            <w:r w:rsidRPr="00C15D85">
              <w:rPr>
                <w:rFonts w:ascii="Verdana" w:hAnsi="Verdana"/>
                <w:sz w:val="16"/>
                <w:szCs w:val="16"/>
                <w:lang w:val="en-US"/>
              </w:rPr>
              <w:t xml:space="preserve"> in the country, which is contrary to what is suggested by the WHO, hindering the effective entry of new therapeutic options, thereby affecting optimal obtaining of </w:t>
            </w:r>
            <w:r>
              <w:rPr>
                <w:rFonts w:ascii="Verdana" w:hAnsi="Verdana"/>
                <w:sz w:val="16"/>
                <w:szCs w:val="16"/>
                <w:lang w:val="en-US"/>
              </w:rPr>
              <w:t>drug products</w:t>
            </w:r>
            <w:r w:rsidRPr="00C15D85">
              <w:rPr>
                <w:rFonts w:ascii="Verdana" w:hAnsi="Verdana"/>
                <w:sz w:val="16"/>
                <w:szCs w:val="16"/>
                <w:lang w:val="en-US"/>
              </w:rPr>
              <w:t xml:space="preserve"> by health institutions;</w:t>
            </w:r>
          </w:p>
        </w:tc>
      </w:tr>
      <w:tr w:rsidR="00947A46" w:rsidRPr="00C15D85" w14:paraId="1B1F5CA8" w14:textId="77777777" w:rsidTr="00772246">
        <w:tc>
          <w:tcPr>
            <w:tcW w:w="4698" w:type="dxa"/>
          </w:tcPr>
          <w:p w14:paraId="2463B919" w14:textId="77777777" w:rsidR="00947A46" w:rsidRPr="008D5B6B" w:rsidRDefault="00947A46" w:rsidP="00772246">
            <w:pPr>
              <w:pStyle w:val="Texto"/>
              <w:spacing w:line="254" w:lineRule="exact"/>
              <w:ind w:firstLine="0"/>
              <w:rPr>
                <w:rFonts w:ascii="Verdana" w:hAnsi="Verdana"/>
                <w:sz w:val="16"/>
                <w:szCs w:val="16"/>
              </w:rPr>
            </w:pPr>
            <w:r w:rsidRPr="008D5B6B">
              <w:rPr>
                <w:rFonts w:ascii="Verdana" w:hAnsi="Verdana"/>
                <w:sz w:val="16"/>
                <w:szCs w:val="16"/>
              </w:rPr>
              <w:t>Que la presente modificación, tiene por objeto establecer el esquema del Reliance para optimizar el proceso de ingreso de nuevas opciones terapéuticas seguras, eficaces y de calidad, para la atención de enfermedades que requieren terapias avanzadas (principalmente medicamentos de origen biotecnológico) como el cáncer, diabetes mellitus, entre otras;</w:t>
            </w:r>
          </w:p>
        </w:tc>
        <w:tc>
          <w:tcPr>
            <w:tcW w:w="4652" w:type="dxa"/>
          </w:tcPr>
          <w:p w14:paraId="20C0AFA7" w14:textId="77777777" w:rsidR="00947A46" w:rsidRPr="00C15D85" w:rsidRDefault="00947A46" w:rsidP="00772246">
            <w:pPr>
              <w:pStyle w:val="Texto"/>
              <w:spacing w:line="254" w:lineRule="exact"/>
              <w:ind w:firstLine="0"/>
              <w:rPr>
                <w:rFonts w:ascii="Verdana" w:hAnsi="Verdana"/>
                <w:sz w:val="16"/>
                <w:szCs w:val="16"/>
                <w:lang w:val="en-US"/>
              </w:rPr>
            </w:pPr>
            <w:r w:rsidRPr="00C15D85">
              <w:rPr>
                <w:rFonts w:ascii="Verdana" w:hAnsi="Verdana"/>
                <w:sz w:val="16"/>
                <w:szCs w:val="16"/>
                <w:lang w:val="en-US"/>
              </w:rPr>
              <w:t xml:space="preserve">That the purpose of this amendment is to establish the Reliance scheme to optimize the process of introducing new safe, effective and quality therapeutic options for the treatment of diseases that require advanced therapies (mainly </w:t>
            </w:r>
            <w:r>
              <w:rPr>
                <w:rFonts w:ascii="Verdana" w:hAnsi="Verdana"/>
                <w:sz w:val="16"/>
                <w:szCs w:val="16"/>
                <w:lang w:val="en-US"/>
              </w:rPr>
              <w:t>drug products</w:t>
            </w:r>
            <w:r w:rsidRPr="00C15D85">
              <w:rPr>
                <w:rFonts w:ascii="Verdana" w:hAnsi="Verdana"/>
                <w:sz w:val="16"/>
                <w:szCs w:val="16"/>
                <w:lang w:val="en-US"/>
              </w:rPr>
              <w:t xml:space="preserve"> of biotechnological origin) such as cancer, diabetes mellitus, among others;</w:t>
            </w:r>
          </w:p>
        </w:tc>
      </w:tr>
      <w:tr w:rsidR="00947A46" w:rsidRPr="00C15D85" w14:paraId="4E427F4B" w14:textId="77777777" w:rsidTr="00772246">
        <w:tc>
          <w:tcPr>
            <w:tcW w:w="4698" w:type="dxa"/>
          </w:tcPr>
          <w:p w14:paraId="1D325B58" w14:textId="77777777" w:rsidR="00947A46" w:rsidRPr="008D5B6B" w:rsidRDefault="00947A46" w:rsidP="00772246">
            <w:pPr>
              <w:pStyle w:val="Texto"/>
              <w:spacing w:line="254" w:lineRule="exact"/>
              <w:ind w:firstLine="0"/>
              <w:rPr>
                <w:rFonts w:ascii="Verdana" w:hAnsi="Verdana"/>
                <w:sz w:val="16"/>
                <w:szCs w:val="16"/>
              </w:rPr>
            </w:pPr>
            <w:r w:rsidRPr="008D5B6B">
              <w:rPr>
                <w:rFonts w:ascii="Verdana" w:hAnsi="Verdana"/>
                <w:sz w:val="16"/>
                <w:szCs w:val="16"/>
              </w:rPr>
              <w:t>Que a efecto de cumplir con las anteriores disposiciones y contar con mayores opciones terapéuticas que permitan llevar el buen funcionamiento de los sistemas de salud, la liberación y comercialización de medicamentos biotecnológicos permitirán el acceso a nuevos tratamientos, por lo que resulta necesario que la Comisión Federal para la Protección contra Riesgos Sanitarios modifique la Norma Oficial Mexicana  NOM-059-SSA1-2015, buenas prácticas de fabricación de medicamentos asegurando la calidad y seguridad de los medicamentos de origen biotecnológico que se internan al país, y</w:t>
            </w:r>
          </w:p>
        </w:tc>
        <w:tc>
          <w:tcPr>
            <w:tcW w:w="4652" w:type="dxa"/>
          </w:tcPr>
          <w:p w14:paraId="2FE70F4B" w14:textId="77777777" w:rsidR="00947A46" w:rsidRPr="00C15D85" w:rsidRDefault="00947A46" w:rsidP="00772246">
            <w:pPr>
              <w:pStyle w:val="Texto"/>
              <w:spacing w:line="254" w:lineRule="exact"/>
              <w:ind w:firstLine="0"/>
              <w:rPr>
                <w:rFonts w:ascii="Verdana" w:hAnsi="Verdana"/>
                <w:sz w:val="16"/>
                <w:szCs w:val="16"/>
                <w:lang w:val="en-US"/>
              </w:rPr>
            </w:pPr>
            <w:r w:rsidRPr="00C15D85">
              <w:rPr>
                <w:rFonts w:ascii="Verdana" w:hAnsi="Verdana"/>
                <w:sz w:val="16"/>
                <w:szCs w:val="16"/>
                <w:lang w:val="en-US"/>
              </w:rPr>
              <w:t xml:space="preserve">That in order to comply with the above provisions and have more therapeutic options that allow the proper functioning of health systems, the release and marketing of biotechnological </w:t>
            </w:r>
            <w:r>
              <w:rPr>
                <w:rFonts w:ascii="Verdana" w:hAnsi="Verdana"/>
                <w:sz w:val="16"/>
                <w:szCs w:val="16"/>
                <w:lang w:val="en-US"/>
              </w:rPr>
              <w:t>drug products</w:t>
            </w:r>
            <w:r w:rsidRPr="00C15D85">
              <w:rPr>
                <w:rFonts w:ascii="Verdana" w:hAnsi="Verdana"/>
                <w:sz w:val="16"/>
                <w:szCs w:val="16"/>
                <w:lang w:val="en-US"/>
              </w:rPr>
              <w:t xml:space="preserve"> will allow access to new treatments, so it is necessary for the Federal Commission for the Protection against Sanitary Risks to modify the </w:t>
            </w:r>
            <w:r>
              <w:rPr>
                <w:rFonts w:ascii="Verdana" w:hAnsi="Verdana"/>
                <w:sz w:val="16"/>
                <w:szCs w:val="16"/>
                <w:lang w:val="en-US"/>
              </w:rPr>
              <w:t>Official Mexican Standard</w:t>
            </w:r>
            <w:r w:rsidRPr="00C15D85">
              <w:rPr>
                <w:rFonts w:ascii="Verdana" w:hAnsi="Verdana"/>
                <w:sz w:val="16"/>
                <w:szCs w:val="16"/>
                <w:lang w:val="en-US"/>
              </w:rPr>
              <w:t xml:space="preserve"> NOM-059-SSA1-2015, good manufacturing practices for </w:t>
            </w:r>
            <w:r>
              <w:rPr>
                <w:rFonts w:ascii="Verdana" w:hAnsi="Verdana"/>
                <w:sz w:val="16"/>
                <w:szCs w:val="16"/>
                <w:lang w:val="en-US"/>
              </w:rPr>
              <w:t>drug products</w:t>
            </w:r>
            <w:r w:rsidRPr="00C15D85">
              <w:rPr>
                <w:rFonts w:ascii="Verdana" w:hAnsi="Verdana"/>
                <w:sz w:val="16"/>
                <w:szCs w:val="16"/>
                <w:lang w:val="en-US"/>
              </w:rPr>
              <w:t xml:space="preserve"> ensuring the quality and safety of </w:t>
            </w:r>
            <w:r>
              <w:rPr>
                <w:rFonts w:ascii="Verdana" w:hAnsi="Verdana"/>
                <w:sz w:val="16"/>
                <w:szCs w:val="16"/>
                <w:lang w:val="en-US"/>
              </w:rPr>
              <w:t>drug products</w:t>
            </w:r>
            <w:r w:rsidRPr="00C15D85">
              <w:rPr>
                <w:rFonts w:ascii="Verdana" w:hAnsi="Verdana"/>
                <w:sz w:val="16"/>
                <w:szCs w:val="16"/>
                <w:lang w:val="en-US"/>
              </w:rPr>
              <w:t xml:space="preserve"> of biotechnological origin that are brought into the country, and</w:t>
            </w:r>
          </w:p>
        </w:tc>
      </w:tr>
      <w:tr w:rsidR="00947A46" w:rsidRPr="00C15D85" w14:paraId="569000D5" w14:textId="77777777" w:rsidTr="00772246">
        <w:tc>
          <w:tcPr>
            <w:tcW w:w="4698" w:type="dxa"/>
          </w:tcPr>
          <w:p w14:paraId="681A5249" w14:textId="77777777" w:rsidR="00947A46" w:rsidRPr="008D5B6B" w:rsidRDefault="00947A46" w:rsidP="00772246">
            <w:pPr>
              <w:pStyle w:val="Texto"/>
              <w:spacing w:line="254" w:lineRule="exact"/>
              <w:ind w:firstLine="0"/>
              <w:rPr>
                <w:rFonts w:ascii="Verdana" w:hAnsi="Verdana"/>
                <w:sz w:val="16"/>
                <w:szCs w:val="16"/>
              </w:rPr>
            </w:pPr>
            <w:r w:rsidRPr="008D5B6B">
              <w:rPr>
                <w:rFonts w:ascii="Verdana" w:hAnsi="Verdana"/>
                <w:sz w:val="16"/>
                <w:szCs w:val="16"/>
              </w:rPr>
              <w:t xml:space="preserve">Que con fecha del 6 de septiembre de 2024, en cumplimiento del acuerdo del Comité Consultivo Nacional de Normalización de Regulación y Fomento Sanitario y de lo previsto por el artículo 35, fracción V, de la Ley de Infraestructura de la Calidad, se publicó en el Diario Oficial de la Federación, el Proyecto de la presente Norma, a efecto de que dentro de los 60 días naturales siguientes a dicha </w:t>
            </w:r>
            <w:r w:rsidRPr="008D5B6B">
              <w:rPr>
                <w:rFonts w:ascii="Verdana" w:hAnsi="Verdana"/>
                <w:sz w:val="16"/>
                <w:szCs w:val="16"/>
              </w:rPr>
              <w:lastRenderedPageBreak/>
              <w:t>publicación, los interesados presentaran sus comentarios ante dicho Comité;</w:t>
            </w:r>
          </w:p>
        </w:tc>
        <w:tc>
          <w:tcPr>
            <w:tcW w:w="4652" w:type="dxa"/>
          </w:tcPr>
          <w:p w14:paraId="54D3A5E4" w14:textId="77777777" w:rsidR="00947A46" w:rsidRPr="00C15D85" w:rsidRDefault="00947A46" w:rsidP="00772246">
            <w:pPr>
              <w:pStyle w:val="Texto"/>
              <w:spacing w:line="254" w:lineRule="exact"/>
              <w:ind w:firstLine="0"/>
              <w:rPr>
                <w:rFonts w:ascii="Verdana" w:hAnsi="Verdana"/>
                <w:sz w:val="16"/>
                <w:szCs w:val="16"/>
                <w:lang w:val="en-US"/>
              </w:rPr>
            </w:pPr>
            <w:r w:rsidRPr="00C15D85">
              <w:rPr>
                <w:rFonts w:ascii="Verdana" w:hAnsi="Verdana"/>
                <w:sz w:val="16"/>
                <w:szCs w:val="16"/>
                <w:lang w:val="en-US"/>
              </w:rPr>
              <w:lastRenderedPageBreak/>
              <w:t xml:space="preserve">That on September 6, 2024, in compliance with the agreement of the National </w:t>
            </w:r>
            <w:r>
              <w:rPr>
                <w:rFonts w:ascii="Verdana" w:hAnsi="Verdana"/>
                <w:sz w:val="16"/>
                <w:szCs w:val="16"/>
                <w:lang w:val="en-US"/>
              </w:rPr>
              <w:t>Consultative Committee</w:t>
            </w:r>
            <w:r w:rsidRPr="00C15D85">
              <w:rPr>
                <w:rFonts w:ascii="Verdana" w:hAnsi="Verdana"/>
                <w:sz w:val="16"/>
                <w:szCs w:val="16"/>
                <w:lang w:val="en-US"/>
              </w:rPr>
              <w:t xml:space="preserve"> on Standardization, Regulation and Health Promotion and the provisions of article 35, section V, of the </w:t>
            </w:r>
            <w:r>
              <w:rPr>
                <w:rFonts w:ascii="Verdana" w:hAnsi="Verdana"/>
                <w:sz w:val="16"/>
                <w:szCs w:val="16"/>
                <w:lang w:val="en-US"/>
              </w:rPr>
              <w:t>Law of Quality Infrastructure</w:t>
            </w:r>
            <w:r w:rsidRPr="00C15D85">
              <w:rPr>
                <w:rFonts w:ascii="Verdana" w:hAnsi="Verdana"/>
                <w:sz w:val="16"/>
                <w:szCs w:val="16"/>
                <w:lang w:val="en-US"/>
              </w:rPr>
              <w:t xml:space="preserve">, </w:t>
            </w:r>
            <w:r>
              <w:rPr>
                <w:rFonts w:ascii="Verdana" w:hAnsi="Verdana"/>
                <w:sz w:val="16"/>
                <w:szCs w:val="16"/>
                <w:lang w:val="en-US"/>
              </w:rPr>
              <w:t>the Project</w:t>
            </w:r>
            <w:r w:rsidRPr="00C15D85">
              <w:rPr>
                <w:rFonts w:ascii="Verdana" w:hAnsi="Verdana"/>
                <w:sz w:val="16"/>
                <w:szCs w:val="16"/>
                <w:lang w:val="en-US"/>
              </w:rPr>
              <w:t xml:space="preserve"> of this Standard was published in the Official </w:t>
            </w:r>
            <w:r>
              <w:rPr>
                <w:rFonts w:ascii="Verdana" w:hAnsi="Verdana"/>
                <w:sz w:val="16"/>
                <w:szCs w:val="16"/>
                <w:lang w:val="en-US"/>
              </w:rPr>
              <w:t>Daily</w:t>
            </w:r>
            <w:r w:rsidRPr="00C15D85">
              <w:rPr>
                <w:rFonts w:ascii="Verdana" w:hAnsi="Verdana"/>
                <w:sz w:val="16"/>
                <w:szCs w:val="16"/>
                <w:lang w:val="en-US"/>
              </w:rPr>
              <w:t xml:space="preserve"> of the Federation, so that within 60 calendar days </w:t>
            </w:r>
            <w:r w:rsidRPr="00C15D85">
              <w:rPr>
                <w:rFonts w:ascii="Verdana" w:hAnsi="Verdana"/>
                <w:sz w:val="16"/>
                <w:szCs w:val="16"/>
                <w:lang w:val="en-US"/>
              </w:rPr>
              <w:lastRenderedPageBreak/>
              <w:t xml:space="preserve">following said publication, interested parties </w:t>
            </w:r>
            <w:r>
              <w:rPr>
                <w:rFonts w:ascii="Verdana" w:hAnsi="Verdana"/>
                <w:sz w:val="16"/>
                <w:szCs w:val="16"/>
                <w:lang w:val="en-US"/>
              </w:rPr>
              <w:t>might</w:t>
            </w:r>
            <w:r w:rsidRPr="00C15D85">
              <w:rPr>
                <w:rFonts w:ascii="Verdana" w:hAnsi="Verdana"/>
                <w:sz w:val="16"/>
                <w:szCs w:val="16"/>
                <w:lang w:val="en-US"/>
              </w:rPr>
              <w:t xml:space="preserve"> submit their comments to said Committee;</w:t>
            </w:r>
          </w:p>
        </w:tc>
      </w:tr>
      <w:tr w:rsidR="00947A46" w:rsidRPr="00C15D85" w14:paraId="6A464E4D" w14:textId="77777777" w:rsidTr="00772246">
        <w:tc>
          <w:tcPr>
            <w:tcW w:w="4698" w:type="dxa"/>
          </w:tcPr>
          <w:p w14:paraId="6D7CBF85" w14:textId="77777777" w:rsidR="00947A46" w:rsidRPr="008D5B6B" w:rsidRDefault="00947A46" w:rsidP="00772246">
            <w:pPr>
              <w:pStyle w:val="Texto"/>
              <w:spacing w:line="254" w:lineRule="exact"/>
              <w:ind w:firstLine="0"/>
              <w:rPr>
                <w:rFonts w:ascii="Verdana" w:hAnsi="Verdana"/>
                <w:sz w:val="16"/>
                <w:szCs w:val="16"/>
              </w:rPr>
            </w:pPr>
            <w:r w:rsidRPr="008D5B6B">
              <w:rPr>
                <w:rFonts w:ascii="Verdana" w:hAnsi="Verdana"/>
                <w:sz w:val="16"/>
                <w:szCs w:val="16"/>
              </w:rPr>
              <w:lastRenderedPageBreak/>
              <w:t xml:space="preserve">Que el 5 de noviembre del 2024 feneció el periodo de consulta pública de 60 días, durante el cual el Comité Consultivo Nacional de Normalización de Regulación y Fomento Sanitario, no recibió comentario alguno al Proyecto de Modificación de la presente Norma Oficial Mexicana, </w:t>
            </w:r>
          </w:p>
        </w:tc>
        <w:tc>
          <w:tcPr>
            <w:tcW w:w="4652" w:type="dxa"/>
          </w:tcPr>
          <w:p w14:paraId="65CC50D8" w14:textId="77777777" w:rsidR="00947A46" w:rsidRPr="00C15D85" w:rsidRDefault="00947A46" w:rsidP="00772246">
            <w:pPr>
              <w:pStyle w:val="Texto"/>
              <w:spacing w:line="254" w:lineRule="exact"/>
              <w:ind w:firstLine="0"/>
              <w:rPr>
                <w:rFonts w:ascii="Verdana" w:hAnsi="Verdana"/>
                <w:sz w:val="16"/>
                <w:szCs w:val="16"/>
                <w:lang w:val="en-US"/>
              </w:rPr>
            </w:pPr>
            <w:r w:rsidRPr="00C15D85">
              <w:rPr>
                <w:rFonts w:ascii="Verdana" w:hAnsi="Verdana"/>
                <w:sz w:val="16"/>
                <w:szCs w:val="16"/>
                <w:lang w:val="en-US"/>
              </w:rPr>
              <w:t xml:space="preserve">That on November 5, 2024, the 60-day public consultation period ended, during which the National </w:t>
            </w:r>
            <w:r>
              <w:rPr>
                <w:rFonts w:ascii="Verdana" w:hAnsi="Verdana"/>
                <w:sz w:val="16"/>
                <w:szCs w:val="16"/>
                <w:lang w:val="en-US"/>
              </w:rPr>
              <w:t>Consultative Committee</w:t>
            </w:r>
            <w:r w:rsidRPr="00C15D85">
              <w:rPr>
                <w:rFonts w:ascii="Verdana" w:hAnsi="Verdana"/>
                <w:sz w:val="16"/>
                <w:szCs w:val="16"/>
                <w:lang w:val="en-US"/>
              </w:rPr>
              <w:t xml:space="preserve"> for Standardization of Regulation and Sanitary Promotion did not receive any comments on </w:t>
            </w:r>
            <w:r>
              <w:rPr>
                <w:rFonts w:ascii="Verdana" w:hAnsi="Verdana"/>
                <w:sz w:val="16"/>
                <w:szCs w:val="16"/>
                <w:lang w:val="en-US"/>
              </w:rPr>
              <w:t>the Project</w:t>
            </w:r>
            <w:r w:rsidRPr="00C15D85">
              <w:rPr>
                <w:rFonts w:ascii="Verdana" w:hAnsi="Verdana"/>
                <w:sz w:val="16"/>
                <w:szCs w:val="16"/>
                <w:lang w:val="en-US"/>
              </w:rPr>
              <w:t xml:space="preserve"> Modification of this </w:t>
            </w:r>
            <w:r>
              <w:rPr>
                <w:rFonts w:ascii="Verdana" w:hAnsi="Verdana"/>
                <w:sz w:val="16"/>
                <w:szCs w:val="16"/>
                <w:lang w:val="en-US"/>
              </w:rPr>
              <w:t>Official Mexican Standard</w:t>
            </w:r>
            <w:r w:rsidRPr="00C15D85">
              <w:rPr>
                <w:rFonts w:ascii="Verdana" w:hAnsi="Verdana"/>
                <w:sz w:val="16"/>
                <w:szCs w:val="16"/>
                <w:lang w:val="en-US"/>
              </w:rPr>
              <w:t>,</w:t>
            </w:r>
          </w:p>
        </w:tc>
      </w:tr>
      <w:tr w:rsidR="00947A46" w:rsidRPr="00C15D85" w14:paraId="27006D5E" w14:textId="77777777" w:rsidTr="00772246">
        <w:tc>
          <w:tcPr>
            <w:tcW w:w="4698" w:type="dxa"/>
          </w:tcPr>
          <w:p w14:paraId="2636C607" w14:textId="77777777" w:rsidR="00947A46" w:rsidRPr="008D5B6B" w:rsidRDefault="00947A46" w:rsidP="00772246">
            <w:pPr>
              <w:pStyle w:val="Texto"/>
              <w:spacing w:line="254" w:lineRule="exact"/>
              <w:ind w:firstLine="0"/>
              <w:rPr>
                <w:rFonts w:ascii="Verdana" w:hAnsi="Verdana"/>
                <w:sz w:val="16"/>
                <w:szCs w:val="16"/>
              </w:rPr>
            </w:pPr>
            <w:r w:rsidRPr="008D5B6B">
              <w:rPr>
                <w:rFonts w:ascii="Verdana" w:hAnsi="Verdana"/>
                <w:sz w:val="16"/>
                <w:szCs w:val="16"/>
              </w:rPr>
              <w:t>Que la Secretaría de Salud ha dado cumplimiento a lo establecido en el artículo 78 de la Ley General de Mejora Regulatoria, lo cual se desglosa en el Análisis de Impacto Regulatorio correspondiente, y</w:t>
            </w:r>
          </w:p>
        </w:tc>
        <w:tc>
          <w:tcPr>
            <w:tcW w:w="4652" w:type="dxa"/>
          </w:tcPr>
          <w:p w14:paraId="1E57BD28" w14:textId="77777777" w:rsidR="00947A46" w:rsidRPr="00C15D85" w:rsidRDefault="00947A46" w:rsidP="00772246">
            <w:pPr>
              <w:pStyle w:val="Texto"/>
              <w:spacing w:line="254" w:lineRule="exact"/>
              <w:ind w:firstLine="0"/>
              <w:rPr>
                <w:rFonts w:ascii="Verdana" w:hAnsi="Verdana"/>
                <w:sz w:val="16"/>
                <w:szCs w:val="16"/>
                <w:lang w:val="en-US"/>
              </w:rPr>
            </w:pPr>
            <w:r w:rsidRPr="00C15D85">
              <w:rPr>
                <w:rFonts w:ascii="Verdana" w:hAnsi="Verdana"/>
                <w:sz w:val="16"/>
                <w:szCs w:val="16"/>
                <w:lang w:val="en-US"/>
              </w:rPr>
              <w:t xml:space="preserve">That the </w:t>
            </w:r>
            <w:r>
              <w:rPr>
                <w:rFonts w:ascii="Verdana" w:hAnsi="Verdana"/>
                <w:sz w:val="16"/>
                <w:szCs w:val="16"/>
                <w:lang w:val="en-US"/>
              </w:rPr>
              <w:t>Secretary</w:t>
            </w:r>
            <w:r w:rsidRPr="00C15D85">
              <w:rPr>
                <w:rFonts w:ascii="Verdana" w:hAnsi="Verdana"/>
                <w:sz w:val="16"/>
                <w:szCs w:val="16"/>
                <w:lang w:val="en-US"/>
              </w:rPr>
              <w:t xml:space="preserve"> of Health has complied with the provisions of Article 78 of the General Law on Regulatory Improvement, which is detailed in the corresponding Regulatory Impact Analysis, and</w:t>
            </w:r>
          </w:p>
        </w:tc>
      </w:tr>
      <w:tr w:rsidR="00947A46" w:rsidRPr="00C15D85" w14:paraId="22F75452" w14:textId="77777777" w:rsidTr="00772246">
        <w:tc>
          <w:tcPr>
            <w:tcW w:w="4698" w:type="dxa"/>
          </w:tcPr>
          <w:p w14:paraId="56706DB6" w14:textId="77777777" w:rsidR="00947A46" w:rsidRPr="008D5B6B" w:rsidRDefault="00947A46" w:rsidP="00772246">
            <w:pPr>
              <w:pStyle w:val="Texto"/>
              <w:spacing w:line="254" w:lineRule="exact"/>
              <w:ind w:firstLine="0"/>
              <w:rPr>
                <w:rFonts w:ascii="Verdana" w:hAnsi="Verdana"/>
                <w:sz w:val="16"/>
                <w:szCs w:val="16"/>
              </w:rPr>
            </w:pPr>
            <w:r w:rsidRPr="008D5B6B">
              <w:rPr>
                <w:rFonts w:ascii="Verdana" w:hAnsi="Verdana"/>
                <w:sz w:val="16"/>
                <w:szCs w:val="16"/>
              </w:rPr>
              <w:t xml:space="preserve">Que en atención a las anteriores consideraciones, contando con la aprobación del Comité Consultivo Nacional de Normalización de Regulación y Fomento Sanitario, he tenido a bien ordenar la publicación en el Diario Oficial de la Federación de la </w:t>
            </w:r>
          </w:p>
        </w:tc>
        <w:tc>
          <w:tcPr>
            <w:tcW w:w="4652" w:type="dxa"/>
          </w:tcPr>
          <w:p w14:paraId="322DD2A8" w14:textId="77777777" w:rsidR="00947A46" w:rsidRPr="00C15D85" w:rsidRDefault="00947A46" w:rsidP="00772246">
            <w:pPr>
              <w:pStyle w:val="Texto"/>
              <w:spacing w:line="254" w:lineRule="exact"/>
              <w:ind w:firstLine="0"/>
              <w:rPr>
                <w:rFonts w:ascii="Verdana" w:hAnsi="Verdana"/>
                <w:sz w:val="16"/>
                <w:szCs w:val="16"/>
                <w:lang w:val="en-US"/>
              </w:rPr>
            </w:pPr>
            <w:r w:rsidRPr="00C15D85">
              <w:rPr>
                <w:rFonts w:ascii="Verdana" w:hAnsi="Verdana"/>
                <w:sz w:val="16"/>
                <w:szCs w:val="16"/>
                <w:lang w:val="en-US"/>
              </w:rPr>
              <w:t xml:space="preserve">That in view of the above considerations, with the approval of the National </w:t>
            </w:r>
            <w:r>
              <w:rPr>
                <w:rFonts w:ascii="Verdana" w:hAnsi="Verdana"/>
                <w:sz w:val="16"/>
                <w:szCs w:val="16"/>
                <w:lang w:val="en-US"/>
              </w:rPr>
              <w:t>Consultative Committee</w:t>
            </w:r>
            <w:r w:rsidRPr="00C15D85">
              <w:rPr>
                <w:rFonts w:ascii="Verdana" w:hAnsi="Verdana"/>
                <w:sz w:val="16"/>
                <w:szCs w:val="16"/>
                <w:lang w:val="en-US"/>
              </w:rPr>
              <w:t xml:space="preserve"> for Standardization, Regulation and Health Promotion, I have seen fit to order the publication in the Official </w:t>
            </w:r>
            <w:r>
              <w:rPr>
                <w:rFonts w:ascii="Verdana" w:hAnsi="Verdana"/>
                <w:sz w:val="16"/>
                <w:szCs w:val="16"/>
                <w:lang w:val="en-US"/>
              </w:rPr>
              <w:t>Daily</w:t>
            </w:r>
            <w:r w:rsidRPr="00C15D85">
              <w:rPr>
                <w:rFonts w:ascii="Verdana" w:hAnsi="Verdana"/>
                <w:sz w:val="16"/>
                <w:szCs w:val="16"/>
                <w:lang w:val="en-US"/>
              </w:rPr>
              <w:t xml:space="preserve"> of the Federation of the</w:t>
            </w:r>
          </w:p>
        </w:tc>
      </w:tr>
      <w:tr w:rsidR="00947A46" w:rsidRPr="00C15D85" w14:paraId="6FB37148" w14:textId="77777777" w:rsidTr="00772246">
        <w:tc>
          <w:tcPr>
            <w:tcW w:w="4698" w:type="dxa"/>
          </w:tcPr>
          <w:p w14:paraId="056A86BD" w14:textId="77777777" w:rsidR="00947A46" w:rsidRPr="008D5B6B" w:rsidRDefault="00947A46" w:rsidP="00772246">
            <w:pPr>
              <w:pStyle w:val="ANOTACION"/>
              <w:spacing w:line="250" w:lineRule="exact"/>
              <w:rPr>
                <w:rFonts w:ascii="Verdana" w:hAnsi="Verdana"/>
                <w:sz w:val="16"/>
                <w:szCs w:val="16"/>
              </w:rPr>
            </w:pPr>
            <w:r w:rsidRPr="008D5B6B">
              <w:rPr>
                <w:rFonts w:ascii="Verdana" w:hAnsi="Verdana"/>
                <w:sz w:val="16"/>
                <w:szCs w:val="16"/>
              </w:rPr>
              <w:t>MODIFICACIÓN DE DIVERSOS PUNTOS DE LA  NORMA OFICIAL MEXICANA NOM-059-SSA1-2015, BUENAS PRÁCTICAS DE FABRICACIÓN DE MEDICAMENTOS, PUBLICADA EL 5 DE FEBRERO DE 2016</w:t>
            </w:r>
          </w:p>
        </w:tc>
        <w:tc>
          <w:tcPr>
            <w:tcW w:w="4652" w:type="dxa"/>
          </w:tcPr>
          <w:p w14:paraId="62BFB5EF" w14:textId="77777777" w:rsidR="00947A46" w:rsidRPr="00C15D85" w:rsidRDefault="00947A46" w:rsidP="00772246">
            <w:pPr>
              <w:pStyle w:val="ANOTACION"/>
              <w:spacing w:line="250" w:lineRule="exact"/>
              <w:rPr>
                <w:rFonts w:ascii="Verdana" w:hAnsi="Verdana"/>
                <w:sz w:val="16"/>
                <w:szCs w:val="16"/>
                <w:lang w:val="en-US"/>
              </w:rPr>
            </w:pPr>
            <w:r w:rsidRPr="00C15D85">
              <w:rPr>
                <w:rFonts w:ascii="Verdana" w:hAnsi="Verdana"/>
                <w:sz w:val="16"/>
                <w:szCs w:val="16"/>
                <w:lang w:val="en-US"/>
              </w:rPr>
              <w:t xml:space="preserve">MODIFICATION OF VARIOUS POINTS OF THE OFFICIAL MEXICAN STANDARD NOM-059-SSA1-2015, GOOD MANUFACTURING PRACTICES FOR </w:t>
            </w:r>
            <w:r>
              <w:rPr>
                <w:rFonts w:ascii="Verdana" w:hAnsi="Verdana"/>
                <w:sz w:val="16"/>
                <w:szCs w:val="16"/>
                <w:lang w:val="en-US"/>
              </w:rPr>
              <w:t>DRUG PRODUCTS</w:t>
            </w:r>
            <w:r w:rsidRPr="00C15D85">
              <w:rPr>
                <w:rFonts w:ascii="Verdana" w:hAnsi="Verdana"/>
                <w:sz w:val="16"/>
                <w:szCs w:val="16"/>
                <w:lang w:val="en-US"/>
              </w:rPr>
              <w:t>, PUBLISHED ON FEBRUARY 5, 2016</w:t>
            </w:r>
          </w:p>
        </w:tc>
      </w:tr>
      <w:tr w:rsidR="00947A46" w:rsidRPr="00C15D85" w14:paraId="5D4784FF" w14:textId="77777777" w:rsidTr="00772246">
        <w:tc>
          <w:tcPr>
            <w:tcW w:w="4698" w:type="dxa"/>
          </w:tcPr>
          <w:p w14:paraId="520DC0BB" w14:textId="77777777" w:rsidR="00947A46" w:rsidRPr="008D5B6B" w:rsidRDefault="00947A46" w:rsidP="00772246">
            <w:pPr>
              <w:pStyle w:val="Texto"/>
              <w:spacing w:line="250" w:lineRule="exact"/>
              <w:ind w:firstLine="0"/>
              <w:rPr>
                <w:rFonts w:ascii="Verdana" w:hAnsi="Verdana"/>
                <w:sz w:val="16"/>
                <w:szCs w:val="16"/>
              </w:rPr>
            </w:pPr>
            <w:r w:rsidRPr="008D5B6B">
              <w:rPr>
                <w:rFonts w:ascii="Verdana" w:hAnsi="Verdana"/>
                <w:b/>
                <w:sz w:val="16"/>
                <w:szCs w:val="16"/>
                <w:lang w:val="es-MX"/>
              </w:rPr>
              <w:t>ÚNICO.</w:t>
            </w:r>
            <w:r w:rsidRPr="008D5B6B">
              <w:rPr>
                <w:rFonts w:ascii="Verdana" w:hAnsi="Verdana"/>
                <w:sz w:val="16"/>
                <w:szCs w:val="16"/>
              </w:rPr>
              <w:t xml:space="preserve"> Se </w:t>
            </w:r>
            <w:r w:rsidRPr="008D5B6B">
              <w:rPr>
                <w:rFonts w:ascii="Verdana" w:hAnsi="Verdana"/>
                <w:b/>
                <w:sz w:val="16"/>
                <w:szCs w:val="16"/>
                <w:lang w:val="es-MX"/>
              </w:rPr>
              <w:t>ADICIONAN</w:t>
            </w:r>
            <w:r w:rsidRPr="008D5B6B">
              <w:rPr>
                <w:rFonts w:ascii="Verdana" w:hAnsi="Verdana"/>
                <w:sz w:val="16"/>
                <w:szCs w:val="16"/>
              </w:rPr>
              <w:t xml:space="preserve"> los puntos 3.128, 3.129 y 12.7 y se </w:t>
            </w:r>
            <w:r w:rsidRPr="008D5B6B">
              <w:rPr>
                <w:rFonts w:ascii="Verdana" w:hAnsi="Verdana"/>
                <w:b/>
                <w:sz w:val="16"/>
                <w:szCs w:val="16"/>
                <w:lang w:val="es-MX"/>
              </w:rPr>
              <w:t>MODIFICAN</w:t>
            </w:r>
            <w:r w:rsidRPr="008D5B6B">
              <w:rPr>
                <w:rFonts w:ascii="Verdana" w:hAnsi="Verdana"/>
                <w:sz w:val="16"/>
                <w:szCs w:val="16"/>
              </w:rPr>
              <w:t xml:space="preserve"> los puntos 2.9, 2.11, 2.12, 10.5.10.3.1, 10.5.10.3.2.1 y 10.5.10.3.3 de la Norma Oficial Mexicana NOM-059-SSA1-2015, Buenas Prácticas de Fabricación de Medicamentos, publicada en el Diario Oficial de la Federación el 5 de febrero de 2016, para quedar como sigue:</w:t>
            </w:r>
          </w:p>
        </w:tc>
        <w:tc>
          <w:tcPr>
            <w:tcW w:w="4652" w:type="dxa"/>
          </w:tcPr>
          <w:p w14:paraId="74A79D39" w14:textId="77777777" w:rsidR="00947A46" w:rsidRPr="00C15D85" w:rsidRDefault="00947A46" w:rsidP="00772246">
            <w:pPr>
              <w:pStyle w:val="Texto"/>
              <w:spacing w:line="250" w:lineRule="exact"/>
              <w:ind w:firstLine="0"/>
              <w:rPr>
                <w:rFonts w:ascii="Verdana" w:hAnsi="Verdana"/>
                <w:b/>
                <w:sz w:val="16"/>
                <w:szCs w:val="16"/>
                <w:lang w:val="en-US"/>
              </w:rPr>
            </w:pPr>
            <w:r w:rsidRPr="00C15D85">
              <w:rPr>
                <w:rFonts w:ascii="Verdana" w:hAnsi="Verdana"/>
                <w:b/>
                <w:sz w:val="16"/>
                <w:szCs w:val="16"/>
                <w:lang w:val="en-US"/>
              </w:rPr>
              <w:t>SOLE</w:t>
            </w:r>
            <w:r>
              <w:rPr>
                <w:rFonts w:ascii="Verdana" w:hAnsi="Verdana"/>
                <w:b/>
                <w:sz w:val="16"/>
                <w:szCs w:val="16"/>
                <w:lang w:val="en-US"/>
              </w:rPr>
              <w:t xml:space="preserve"> ARTICLE</w:t>
            </w:r>
            <w:r w:rsidRPr="00C15D85">
              <w:rPr>
                <w:rFonts w:ascii="Verdana" w:hAnsi="Verdana"/>
                <w:b/>
                <w:sz w:val="16"/>
                <w:szCs w:val="16"/>
                <w:lang w:val="en-US"/>
              </w:rPr>
              <w:t xml:space="preserve">. </w:t>
            </w:r>
            <w:r w:rsidRPr="00C15D85">
              <w:rPr>
                <w:rFonts w:ascii="Verdana" w:hAnsi="Verdana"/>
                <w:sz w:val="16"/>
                <w:szCs w:val="16"/>
                <w:lang w:val="en-US"/>
              </w:rPr>
              <w:t xml:space="preserve">Points 3.128, 3.129 and 12.7 </w:t>
            </w:r>
            <w:r w:rsidRPr="0063425D">
              <w:rPr>
                <w:rFonts w:ascii="Verdana" w:hAnsi="Verdana"/>
                <w:b/>
                <w:bCs/>
                <w:sz w:val="16"/>
                <w:szCs w:val="16"/>
                <w:lang w:val="en-US"/>
              </w:rPr>
              <w:t>are ADDED</w:t>
            </w:r>
            <w:r w:rsidRPr="00C15D85">
              <w:rPr>
                <w:rFonts w:ascii="Verdana" w:hAnsi="Verdana"/>
                <w:sz w:val="16"/>
                <w:szCs w:val="16"/>
                <w:lang w:val="en-US"/>
              </w:rPr>
              <w:t xml:space="preserve"> and </w:t>
            </w:r>
            <w:r w:rsidRPr="0063425D">
              <w:rPr>
                <w:rFonts w:ascii="Verdana" w:hAnsi="Verdana"/>
                <w:bCs/>
                <w:sz w:val="16"/>
                <w:szCs w:val="16"/>
                <w:lang w:val="en-US"/>
              </w:rPr>
              <w:t>points</w:t>
            </w:r>
            <w:r w:rsidRPr="00C15D85">
              <w:rPr>
                <w:rFonts w:ascii="Verdana" w:hAnsi="Verdana"/>
                <w:b/>
                <w:sz w:val="16"/>
                <w:szCs w:val="16"/>
                <w:lang w:val="en-US"/>
              </w:rPr>
              <w:t xml:space="preserve"> </w:t>
            </w:r>
            <w:r w:rsidRPr="00C15D85">
              <w:rPr>
                <w:rFonts w:ascii="Verdana" w:hAnsi="Verdana"/>
                <w:sz w:val="16"/>
                <w:szCs w:val="16"/>
                <w:lang w:val="en-US"/>
              </w:rPr>
              <w:t>2.9</w:t>
            </w:r>
            <w:r w:rsidRPr="00C15D85">
              <w:rPr>
                <w:rFonts w:ascii="Verdana" w:hAnsi="Verdana"/>
                <w:b/>
                <w:sz w:val="16"/>
                <w:szCs w:val="16"/>
                <w:lang w:val="en-US"/>
              </w:rPr>
              <w:t xml:space="preserve">, </w:t>
            </w:r>
            <w:r w:rsidRPr="00C15D85">
              <w:rPr>
                <w:rFonts w:ascii="Verdana" w:hAnsi="Verdana"/>
                <w:sz w:val="16"/>
                <w:szCs w:val="16"/>
                <w:lang w:val="en-US"/>
              </w:rPr>
              <w:t>2.11, 2.12, 10.5.10.3.1, 10.5.10.3.2.1 and 10.5.10.3.3</w:t>
            </w:r>
            <w:r>
              <w:rPr>
                <w:rFonts w:ascii="Verdana" w:hAnsi="Verdana"/>
                <w:sz w:val="16"/>
                <w:szCs w:val="16"/>
                <w:lang w:val="en-US"/>
              </w:rPr>
              <w:t xml:space="preserve"> </w:t>
            </w:r>
            <w:r w:rsidRPr="00C15D85">
              <w:rPr>
                <w:rFonts w:ascii="Verdana" w:hAnsi="Verdana"/>
                <w:sz w:val="16"/>
                <w:szCs w:val="16"/>
                <w:lang w:val="en-US"/>
              </w:rPr>
              <w:t xml:space="preserve">of the </w:t>
            </w:r>
            <w:r>
              <w:rPr>
                <w:rFonts w:ascii="Verdana" w:hAnsi="Verdana"/>
                <w:sz w:val="16"/>
                <w:szCs w:val="16"/>
                <w:lang w:val="en-US"/>
              </w:rPr>
              <w:t>Official Mexican Standard</w:t>
            </w:r>
            <w:r w:rsidRPr="00C15D85">
              <w:rPr>
                <w:rFonts w:ascii="Verdana" w:hAnsi="Verdana"/>
                <w:sz w:val="16"/>
                <w:szCs w:val="16"/>
                <w:lang w:val="en-US"/>
              </w:rPr>
              <w:t xml:space="preserve"> NOM-059-SSA1-2015, Good Manufacturing Practices for </w:t>
            </w:r>
            <w:r>
              <w:rPr>
                <w:rFonts w:ascii="Verdana" w:hAnsi="Verdana"/>
                <w:sz w:val="16"/>
                <w:szCs w:val="16"/>
                <w:lang w:val="en-US"/>
              </w:rPr>
              <w:t>Drug products</w:t>
            </w:r>
            <w:r w:rsidRPr="00C15D85">
              <w:rPr>
                <w:rFonts w:ascii="Verdana" w:hAnsi="Verdana"/>
                <w:sz w:val="16"/>
                <w:szCs w:val="16"/>
                <w:lang w:val="en-US"/>
              </w:rPr>
              <w:t xml:space="preserve">, published in the Official </w:t>
            </w:r>
            <w:r>
              <w:rPr>
                <w:rFonts w:ascii="Verdana" w:hAnsi="Verdana"/>
                <w:sz w:val="16"/>
                <w:szCs w:val="16"/>
                <w:lang w:val="en-US"/>
              </w:rPr>
              <w:t>Daily</w:t>
            </w:r>
            <w:r w:rsidRPr="00C15D85">
              <w:rPr>
                <w:rFonts w:ascii="Verdana" w:hAnsi="Verdana"/>
                <w:sz w:val="16"/>
                <w:szCs w:val="16"/>
                <w:lang w:val="en-US"/>
              </w:rPr>
              <w:t xml:space="preserve"> of the Federation on February 5, 2016, are </w:t>
            </w:r>
            <w:r w:rsidRPr="00DE25D9">
              <w:rPr>
                <w:rFonts w:ascii="Verdana" w:hAnsi="Verdana"/>
                <w:b/>
                <w:bCs/>
                <w:sz w:val="16"/>
                <w:szCs w:val="16"/>
                <w:lang w:val="en-US"/>
              </w:rPr>
              <w:t>MODIFIED</w:t>
            </w:r>
            <w:r w:rsidRPr="00C15D85">
              <w:rPr>
                <w:rFonts w:ascii="Verdana" w:hAnsi="Verdana"/>
                <w:sz w:val="16"/>
                <w:szCs w:val="16"/>
                <w:lang w:val="en-US"/>
              </w:rPr>
              <w:t xml:space="preserve"> to read as follows:</w:t>
            </w:r>
          </w:p>
        </w:tc>
      </w:tr>
      <w:tr w:rsidR="00947A46" w:rsidRPr="00C15D85" w14:paraId="58D9CECD" w14:textId="77777777" w:rsidTr="00772246">
        <w:tc>
          <w:tcPr>
            <w:tcW w:w="4698" w:type="dxa"/>
          </w:tcPr>
          <w:p w14:paraId="1BC61D0E" w14:textId="77777777" w:rsidR="00947A46" w:rsidRPr="008D5B6B" w:rsidRDefault="00947A46" w:rsidP="00772246">
            <w:pPr>
              <w:pStyle w:val="Texto"/>
              <w:spacing w:line="250" w:lineRule="exact"/>
              <w:ind w:firstLine="0"/>
              <w:rPr>
                <w:rFonts w:ascii="Verdana" w:hAnsi="Verdana"/>
                <w:sz w:val="16"/>
                <w:szCs w:val="16"/>
              </w:rPr>
            </w:pPr>
            <w:r w:rsidRPr="008D5B6B">
              <w:rPr>
                <w:rFonts w:ascii="Verdana" w:hAnsi="Verdana"/>
                <w:b/>
                <w:sz w:val="16"/>
                <w:szCs w:val="16"/>
              </w:rPr>
              <w:t>2.9</w:t>
            </w:r>
            <w:r w:rsidRPr="008D5B6B">
              <w:rPr>
                <w:rFonts w:ascii="Verdana" w:hAnsi="Verdana"/>
                <w:sz w:val="16"/>
                <w:szCs w:val="16"/>
              </w:rPr>
              <w:t xml:space="preserve"> Norma Oficial Mexicana NOM-073-SSA1-2015, Estabilidad de fármacos y medicamentos, así como de remedios herbolarios.</w:t>
            </w:r>
          </w:p>
        </w:tc>
        <w:tc>
          <w:tcPr>
            <w:tcW w:w="4652" w:type="dxa"/>
          </w:tcPr>
          <w:p w14:paraId="1A556393" w14:textId="77777777" w:rsidR="00947A46" w:rsidRPr="00C15D85" w:rsidRDefault="00947A46" w:rsidP="00772246">
            <w:pPr>
              <w:pStyle w:val="Texto"/>
              <w:spacing w:line="250" w:lineRule="exact"/>
              <w:ind w:firstLine="0"/>
              <w:rPr>
                <w:rFonts w:ascii="Verdana" w:hAnsi="Verdana"/>
                <w:b/>
                <w:sz w:val="16"/>
                <w:szCs w:val="16"/>
                <w:lang w:val="en-US"/>
              </w:rPr>
            </w:pPr>
            <w:r w:rsidRPr="00C15D85">
              <w:rPr>
                <w:rFonts w:ascii="Verdana" w:hAnsi="Verdana"/>
                <w:b/>
                <w:sz w:val="16"/>
                <w:szCs w:val="16"/>
                <w:lang w:val="en-US"/>
              </w:rPr>
              <w:t xml:space="preserve">2.9 </w:t>
            </w:r>
            <w:r>
              <w:rPr>
                <w:rFonts w:ascii="Verdana" w:hAnsi="Verdana"/>
                <w:sz w:val="16"/>
                <w:szCs w:val="16"/>
                <w:lang w:val="en-US"/>
              </w:rPr>
              <w:t>Official Mexican Standard</w:t>
            </w:r>
            <w:r w:rsidRPr="00C15D85">
              <w:rPr>
                <w:rFonts w:ascii="Verdana" w:hAnsi="Verdana"/>
                <w:sz w:val="16"/>
                <w:szCs w:val="16"/>
                <w:lang w:val="en-US"/>
              </w:rPr>
              <w:t xml:space="preserve"> NOM-073-SSA1-2015, Stability of drug</w:t>
            </w:r>
            <w:r>
              <w:rPr>
                <w:rFonts w:ascii="Verdana" w:hAnsi="Verdana"/>
                <w:sz w:val="16"/>
                <w:szCs w:val="16"/>
                <w:lang w:val="en-US"/>
              </w:rPr>
              <w:t xml:space="preserve"> substances</w:t>
            </w:r>
            <w:r w:rsidRPr="00C15D85">
              <w:rPr>
                <w:rFonts w:ascii="Verdana" w:hAnsi="Verdana"/>
                <w:sz w:val="16"/>
                <w:szCs w:val="16"/>
                <w:lang w:val="en-US"/>
              </w:rPr>
              <w:t xml:space="preserve"> and </w:t>
            </w:r>
            <w:r>
              <w:rPr>
                <w:rFonts w:ascii="Verdana" w:hAnsi="Verdana"/>
                <w:sz w:val="16"/>
                <w:szCs w:val="16"/>
                <w:lang w:val="en-US"/>
              </w:rPr>
              <w:t>drug products</w:t>
            </w:r>
            <w:r w:rsidRPr="00C15D85">
              <w:rPr>
                <w:rFonts w:ascii="Verdana" w:hAnsi="Verdana"/>
                <w:sz w:val="16"/>
                <w:szCs w:val="16"/>
                <w:lang w:val="en-US"/>
              </w:rPr>
              <w:t>, as well as herbal remedies.</w:t>
            </w:r>
          </w:p>
        </w:tc>
      </w:tr>
      <w:tr w:rsidR="00947A46" w:rsidRPr="00C15D85" w14:paraId="46E96B43" w14:textId="77777777" w:rsidTr="00772246">
        <w:tc>
          <w:tcPr>
            <w:tcW w:w="4698" w:type="dxa"/>
          </w:tcPr>
          <w:p w14:paraId="36DF647E" w14:textId="77777777" w:rsidR="00947A46" w:rsidRPr="008D5B6B" w:rsidRDefault="00947A46" w:rsidP="00772246">
            <w:pPr>
              <w:pStyle w:val="Texto"/>
              <w:spacing w:line="250" w:lineRule="exact"/>
              <w:ind w:firstLine="0"/>
              <w:rPr>
                <w:rFonts w:ascii="Verdana" w:hAnsi="Verdana"/>
                <w:sz w:val="16"/>
                <w:szCs w:val="16"/>
              </w:rPr>
            </w:pPr>
            <w:r w:rsidRPr="008D5B6B">
              <w:rPr>
                <w:rFonts w:ascii="Verdana" w:hAnsi="Verdana"/>
                <w:b/>
                <w:sz w:val="16"/>
                <w:szCs w:val="16"/>
              </w:rPr>
              <w:t>2.11</w:t>
            </w:r>
            <w:r w:rsidRPr="008D5B6B">
              <w:rPr>
                <w:rFonts w:ascii="Verdana" w:hAnsi="Verdana"/>
                <w:sz w:val="16"/>
                <w:szCs w:val="16"/>
              </w:rPr>
              <w:t xml:space="preserve"> Norma Oficial Mexicana NOM-164-SSA1-2015, Buenas prácticas de fabricación para fármacos.</w:t>
            </w:r>
          </w:p>
        </w:tc>
        <w:tc>
          <w:tcPr>
            <w:tcW w:w="4652" w:type="dxa"/>
          </w:tcPr>
          <w:p w14:paraId="331EFD55" w14:textId="77777777" w:rsidR="00947A46" w:rsidRPr="00C15D85" w:rsidRDefault="00947A46" w:rsidP="00772246">
            <w:pPr>
              <w:pStyle w:val="Texto"/>
              <w:spacing w:line="250" w:lineRule="exact"/>
              <w:ind w:firstLine="0"/>
              <w:rPr>
                <w:rFonts w:ascii="Verdana" w:hAnsi="Verdana"/>
                <w:b/>
                <w:sz w:val="16"/>
                <w:szCs w:val="16"/>
                <w:lang w:val="en-US"/>
              </w:rPr>
            </w:pPr>
            <w:r w:rsidRPr="00C15D85">
              <w:rPr>
                <w:rFonts w:ascii="Verdana" w:hAnsi="Verdana"/>
                <w:b/>
                <w:sz w:val="16"/>
                <w:szCs w:val="16"/>
                <w:lang w:val="en-US"/>
              </w:rPr>
              <w:t xml:space="preserve">2.11 </w:t>
            </w:r>
            <w:r>
              <w:rPr>
                <w:rFonts w:ascii="Verdana" w:hAnsi="Verdana"/>
                <w:sz w:val="16"/>
                <w:szCs w:val="16"/>
                <w:lang w:val="en-US"/>
              </w:rPr>
              <w:t>Official Mexican Standard</w:t>
            </w:r>
            <w:r w:rsidRPr="00C15D85">
              <w:rPr>
                <w:rFonts w:ascii="Verdana" w:hAnsi="Verdana"/>
                <w:sz w:val="16"/>
                <w:szCs w:val="16"/>
                <w:lang w:val="en-US"/>
              </w:rPr>
              <w:t xml:space="preserve"> NOM-164-SSA1-2015, Good manufacturing practices for pharmaceuticals.</w:t>
            </w:r>
          </w:p>
        </w:tc>
      </w:tr>
      <w:tr w:rsidR="00947A46" w:rsidRPr="00C15D85" w14:paraId="04CAF2D8" w14:textId="77777777" w:rsidTr="00772246">
        <w:tc>
          <w:tcPr>
            <w:tcW w:w="4698" w:type="dxa"/>
          </w:tcPr>
          <w:p w14:paraId="03C4CAD3" w14:textId="77777777" w:rsidR="00947A46" w:rsidRPr="008D5B6B" w:rsidRDefault="00947A46" w:rsidP="00772246">
            <w:pPr>
              <w:pStyle w:val="Texto"/>
              <w:spacing w:line="250" w:lineRule="exact"/>
              <w:ind w:firstLine="0"/>
              <w:rPr>
                <w:rFonts w:ascii="Verdana" w:hAnsi="Verdana"/>
                <w:sz w:val="16"/>
                <w:szCs w:val="16"/>
              </w:rPr>
            </w:pPr>
            <w:r w:rsidRPr="008D5B6B">
              <w:rPr>
                <w:rFonts w:ascii="Verdana" w:hAnsi="Verdana"/>
                <w:b/>
                <w:sz w:val="16"/>
                <w:szCs w:val="16"/>
              </w:rPr>
              <w:t>2.12</w:t>
            </w:r>
            <w:r w:rsidRPr="008D5B6B">
              <w:rPr>
                <w:rFonts w:ascii="Verdana" w:hAnsi="Verdana"/>
                <w:sz w:val="16"/>
                <w:szCs w:val="16"/>
              </w:rPr>
              <w:t xml:space="preserve"> Norma Oficial Mexicana NOM-220-SSA1-2017, Instalación y operación de la farmacovigilancia.</w:t>
            </w:r>
          </w:p>
        </w:tc>
        <w:tc>
          <w:tcPr>
            <w:tcW w:w="4652" w:type="dxa"/>
          </w:tcPr>
          <w:p w14:paraId="2FA5C031" w14:textId="77777777" w:rsidR="00947A46" w:rsidRPr="00C15D85" w:rsidRDefault="00947A46" w:rsidP="00772246">
            <w:pPr>
              <w:pStyle w:val="Texto"/>
              <w:spacing w:line="250" w:lineRule="exact"/>
              <w:ind w:firstLine="0"/>
              <w:rPr>
                <w:rFonts w:ascii="Verdana" w:hAnsi="Verdana"/>
                <w:b/>
                <w:sz w:val="16"/>
                <w:szCs w:val="16"/>
                <w:lang w:val="en-US"/>
              </w:rPr>
            </w:pPr>
            <w:r w:rsidRPr="00C15D85">
              <w:rPr>
                <w:rFonts w:ascii="Verdana" w:hAnsi="Verdana"/>
                <w:b/>
                <w:sz w:val="16"/>
                <w:szCs w:val="16"/>
                <w:lang w:val="en-US"/>
              </w:rPr>
              <w:t xml:space="preserve">2.12 </w:t>
            </w:r>
            <w:r>
              <w:rPr>
                <w:rFonts w:ascii="Verdana" w:hAnsi="Verdana"/>
                <w:sz w:val="16"/>
                <w:szCs w:val="16"/>
                <w:lang w:val="en-US"/>
              </w:rPr>
              <w:t>Official Mexican Standard</w:t>
            </w:r>
            <w:r w:rsidRPr="00C15D85">
              <w:rPr>
                <w:rFonts w:ascii="Verdana" w:hAnsi="Verdana"/>
                <w:sz w:val="16"/>
                <w:szCs w:val="16"/>
                <w:lang w:val="en-US"/>
              </w:rPr>
              <w:t xml:space="preserve"> NOM-220-SSA1-2017, Installation and operation of pharmacovigilance.</w:t>
            </w:r>
          </w:p>
        </w:tc>
      </w:tr>
      <w:tr w:rsidR="00947A46" w:rsidRPr="00C15D85" w14:paraId="09DD1720" w14:textId="77777777" w:rsidTr="00772246">
        <w:tc>
          <w:tcPr>
            <w:tcW w:w="4698" w:type="dxa"/>
          </w:tcPr>
          <w:p w14:paraId="78D2F02D" w14:textId="77777777" w:rsidR="00947A46" w:rsidRPr="008D5B6B" w:rsidRDefault="00947A46" w:rsidP="00772246">
            <w:pPr>
              <w:pStyle w:val="Texto"/>
              <w:spacing w:line="250" w:lineRule="exact"/>
              <w:ind w:firstLine="0"/>
              <w:rPr>
                <w:rFonts w:ascii="Verdana" w:hAnsi="Verdana"/>
                <w:sz w:val="16"/>
                <w:szCs w:val="16"/>
              </w:rPr>
            </w:pPr>
            <w:r w:rsidRPr="008D5B6B">
              <w:rPr>
                <w:rFonts w:ascii="Verdana" w:hAnsi="Verdana"/>
                <w:b/>
                <w:sz w:val="16"/>
                <w:szCs w:val="16"/>
                <w:lang w:val="es-MX"/>
              </w:rPr>
              <w:t>3.128 Medicamento biotecnológico,</w:t>
            </w:r>
            <w:r w:rsidRPr="008D5B6B">
              <w:rPr>
                <w:rFonts w:ascii="Verdana" w:hAnsi="Verdana"/>
                <w:sz w:val="16"/>
                <w:szCs w:val="16"/>
              </w:rPr>
              <w:t xml:space="preserve"> a toda sustancia que haya sido producida por biotecnología molecular, que tenga efecto terapéutico, preventivo o rehabilitatorio, que se presente en forma farmacéutica, que se identifique como tal por su actividad farmacológica y propiedades físicas, químicas y biológicas. Los medicamentos biotecnológicos innovadores podrán ser referencia </w:t>
            </w:r>
            <w:r w:rsidRPr="008D5B6B">
              <w:rPr>
                <w:rFonts w:ascii="Verdana" w:hAnsi="Verdana"/>
                <w:sz w:val="16"/>
                <w:szCs w:val="16"/>
              </w:rPr>
              <w:lastRenderedPageBreak/>
              <w:t>para los medicamentos biotecnológicos no innovadores, a los cuales se les denominará biocomparables. La forma de identificación de estos productos será determinada en el Reglamento de Insumos para la Salud y demás disposiciones aplicables.</w:t>
            </w:r>
          </w:p>
        </w:tc>
        <w:tc>
          <w:tcPr>
            <w:tcW w:w="4652" w:type="dxa"/>
          </w:tcPr>
          <w:p w14:paraId="4F54F8E4" w14:textId="1F961B0C" w:rsidR="00947A46" w:rsidRPr="00C15D85" w:rsidRDefault="00947A46" w:rsidP="00772246">
            <w:pPr>
              <w:pStyle w:val="Texto"/>
              <w:spacing w:line="250" w:lineRule="exact"/>
              <w:ind w:firstLine="0"/>
              <w:rPr>
                <w:rFonts w:ascii="Verdana" w:hAnsi="Verdana"/>
                <w:b/>
                <w:sz w:val="16"/>
                <w:szCs w:val="16"/>
                <w:lang w:val="en-US"/>
              </w:rPr>
            </w:pPr>
            <w:r w:rsidRPr="008A7E48">
              <w:rPr>
                <w:rFonts w:ascii="Verdana" w:hAnsi="Verdana"/>
                <w:b/>
                <w:sz w:val="16"/>
                <w:szCs w:val="16"/>
                <w:lang w:val="en-US"/>
              </w:rPr>
              <w:lastRenderedPageBreak/>
              <w:t xml:space="preserve">3.128 Biotechnological </w:t>
            </w:r>
            <w:r w:rsidR="00F70181">
              <w:rPr>
                <w:rFonts w:ascii="Verdana" w:hAnsi="Verdana"/>
                <w:b/>
                <w:sz w:val="16"/>
                <w:szCs w:val="16"/>
                <w:lang w:val="en-US"/>
              </w:rPr>
              <w:t>Drug Products</w:t>
            </w:r>
            <w:r w:rsidRPr="008A7E48">
              <w:rPr>
                <w:rFonts w:ascii="Verdana" w:hAnsi="Verdana"/>
                <w:b/>
                <w:sz w:val="16"/>
                <w:szCs w:val="16"/>
                <w:lang w:val="en-US"/>
              </w:rPr>
              <w:t xml:space="preserve">: </w:t>
            </w:r>
            <w:r w:rsidRPr="00C15D85">
              <w:rPr>
                <w:rFonts w:ascii="Verdana" w:hAnsi="Verdana"/>
                <w:sz w:val="16"/>
                <w:szCs w:val="16"/>
                <w:lang w:val="en-US"/>
              </w:rPr>
              <w:t xml:space="preserve">any substance produced by molecular biotechnology, with a therapeutic, preventive, or rehabilitative effect, presented in pharmaceutical form, and identified as such by its pharmacological activity and physical, chemical, and biological properties. Innovative biotechnological </w:t>
            </w:r>
            <w:r>
              <w:rPr>
                <w:rFonts w:ascii="Verdana" w:hAnsi="Verdana"/>
                <w:sz w:val="16"/>
                <w:szCs w:val="16"/>
                <w:lang w:val="en-US"/>
              </w:rPr>
              <w:t>drug products</w:t>
            </w:r>
            <w:r w:rsidRPr="00C15D85">
              <w:rPr>
                <w:rFonts w:ascii="Verdana" w:hAnsi="Verdana"/>
                <w:sz w:val="16"/>
                <w:szCs w:val="16"/>
                <w:lang w:val="en-US"/>
              </w:rPr>
              <w:t xml:space="preserve"> may be used as a reference for non-innovative </w:t>
            </w:r>
            <w:r w:rsidRPr="00C15D85">
              <w:rPr>
                <w:rFonts w:ascii="Verdana" w:hAnsi="Verdana"/>
                <w:sz w:val="16"/>
                <w:szCs w:val="16"/>
                <w:lang w:val="en-US"/>
              </w:rPr>
              <w:lastRenderedPageBreak/>
              <w:t xml:space="preserve">biotechnological </w:t>
            </w:r>
            <w:r>
              <w:rPr>
                <w:rFonts w:ascii="Verdana" w:hAnsi="Verdana"/>
                <w:sz w:val="16"/>
                <w:szCs w:val="16"/>
                <w:lang w:val="en-US"/>
              </w:rPr>
              <w:t>drug products</w:t>
            </w:r>
            <w:r w:rsidRPr="00C15D85">
              <w:rPr>
                <w:rFonts w:ascii="Verdana" w:hAnsi="Verdana"/>
                <w:sz w:val="16"/>
                <w:szCs w:val="16"/>
                <w:lang w:val="en-US"/>
              </w:rPr>
              <w:t xml:space="preserve">, which will be called biocomparable. The identification method for these products will be determined in the </w:t>
            </w:r>
            <w:r>
              <w:rPr>
                <w:rFonts w:ascii="Verdana" w:hAnsi="Verdana"/>
                <w:sz w:val="16"/>
                <w:szCs w:val="16"/>
                <w:lang w:val="en-US"/>
              </w:rPr>
              <w:t>Regulation of Health Supplies</w:t>
            </w:r>
            <w:r w:rsidRPr="00C15D85">
              <w:rPr>
                <w:rFonts w:ascii="Verdana" w:hAnsi="Verdana"/>
                <w:sz w:val="16"/>
                <w:szCs w:val="16"/>
                <w:lang w:val="en-US"/>
              </w:rPr>
              <w:t xml:space="preserve"> and other applicable provisions.</w:t>
            </w:r>
          </w:p>
        </w:tc>
      </w:tr>
      <w:tr w:rsidR="00947A46" w:rsidRPr="00C15D85" w14:paraId="76C633EF" w14:textId="77777777" w:rsidTr="00772246">
        <w:tc>
          <w:tcPr>
            <w:tcW w:w="4698" w:type="dxa"/>
          </w:tcPr>
          <w:p w14:paraId="01CCE75E" w14:textId="77777777" w:rsidR="00947A46" w:rsidRPr="008D5B6B" w:rsidRDefault="00947A46" w:rsidP="00772246">
            <w:pPr>
              <w:pStyle w:val="Texto"/>
              <w:spacing w:line="250" w:lineRule="exact"/>
              <w:ind w:firstLine="0"/>
              <w:rPr>
                <w:rFonts w:ascii="Verdana" w:hAnsi="Verdana"/>
                <w:sz w:val="16"/>
                <w:szCs w:val="16"/>
              </w:rPr>
            </w:pPr>
            <w:r w:rsidRPr="008D5B6B">
              <w:rPr>
                <w:rFonts w:ascii="Verdana" w:hAnsi="Verdana"/>
                <w:b/>
                <w:sz w:val="16"/>
                <w:szCs w:val="16"/>
                <w:lang w:val="es-MX"/>
              </w:rPr>
              <w:lastRenderedPageBreak/>
              <w:t>3.129 Acuerdo de Equivalencias,</w:t>
            </w:r>
            <w:r w:rsidRPr="008D5B6B">
              <w:rPr>
                <w:rFonts w:ascii="Verdana" w:hAnsi="Verdana"/>
                <w:sz w:val="16"/>
                <w:szCs w:val="16"/>
              </w:rPr>
              <w:t xml:space="preserve"> a una resolución que especifica las condiciones mediante las cuales se reconocen unilateralmente o recíprocamente los reglamentos técnicos extranjeros, las medidas sanitarias o fitosanitarias, o los resultados de los procedimientos de evaluación de la conformidad emitidos por los organismos en el territorio de otro país y que contemplen cuando menos el mismo grado de conformidad para lograr los objetivos legítimos perseguidos por las Normas Oficiales Mexicanas apropiadas.</w:t>
            </w:r>
          </w:p>
        </w:tc>
        <w:tc>
          <w:tcPr>
            <w:tcW w:w="4652" w:type="dxa"/>
          </w:tcPr>
          <w:p w14:paraId="2CD4B23A" w14:textId="77777777" w:rsidR="00947A46" w:rsidRPr="00C15D85" w:rsidRDefault="00947A46" w:rsidP="00772246">
            <w:pPr>
              <w:pStyle w:val="Texto"/>
              <w:spacing w:line="250" w:lineRule="exact"/>
              <w:ind w:firstLine="0"/>
              <w:rPr>
                <w:rFonts w:ascii="Verdana" w:hAnsi="Verdana"/>
                <w:b/>
                <w:sz w:val="16"/>
                <w:szCs w:val="16"/>
                <w:lang w:val="en-US"/>
              </w:rPr>
            </w:pPr>
            <w:r w:rsidRPr="00C15D85">
              <w:rPr>
                <w:rFonts w:ascii="Verdana" w:hAnsi="Verdana"/>
                <w:b/>
                <w:sz w:val="16"/>
                <w:szCs w:val="16"/>
                <w:lang w:val="en-US"/>
              </w:rPr>
              <w:t xml:space="preserve">3.129 Equivalence Agreement, </w:t>
            </w:r>
            <w:r w:rsidRPr="00C15D85">
              <w:rPr>
                <w:rFonts w:ascii="Verdana" w:hAnsi="Verdana"/>
                <w:sz w:val="16"/>
                <w:szCs w:val="16"/>
                <w:lang w:val="en-US"/>
              </w:rPr>
              <w:t xml:space="preserve">a resolution that specifies the conditions under which foreign technical regulations, sanitary or phytosanitary measures, or the results of </w:t>
            </w:r>
            <w:r>
              <w:rPr>
                <w:rFonts w:ascii="Verdana" w:hAnsi="Verdana"/>
                <w:sz w:val="16"/>
                <w:szCs w:val="16"/>
                <w:lang w:val="en-US"/>
              </w:rPr>
              <w:t>the Evaluation of C</w:t>
            </w:r>
            <w:r w:rsidRPr="00C15D85">
              <w:rPr>
                <w:rFonts w:ascii="Verdana" w:hAnsi="Verdana"/>
                <w:sz w:val="16"/>
                <w:szCs w:val="16"/>
                <w:lang w:val="en-US"/>
              </w:rPr>
              <w:t xml:space="preserve">onformity procedures issued by agencies in the territory of another country and that contemplate at least the same degree of conformity to achieve the legitimate objectives pursued by the appropriate </w:t>
            </w:r>
            <w:r>
              <w:rPr>
                <w:rFonts w:ascii="Verdana" w:hAnsi="Verdana"/>
                <w:sz w:val="16"/>
                <w:szCs w:val="16"/>
                <w:lang w:val="en-US"/>
              </w:rPr>
              <w:t>Official Mexican Standard</w:t>
            </w:r>
            <w:r w:rsidRPr="00C15D85">
              <w:rPr>
                <w:rFonts w:ascii="Verdana" w:hAnsi="Verdana"/>
                <w:sz w:val="16"/>
                <w:szCs w:val="16"/>
                <w:lang w:val="en-US"/>
              </w:rPr>
              <w:t>s, are unilaterally or reciprocally recognized.</w:t>
            </w:r>
          </w:p>
        </w:tc>
      </w:tr>
      <w:tr w:rsidR="00947A46" w:rsidRPr="00C15D85" w14:paraId="1CFE35F3" w14:textId="77777777" w:rsidTr="00772246">
        <w:tc>
          <w:tcPr>
            <w:tcW w:w="4698" w:type="dxa"/>
          </w:tcPr>
          <w:p w14:paraId="2CC35901" w14:textId="77777777" w:rsidR="00947A46" w:rsidRPr="008D5B6B" w:rsidRDefault="00947A46" w:rsidP="00772246">
            <w:pPr>
              <w:pStyle w:val="Texto"/>
              <w:spacing w:line="250" w:lineRule="exact"/>
              <w:ind w:firstLine="0"/>
              <w:rPr>
                <w:rFonts w:ascii="Verdana" w:hAnsi="Verdana"/>
                <w:sz w:val="16"/>
                <w:szCs w:val="16"/>
              </w:rPr>
            </w:pPr>
            <w:r w:rsidRPr="008D5B6B">
              <w:rPr>
                <w:rFonts w:ascii="Verdana" w:hAnsi="Verdana"/>
                <w:b/>
                <w:sz w:val="16"/>
                <w:szCs w:val="16"/>
                <w:lang w:val="es-MX"/>
              </w:rPr>
              <w:t>10.5.10.3.1</w:t>
            </w:r>
            <w:r w:rsidRPr="008D5B6B">
              <w:rPr>
                <w:rFonts w:ascii="Verdana" w:hAnsi="Verdana"/>
                <w:sz w:val="16"/>
                <w:szCs w:val="16"/>
              </w:rPr>
              <w:t xml:space="preserve"> Cada lote debe contar con un certificado analítico del fabricante con los controles necesarios para asegurar la calidad de los medicamentos, de acuerdo con el registro sanitario o autorización de comercialización.</w:t>
            </w:r>
          </w:p>
        </w:tc>
        <w:tc>
          <w:tcPr>
            <w:tcW w:w="4652" w:type="dxa"/>
          </w:tcPr>
          <w:p w14:paraId="5D3A3488" w14:textId="77777777" w:rsidR="00947A46" w:rsidRPr="00C15D85" w:rsidRDefault="00947A46" w:rsidP="00772246">
            <w:pPr>
              <w:pStyle w:val="Texto"/>
              <w:spacing w:line="250" w:lineRule="exact"/>
              <w:ind w:firstLine="0"/>
              <w:rPr>
                <w:rFonts w:ascii="Verdana" w:hAnsi="Verdana"/>
                <w:b/>
                <w:sz w:val="16"/>
                <w:szCs w:val="16"/>
                <w:lang w:val="en-US"/>
              </w:rPr>
            </w:pPr>
            <w:r w:rsidRPr="00C15D85">
              <w:rPr>
                <w:rFonts w:ascii="Verdana" w:hAnsi="Verdana"/>
                <w:b/>
                <w:sz w:val="16"/>
                <w:szCs w:val="16"/>
                <w:lang w:val="en-US"/>
              </w:rPr>
              <w:t xml:space="preserve">10.5.10.3.1 </w:t>
            </w:r>
            <w:r w:rsidRPr="00C15D85">
              <w:rPr>
                <w:rFonts w:ascii="Verdana" w:hAnsi="Verdana"/>
                <w:sz w:val="16"/>
                <w:szCs w:val="16"/>
                <w:lang w:val="en-US"/>
              </w:rPr>
              <w:t xml:space="preserve">Each batch must have an analytical certificate from the manufacturer with the necessary controls to ensure the quality of the </w:t>
            </w:r>
            <w:r>
              <w:rPr>
                <w:rFonts w:ascii="Verdana" w:hAnsi="Verdana"/>
                <w:sz w:val="16"/>
                <w:szCs w:val="16"/>
                <w:lang w:val="en-US"/>
              </w:rPr>
              <w:t>drug products</w:t>
            </w:r>
            <w:r w:rsidRPr="00C15D85">
              <w:rPr>
                <w:rFonts w:ascii="Verdana" w:hAnsi="Verdana"/>
                <w:sz w:val="16"/>
                <w:szCs w:val="16"/>
                <w:lang w:val="en-US"/>
              </w:rPr>
              <w:t>, in accordance with the health registration or marketing authorization.</w:t>
            </w:r>
          </w:p>
        </w:tc>
      </w:tr>
      <w:tr w:rsidR="00947A46" w:rsidRPr="00C15D85" w14:paraId="0BCCFD46" w14:textId="77777777" w:rsidTr="00772246">
        <w:tc>
          <w:tcPr>
            <w:tcW w:w="4698" w:type="dxa"/>
          </w:tcPr>
          <w:p w14:paraId="5F687E5F" w14:textId="77777777" w:rsidR="00947A46" w:rsidRPr="008D5B6B" w:rsidRDefault="00947A46" w:rsidP="00772246">
            <w:pPr>
              <w:pStyle w:val="Texto"/>
              <w:spacing w:line="250" w:lineRule="exact"/>
              <w:ind w:firstLine="0"/>
              <w:rPr>
                <w:rFonts w:ascii="Verdana" w:hAnsi="Verdana"/>
                <w:sz w:val="16"/>
                <w:szCs w:val="16"/>
              </w:rPr>
            </w:pPr>
            <w:r w:rsidRPr="008D5B6B">
              <w:rPr>
                <w:rFonts w:ascii="Verdana" w:hAnsi="Verdana"/>
                <w:b/>
                <w:sz w:val="16"/>
                <w:szCs w:val="16"/>
                <w:lang w:val="es-MX"/>
              </w:rPr>
              <w:t>10.5.10.3.2.1</w:t>
            </w:r>
            <w:r w:rsidRPr="008D5B6B">
              <w:rPr>
                <w:rFonts w:ascii="Verdana" w:hAnsi="Verdana"/>
                <w:sz w:val="16"/>
                <w:szCs w:val="16"/>
              </w:rPr>
              <w:t xml:space="preserve"> Los análisis correspondientes podrán ser realizados en el laboratorio de control de calidad del fabricante o por un laboratorio de control de calidad certificado. En ambos casos deberán contar con un certificado de buenas prácticas de fabricación o documento equivalente emitido por la Secretaría o por una Autoridad Regulatoria Nacional miembro de la Pharmaceutical Inspection Convention and Pharmaceutical Inspection Co-operation Scheme (PIC/S) o Autoridad Regulatoria Nacional que conforme la "List of transitional WLAs", con un nivel de reconocimiento B o D (con alcance en medicamentos) publicado en el sitio web de la OMS o que cuenten con un Acuerdo de Equivalencias con la Secretaría.</w:t>
            </w:r>
          </w:p>
        </w:tc>
        <w:tc>
          <w:tcPr>
            <w:tcW w:w="4652" w:type="dxa"/>
          </w:tcPr>
          <w:p w14:paraId="46C4ED36" w14:textId="77777777" w:rsidR="00947A46" w:rsidRPr="00C15D85" w:rsidRDefault="00947A46" w:rsidP="00772246">
            <w:pPr>
              <w:pStyle w:val="Texto"/>
              <w:spacing w:line="250" w:lineRule="exact"/>
              <w:ind w:firstLine="0"/>
              <w:rPr>
                <w:rFonts w:ascii="Verdana" w:hAnsi="Verdana"/>
                <w:b/>
                <w:sz w:val="16"/>
                <w:szCs w:val="16"/>
                <w:lang w:val="en-US"/>
              </w:rPr>
            </w:pPr>
            <w:r w:rsidRPr="00C15D85">
              <w:rPr>
                <w:rFonts w:ascii="Verdana" w:hAnsi="Verdana"/>
                <w:b/>
                <w:sz w:val="16"/>
                <w:szCs w:val="16"/>
                <w:lang w:val="en-US"/>
              </w:rPr>
              <w:t xml:space="preserve">10.5.10.3.2.1 </w:t>
            </w:r>
            <w:r w:rsidRPr="00C15D85">
              <w:rPr>
                <w:rFonts w:ascii="Verdana" w:hAnsi="Verdana"/>
                <w:sz w:val="16"/>
                <w:szCs w:val="16"/>
                <w:lang w:val="en-US"/>
              </w:rPr>
              <w:t>The corresponding analyses may be performed in the manufacturer's quality control laboratory or by a certified quality control laboratory. In both cases, they must have a certificate of good manufacturing practices or equivalent document issued by the Secretar</w:t>
            </w:r>
            <w:r>
              <w:rPr>
                <w:rFonts w:ascii="Verdana" w:hAnsi="Verdana"/>
                <w:sz w:val="16"/>
                <w:szCs w:val="16"/>
                <w:lang w:val="en-US"/>
              </w:rPr>
              <w:t>y</w:t>
            </w:r>
            <w:r w:rsidRPr="00C15D85">
              <w:rPr>
                <w:rFonts w:ascii="Verdana" w:hAnsi="Verdana"/>
                <w:sz w:val="16"/>
                <w:szCs w:val="16"/>
                <w:lang w:val="en-US"/>
              </w:rPr>
              <w:t xml:space="preserve"> or by a National Regulatory Authority member of the Pharmaceutical Inspection Convention and Pharmaceutical Inspection Co-operation Scheme (PIC/S) or National Regulatory Authority that conforms to the "List of transitional WLAs, with a recognition level of B or D (with scope for </w:t>
            </w:r>
            <w:r>
              <w:rPr>
                <w:rFonts w:ascii="Verdana" w:hAnsi="Verdana"/>
                <w:sz w:val="16"/>
                <w:szCs w:val="16"/>
                <w:lang w:val="en-US"/>
              </w:rPr>
              <w:t>drug products</w:t>
            </w:r>
            <w:r w:rsidRPr="00C15D85">
              <w:rPr>
                <w:rFonts w:ascii="Verdana" w:hAnsi="Verdana"/>
                <w:sz w:val="16"/>
                <w:szCs w:val="16"/>
                <w:lang w:val="en-US"/>
              </w:rPr>
              <w:t xml:space="preserve">) published on the WHO website or that have an Equivalence Agreement with the </w:t>
            </w:r>
            <w:r>
              <w:rPr>
                <w:rFonts w:ascii="Verdana" w:hAnsi="Verdana"/>
                <w:sz w:val="16"/>
                <w:szCs w:val="16"/>
                <w:lang w:val="en-US"/>
              </w:rPr>
              <w:t>Secretary</w:t>
            </w:r>
            <w:r w:rsidRPr="00C15D85">
              <w:rPr>
                <w:rFonts w:ascii="Verdana" w:hAnsi="Verdana"/>
                <w:sz w:val="16"/>
                <w:szCs w:val="16"/>
                <w:lang w:val="en-US"/>
              </w:rPr>
              <w:t>.</w:t>
            </w:r>
          </w:p>
        </w:tc>
      </w:tr>
      <w:tr w:rsidR="00947A46" w:rsidRPr="00C15D85" w14:paraId="1751B434" w14:textId="77777777" w:rsidTr="00772246">
        <w:tc>
          <w:tcPr>
            <w:tcW w:w="4698" w:type="dxa"/>
          </w:tcPr>
          <w:p w14:paraId="521D12F0" w14:textId="77777777" w:rsidR="00947A46" w:rsidRPr="008D5B6B" w:rsidRDefault="00947A46" w:rsidP="00772246">
            <w:pPr>
              <w:pStyle w:val="Texto"/>
              <w:spacing w:line="250" w:lineRule="exact"/>
              <w:ind w:firstLine="0"/>
              <w:rPr>
                <w:rFonts w:ascii="Verdana" w:hAnsi="Verdana"/>
                <w:sz w:val="16"/>
                <w:szCs w:val="16"/>
              </w:rPr>
            </w:pPr>
            <w:r w:rsidRPr="008D5B6B">
              <w:rPr>
                <w:rFonts w:ascii="Verdana" w:hAnsi="Verdana"/>
                <w:b/>
                <w:sz w:val="16"/>
                <w:szCs w:val="16"/>
                <w:lang w:val="es-MX"/>
              </w:rPr>
              <w:t>10.5.10.3.3</w:t>
            </w:r>
            <w:r w:rsidRPr="008D5B6B">
              <w:rPr>
                <w:rFonts w:ascii="Verdana" w:hAnsi="Verdana"/>
                <w:sz w:val="16"/>
                <w:szCs w:val="16"/>
              </w:rPr>
              <w:t xml:space="preserve"> Cuando el fabricante cuente con un certificado de buenas prácticas de fabricación o documento equivalente del biofármaco y del medicamento, emitido por la Secretaría o por una Autoridad Regulatoria Nacional miembro de la Pharmaceutical Inspection Convention and Pharmaceutical Inspection  Co-operation Scheme (PIC/S) o Autoridad Regulatoria Nacional que conforme la "List of transitional WLAs", con un nivel de reconocimiento B o D (con alcance en medicamentos), publicado en el sitio web de la OMS o que cuenten con un Acuerdo de Equivalencias con </w:t>
            </w:r>
            <w:r w:rsidRPr="008D5B6B">
              <w:rPr>
                <w:rFonts w:ascii="Verdana" w:hAnsi="Verdana"/>
                <w:sz w:val="16"/>
                <w:szCs w:val="16"/>
              </w:rPr>
              <w:lastRenderedPageBreak/>
              <w:t>la Secretaría, presentará sólo el certificado analítico del fabricante.</w:t>
            </w:r>
          </w:p>
        </w:tc>
        <w:tc>
          <w:tcPr>
            <w:tcW w:w="4652" w:type="dxa"/>
          </w:tcPr>
          <w:p w14:paraId="406C56FB" w14:textId="77777777" w:rsidR="00947A46" w:rsidRPr="00C15D85" w:rsidRDefault="00947A46" w:rsidP="00772246">
            <w:pPr>
              <w:pStyle w:val="Texto"/>
              <w:spacing w:line="250" w:lineRule="exact"/>
              <w:ind w:firstLine="0"/>
              <w:rPr>
                <w:rFonts w:ascii="Verdana" w:hAnsi="Verdana"/>
                <w:b/>
                <w:sz w:val="16"/>
                <w:szCs w:val="16"/>
                <w:lang w:val="en-US"/>
              </w:rPr>
            </w:pPr>
            <w:r w:rsidRPr="00C15D85">
              <w:rPr>
                <w:rFonts w:ascii="Verdana" w:hAnsi="Verdana"/>
                <w:b/>
                <w:sz w:val="16"/>
                <w:szCs w:val="16"/>
                <w:lang w:val="en-US"/>
              </w:rPr>
              <w:lastRenderedPageBreak/>
              <w:t xml:space="preserve">10.5.10.3.3 </w:t>
            </w:r>
            <w:r w:rsidRPr="00C15D85">
              <w:rPr>
                <w:rFonts w:ascii="Verdana" w:hAnsi="Verdana"/>
                <w:sz w:val="16"/>
                <w:szCs w:val="16"/>
                <w:lang w:val="en-US"/>
              </w:rPr>
              <w:t xml:space="preserve">When the manufacturer has a certificate of good manufacturing practices or equivalent document for the biopharmaceutical and the medicine, issued by the </w:t>
            </w:r>
            <w:r>
              <w:rPr>
                <w:rFonts w:ascii="Verdana" w:hAnsi="Verdana"/>
                <w:sz w:val="16"/>
                <w:szCs w:val="16"/>
                <w:lang w:val="en-US"/>
              </w:rPr>
              <w:t>Secretary</w:t>
            </w:r>
            <w:r w:rsidRPr="00C15D85">
              <w:rPr>
                <w:rFonts w:ascii="Verdana" w:hAnsi="Verdana"/>
                <w:sz w:val="16"/>
                <w:szCs w:val="16"/>
                <w:lang w:val="en-US"/>
              </w:rPr>
              <w:t xml:space="preserve"> or by a National Regulatory Authority member of the Pharmaceutical Inspection Convention and Pharmaceutical Inspection  Co-operation Scheme (PIC/S) or National Regulatory Authority that conforms to the "List of transitional WLAs, with a recognition level of B or D (with scope for </w:t>
            </w:r>
            <w:r>
              <w:rPr>
                <w:rFonts w:ascii="Verdana" w:hAnsi="Verdana"/>
                <w:sz w:val="16"/>
                <w:szCs w:val="16"/>
                <w:lang w:val="en-US"/>
              </w:rPr>
              <w:t>drug products</w:t>
            </w:r>
            <w:r w:rsidRPr="00C15D85">
              <w:rPr>
                <w:rFonts w:ascii="Verdana" w:hAnsi="Verdana"/>
                <w:sz w:val="16"/>
                <w:szCs w:val="16"/>
                <w:lang w:val="en-US"/>
              </w:rPr>
              <w:t xml:space="preserve">), published on the WHO website or with an Equivalence Agreement with the </w:t>
            </w:r>
            <w:r>
              <w:rPr>
                <w:rFonts w:ascii="Verdana" w:hAnsi="Verdana"/>
                <w:sz w:val="16"/>
                <w:szCs w:val="16"/>
                <w:lang w:val="en-US"/>
              </w:rPr>
              <w:t>Secretary</w:t>
            </w:r>
            <w:r w:rsidRPr="00C15D85">
              <w:rPr>
                <w:rFonts w:ascii="Verdana" w:hAnsi="Verdana"/>
                <w:sz w:val="16"/>
                <w:szCs w:val="16"/>
                <w:lang w:val="en-US"/>
              </w:rPr>
              <w:t xml:space="preserve">, shall </w:t>
            </w:r>
            <w:r w:rsidRPr="00C15D85">
              <w:rPr>
                <w:rFonts w:ascii="Verdana" w:hAnsi="Verdana"/>
                <w:sz w:val="16"/>
                <w:szCs w:val="16"/>
                <w:lang w:val="en-US"/>
              </w:rPr>
              <w:lastRenderedPageBreak/>
              <w:t>present only the manufacturer's analytical certificate.</w:t>
            </w:r>
          </w:p>
        </w:tc>
      </w:tr>
      <w:tr w:rsidR="00947A46" w:rsidRPr="00C15D85" w14:paraId="77DD027C" w14:textId="77777777" w:rsidTr="00772246">
        <w:tc>
          <w:tcPr>
            <w:tcW w:w="4698" w:type="dxa"/>
          </w:tcPr>
          <w:p w14:paraId="347ADA46" w14:textId="77777777" w:rsidR="00947A46" w:rsidRPr="008D5B6B" w:rsidRDefault="00947A46" w:rsidP="00772246">
            <w:pPr>
              <w:pStyle w:val="Texto"/>
              <w:spacing w:line="250" w:lineRule="exact"/>
              <w:ind w:firstLine="0"/>
              <w:rPr>
                <w:rFonts w:ascii="Verdana" w:hAnsi="Verdana"/>
                <w:sz w:val="16"/>
                <w:szCs w:val="16"/>
              </w:rPr>
            </w:pPr>
            <w:r w:rsidRPr="008D5B6B">
              <w:rPr>
                <w:rFonts w:ascii="Verdana" w:hAnsi="Verdana"/>
                <w:b/>
                <w:sz w:val="16"/>
                <w:szCs w:val="16"/>
                <w:lang w:val="es-MX"/>
              </w:rPr>
              <w:lastRenderedPageBreak/>
              <w:t>12.7</w:t>
            </w:r>
            <w:r w:rsidRPr="008D5B6B">
              <w:rPr>
                <w:rFonts w:ascii="Verdana" w:hAnsi="Verdana"/>
                <w:sz w:val="16"/>
                <w:szCs w:val="16"/>
              </w:rPr>
              <w:t xml:space="preserve"> Para medicamentos biotecnológicos de importación, con excepción de vacunas, cada lote de producto terminado deberá ser aprobado por el responsable sanitario previo a su liberación para su comercialización. La liberación podrá ser a través de revisión documental o mediante análisis de laboratorio.</w:t>
            </w:r>
          </w:p>
        </w:tc>
        <w:tc>
          <w:tcPr>
            <w:tcW w:w="4652" w:type="dxa"/>
          </w:tcPr>
          <w:p w14:paraId="68148FC9" w14:textId="77777777" w:rsidR="00947A46" w:rsidRPr="00C15D85" w:rsidRDefault="00947A46" w:rsidP="00772246">
            <w:pPr>
              <w:pStyle w:val="Texto"/>
              <w:spacing w:line="250" w:lineRule="exact"/>
              <w:ind w:firstLine="0"/>
              <w:rPr>
                <w:rFonts w:ascii="Verdana" w:hAnsi="Verdana"/>
                <w:b/>
                <w:sz w:val="16"/>
                <w:szCs w:val="16"/>
                <w:lang w:val="en-US"/>
              </w:rPr>
            </w:pPr>
            <w:r w:rsidRPr="00C15D85">
              <w:rPr>
                <w:rFonts w:ascii="Verdana" w:hAnsi="Verdana"/>
                <w:b/>
                <w:sz w:val="16"/>
                <w:szCs w:val="16"/>
                <w:lang w:val="en-US"/>
              </w:rPr>
              <w:t xml:space="preserve">12.7 </w:t>
            </w:r>
            <w:r w:rsidRPr="00C15D85">
              <w:rPr>
                <w:rFonts w:ascii="Verdana" w:hAnsi="Verdana"/>
                <w:sz w:val="16"/>
                <w:szCs w:val="16"/>
                <w:lang w:val="en-US"/>
              </w:rPr>
              <w:t xml:space="preserve">For imported biotechnological </w:t>
            </w:r>
            <w:r>
              <w:rPr>
                <w:rFonts w:ascii="Verdana" w:hAnsi="Verdana"/>
                <w:sz w:val="16"/>
                <w:szCs w:val="16"/>
                <w:lang w:val="en-US"/>
              </w:rPr>
              <w:t>drug products</w:t>
            </w:r>
            <w:r w:rsidRPr="00C15D85">
              <w:rPr>
                <w:rFonts w:ascii="Verdana" w:hAnsi="Verdana"/>
                <w:sz w:val="16"/>
                <w:szCs w:val="16"/>
                <w:lang w:val="en-US"/>
              </w:rPr>
              <w:t>, with the exception of vaccines, each batch of finished product must be approved by the health official prior to its release for marketing. Release may be achieved through document review or laboratory analysis.</w:t>
            </w:r>
          </w:p>
        </w:tc>
      </w:tr>
      <w:tr w:rsidR="00947A46" w:rsidRPr="008D5B6B" w14:paraId="601C5435" w14:textId="77777777" w:rsidTr="00772246">
        <w:tc>
          <w:tcPr>
            <w:tcW w:w="4698" w:type="dxa"/>
          </w:tcPr>
          <w:p w14:paraId="74B54189" w14:textId="77777777" w:rsidR="00947A46" w:rsidRPr="008D5B6B" w:rsidRDefault="00947A46" w:rsidP="00772246">
            <w:pPr>
              <w:pStyle w:val="ANOTACION"/>
              <w:spacing w:line="250" w:lineRule="exact"/>
              <w:rPr>
                <w:rFonts w:ascii="Verdana" w:hAnsi="Verdana"/>
                <w:sz w:val="16"/>
                <w:szCs w:val="16"/>
              </w:rPr>
            </w:pPr>
            <w:r w:rsidRPr="008D5B6B">
              <w:rPr>
                <w:rFonts w:ascii="Verdana" w:hAnsi="Verdana"/>
                <w:sz w:val="16"/>
                <w:szCs w:val="16"/>
              </w:rPr>
              <w:t>TRANSITORIO</w:t>
            </w:r>
          </w:p>
        </w:tc>
        <w:tc>
          <w:tcPr>
            <w:tcW w:w="4652" w:type="dxa"/>
          </w:tcPr>
          <w:p w14:paraId="68A01396" w14:textId="77777777" w:rsidR="00947A46" w:rsidRPr="008D5B6B" w:rsidRDefault="00947A46" w:rsidP="00772246">
            <w:pPr>
              <w:pStyle w:val="ANOTACION"/>
              <w:spacing w:line="250" w:lineRule="exact"/>
              <w:rPr>
                <w:rFonts w:ascii="Verdana" w:hAnsi="Verdana"/>
                <w:sz w:val="16"/>
                <w:szCs w:val="16"/>
                <w:lang w:val="en-US"/>
              </w:rPr>
            </w:pPr>
            <w:r w:rsidRPr="008D5B6B">
              <w:rPr>
                <w:rFonts w:ascii="Verdana" w:hAnsi="Verdana"/>
                <w:sz w:val="16"/>
                <w:szCs w:val="16"/>
              </w:rPr>
              <w:t>TRANSI</w:t>
            </w:r>
            <w:r>
              <w:rPr>
                <w:rFonts w:ascii="Verdana" w:hAnsi="Verdana"/>
                <w:sz w:val="16"/>
                <w:szCs w:val="16"/>
              </w:rPr>
              <w:t>TIONAL ARTICLES</w:t>
            </w:r>
          </w:p>
        </w:tc>
      </w:tr>
      <w:tr w:rsidR="00947A46" w:rsidRPr="00C15D85" w14:paraId="6F1BCF94" w14:textId="77777777" w:rsidTr="00772246">
        <w:tc>
          <w:tcPr>
            <w:tcW w:w="4698" w:type="dxa"/>
          </w:tcPr>
          <w:p w14:paraId="39D7529E" w14:textId="77777777" w:rsidR="00947A46" w:rsidRPr="008D5B6B" w:rsidRDefault="00947A46" w:rsidP="00772246">
            <w:pPr>
              <w:pStyle w:val="Texto"/>
              <w:spacing w:line="250" w:lineRule="exact"/>
              <w:ind w:firstLine="0"/>
              <w:rPr>
                <w:rFonts w:ascii="Verdana" w:hAnsi="Verdana"/>
                <w:sz w:val="16"/>
                <w:szCs w:val="16"/>
              </w:rPr>
            </w:pPr>
            <w:r w:rsidRPr="008D5B6B">
              <w:rPr>
                <w:rFonts w:ascii="Verdana" w:hAnsi="Verdana"/>
                <w:b/>
                <w:sz w:val="16"/>
                <w:szCs w:val="16"/>
              </w:rPr>
              <w:t>ÚNICO.</w:t>
            </w:r>
            <w:r w:rsidRPr="008D5B6B">
              <w:rPr>
                <w:rFonts w:ascii="Verdana" w:hAnsi="Verdana"/>
                <w:sz w:val="16"/>
                <w:szCs w:val="16"/>
              </w:rPr>
              <w:t xml:space="preserve"> La presente Modificación entrará en vigor a los 180 días hábiles a partir del día siguiente de su publicación en el Diario Oficial de la Federación.</w:t>
            </w:r>
          </w:p>
        </w:tc>
        <w:tc>
          <w:tcPr>
            <w:tcW w:w="4652" w:type="dxa"/>
          </w:tcPr>
          <w:p w14:paraId="14893751" w14:textId="77777777" w:rsidR="00947A46" w:rsidRPr="00C15D85" w:rsidRDefault="00947A46" w:rsidP="00772246">
            <w:pPr>
              <w:pStyle w:val="Texto"/>
              <w:spacing w:line="250" w:lineRule="exact"/>
              <w:ind w:firstLine="0"/>
              <w:rPr>
                <w:rFonts w:ascii="Verdana" w:hAnsi="Verdana"/>
                <w:b/>
                <w:sz w:val="16"/>
                <w:szCs w:val="16"/>
                <w:lang w:val="en-US"/>
              </w:rPr>
            </w:pPr>
            <w:r w:rsidRPr="00C15D85">
              <w:rPr>
                <w:rFonts w:ascii="Verdana" w:hAnsi="Verdana"/>
                <w:b/>
                <w:sz w:val="16"/>
                <w:szCs w:val="16"/>
                <w:lang w:val="en-US"/>
              </w:rPr>
              <w:t xml:space="preserve">SOLE. </w:t>
            </w:r>
            <w:r w:rsidRPr="00C15D85">
              <w:rPr>
                <w:rFonts w:ascii="Verdana" w:hAnsi="Verdana"/>
                <w:sz w:val="16"/>
                <w:szCs w:val="16"/>
                <w:lang w:val="en-US"/>
              </w:rPr>
              <w:t xml:space="preserve">This </w:t>
            </w:r>
            <w:r>
              <w:rPr>
                <w:rFonts w:ascii="Verdana" w:hAnsi="Verdana"/>
                <w:sz w:val="16"/>
                <w:szCs w:val="16"/>
                <w:lang w:val="en-US"/>
              </w:rPr>
              <w:t>reform will take effect on</w:t>
            </w:r>
            <w:r w:rsidRPr="00C15D85">
              <w:rPr>
                <w:rFonts w:ascii="Verdana" w:hAnsi="Verdana"/>
                <w:sz w:val="16"/>
                <w:szCs w:val="16"/>
                <w:lang w:val="en-US"/>
              </w:rPr>
              <w:t xml:space="preserve"> 180 business days after the day following its publication in the Official </w:t>
            </w:r>
            <w:r>
              <w:rPr>
                <w:rFonts w:ascii="Verdana" w:hAnsi="Verdana"/>
                <w:sz w:val="16"/>
                <w:szCs w:val="16"/>
                <w:lang w:val="en-US"/>
              </w:rPr>
              <w:t>Daily</w:t>
            </w:r>
            <w:r w:rsidRPr="00C15D85">
              <w:rPr>
                <w:rFonts w:ascii="Verdana" w:hAnsi="Verdana"/>
                <w:sz w:val="16"/>
                <w:szCs w:val="16"/>
                <w:lang w:val="en-US"/>
              </w:rPr>
              <w:t xml:space="preserve"> of the Federation.</w:t>
            </w:r>
          </w:p>
        </w:tc>
      </w:tr>
      <w:tr w:rsidR="00947A46" w:rsidRPr="008D5B6B" w14:paraId="2CDEF6B3" w14:textId="77777777" w:rsidTr="00772246">
        <w:tc>
          <w:tcPr>
            <w:tcW w:w="4698" w:type="dxa"/>
          </w:tcPr>
          <w:p w14:paraId="18F7409A" w14:textId="77777777" w:rsidR="00947A46" w:rsidRPr="008D5B6B" w:rsidRDefault="00947A46" w:rsidP="00772246">
            <w:pPr>
              <w:pStyle w:val="Texto"/>
              <w:spacing w:line="250" w:lineRule="exact"/>
              <w:ind w:firstLine="0"/>
              <w:rPr>
                <w:rFonts w:ascii="Verdana" w:hAnsi="Verdana"/>
                <w:sz w:val="16"/>
                <w:szCs w:val="16"/>
              </w:rPr>
            </w:pPr>
            <w:r w:rsidRPr="008D5B6B">
              <w:rPr>
                <w:rFonts w:ascii="Verdana" w:hAnsi="Verdana"/>
                <w:sz w:val="16"/>
                <w:szCs w:val="16"/>
              </w:rPr>
              <w:t xml:space="preserve">Ciudad de México a 26 de febrero de 2025.- La Comisionada Federal para la Protección contra Riesgos Sanitarios y Presidenta del Comité Consultivo Nacional de Normalización de Regulación y Fomento Sanitario, </w:t>
            </w:r>
            <w:r w:rsidRPr="008D5B6B">
              <w:rPr>
                <w:rFonts w:ascii="Verdana" w:hAnsi="Verdana"/>
                <w:b/>
                <w:sz w:val="16"/>
                <w:szCs w:val="16"/>
              </w:rPr>
              <w:t>Armida Zúñiga Estrada</w:t>
            </w:r>
            <w:r w:rsidRPr="008D5B6B">
              <w:rPr>
                <w:rFonts w:ascii="Verdana" w:hAnsi="Verdana"/>
                <w:sz w:val="16"/>
                <w:szCs w:val="16"/>
              </w:rPr>
              <w:t>.- Rúbrica.</w:t>
            </w:r>
          </w:p>
        </w:tc>
        <w:tc>
          <w:tcPr>
            <w:tcW w:w="4652" w:type="dxa"/>
          </w:tcPr>
          <w:p w14:paraId="607613B5" w14:textId="77777777" w:rsidR="00947A46" w:rsidRPr="008D5B6B" w:rsidRDefault="00947A46" w:rsidP="00772246">
            <w:pPr>
              <w:pStyle w:val="Texto"/>
              <w:spacing w:line="250" w:lineRule="exact"/>
              <w:ind w:firstLine="0"/>
              <w:rPr>
                <w:rFonts w:ascii="Verdana" w:hAnsi="Verdana"/>
                <w:sz w:val="16"/>
                <w:szCs w:val="16"/>
                <w:lang w:val="en-US"/>
              </w:rPr>
            </w:pPr>
            <w:r w:rsidRPr="00C15D85">
              <w:rPr>
                <w:rFonts w:ascii="Verdana" w:hAnsi="Verdana"/>
                <w:sz w:val="16"/>
                <w:szCs w:val="16"/>
                <w:lang w:val="en-US"/>
              </w:rPr>
              <w:t xml:space="preserve">Mexico City, February 26, 2025.- The Federal Commissioner for Protection against Sanitary Risks and President of the National </w:t>
            </w:r>
            <w:r>
              <w:rPr>
                <w:rFonts w:ascii="Verdana" w:hAnsi="Verdana"/>
                <w:sz w:val="16"/>
                <w:szCs w:val="16"/>
                <w:lang w:val="en-US"/>
              </w:rPr>
              <w:t>Consultative Committee</w:t>
            </w:r>
            <w:r w:rsidRPr="00C15D85">
              <w:rPr>
                <w:rFonts w:ascii="Verdana" w:hAnsi="Verdana"/>
                <w:sz w:val="16"/>
                <w:szCs w:val="16"/>
                <w:lang w:val="en-US"/>
              </w:rPr>
              <w:t xml:space="preserve"> for Standardization, Regulation and Health Promotion, </w:t>
            </w:r>
            <w:r w:rsidRPr="00C15D85">
              <w:rPr>
                <w:rFonts w:ascii="Verdana" w:hAnsi="Verdana"/>
                <w:b/>
                <w:sz w:val="16"/>
                <w:szCs w:val="16"/>
                <w:lang w:val="en-US"/>
              </w:rPr>
              <w:t xml:space="preserve">Armida Zúñiga Estrada.- </w:t>
            </w:r>
            <w:r w:rsidRPr="00EA5418">
              <w:rPr>
                <w:rFonts w:ascii="Verdana" w:hAnsi="Verdana"/>
                <w:sz w:val="16"/>
                <w:szCs w:val="16"/>
                <w:lang w:val="en-US"/>
              </w:rPr>
              <w:t>Sign</w:t>
            </w:r>
            <w:r>
              <w:rPr>
                <w:rFonts w:ascii="Verdana" w:hAnsi="Verdana"/>
                <w:sz w:val="16"/>
                <w:szCs w:val="16"/>
                <w:lang w:val="en-US"/>
              </w:rPr>
              <w:t>ed</w:t>
            </w:r>
            <w:r w:rsidRPr="00EA5418">
              <w:rPr>
                <w:rFonts w:ascii="Verdana" w:hAnsi="Verdana"/>
                <w:sz w:val="16"/>
                <w:szCs w:val="16"/>
                <w:lang w:val="en-US"/>
              </w:rPr>
              <w:t>.</w:t>
            </w:r>
          </w:p>
        </w:tc>
      </w:tr>
    </w:tbl>
    <w:p w14:paraId="31D0840D" w14:textId="77777777" w:rsidR="00B838EC" w:rsidRPr="00B838EC" w:rsidRDefault="00B838EC" w:rsidP="00B838EC">
      <w:pPr>
        <w:pStyle w:val="Texto"/>
        <w:spacing w:after="94" w:line="276" w:lineRule="auto"/>
        <w:ind w:firstLine="0"/>
        <w:rPr>
          <w:rFonts w:ascii="Verdana" w:hAnsi="Verdana"/>
          <w:b/>
          <w:bCs/>
          <w:sz w:val="16"/>
          <w:szCs w:val="16"/>
          <w:lang w:val="en-US"/>
        </w:rPr>
      </w:pPr>
    </w:p>
    <w:sectPr w:rsidR="00B838EC" w:rsidRPr="00B838EC" w:rsidSect="00EE7E8A">
      <w:headerReference w:type="even" r:id="rId19"/>
      <w:pgSz w:w="12240" w:h="15840" w:code="1"/>
      <w:pgMar w:top="1152" w:right="1699" w:bottom="1296"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B67C6" w14:textId="77777777" w:rsidR="00F17861" w:rsidRDefault="00F17861">
      <w:r>
        <w:separator/>
      </w:r>
    </w:p>
  </w:endnote>
  <w:endnote w:type="continuationSeparator" w:id="0">
    <w:p w14:paraId="7DACA76C" w14:textId="77777777" w:rsidR="00F17861" w:rsidRDefault="00F1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69500" w14:textId="77777777" w:rsidR="00AD76A2" w:rsidRDefault="00AD76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9E74B" w14:textId="2C1752C2" w:rsidR="00D51E38" w:rsidRPr="009774A8" w:rsidRDefault="00D51E38">
    <w:pPr>
      <w:pStyle w:val="Footer"/>
      <w:rPr>
        <w:rFonts w:ascii="Verdana" w:hAnsi="Verdana"/>
        <w:b/>
        <w:sz w:val="16"/>
        <w:szCs w:val="16"/>
        <w:lang w:val="es-MX"/>
      </w:rPr>
    </w:pPr>
    <w:r w:rsidRPr="009774A8">
      <w:rPr>
        <w:rFonts w:ascii="Verdana" w:hAnsi="Verdana"/>
        <w:b/>
        <w:sz w:val="16"/>
        <w:szCs w:val="16"/>
        <w:lang w:val="es-MX"/>
      </w:rPr>
      <w:t>Derechos Reservados © 2016</w:t>
    </w:r>
    <w:r w:rsidR="005A3403">
      <w:rPr>
        <w:rFonts w:ascii="Verdana" w:hAnsi="Verdana"/>
        <w:b/>
        <w:sz w:val="16"/>
        <w:szCs w:val="16"/>
        <w:lang w:val="es-MX"/>
      </w:rPr>
      <w:t>, 202</w:t>
    </w:r>
    <w:r w:rsidR="00906F5C">
      <w:rPr>
        <w:rFonts w:ascii="Verdana" w:hAnsi="Verdana"/>
        <w:b/>
        <w:sz w:val="16"/>
        <w:szCs w:val="16"/>
        <w:lang w:val="es-MX"/>
      </w:rPr>
      <w:t>5</w:t>
    </w:r>
    <w:r w:rsidRPr="009774A8">
      <w:rPr>
        <w:rFonts w:ascii="Verdana" w:hAnsi="Verdana"/>
        <w:b/>
        <w:sz w:val="16"/>
        <w:szCs w:val="16"/>
        <w:lang w:val="es-MX"/>
      </w:rPr>
      <w:t xml:space="preserve"> Lic. Glenn Louis McBride</w:t>
    </w:r>
    <w:r>
      <w:rPr>
        <w:rFonts w:ascii="Verdana" w:hAnsi="Verdana"/>
        <w:b/>
        <w:sz w:val="16"/>
        <w:szCs w:val="16"/>
        <w:lang w:val="es-MX"/>
      </w:rPr>
      <w:t xml:space="preserve">                                                 </w:t>
    </w:r>
    <w:r w:rsidRPr="009774A8">
      <w:rPr>
        <w:rFonts w:ascii="Verdana" w:hAnsi="Verdana"/>
        <w:b/>
        <w:sz w:val="16"/>
        <w:szCs w:val="16"/>
        <w:lang w:val="es-MX"/>
      </w:rPr>
      <w:t xml:space="preserve"> </w:t>
    </w:r>
    <w:r w:rsidRPr="009774A8">
      <w:rPr>
        <w:rFonts w:ascii="Verdana" w:hAnsi="Verdana"/>
        <w:b/>
        <w:sz w:val="16"/>
        <w:szCs w:val="16"/>
        <w:lang w:val="es-MX"/>
      </w:rPr>
      <w:fldChar w:fldCharType="begin"/>
    </w:r>
    <w:r w:rsidRPr="009774A8">
      <w:rPr>
        <w:rFonts w:ascii="Verdana" w:hAnsi="Verdana"/>
        <w:b/>
        <w:sz w:val="16"/>
        <w:szCs w:val="16"/>
        <w:lang w:val="es-MX"/>
      </w:rPr>
      <w:instrText xml:space="preserve"> PAGE   \* MERGEFORMAT </w:instrText>
    </w:r>
    <w:r w:rsidRPr="009774A8">
      <w:rPr>
        <w:rFonts w:ascii="Verdana" w:hAnsi="Verdana"/>
        <w:b/>
        <w:sz w:val="16"/>
        <w:szCs w:val="16"/>
        <w:lang w:val="es-MX"/>
      </w:rPr>
      <w:fldChar w:fldCharType="separate"/>
    </w:r>
    <w:r w:rsidR="003462C5">
      <w:rPr>
        <w:rFonts w:ascii="Verdana" w:hAnsi="Verdana"/>
        <w:b/>
        <w:noProof/>
        <w:sz w:val="16"/>
        <w:szCs w:val="16"/>
        <w:lang w:val="es-MX"/>
      </w:rPr>
      <w:t>39</w:t>
    </w:r>
    <w:r w:rsidRPr="009774A8">
      <w:rPr>
        <w:rFonts w:ascii="Verdana" w:hAnsi="Verdana"/>
        <w:b/>
        <w:noProof/>
        <w:sz w:val="16"/>
        <w:szCs w:val="16"/>
        <w:lang w:val="es-MX"/>
      </w:rPr>
      <w:fldChar w:fldCharType="end"/>
    </w:r>
  </w:p>
  <w:p w14:paraId="1B2B2C59" w14:textId="77777777" w:rsidR="00D51E38" w:rsidRDefault="00D51E3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864D" w14:textId="77777777" w:rsidR="00AD76A2" w:rsidRDefault="00AD7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09C16" w14:textId="77777777" w:rsidR="00F17861" w:rsidRDefault="00F17861">
      <w:r>
        <w:separator/>
      </w:r>
    </w:p>
  </w:footnote>
  <w:footnote w:type="continuationSeparator" w:id="0">
    <w:p w14:paraId="0E9614EB" w14:textId="77777777" w:rsidR="00F17861" w:rsidRDefault="00F17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DA75E" w14:textId="77777777" w:rsidR="00D51E38" w:rsidRPr="00325B5C" w:rsidRDefault="00D51E38" w:rsidP="00D92FDD">
    <w:pPr>
      <w:pStyle w:val="Fechas"/>
      <w:rPr>
        <w:rFonts w:cs="Times New Roman"/>
      </w:rPr>
    </w:pPr>
    <w:r>
      <w:rPr>
        <w:rFonts w:cs="Times New Roman"/>
      </w:rPr>
      <w:t xml:space="preserve"> </w:t>
    </w:r>
    <w:r w:rsidRPr="00325B5C">
      <w:rPr>
        <w:rFonts w:cs="Times New Roman"/>
      </w:rPr>
      <w:t xml:space="preserve">     (Segunda Sección)</w:t>
    </w:r>
    <w:r w:rsidRPr="00325B5C">
      <w:rPr>
        <w:rFonts w:cs="Times New Roman"/>
      </w:rPr>
      <w:tab/>
      <w:t>DIARIO OFICIAL</w:t>
    </w:r>
    <w:r w:rsidRPr="00325B5C">
      <w:rPr>
        <w:rFonts w:cs="Times New Roman"/>
      </w:rPr>
      <w:tab/>
      <w:t>Viernes 5 de febrero de 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AFA7" w14:textId="2734BC57" w:rsidR="00D51E38" w:rsidRPr="009774A8" w:rsidRDefault="00D51E38" w:rsidP="009774A8">
    <w:pPr>
      <w:pStyle w:val="Header"/>
      <w:spacing w:after="240"/>
      <w:rPr>
        <w:lang w:val="en-US"/>
      </w:rPr>
    </w:pPr>
    <w:r w:rsidRPr="009774A8">
      <w:rPr>
        <w:rFonts w:ascii="Verdana" w:hAnsi="Verdana"/>
        <w:b/>
        <w:sz w:val="16"/>
        <w:szCs w:val="16"/>
        <w:lang w:val="en-US"/>
      </w:rPr>
      <w:t>NOM-059-SSA1-2015, Good Manufacturing Practices of Drug Products.</w:t>
    </w:r>
    <w:r>
      <w:rPr>
        <w:rFonts w:ascii="Verdana" w:hAnsi="Verdana"/>
        <w:sz w:val="16"/>
        <w:szCs w:val="16"/>
        <w:lang w:val="en-US"/>
      </w:rPr>
      <w:t xml:space="preserve"> </w:t>
    </w:r>
    <w:r w:rsidRPr="00EB6C69">
      <w:rPr>
        <w:rFonts w:ascii="Verdana" w:hAnsi="Verdana"/>
        <w:sz w:val="16"/>
        <w:szCs w:val="16"/>
        <w:lang w:val="en-US"/>
      </w:rPr>
      <w:t xml:space="preserve"> </w:t>
    </w:r>
    <w:r w:rsidRPr="00D51E38">
      <w:rPr>
        <w:rFonts w:ascii="Verdana" w:hAnsi="Verdana"/>
        <w:sz w:val="16"/>
        <w:szCs w:val="16"/>
        <w:lang w:val="en-US"/>
      </w:rPr>
      <w:t>Published</w:t>
    </w:r>
    <w:r>
      <w:rPr>
        <w:rFonts w:ascii="Verdana" w:hAnsi="Verdana"/>
        <w:sz w:val="16"/>
        <w:szCs w:val="16"/>
        <w:lang w:val="en-US"/>
      </w:rPr>
      <w:t xml:space="preserve"> in the DOF Feb. 5, 2016, Effective </w:t>
    </w:r>
    <w:r w:rsidRPr="009774A8">
      <w:rPr>
        <w:rFonts w:ascii="Verdana" w:hAnsi="Verdana"/>
        <w:sz w:val="16"/>
        <w:szCs w:val="16"/>
        <w:lang w:val="en-US"/>
      </w:rPr>
      <w:t>August 04, 2016</w:t>
    </w:r>
    <w:r w:rsidR="000E5341">
      <w:rPr>
        <w:rFonts w:ascii="Verdana" w:hAnsi="Verdana"/>
        <w:sz w:val="16"/>
        <w:szCs w:val="16"/>
        <w:lang w:val="en-US"/>
      </w:rPr>
      <w:t xml:space="preserve"> – updated with the Emergency Modification published August 23, 2023</w:t>
    </w:r>
    <w:r w:rsidR="00906F5C">
      <w:rPr>
        <w:rFonts w:ascii="Verdana" w:hAnsi="Verdana"/>
        <w:sz w:val="16"/>
        <w:szCs w:val="16"/>
        <w:lang w:val="en-US"/>
      </w:rPr>
      <w:t>. Reform published in the DOF on March 19, 2025</w:t>
    </w:r>
    <w:r w:rsidR="00AD76A2">
      <w:rPr>
        <w:rFonts w:ascii="Verdana" w:hAnsi="Verdana"/>
        <w:sz w:val="16"/>
        <w:szCs w:val="16"/>
        <w:lang w:val="en-US"/>
      </w:rPr>
      <w:t xml:space="preserve">, </w:t>
    </w:r>
    <w:r w:rsidR="002C4593">
      <w:rPr>
        <w:rFonts w:ascii="Verdana" w:hAnsi="Verdana"/>
        <w:sz w:val="16"/>
        <w:szCs w:val="16"/>
        <w:lang w:val="en-US"/>
      </w:rPr>
      <w:t>effective date is Sept 16, 2025</w:t>
    </w:r>
    <w:r w:rsidR="00412FD9">
      <w:rPr>
        <w:rFonts w:ascii="Verdana" w:hAnsi="Verdana"/>
        <w:sz w:val="16"/>
        <w:szCs w:val="16"/>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657D" w14:textId="77777777" w:rsidR="00AD76A2" w:rsidRDefault="00AD76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4438" w14:textId="0CF0607B" w:rsidR="00D51E38" w:rsidRPr="00D041E0" w:rsidRDefault="00D51E38">
    <w:pPr>
      <w:pStyle w:val="Header"/>
      <w:framePr w:w="432" w:h="8582" w:hRule="exact" w:hSpace="187" w:wrap="around" w:hAnchor="page" w:x="14789" w:yAlign="center"/>
      <w:pBdr>
        <w:bottom w:val="double" w:sz="6" w:space="1" w:color="auto"/>
      </w:pBdr>
      <w:shd w:val="solid" w:color="FFFFFF" w:fill="FFFFFF"/>
      <w:tabs>
        <w:tab w:val="center" w:pos="4464"/>
        <w:tab w:val="right" w:pos="8582"/>
      </w:tabs>
      <w:spacing w:before="120" w:after="5"/>
      <w:jc w:val="both"/>
      <w:textDirection w:val="tbRl"/>
      <w:rPr>
        <w:sz w:val="18"/>
        <w:szCs w:val="18"/>
      </w:rPr>
    </w:pPr>
    <w:r w:rsidRPr="00D041E0">
      <w:rPr>
        <w:sz w:val="18"/>
        <w:szCs w:val="18"/>
      </w:rPr>
      <w:fldChar w:fldCharType="begin"/>
    </w:r>
    <w:r w:rsidRPr="00D041E0">
      <w:rPr>
        <w:sz w:val="18"/>
        <w:szCs w:val="18"/>
      </w:rPr>
      <w:instrText xml:space="preserve"> PAGE  \* MERGEFORMAT </w:instrText>
    </w:r>
    <w:r w:rsidRPr="00D041E0">
      <w:rPr>
        <w:sz w:val="18"/>
        <w:szCs w:val="18"/>
      </w:rPr>
      <w:fldChar w:fldCharType="separate"/>
    </w:r>
    <w:r>
      <w:rPr>
        <w:noProof/>
        <w:sz w:val="18"/>
        <w:szCs w:val="18"/>
      </w:rPr>
      <w:t>144</w:t>
    </w:r>
    <w:r w:rsidRPr="00D041E0">
      <w:rPr>
        <w:sz w:val="18"/>
        <w:szCs w:val="18"/>
      </w:rPr>
      <w:fldChar w:fldCharType="end"/>
    </w:r>
    <w:r>
      <w:rPr>
        <w:sz w:val="18"/>
        <w:szCs w:val="18"/>
      </w:rPr>
      <w:t xml:space="preserve">     (Segunda Sección)</w:t>
    </w:r>
    <w:r w:rsidRPr="00D041E0">
      <w:rPr>
        <w:sz w:val="18"/>
        <w:szCs w:val="18"/>
      </w:rPr>
      <w:fldChar w:fldCharType="begin"/>
    </w:r>
    <w:r w:rsidRPr="00D041E0">
      <w:rPr>
        <w:sz w:val="18"/>
        <w:szCs w:val="18"/>
      </w:rPr>
      <w:instrText xml:space="preserve"> DocVariable dvFecha </w:instrText>
    </w:r>
    <w:r w:rsidRPr="00D041E0">
      <w:rPr>
        <w:sz w:val="18"/>
        <w:szCs w:val="18"/>
      </w:rPr>
      <w:fldChar w:fldCharType="end"/>
    </w:r>
    <w:r w:rsidRPr="00D041E0">
      <w:rPr>
        <w:sz w:val="18"/>
        <w:szCs w:val="18"/>
      </w:rPr>
      <w:tab/>
      <w:t>DIARIO OFICIAL</w:t>
    </w:r>
    <w:r w:rsidRPr="00D041E0">
      <w:rPr>
        <w:sz w:val="18"/>
        <w:szCs w:val="18"/>
      </w:rPr>
      <w:tab/>
    </w:r>
    <w:r>
      <w:rPr>
        <w:sz w:val="18"/>
        <w:szCs w:val="18"/>
      </w:rPr>
      <w:t>Viernes 5 de febrero de 2016</w:t>
    </w:r>
    <w:r w:rsidRPr="00D041E0">
      <w:rPr>
        <w:sz w:val="18"/>
        <w:szCs w:val="18"/>
      </w:rPr>
      <w:fldChar w:fldCharType="begin"/>
    </w:r>
    <w:r w:rsidRPr="00D041E0">
      <w:rPr>
        <w:sz w:val="18"/>
        <w:szCs w:val="18"/>
      </w:rPr>
      <w:instrText xml:space="preserve"> DocVariable dvSeccion </w:instrText>
    </w:r>
    <w:r w:rsidRPr="00D041E0">
      <w:rPr>
        <w:sz w:val="18"/>
        <w:szCs w:val="18"/>
      </w:rPr>
      <w:fldChar w:fldCharType="end"/>
    </w:r>
  </w:p>
  <w:p w14:paraId="292716E6" w14:textId="77777777" w:rsidR="00D51E38" w:rsidRPr="0029722C" w:rsidRDefault="00D51E38" w:rsidP="002972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05B9" w14:textId="77777777" w:rsidR="00D51E38" w:rsidRDefault="00D51E38" w:rsidP="00D92FDD">
    <w:pPr>
      <w:pStyle w:val="Fechas"/>
    </w:pPr>
    <w:r>
      <w:fldChar w:fldCharType="begin"/>
    </w:r>
    <w:r>
      <w:instrText>PAGE   \* MERGEFORMAT</w:instrText>
    </w:r>
    <w:r>
      <w:fldChar w:fldCharType="separate"/>
    </w:r>
    <w:r w:rsidRPr="009774A8">
      <w:rPr>
        <w:noProof/>
        <w:lang w:val="es-ES"/>
      </w:rPr>
      <w:t>146</w:t>
    </w:r>
    <w:r>
      <w:fldChar w:fldCharType="end"/>
    </w:r>
    <w:r>
      <w:t xml:space="preserve">     (Segunda Sección)</w:t>
    </w:r>
    <w:r>
      <w:tab/>
      <w:t>DIARIO OFICIAL</w:t>
    </w:r>
    <w:r>
      <w:tab/>
      <w:t>Viernes 5 de febrero de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604769847">
    <w:abstractNumId w:val="1"/>
  </w:num>
  <w:num w:numId="2" w16cid:durableId="992491855">
    <w:abstractNumId w:val="2"/>
  </w:num>
  <w:num w:numId="3" w16cid:durableId="1779450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CO" w:vendorID="64" w:dllVersion="6"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98E"/>
    <w:rsid w:val="000069C5"/>
    <w:rsid w:val="00006B89"/>
    <w:rsid w:val="00011104"/>
    <w:rsid w:val="0001278E"/>
    <w:rsid w:val="0002567A"/>
    <w:rsid w:val="000318A7"/>
    <w:rsid w:val="000326C0"/>
    <w:rsid w:val="00032CE5"/>
    <w:rsid w:val="00037041"/>
    <w:rsid w:val="0004244C"/>
    <w:rsid w:val="00063362"/>
    <w:rsid w:val="000746D0"/>
    <w:rsid w:val="000774EB"/>
    <w:rsid w:val="000824A7"/>
    <w:rsid w:val="00083B96"/>
    <w:rsid w:val="00084052"/>
    <w:rsid w:val="00085CFF"/>
    <w:rsid w:val="000868A2"/>
    <w:rsid w:val="00090755"/>
    <w:rsid w:val="000934C4"/>
    <w:rsid w:val="000B2D11"/>
    <w:rsid w:val="000B42E5"/>
    <w:rsid w:val="000B64FD"/>
    <w:rsid w:val="000C33A9"/>
    <w:rsid w:val="000C50D4"/>
    <w:rsid w:val="000C6F5B"/>
    <w:rsid w:val="000C7973"/>
    <w:rsid w:val="000D2621"/>
    <w:rsid w:val="000D6D8F"/>
    <w:rsid w:val="000E0BB3"/>
    <w:rsid w:val="000E5341"/>
    <w:rsid w:val="000E7E3A"/>
    <w:rsid w:val="000F034D"/>
    <w:rsid w:val="000F0FA3"/>
    <w:rsid w:val="000F706A"/>
    <w:rsid w:val="0010031A"/>
    <w:rsid w:val="00100FF0"/>
    <w:rsid w:val="0010470B"/>
    <w:rsid w:val="0010703B"/>
    <w:rsid w:val="00112034"/>
    <w:rsid w:val="001159FC"/>
    <w:rsid w:val="00117CA9"/>
    <w:rsid w:val="00120F57"/>
    <w:rsid w:val="0012418F"/>
    <w:rsid w:val="00127140"/>
    <w:rsid w:val="001303A7"/>
    <w:rsid w:val="00131563"/>
    <w:rsid w:val="001366A9"/>
    <w:rsid w:val="00140A5C"/>
    <w:rsid w:val="00144C44"/>
    <w:rsid w:val="00145B57"/>
    <w:rsid w:val="00145FAC"/>
    <w:rsid w:val="00151218"/>
    <w:rsid w:val="00151580"/>
    <w:rsid w:val="00151584"/>
    <w:rsid w:val="00151DBE"/>
    <w:rsid w:val="001521D1"/>
    <w:rsid w:val="00152FAD"/>
    <w:rsid w:val="00155A7E"/>
    <w:rsid w:val="001574EC"/>
    <w:rsid w:val="00157B59"/>
    <w:rsid w:val="001604EB"/>
    <w:rsid w:val="00162B44"/>
    <w:rsid w:val="001637F2"/>
    <w:rsid w:val="001642EF"/>
    <w:rsid w:val="0016674B"/>
    <w:rsid w:val="00175C00"/>
    <w:rsid w:val="00176B02"/>
    <w:rsid w:val="001835E1"/>
    <w:rsid w:val="001925CD"/>
    <w:rsid w:val="001B35D9"/>
    <w:rsid w:val="001B6981"/>
    <w:rsid w:val="001B6ECB"/>
    <w:rsid w:val="001C3FB6"/>
    <w:rsid w:val="001C52FF"/>
    <w:rsid w:val="001C6A90"/>
    <w:rsid w:val="001E0904"/>
    <w:rsid w:val="001E15A8"/>
    <w:rsid w:val="001E38E6"/>
    <w:rsid w:val="001E6CB1"/>
    <w:rsid w:val="001F6325"/>
    <w:rsid w:val="0021373C"/>
    <w:rsid w:val="00221054"/>
    <w:rsid w:val="002214D8"/>
    <w:rsid w:val="002353E1"/>
    <w:rsid w:val="002370D0"/>
    <w:rsid w:val="0024170C"/>
    <w:rsid w:val="00243005"/>
    <w:rsid w:val="00243B2A"/>
    <w:rsid w:val="00245ED7"/>
    <w:rsid w:val="0025082C"/>
    <w:rsid w:val="00250E4A"/>
    <w:rsid w:val="00255299"/>
    <w:rsid w:val="0026186D"/>
    <w:rsid w:val="00262EF8"/>
    <w:rsid w:val="00265FFE"/>
    <w:rsid w:val="00267D65"/>
    <w:rsid w:val="00272577"/>
    <w:rsid w:val="00285BE5"/>
    <w:rsid w:val="00286668"/>
    <w:rsid w:val="00286E67"/>
    <w:rsid w:val="00290296"/>
    <w:rsid w:val="00291CA7"/>
    <w:rsid w:val="002940B6"/>
    <w:rsid w:val="0029722C"/>
    <w:rsid w:val="002A320B"/>
    <w:rsid w:val="002A4902"/>
    <w:rsid w:val="002A7D44"/>
    <w:rsid w:val="002B00EE"/>
    <w:rsid w:val="002B127D"/>
    <w:rsid w:val="002B1CC5"/>
    <w:rsid w:val="002B3857"/>
    <w:rsid w:val="002B5879"/>
    <w:rsid w:val="002B7092"/>
    <w:rsid w:val="002C3644"/>
    <w:rsid w:val="002C4593"/>
    <w:rsid w:val="002D05A1"/>
    <w:rsid w:val="002D7045"/>
    <w:rsid w:val="002E0094"/>
    <w:rsid w:val="002F1309"/>
    <w:rsid w:val="002F6279"/>
    <w:rsid w:val="002F666A"/>
    <w:rsid w:val="0030159D"/>
    <w:rsid w:val="0030321A"/>
    <w:rsid w:val="00307E48"/>
    <w:rsid w:val="00322F3C"/>
    <w:rsid w:val="00323325"/>
    <w:rsid w:val="00323864"/>
    <w:rsid w:val="0032394E"/>
    <w:rsid w:val="00325B5C"/>
    <w:rsid w:val="00326B04"/>
    <w:rsid w:val="00330780"/>
    <w:rsid w:val="00332A2F"/>
    <w:rsid w:val="003340A4"/>
    <w:rsid w:val="003342BC"/>
    <w:rsid w:val="00335F65"/>
    <w:rsid w:val="003368C4"/>
    <w:rsid w:val="0034339F"/>
    <w:rsid w:val="00345307"/>
    <w:rsid w:val="00345D4C"/>
    <w:rsid w:val="003462C5"/>
    <w:rsid w:val="0035033B"/>
    <w:rsid w:val="00357A6B"/>
    <w:rsid w:val="00360110"/>
    <w:rsid w:val="0036410B"/>
    <w:rsid w:val="003656C6"/>
    <w:rsid w:val="0036607A"/>
    <w:rsid w:val="003676E9"/>
    <w:rsid w:val="003704CC"/>
    <w:rsid w:val="00371632"/>
    <w:rsid w:val="003721D4"/>
    <w:rsid w:val="00373C14"/>
    <w:rsid w:val="00373DFE"/>
    <w:rsid w:val="00374960"/>
    <w:rsid w:val="0037753A"/>
    <w:rsid w:val="0039202C"/>
    <w:rsid w:val="0039481A"/>
    <w:rsid w:val="00397C1C"/>
    <w:rsid w:val="003A0F1C"/>
    <w:rsid w:val="003A219A"/>
    <w:rsid w:val="003B1CD4"/>
    <w:rsid w:val="003B385C"/>
    <w:rsid w:val="003B41ED"/>
    <w:rsid w:val="003B60B0"/>
    <w:rsid w:val="003C5E22"/>
    <w:rsid w:val="003C5EB9"/>
    <w:rsid w:val="003D5B75"/>
    <w:rsid w:val="003E1CFC"/>
    <w:rsid w:val="003E3D90"/>
    <w:rsid w:val="003E5783"/>
    <w:rsid w:val="003E7472"/>
    <w:rsid w:val="003F06BF"/>
    <w:rsid w:val="003F0969"/>
    <w:rsid w:val="003F2831"/>
    <w:rsid w:val="003F4C87"/>
    <w:rsid w:val="0040103D"/>
    <w:rsid w:val="004034E8"/>
    <w:rsid w:val="00404310"/>
    <w:rsid w:val="00406E21"/>
    <w:rsid w:val="00410B8C"/>
    <w:rsid w:val="00412ED6"/>
    <w:rsid w:val="00412FD9"/>
    <w:rsid w:val="004142D5"/>
    <w:rsid w:val="004257B5"/>
    <w:rsid w:val="0042779F"/>
    <w:rsid w:val="004352A9"/>
    <w:rsid w:val="00437A8E"/>
    <w:rsid w:val="00440349"/>
    <w:rsid w:val="00440888"/>
    <w:rsid w:val="00453217"/>
    <w:rsid w:val="00464085"/>
    <w:rsid w:val="004652D9"/>
    <w:rsid w:val="00465E99"/>
    <w:rsid w:val="00466A94"/>
    <w:rsid w:val="00490FA9"/>
    <w:rsid w:val="004947F1"/>
    <w:rsid w:val="004A159E"/>
    <w:rsid w:val="004A25C1"/>
    <w:rsid w:val="004A7426"/>
    <w:rsid w:val="004A7592"/>
    <w:rsid w:val="004B2F2C"/>
    <w:rsid w:val="004C2B89"/>
    <w:rsid w:val="004C49C6"/>
    <w:rsid w:val="004C79C9"/>
    <w:rsid w:val="004D4A72"/>
    <w:rsid w:val="004D61F4"/>
    <w:rsid w:val="004E023F"/>
    <w:rsid w:val="004E126E"/>
    <w:rsid w:val="004E6B1F"/>
    <w:rsid w:val="004E77FB"/>
    <w:rsid w:val="004E7904"/>
    <w:rsid w:val="004F3FE9"/>
    <w:rsid w:val="004F4FD4"/>
    <w:rsid w:val="00500407"/>
    <w:rsid w:val="00502A22"/>
    <w:rsid w:val="0051215D"/>
    <w:rsid w:val="00512CDB"/>
    <w:rsid w:val="00514993"/>
    <w:rsid w:val="00534337"/>
    <w:rsid w:val="0053581A"/>
    <w:rsid w:val="00535845"/>
    <w:rsid w:val="00535B13"/>
    <w:rsid w:val="005375E6"/>
    <w:rsid w:val="005438AB"/>
    <w:rsid w:val="0054733E"/>
    <w:rsid w:val="00550924"/>
    <w:rsid w:val="00550A06"/>
    <w:rsid w:val="0055349C"/>
    <w:rsid w:val="005551DC"/>
    <w:rsid w:val="005574CB"/>
    <w:rsid w:val="0056428D"/>
    <w:rsid w:val="005675B3"/>
    <w:rsid w:val="00567D8E"/>
    <w:rsid w:val="0057752A"/>
    <w:rsid w:val="00582C9E"/>
    <w:rsid w:val="00583502"/>
    <w:rsid w:val="00591555"/>
    <w:rsid w:val="005A0268"/>
    <w:rsid w:val="005A3403"/>
    <w:rsid w:val="005A725E"/>
    <w:rsid w:val="005B7010"/>
    <w:rsid w:val="005C0901"/>
    <w:rsid w:val="005C24C0"/>
    <w:rsid w:val="005C4019"/>
    <w:rsid w:val="005C75DE"/>
    <w:rsid w:val="005D43E5"/>
    <w:rsid w:val="005D7D14"/>
    <w:rsid w:val="005E3C0E"/>
    <w:rsid w:val="005E5B4E"/>
    <w:rsid w:val="005F137C"/>
    <w:rsid w:val="005F1A56"/>
    <w:rsid w:val="00604666"/>
    <w:rsid w:val="006068D8"/>
    <w:rsid w:val="00607123"/>
    <w:rsid w:val="00613A46"/>
    <w:rsid w:val="00614F16"/>
    <w:rsid w:val="006215FC"/>
    <w:rsid w:val="006231E1"/>
    <w:rsid w:val="00627360"/>
    <w:rsid w:val="00627D1A"/>
    <w:rsid w:val="006326B3"/>
    <w:rsid w:val="0063495E"/>
    <w:rsid w:val="00634C63"/>
    <w:rsid w:val="00637BD8"/>
    <w:rsid w:val="00646C17"/>
    <w:rsid w:val="006475FD"/>
    <w:rsid w:val="00655E7D"/>
    <w:rsid w:val="00656CFF"/>
    <w:rsid w:val="00661010"/>
    <w:rsid w:val="00666033"/>
    <w:rsid w:val="0066784C"/>
    <w:rsid w:val="006711A8"/>
    <w:rsid w:val="00674139"/>
    <w:rsid w:val="00681BC5"/>
    <w:rsid w:val="00687A4F"/>
    <w:rsid w:val="00691836"/>
    <w:rsid w:val="00692758"/>
    <w:rsid w:val="0069357B"/>
    <w:rsid w:val="00695B9F"/>
    <w:rsid w:val="00697B7C"/>
    <w:rsid w:val="006A22A1"/>
    <w:rsid w:val="006A32CF"/>
    <w:rsid w:val="006A45CD"/>
    <w:rsid w:val="006A4A11"/>
    <w:rsid w:val="006B7539"/>
    <w:rsid w:val="006C1BF3"/>
    <w:rsid w:val="006C24F8"/>
    <w:rsid w:val="006C2BEF"/>
    <w:rsid w:val="006D2E40"/>
    <w:rsid w:val="006D703E"/>
    <w:rsid w:val="006E0C8C"/>
    <w:rsid w:val="006E0D60"/>
    <w:rsid w:val="006E219C"/>
    <w:rsid w:val="006E2487"/>
    <w:rsid w:val="006E27FE"/>
    <w:rsid w:val="006E3706"/>
    <w:rsid w:val="006E4EE3"/>
    <w:rsid w:val="006E63F3"/>
    <w:rsid w:val="006E66EC"/>
    <w:rsid w:val="006F1F2F"/>
    <w:rsid w:val="0070205D"/>
    <w:rsid w:val="0070328B"/>
    <w:rsid w:val="0070415B"/>
    <w:rsid w:val="0070669F"/>
    <w:rsid w:val="00707FC0"/>
    <w:rsid w:val="007123B8"/>
    <w:rsid w:val="00715B70"/>
    <w:rsid w:val="00717A6D"/>
    <w:rsid w:val="00717F22"/>
    <w:rsid w:val="00724703"/>
    <w:rsid w:val="00727FA4"/>
    <w:rsid w:val="00732974"/>
    <w:rsid w:val="00735A29"/>
    <w:rsid w:val="00735E9D"/>
    <w:rsid w:val="00737435"/>
    <w:rsid w:val="00737AA8"/>
    <w:rsid w:val="00741ABD"/>
    <w:rsid w:val="00746606"/>
    <w:rsid w:val="00746FC8"/>
    <w:rsid w:val="0075326D"/>
    <w:rsid w:val="007578BE"/>
    <w:rsid w:val="00771BE9"/>
    <w:rsid w:val="00773A7C"/>
    <w:rsid w:val="00775D28"/>
    <w:rsid w:val="00781447"/>
    <w:rsid w:val="0078696B"/>
    <w:rsid w:val="007946A1"/>
    <w:rsid w:val="00797AB4"/>
    <w:rsid w:val="007A0956"/>
    <w:rsid w:val="007A0E8B"/>
    <w:rsid w:val="007A6930"/>
    <w:rsid w:val="007B141A"/>
    <w:rsid w:val="007C12BA"/>
    <w:rsid w:val="007C3878"/>
    <w:rsid w:val="007C6DC8"/>
    <w:rsid w:val="007D00B8"/>
    <w:rsid w:val="007D286A"/>
    <w:rsid w:val="007D358D"/>
    <w:rsid w:val="007D3C22"/>
    <w:rsid w:val="007E230B"/>
    <w:rsid w:val="007E4088"/>
    <w:rsid w:val="007F087C"/>
    <w:rsid w:val="00801900"/>
    <w:rsid w:val="00806D73"/>
    <w:rsid w:val="0081584C"/>
    <w:rsid w:val="008219A2"/>
    <w:rsid w:val="00824FCD"/>
    <w:rsid w:val="0082552E"/>
    <w:rsid w:val="00827CE1"/>
    <w:rsid w:val="0083080F"/>
    <w:rsid w:val="00831FD4"/>
    <w:rsid w:val="00833971"/>
    <w:rsid w:val="00846083"/>
    <w:rsid w:val="0085664A"/>
    <w:rsid w:val="00861FCE"/>
    <w:rsid w:val="008637AD"/>
    <w:rsid w:val="008651ED"/>
    <w:rsid w:val="00866A97"/>
    <w:rsid w:val="00867B62"/>
    <w:rsid w:val="00875A59"/>
    <w:rsid w:val="0088001D"/>
    <w:rsid w:val="00886332"/>
    <w:rsid w:val="0089558E"/>
    <w:rsid w:val="0089661E"/>
    <w:rsid w:val="00897DFC"/>
    <w:rsid w:val="008A0669"/>
    <w:rsid w:val="008A23F3"/>
    <w:rsid w:val="008B5BD2"/>
    <w:rsid w:val="008B7D90"/>
    <w:rsid w:val="008C110A"/>
    <w:rsid w:val="008C7D53"/>
    <w:rsid w:val="008D0392"/>
    <w:rsid w:val="008D17A5"/>
    <w:rsid w:val="008D2740"/>
    <w:rsid w:val="008D7339"/>
    <w:rsid w:val="008D7700"/>
    <w:rsid w:val="008E35DF"/>
    <w:rsid w:val="008E464A"/>
    <w:rsid w:val="008E4CBF"/>
    <w:rsid w:val="008E64D8"/>
    <w:rsid w:val="008F3BEC"/>
    <w:rsid w:val="008F5C15"/>
    <w:rsid w:val="008F5F17"/>
    <w:rsid w:val="008F7A18"/>
    <w:rsid w:val="009063AB"/>
    <w:rsid w:val="00906F5C"/>
    <w:rsid w:val="00913D77"/>
    <w:rsid w:val="009167A0"/>
    <w:rsid w:val="009176DA"/>
    <w:rsid w:val="009200A2"/>
    <w:rsid w:val="00924A04"/>
    <w:rsid w:val="0092514C"/>
    <w:rsid w:val="009329FB"/>
    <w:rsid w:val="00944612"/>
    <w:rsid w:val="00945122"/>
    <w:rsid w:val="00945F33"/>
    <w:rsid w:val="00947A46"/>
    <w:rsid w:val="009544C9"/>
    <w:rsid w:val="00955054"/>
    <w:rsid w:val="00955201"/>
    <w:rsid w:val="00967A55"/>
    <w:rsid w:val="00970902"/>
    <w:rsid w:val="009774A8"/>
    <w:rsid w:val="009830DF"/>
    <w:rsid w:val="009859C6"/>
    <w:rsid w:val="00986238"/>
    <w:rsid w:val="00986788"/>
    <w:rsid w:val="009870E5"/>
    <w:rsid w:val="009928F7"/>
    <w:rsid w:val="009932CA"/>
    <w:rsid w:val="00997DE7"/>
    <w:rsid w:val="009A22F9"/>
    <w:rsid w:val="009A27E2"/>
    <w:rsid w:val="009A7654"/>
    <w:rsid w:val="009B1C12"/>
    <w:rsid w:val="009B3B54"/>
    <w:rsid w:val="009B4DAD"/>
    <w:rsid w:val="009B6EC8"/>
    <w:rsid w:val="009C02DA"/>
    <w:rsid w:val="009C10CD"/>
    <w:rsid w:val="009C18BC"/>
    <w:rsid w:val="009D20AD"/>
    <w:rsid w:val="009D3774"/>
    <w:rsid w:val="009E1AC6"/>
    <w:rsid w:val="009E3B35"/>
    <w:rsid w:val="009E63EA"/>
    <w:rsid w:val="009F050F"/>
    <w:rsid w:val="009F1501"/>
    <w:rsid w:val="009F552B"/>
    <w:rsid w:val="009F698E"/>
    <w:rsid w:val="009F6C97"/>
    <w:rsid w:val="00A11A2C"/>
    <w:rsid w:val="00A25A32"/>
    <w:rsid w:val="00A26B9F"/>
    <w:rsid w:val="00A31E9B"/>
    <w:rsid w:val="00A333DC"/>
    <w:rsid w:val="00A40DD4"/>
    <w:rsid w:val="00A430A8"/>
    <w:rsid w:val="00A44659"/>
    <w:rsid w:val="00A47AD2"/>
    <w:rsid w:val="00A52466"/>
    <w:rsid w:val="00A53D31"/>
    <w:rsid w:val="00A61554"/>
    <w:rsid w:val="00A668E7"/>
    <w:rsid w:val="00A73F8A"/>
    <w:rsid w:val="00A75273"/>
    <w:rsid w:val="00A76032"/>
    <w:rsid w:val="00A8089D"/>
    <w:rsid w:val="00A8099D"/>
    <w:rsid w:val="00A81D62"/>
    <w:rsid w:val="00A84922"/>
    <w:rsid w:val="00A90C04"/>
    <w:rsid w:val="00A9159B"/>
    <w:rsid w:val="00AA362F"/>
    <w:rsid w:val="00AA47F5"/>
    <w:rsid w:val="00AB28EF"/>
    <w:rsid w:val="00AC6B53"/>
    <w:rsid w:val="00AD1304"/>
    <w:rsid w:val="00AD54E0"/>
    <w:rsid w:val="00AD76A2"/>
    <w:rsid w:val="00AF34FA"/>
    <w:rsid w:val="00AF61D6"/>
    <w:rsid w:val="00B00632"/>
    <w:rsid w:val="00B063FE"/>
    <w:rsid w:val="00B1087D"/>
    <w:rsid w:val="00B12EE3"/>
    <w:rsid w:val="00B142E0"/>
    <w:rsid w:val="00B14C29"/>
    <w:rsid w:val="00B1622D"/>
    <w:rsid w:val="00B170E8"/>
    <w:rsid w:val="00B27337"/>
    <w:rsid w:val="00B33C59"/>
    <w:rsid w:val="00B3769E"/>
    <w:rsid w:val="00B37A7E"/>
    <w:rsid w:val="00B4446D"/>
    <w:rsid w:val="00B5755A"/>
    <w:rsid w:val="00B60513"/>
    <w:rsid w:val="00B63531"/>
    <w:rsid w:val="00B65601"/>
    <w:rsid w:val="00B7008A"/>
    <w:rsid w:val="00B717B3"/>
    <w:rsid w:val="00B73C0E"/>
    <w:rsid w:val="00B838EC"/>
    <w:rsid w:val="00B8553D"/>
    <w:rsid w:val="00B859E3"/>
    <w:rsid w:val="00B94C36"/>
    <w:rsid w:val="00BA01C9"/>
    <w:rsid w:val="00BA282E"/>
    <w:rsid w:val="00BA4D45"/>
    <w:rsid w:val="00BB03DD"/>
    <w:rsid w:val="00BB266F"/>
    <w:rsid w:val="00BC05BB"/>
    <w:rsid w:val="00BC5B5E"/>
    <w:rsid w:val="00BD019F"/>
    <w:rsid w:val="00BD66D2"/>
    <w:rsid w:val="00BE14DD"/>
    <w:rsid w:val="00BE1FFF"/>
    <w:rsid w:val="00BE2264"/>
    <w:rsid w:val="00BE22CD"/>
    <w:rsid w:val="00BE72FE"/>
    <w:rsid w:val="00BF091C"/>
    <w:rsid w:val="00BF0B28"/>
    <w:rsid w:val="00BF2629"/>
    <w:rsid w:val="00BF4994"/>
    <w:rsid w:val="00BF5A35"/>
    <w:rsid w:val="00C01B5D"/>
    <w:rsid w:val="00C11750"/>
    <w:rsid w:val="00C1687F"/>
    <w:rsid w:val="00C24568"/>
    <w:rsid w:val="00C258E4"/>
    <w:rsid w:val="00C25918"/>
    <w:rsid w:val="00C461BF"/>
    <w:rsid w:val="00C521C6"/>
    <w:rsid w:val="00C54322"/>
    <w:rsid w:val="00C56C02"/>
    <w:rsid w:val="00C61F03"/>
    <w:rsid w:val="00C62B4C"/>
    <w:rsid w:val="00C6635F"/>
    <w:rsid w:val="00C71F1B"/>
    <w:rsid w:val="00C720F0"/>
    <w:rsid w:val="00C72F0B"/>
    <w:rsid w:val="00C73D15"/>
    <w:rsid w:val="00C73EA0"/>
    <w:rsid w:val="00C77C60"/>
    <w:rsid w:val="00C8407C"/>
    <w:rsid w:val="00C8571A"/>
    <w:rsid w:val="00C8576D"/>
    <w:rsid w:val="00C85C84"/>
    <w:rsid w:val="00C87E15"/>
    <w:rsid w:val="00C9060E"/>
    <w:rsid w:val="00C92DEC"/>
    <w:rsid w:val="00C954DA"/>
    <w:rsid w:val="00C96371"/>
    <w:rsid w:val="00C967E4"/>
    <w:rsid w:val="00CA1DE0"/>
    <w:rsid w:val="00CA2FDC"/>
    <w:rsid w:val="00CA3641"/>
    <w:rsid w:val="00CA3ADC"/>
    <w:rsid w:val="00CA3BBA"/>
    <w:rsid w:val="00CA4622"/>
    <w:rsid w:val="00CB764A"/>
    <w:rsid w:val="00CC0602"/>
    <w:rsid w:val="00CC39A6"/>
    <w:rsid w:val="00CC71C5"/>
    <w:rsid w:val="00CD67E0"/>
    <w:rsid w:val="00CD6850"/>
    <w:rsid w:val="00CE40FF"/>
    <w:rsid w:val="00CE5416"/>
    <w:rsid w:val="00CE565E"/>
    <w:rsid w:val="00CE67E8"/>
    <w:rsid w:val="00CF6193"/>
    <w:rsid w:val="00CF6A64"/>
    <w:rsid w:val="00D04785"/>
    <w:rsid w:val="00D1638A"/>
    <w:rsid w:val="00D20CDE"/>
    <w:rsid w:val="00D30D1E"/>
    <w:rsid w:val="00D32C7D"/>
    <w:rsid w:val="00D34588"/>
    <w:rsid w:val="00D3478E"/>
    <w:rsid w:val="00D3513A"/>
    <w:rsid w:val="00D36354"/>
    <w:rsid w:val="00D37CA3"/>
    <w:rsid w:val="00D429B4"/>
    <w:rsid w:val="00D42FD2"/>
    <w:rsid w:val="00D51E38"/>
    <w:rsid w:val="00D54C2F"/>
    <w:rsid w:val="00D63A83"/>
    <w:rsid w:val="00D64953"/>
    <w:rsid w:val="00D735C4"/>
    <w:rsid w:val="00D81548"/>
    <w:rsid w:val="00D87572"/>
    <w:rsid w:val="00D90498"/>
    <w:rsid w:val="00D92FDD"/>
    <w:rsid w:val="00DB0C6C"/>
    <w:rsid w:val="00DB2529"/>
    <w:rsid w:val="00DB291A"/>
    <w:rsid w:val="00DB3A3D"/>
    <w:rsid w:val="00DB4E06"/>
    <w:rsid w:val="00DC11A8"/>
    <w:rsid w:val="00DC4FDA"/>
    <w:rsid w:val="00DC6342"/>
    <w:rsid w:val="00DD29AF"/>
    <w:rsid w:val="00DD37C9"/>
    <w:rsid w:val="00DD5454"/>
    <w:rsid w:val="00DD57D4"/>
    <w:rsid w:val="00DE35D0"/>
    <w:rsid w:val="00DE4C7A"/>
    <w:rsid w:val="00DE5DA8"/>
    <w:rsid w:val="00DE68B8"/>
    <w:rsid w:val="00DE6F40"/>
    <w:rsid w:val="00DF2B98"/>
    <w:rsid w:val="00DF39A5"/>
    <w:rsid w:val="00DF6036"/>
    <w:rsid w:val="00DF6BC3"/>
    <w:rsid w:val="00E15A00"/>
    <w:rsid w:val="00E21F6A"/>
    <w:rsid w:val="00E23005"/>
    <w:rsid w:val="00E30B22"/>
    <w:rsid w:val="00E3798A"/>
    <w:rsid w:val="00E460F3"/>
    <w:rsid w:val="00E50177"/>
    <w:rsid w:val="00E5027B"/>
    <w:rsid w:val="00E5626A"/>
    <w:rsid w:val="00E57D17"/>
    <w:rsid w:val="00E70344"/>
    <w:rsid w:val="00E7160E"/>
    <w:rsid w:val="00E74246"/>
    <w:rsid w:val="00E743CA"/>
    <w:rsid w:val="00E772E5"/>
    <w:rsid w:val="00E820C8"/>
    <w:rsid w:val="00E82585"/>
    <w:rsid w:val="00E93298"/>
    <w:rsid w:val="00EA0ABD"/>
    <w:rsid w:val="00EA210C"/>
    <w:rsid w:val="00EA46E7"/>
    <w:rsid w:val="00EA4939"/>
    <w:rsid w:val="00EB002C"/>
    <w:rsid w:val="00EB16F2"/>
    <w:rsid w:val="00EB3C2A"/>
    <w:rsid w:val="00EB6C69"/>
    <w:rsid w:val="00EB7528"/>
    <w:rsid w:val="00EC128C"/>
    <w:rsid w:val="00EC2C40"/>
    <w:rsid w:val="00EC378D"/>
    <w:rsid w:val="00EC3E4C"/>
    <w:rsid w:val="00EE6353"/>
    <w:rsid w:val="00EE7E8A"/>
    <w:rsid w:val="00EF1962"/>
    <w:rsid w:val="00EF226B"/>
    <w:rsid w:val="00EF5E74"/>
    <w:rsid w:val="00F00937"/>
    <w:rsid w:val="00F078E1"/>
    <w:rsid w:val="00F17469"/>
    <w:rsid w:val="00F17861"/>
    <w:rsid w:val="00F22399"/>
    <w:rsid w:val="00F27CA2"/>
    <w:rsid w:val="00F31021"/>
    <w:rsid w:val="00F315C9"/>
    <w:rsid w:val="00F33A80"/>
    <w:rsid w:val="00F347CC"/>
    <w:rsid w:val="00F42E31"/>
    <w:rsid w:val="00F43282"/>
    <w:rsid w:val="00F45C69"/>
    <w:rsid w:val="00F4690B"/>
    <w:rsid w:val="00F51E5E"/>
    <w:rsid w:val="00F538E4"/>
    <w:rsid w:val="00F54FDE"/>
    <w:rsid w:val="00F64B32"/>
    <w:rsid w:val="00F66081"/>
    <w:rsid w:val="00F66EBD"/>
    <w:rsid w:val="00F70181"/>
    <w:rsid w:val="00F70C4B"/>
    <w:rsid w:val="00F74D33"/>
    <w:rsid w:val="00F74F2F"/>
    <w:rsid w:val="00F808C0"/>
    <w:rsid w:val="00F82E17"/>
    <w:rsid w:val="00F83712"/>
    <w:rsid w:val="00F8497B"/>
    <w:rsid w:val="00F85CA3"/>
    <w:rsid w:val="00F874A7"/>
    <w:rsid w:val="00F97851"/>
    <w:rsid w:val="00FA672D"/>
    <w:rsid w:val="00FA7C6E"/>
    <w:rsid w:val="00FB74DA"/>
    <w:rsid w:val="00FB7D29"/>
    <w:rsid w:val="00FC0156"/>
    <w:rsid w:val="00FC03A2"/>
    <w:rsid w:val="00FC1A3A"/>
    <w:rsid w:val="00FC28A7"/>
    <w:rsid w:val="00FC37D3"/>
    <w:rsid w:val="00FC5DD1"/>
    <w:rsid w:val="00FD0D2C"/>
    <w:rsid w:val="00FD106C"/>
    <w:rsid w:val="00FD3E96"/>
    <w:rsid w:val="00FD428F"/>
    <w:rsid w:val="00FD44E8"/>
    <w:rsid w:val="00FD4EEA"/>
    <w:rsid w:val="00FD7200"/>
    <w:rsid w:val="00FE109C"/>
    <w:rsid w:val="00FE3750"/>
    <w:rsid w:val="00FE5F30"/>
    <w:rsid w:val="00FE6ABD"/>
    <w:rsid w:val="00FE6F55"/>
    <w:rsid w:val="00FF5DF9"/>
    <w:rsid w:val="00FF62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3DC60B"/>
  <w15:chartTrackingRefBased/>
  <w15:docId w15:val="{423D1E61-3F1F-49FD-8649-E519DD9B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1C3FB6"/>
    <w:pPr>
      <w:keepNext/>
      <w:tabs>
        <w:tab w:val="left" w:pos="720"/>
      </w:tabs>
      <w:spacing w:before="240" w:after="60"/>
      <w:ind w:left="720" w:hanging="720"/>
      <w:jc w:val="both"/>
      <w:outlineLvl w:val="2"/>
    </w:pPr>
    <w:rPr>
      <w:rFonts w:ascii="Cambria" w:hAnsi="Cambria" w:cs="Cambria"/>
      <w:b/>
      <w:sz w:val="26"/>
      <w:szCs w:val="20"/>
      <w:lang w:val="en-US" w:eastAsia="es-MX"/>
    </w:rPr>
  </w:style>
  <w:style w:type="paragraph" w:styleId="Heading4">
    <w:name w:val="heading 4"/>
    <w:basedOn w:val="Normal"/>
    <w:next w:val="Normal"/>
    <w:link w:val="Heading4Char"/>
    <w:qFormat/>
    <w:rsid w:val="001C3FB6"/>
    <w:pPr>
      <w:keepNext/>
      <w:tabs>
        <w:tab w:val="left" w:pos="864"/>
      </w:tabs>
      <w:spacing w:before="240" w:after="60"/>
      <w:ind w:left="864" w:hanging="864"/>
      <w:jc w:val="both"/>
      <w:outlineLvl w:val="3"/>
    </w:pPr>
    <w:rPr>
      <w:rFonts w:ascii="Calibri" w:hAnsi="Calibri" w:cs="Calibri"/>
      <w:b/>
      <w:sz w:val="28"/>
      <w:szCs w:val="20"/>
      <w:lang w:val="en-US" w:eastAsia="es-MX"/>
    </w:rPr>
  </w:style>
  <w:style w:type="paragraph" w:styleId="Heading5">
    <w:name w:val="heading 5"/>
    <w:basedOn w:val="Normal"/>
    <w:next w:val="Normal"/>
    <w:link w:val="Heading5Char"/>
    <w:qFormat/>
    <w:rsid w:val="001C3FB6"/>
    <w:pPr>
      <w:tabs>
        <w:tab w:val="left" w:pos="1008"/>
      </w:tabs>
      <w:spacing w:before="240" w:after="60"/>
      <w:ind w:left="1008" w:hanging="1008"/>
      <w:jc w:val="both"/>
      <w:outlineLvl w:val="4"/>
    </w:pPr>
    <w:rPr>
      <w:rFonts w:ascii="Calibri" w:hAnsi="Calibri" w:cs="Calibri"/>
      <w:b/>
      <w:i/>
      <w:sz w:val="26"/>
      <w:szCs w:val="20"/>
      <w:lang w:val="en-US" w:eastAsia="es-MX"/>
    </w:rPr>
  </w:style>
  <w:style w:type="paragraph" w:styleId="Heading6">
    <w:name w:val="heading 6"/>
    <w:basedOn w:val="Normal"/>
    <w:next w:val="Normal"/>
    <w:link w:val="Heading6Char"/>
    <w:qFormat/>
    <w:rsid w:val="001C3FB6"/>
    <w:pPr>
      <w:tabs>
        <w:tab w:val="left" w:pos="1152"/>
      </w:tabs>
      <w:spacing w:before="240" w:after="60"/>
      <w:ind w:left="1152" w:hanging="1152"/>
      <w:jc w:val="both"/>
      <w:outlineLvl w:val="5"/>
    </w:pPr>
    <w:rPr>
      <w:rFonts w:ascii="Calibri" w:hAnsi="Calibri" w:cs="Calibri"/>
      <w:b/>
      <w:sz w:val="20"/>
      <w:szCs w:val="20"/>
      <w:lang w:val="en-US" w:eastAsia="es-MX"/>
    </w:rPr>
  </w:style>
  <w:style w:type="paragraph" w:styleId="Heading7">
    <w:name w:val="heading 7"/>
    <w:basedOn w:val="Normal"/>
    <w:next w:val="Normal"/>
    <w:link w:val="Heading7Char"/>
    <w:qFormat/>
    <w:rsid w:val="001C3FB6"/>
    <w:pPr>
      <w:tabs>
        <w:tab w:val="left" w:pos="1296"/>
      </w:tabs>
      <w:spacing w:before="240" w:after="60"/>
      <w:ind w:left="1296" w:hanging="1296"/>
      <w:jc w:val="both"/>
      <w:outlineLvl w:val="6"/>
    </w:pPr>
    <w:rPr>
      <w:rFonts w:ascii="Calibri" w:hAnsi="Calibri" w:cs="Calibri"/>
      <w:sz w:val="20"/>
      <w:szCs w:val="20"/>
      <w:lang w:val="en-US" w:eastAsia="es-MX"/>
    </w:rPr>
  </w:style>
  <w:style w:type="paragraph" w:styleId="Heading8">
    <w:name w:val="heading 8"/>
    <w:basedOn w:val="Normal"/>
    <w:next w:val="Normal"/>
    <w:link w:val="Heading8Char"/>
    <w:qFormat/>
    <w:rsid w:val="001C3FB6"/>
    <w:pPr>
      <w:tabs>
        <w:tab w:val="left" w:pos="1440"/>
      </w:tabs>
      <w:spacing w:before="240" w:after="60"/>
      <w:ind w:left="1440" w:hanging="1440"/>
      <w:jc w:val="both"/>
      <w:outlineLvl w:val="7"/>
    </w:pPr>
    <w:rPr>
      <w:rFonts w:ascii="Calibri" w:hAnsi="Calibri" w:cs="Calibri"/>
      <w:i/>
      <w:sz w:val="20"/>
      <w:szCs w:val="20"/>
      <w:lang w:val="en-US" w:eastAsia="es-MX"/>
    </w:rPr>
  </w:style>
  <w:style w:type="paragraph" w:styleId="Heading9">
    <w:name w:val="heading 9"/>
    <w:basedOn w:val="Normal"/>
    <w:next w:val="Normal"/>
    <w:link w:val="Heading9Char"/>
    <w:qFormat/>
    <w:rsid w:val="001C3FB6"/>
    <w:pPr>
      <w:tabs>
        <w:tab w:val="left" w:pos="1584"/>
      </w:tabs>
      <w:spacing w:before="240" w:after="60"/>
      <w:ind w:left="1584" w:hanging="1584"/>
      <w:jc w:val="both"/>
      <w:outlineLvl w:val="8"/>
    </w:pPr>
    <w:rPr>
      <w:rFonts w:ascii="Cambria" w:hAnsi="Cambria" w:cs="Cambria"/>
      <w:sz w:val="20"/>
      <w:szCs w:val="20"/>
      <w:lang w:val="en-US"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Prrafodelista">
    <w:name w:val="Párrafo de lista"/>
    <w:basedOn w:val="Normal"/>
    <w:qFormat/>
    <w:rsid w:val="009F698E"/>
    <w:pPr>
      <w:ind w:left="720"/>
      <w:jc w:val="both"/>
    </w:pPr>
    <w:rPr>
      <w:szCs w:val="20"/>
      <w:lang w:val="es-MX" w:eastAsia="es-MX"/>
    </w:rPr>
  </w:style>
  <w:style w:type="character" w:customStyle="1" w:styleId="Heading1Char">
    <w:name w:val="Heading 1 Char"/>
    <w:link w:val="Heading1"/>
    <w:uiPriority w:val="9"/>
    <w:rsid w:val="009F698E"/>
    <w:rPr>
      <w:rFonts w:cs="CG Palacio (WN)"/>
      <w:b/>
      <w:sz w:val="18"/>
      <w:szCs w:val="24"/>
      <w:lang w:val="es-ES" w:eastAsia="es-ES"/>
    </w:rPr>
  </w:style>
  <w:style w:type="character" w:customStyle="1" w:styleId="Heading2Char">
    <w:name w:val="Heading 2 Char"/>
    <w:link w:val="Heading2"/>
    <w:uiPriority w:val="9"/>
    <w:rsid w:val="009F698E"/>
    <w:rPr>
      <w:rFonts w:ascii="Arial" w:hAnsi="Arial" w:cs="Helv"/>
      <w:sz w:val="18"/>
      <w:lang w:val="es-ES_tradnl"/>
    </w:rPr>
  </w:style>
  <w:style w:type="character" w:customStyle="1" w:styleId="Heading3Char">
    <w:name w:val="Heading 3 Char"/>
    <w:link w:val="Heading3"/>
    <w:rsid w:val="001C3FB6"/>
    <w:rPr>
      <w:rFonts w:ascii="Cambria" w:hAnsi="Cambria" w:cs="Cambria"/>
      <w:b/>
      <w:sz w:val="26"/>
      <w:lang w:val="en-US"/>
    </w:rPr>
  </w:style>
  <w:style w:type="character" w:customStyle="1" w:styleId="Heading4Char">
    <w:name w:val="Heading 4 Char"/>
    <w:link w:val="Heading4"/>
    <w:rsid w:val="001C3FB6"/>
    <w:rPr>
      <w:rFonts w:ascii="Calibri" w:hAnsi="Calibri" w:cs="Calibri"/>
      <w:b/>
      <w:sz w:val="28"/>
      <w:lang w:val="en-US"/>
    </w:rPr>
  </w:style>
  <w:style w:type="character" w:customStyle="1" w:styleId="Heading5Char">
    <w:name w:val="Heading 5 Char"/>
    <w:link w:val="Heading5"/>
    <w:rsid w:val="001C3FB6"/>
    <w:rPr>
      <w:rFonts w:ascii="Calibri" w:hAnsi="Calibri" w:cs="Calibri"/>
      <w:b/>
      <w:i/>
      <w:sz w:val="26"/>
      <w:lang w:val="en-US"/>
    </w:rPr>
  </w:style>
  <w:style w:type="character" w:customStyle="1" w:styleId="Heading6Char">
    <w:name w:val="Heading 6 Char"/>
    <w:link w:val="Heading6"/>
    <w:rsid w:val="001C3FB6"/>
    <w:rPr>
      <w:rFonts w:ascii="Calibri" w:hAnsi="Calibri" w:cs="Calibri"/>
      <w:b/>
      <w:lang w:val="en-US"/>
    </w:rPr>
  </w:style>
  <w:style w:type="character" w:customStyle="1" w:styleId="Heading7Char">
    <w:name w:val="Heading 7 Char"/>
    <w:link w:val="Heading7"/>
    <w:rsid w:val="001C3FB6"/>
    <w:rPr>
      <w:rFonts w:ascii="Calibri" w:hAnsi="Calibri" w:cs="Calibri"/>
      <w:lang w:val="en-US"/>
    </w:rPr>
  </w:style>
  <w:style w:type="character" w:customStyle="1" w:styleId="Heading8Char">
    <w:name w:val="Heading 8 Char"/>
    <w:link w:val="Heading8"/>
    <w:rsid w:val="001C3FB6"/>
    <w:rPr>
      <w:rFonts w:ascii="Calibri" w:hAnsi="Calibri" w:cs="Calibri"/>
      <w:i/>
      <w:lang w:val="en-US"/>
    </w:rPr>
  </w:style>
  <w:style w:type="character" w:customStyle="1" w:styleId="Heading9Char">
    <w:name w:val="Heading 9 Char"/>
    <w:link w:val="Heading9"/>
    <w:rsid w:val="001C3FB6"/>
    <w:rPr>
      <w:rFonts w:ascii="Cambria" w:hAnsi="Cambria" w:cs="Cambria"/>
      <w:lang w:val="en-US"/>
    </w:rPr>
  </w:style>
  <w:style w:type="paragraph" w:styleId="CommentText">
    <w:name w:val="annotation text"/>
    <w:basedOn w:val="Normal"/>
    <w:link w:val="CommentTextChar"/>
    <w:rsid w:val="001C3FB6"/>
    <w:rPr>
      <w:rFonts w:ascii="Arial" w:hAnsi="Arial" w:cs="Arial"/>
      <w:szCs w:val="20"/>
      <w:lang w:val="es-ES_tradnl" w:eastAsia="es-MX"/>
    </w:rPr>
  </w:style>
  <w:style w:type="character" w:customStyle="1" w:styleId="CommentTextChar">
    <w:name w:val="Comment Text Char"/>
    <w:link w:val="CommentText"/>
    <w:rsid w:val="001C3FB6"/>
    <w:rPr>
      <w:rFonts w:ascii="Arial" w:hAnsi="Arial" w:cs="Arial"/>
      <w:sz w:val="24"/>
      <w:lang w:val="es-ES_tradnl"/>
    </w:rPr>
  </w:style>
  <w:style w:type="paragraph" w:styleId="FootnoteText">
    <w:name w:val="footnote text"/>
    <w:basedOn w:val="Normal"/>
    <w:link w:val="FootnoteTextChar"/>
    <w:rsid w:val="001C3FB6"/>
    <w:rPr>
      <w:sz w:val="20"/>
      <w:szCs w:val="20"/>
      <w:lang w:val="es-MX" w:eastAsia="es-MX"/>
    </w:rPr>
  </w:style>
  <w:style w:type="character" w:customStyle="1" w:styleId="FootnoteTextChar">
    <w:name w:val="Footnote Text Char"/>
    <w:basedOn w:val="DefaultParagraphFont"/>
    <w:link w:val="FootnoteText"/>
    <w:rsid w:val="001C3FB6"/>
  </w:style>
  <w:style w:type="paragraph" w:customStyle="1" w:styleId="EstilotextoPrimeral">
    <w:name w:val="Estilo texto + Primera l"/>
    <w:basedOn w:val="Normal"/>
    <w:rsid w:val="001C3FB6"/>
    <w:pPr>
      <w:spacing w:after="101" w:line="216" w:lineRule="exact"/>
      <w:jc w:val="both"/>
    </w:pPr>
    <w:rPr>
      <w:rFonts w:ascii="Arial" w:hAnsi="Arial" w:cs="Arial"/>
      <w:sz w:val="18"/>
      <w:szCs w:val="20"/>
      <w:lang w:val="es-MX" w:eastAsia="es-MX"/>
    </w:rPr>
  </w:style>
  <w:style w:type="paragraph" w:customStyle="1" w:styleId="Textoindependiente21">
    <w:name w:val="Texto independiente 21"/>
    <w:basedOn w:val="Normal"/>
    <w:rsid w:val="001C3FB6"/>
    <w:pPr>
      <w:ind w:left="453"/>
      <w:jc w:val="both"/>
    </w:pPr>
    <w:rPr>
      <w:sz w:val="20"/>
      <w:szCs w:val="20"/>
      <w:lang w:val="es-MX" w:eastAsia="es-MX"/>
    </w:rPr>
  </w:style>
  <w:style w:type="paragraph" w:customStyle="1" w:styleId="textoCar0">
    <w:name w:val="texto Car"/>
    <w:rsid w:val="001C3FB6"/>
    <w:pPr>
      <w:spacing w:after="101" w:line="216" w:lineRule="atLeast"/>
      <w:ind w:firstLine="288"/>
      <w:jc w:val="both"/>
    </w:pPr>
    <w:rPr>
      <w:rFonts w:ascii="Arial" w:hAnsi="Arial" w:cs="Arial"/>
      <w:noProof/>
      <w:color w:val="000000"/>
      <w:sz w:val="18"/>
      <w:lang w:val="es-MX" w:eastAsia="es-MX"/>
    </w:rPr>
  </w:style>
  <w:style w:type="paragraph" w:customStyle="1" w:styleId="Textonormal">
    <w:name w:val="Texto normal"/>
    <w:basedOn w:val="Normal"/>
    <w:rsid w:val="001C3FB6"/>
    <w:rPr>
      <w:sz w:val="20"/>
      <w:szCs w:val="20"/>
      <w:lang w:val="es-MX" w:eastAsia="es-MX"/>
    </w:rPr>
  </w:style>
  <w:style w:type="paragraph" w:customStyle="1" w:styleId="Estilosinnombre">
    <w:name w:val="Estilo sin nombre"/>
    <w:basedOn w:val="Normal"/>
    <w:next w:val="Title"/>
    <w:rsid w:val="001C3FB6"/>
    <w:pPr>
      <w:spacing w:line="360" w:lineRule="atLeast"/>
      <w:jc w:val="center"/>
    </w:pPr>
    <w:rPr>
      <w:rFonts w:ascii="Cambria" w:hAnsi="Cambria" w:cs="Cambria"/>
      <w:b/>
      <w:sz w:val="32"/>
      <w:szCs w:val="20"/>
      <w:lang w:val="es-MX" w:eastAsia="es-MX"/>
    </w:rPr>
  </w:style>
  <w:style w:type="paragraph" w:customStyle="1" w:styleId="Textoindependiente31">
    <w:name w:val="Texto independiente 31"/>
    <w:basedOn w:val="Normal"/>
    <w:rsid w:val="001C3FB6"/>
    <w:pPr>
      <w:spacing w:line="360" w:lineRule="atLeast"/>
      <w:jc w:val="both"/>
    </w:pPr>
    <w:rPr>
      <w:sz w:val="16"/>
      <w:szCs w:val="20"/>
      <w:lang w:val="es-MX" w:eastAsia="es-MX"/>
    </w:rPr>
  </w:style>
  <w:style w:type="paragraph" w:styleId="NormalWeb">
    <w:name w:val="Normal (Web)"/>
    <w:basedOn w:val="Normal"/>
    <w:rsid w:val="001C3FB6"/>
    <w:pPr>
      <w:spacing w:before="100" w:after="100"/>
    </w:pPr>
    <w:rPr>
      <w:sz w:val="20"/>
      <w:szCs w:val="20"/>
      <w:lang w:eastAsia="es-MX"/>
    </w:rPr>
  </w:style>
  <w:style w:type="paragraph" w:customStyle="1" w:styleId="Sangra2detindepend">
    <w:name w:val="Sangría 2 de t. independ"/>
    <w:basedOn w:val="Normal"/>
    <w:rsid w:val="001C3FB6"/>
    <w:pPr>
      <w:spacing w:after="120" w:line="480" w:lineRule="atLeast"/>
      <w:ind w:left="283"/>
    </w:pPr>
    <w:rPr>
      <w:sz w:val="20"/>
      <w:szCs w:val="20"/>
      <w:lang w:val="es-MX" w:eastAsia="es-MX"/>
    </w:rPr>
  </w:style>
  <w:style w:type="paragraph" w:customStyle="1" w:styleId="Textodeglobo1">
    <w:name w:val="Texto de globo1"/>
    <w:basedOn w:val="Normal"/>
    <w:rsid w:val="001C3FB6"/>
    <w:pPr>
      <w:jc w:val="both"/>
    </w:pPr>
    <w:rPr>
      <w:sz w:val="2"/>
      <w:szCs w:val="20"/>
      <w:lang w:val="es-MX" w:eastAsia="es-MX"/>
    </w:rPr>
  </w:style>
  <w:style w:type="paragraph" w:customStyle="1" w:styleId="contenido">
    <w:name w:val="contenido"/>
    <w:rsid w:val="001C3FB6"/>
    <w:pPr>
      <w:spacing w:line="360" w:lineRule="atLeast"/>
    </w:pPr>
    <w:rPr>
      <w:sz w:val="18"/>
      <w:lang w:val="es-ES" w:eastAsia="es-MX"/>
    </w:rPr>
  </w:style>
  <w:style w:type="paragraph" w:customStyle="1" w:styleId="Sangra3detindepend">
    <w:name w:val="Sangría 3 de t. independ"/>
    <w:basedOn w:val="Normal"/>
    <w:rsid w:val="001C3FB6"/>
    <w:pPr>
      <w:ind w:left="453"/>
    </w:pPr>
    <w:rPr>
      <w:sz w:val="16"/>
      <w:szCs w:val="20"/>
      <w:lang w:val="es-MX" w:eastAsia="es-MX"/>
    </w:rPr>
  </w:style>
  <w:style w:type="paragraph" w:customStyle="1" w:styleId="textoIzquierda">
    <w:name w:val="texto + Izquierda"/>
    <w:basedOn w:val="textoCar0"/>
    <w:rsid w:val="001C3FB6"/>
    <w:pPr>
      <w:spacing w:after="168" w:line="240" w:lineRule="auto"/>
      <w:ind w:firstLine="0"/>
      <w:jc w:val="left"/>
    </w:pPr>
  </w:style>
  <w:style w:type="paragraph" w:customStyle="1" w:styleId="texto0">
    <w:name w:val="texto"/>
    <w:basedOn w:val="Normal"/>
    <w:rsid w:val="001C3FB6"/>
    <w:pPr>
      <w:spacing w:after="101" w:line="216" w:lineRule="atLeast"/>
      <w:ind w:firstLine="288"/>
      <w:jc w:val="both"/>
    </w:pPr>
    <w:rPr>
      <w:rFonts w:ascii="Arial" w:hAnsi="Arial" w:cs="Arial"/>
      <w:sz w:val="18"/>
      <w:szCs w:val="20"/>
      <w:lang w:val="es-ES_tradnl" w:eastAsia="es-MX"/>
    </w:rPr>
  </w:style>
  <w:style w:type="paragraph" w:customStyle="1" w:styleId="Default">
    <w:name w:val="Default"/>
    <w:rsid w:val="001C3FB6"/>
    <w:rPr>
      <w:rFonts w:ascii="Arial" w:hAnsi="Arial" w:cs="Arial"/>
      <w:color w:val="000000"/>
      <w:sz w:val="24"/>
      <w:lang w:val="es-ES" w:eastAsia="es-MX"/>
    </w:rPr>
  </w:style>
  <w:style w:type="paragraph" w:customStyle="1" w:styleId="Asuntodelcomentario1">
    <w:name w:val="Asunto del comentario1"/>
    <w:basedOn w:val="CommentText"/>
    <w:next w:val="CommentText"/>
    <w:rsid w:val="001C3FB6"/>
    <w:rPr>
      <w:rFonts w:ascii="Times New Roman" w:hAnsi="Times New Roman" w:cs="Times New Roman"/>
      <w:b/>
      <w:lang w:val="es-MX"/>
    </w:rPr>
  </w:style>
  <w:style w:type="paragraph" w:customStyle="1" w:styleId="Sinespaciado1">
    <w:name w:val="Sin espaciado1"/>
    <w:rsid w:val="001C3FB6"/>
    <w:rPr>
      <w:rFonts w:ascii="Calibri" w:hAnsi="Calibri" w:cs="Calibri"/>
      <w:sz w:val="22"/>
      <w:lang w:val="es-MX" w:eastAsia="es-MX"/>
    </w:rPr>
  </w:style>
  <w:style w:type="paragraph" w:customStyle="1" w:styleId="Textoindependienteprim">
    <w:name w:val="Texto independiente prim"/>
    <w:basedOn w:val="Textonormal"/>
    <w:rsid w:val="001C3FB6"/>
    <w:pPr>
      <w:spacing w:after="120" w:line="276" w:lineRule="atLeast"/>
      <w:ind w:firstLine="210"/>
    </w:pPr>
    <w:rPr>
      <w:rFonts w:ascii="Calibri" w:hAnsi="Calibri" w:cs="Calibri"/>
      <w:sz w:val="22"/>
    </w:rPr>
  </w:style>
  <w:style w:type="paragraph" w:customStyle="1" w:styleId="BodyText21">
    <w:name w:val="Body Text 21"/>
    <w:basedOn w:val="Normal"/>
    <w:rsid w:val="001C3FB6"/>
    <w:pPr>
      <w:jc w:val="both"/>
    </w:pPr>
    <w:rPr>
      <w:rFonts w:ascii="Arial" w:hAnsi="Arial" w:cs="Arial"/>
      <w:color w:val="808000"/>
      <w:sz w:val="20"/>
      <w:szCs w:val="20"/>
      <w:lang w:val="es-ES_tradnl" w:eastAsia="es-MX"/>
    </w:rPr>
  </w:style>
  <w:style w:type="paragraph" w:customStyle="1" w:styleId="Textosinformato1">
    <w:name w:val="Texto sin formato1"/>
    <w:basedOn w:val="Normal"/>
    <w:rsid w:val="001C3FB6"/>
    <w:rPr>
      <w:rFonts w:ascii="Calibri" w:hAnsi="Calibri" w:cs="Calibri"/>
      <w:sz w:val="22"/>
      <w:szCs w:val="20"/>
      <w:lang w:val="es-MX" w:eastAsia="es-MX"/>
    </w:rPr>
  </w:style>
  <w:style w:type="paragraph" w:customStyle="1" w:styleId="centrado">
    <w:name w:val="centrado"/>
    <w:basedOn w:val="Texto"/>
    <w:rsid w:val="001C3FB6"/>
    <w:pPr>
      <w:spacing w:line="216" w:lineRule="atLeast"/>
      <w:ind w:firstLine="0"/>
      <w:jc w:val="center"/>
    </w:pPr>
    <w:rPr>
      <w:lang w:val="es-ES_tradnl" w:eastAsia="es-MX"/>
    </w:rPr>
  </w:style>
  <w:style w:type="paragraph" w:customStyle="1" w:styleId="Sinespaciado">
    <w:name w:val="Sin espaciado"/>
    <w:qFormat/>
    <w:rsid w:val="001C3FB6"/>
    <w:rPr>
      <w:rFonts w:ascii="Calibri" w:hAnsi="Calibri" w:cs="Calibri"/>
      <w:sz w:val="22"/>
      <w:lang w:val="es-MX" w:eastAsia="es-MX"/>
    </w:rPr>
  </w:style>
  <w:style w:type="paragraph" w:styleId="Signature">
    <w:name w:val="Signature"/>
    <w:basedOn w:val="Normal"/>
    <w:link w:val="SignatureChar"/>
    <w:rsid w:val="001C3FB6"/>
    <w:pPr>
      <w:ind w:left="4252"/>
    </w:pPr>
    <w:rPr>
      <w:sz w:val="20"/>
      <w:szCs w:val="20"/>
      <w:lang w:eastAsia="es-MX"/>
    </w:rPr>
  </w:style>
  <w:style w:type="character" w:customStyle="1" w:styleId="SignatureChar">
    <w:name w:val="Signature Char"/>
    <w:link w:val="Signature"/>
    <w:rsid w:val="001C3FB6"/>
    <w:rPr>
      <w:lang w:val="es-ES"/>
    </w:rPr>
  </w:style>
  <w:style w:type="paragraph" w:customStyle="1" w:styleId="Sumario">
    <w:name w:val="Sumario"/>
    <w:basedOn w:val="Normal"/>
    <w:rsid w:val="001C3FB6"/>
    <w:pPr>
      <w:tabs>
        <w:tab w:val="right" w:leader="dot" w:pos="8107"/>
        <w:tab w:val="right" w:pos="8640"/>
      </w:tabs>
      <w:spacing w:line="260" w:lineRule="exact"/>
      <w:ind w:left="274" w:right="749"/>
      <w:jc w:val="both"/>
    </w:pPr>
    <w:rPr>
      <w:rFonts w:ascii="Arial" w:hAnsi="Arial" w:cs="Arial"/>
      <w:sz w:val="18"/>
      <w:szCs w:val="20"/>
      <w:lang w:eastAsia="es-MX"/>
    </w:rPr>
  </w:style>
  <w:style w:type="paragraph" w:customStyle="1" w:styleId="Secreta">
    <w:name w:val="Secreta"/>
    <w:basedOn w:val="Normal"/>
    <w:rsid w:val="001C3FB6"/>
    <w:pPr>
      <w:tabs>
        <w:tab w:val="right" w:leader="dot" w:pos="8100"/>
        <w:tab w:val="right" w:pos="8640"/>
      </w:tabs>
      <w:spacing w:line="334" w:lineRule="exact"/>
      <w:ind w:left="274" w:right="749"/>
      <w:jc w:val="both"/>
    </w:pPr>
    <w:rPr>
      <w:b/>
      <w:sz w:val="20"/>
      <w:szCs w:val="20"/>
      <w:u w:val="single"/>
      <w:lang w:val="es-ES_tradnl" w:eastAsia="es-MX"/>
    </w:rPr>
  </w:style>
  <w:style w:type="paragraph" w:customStyle="1" w:styleId="WW-Textoindependiente2">
    <w:name w:val="WW-Texto independiente 2"/>
    <w:basedOn w:val="Normal"/>
    <w:rsid w:val="001C3FB6"/>
    <w:pPr>
      <w:spacing w:line="360" w:lineRule="atLeast"/>
      <w:jc w:val="both"/>
    </w:pPr>
    <w:rPr>
      <w:b/>
      <w:i/>
      <w:sz w:val="20"/>
      <w:szCs w:val="20"/>
      <w:lang w:val="es-ES_tradnl" w:eastAsia="es-MX"/>
    </w:rPr>
  </w:style>
  <w:style w:type="paragraph" w:customStyle="1" w:styleId="Mapadeldocumento1">
    <w:name w:val="Mapa del documento1"/>
    <w:basedOn w:val="Normal"/>
    <w:rsid w:val="001C3FB6"/>
    <w:pPr>
      <w:shd w:val="clear" w:color="auto" w:fill="000080"/>
    </w:pPr>
    <w:rPr>
      <w:rFonts w:ascii="Tahoma" w:hAnsi="Tahoma" w:cs="Tahoma"/>
      <w:sz w:val="20"/>
      <w:szCs w:val="20"/>
      <w:lang w:val="es-MX" w:eastAsia="es-MX"/>
    </w:rPr>
  </w:style>
  <w:style w:type="paragraph" w:customStyle="1" w:styleId="Revisin">
    <w:name w:val="Revisión"/>
    <w:rsid w:val="001C3FB6"/>
    <w:rPr>
      <w:sz w:val="24"/>
      <w:lang w:val="es-MX" w:eastAsia="es-MX"/>
    </w:rPr>
  </w:style>
  <w:style w:type="paragraph" w:customStyle="1" w:styleId="BalloonText1">
    <w:name w:val="Balloon Text1"/>
    <w:basedOn w:val="Normal"/>
    <w:rsid w:val="001C3FB6"/>
    <w:rPr>
      <w:rFonts w:ascii="Segoe UI" w:hAnsi="Segoe UI" w:cs="Segoe UI"/>
      <w:sz w:val="18"/>
      <w:szCs w:val="20"/>
      <w:lang w:val="en-US" w:eastAsia="es-MX"/>
    </w:rPr>
  </w:style>
  <w:style w:type="paragraph" w:customStyle="1" w:styleId="CommentSubject1">
    <w:name w:val="Comment Subject1"/>
    <w:basedOn w:val="CommentText"/>
    <w:next w:val="CommentText"/>
    <w:rsid w:val="001C3FB6"/>
    <w:rPr>
      <w:rFonts w:ascii="Times New Roman" w:hAnsi="Times New Roman" w:cs="Times New Roman"/>
      <w:b/>
      <w:sz w:val="20"/>
      <w:lang w:val="es-MX"/>
    </w:rPr>
  </w:style>
  <w:style w:type="paragraph" w:styleId="Title">
    <w:name w:val="Title"/>
    <w:basedOn w:val="Normal"/>
    <w:next w:val="Normal"/>
    <w:link w:val="TitleChar"/>
    <w:qFormat/>
    <w:rsid w:val="001C3FB6"/>
    <w:pPr>
      <w:pBdr>
        <w:bottom w:val="single" w:sz="6" w:space="4" w:color="C0C0C0"/>
      </w:pBdr>
      <w:spacing w:after="300"/>
    </w:pPr>
    <w:rPr>
      <w:rFonts w:ascii="Cambria" w:hAnsi="Cambria" w:cs="Cambria"/>
      <w:color w:val="000080"/>
      <w:spacing w:val="5"/>
      <w:sz w:val="52"/>
      <w:szCs w:val="20"/>
      <w:lang w:val="es-MX" w:eastAsia="es-MX"/>
    </w:rPr>
  </w:style>
  <w:style w:type="character" w:customStyle="1" w:styleId="TitleChar">
    <w:name w:val="Title Char"/>
    <w:link w:val="Title"/>
    <w:rsid w:val="001C3FB6"/>
    <w:rPr>
      <w:rFonts w:ascii="Cambria" w:hAnsi="Cambria" w:cs="Cambria"/>
      <w:color w:val="000080"/>
      <w:spacing w:val="5"/>
      <w:sz w:val="52"/>
    </w:rPr>
  </w:style>
  <w:style w:type="character" w:styleId="Hyperlink">
    <w:name w:val="Hyperlink"/>
    <w:rsid w:val="00986788"/>
    <w:rPr>
      <w:color w:val="0000FF"/>
      <w:u w:val="single"/>
    </w:rPr>
  </w:style>
  <w:style w:type="character" w:customStyle="1" w:styleId="HeaderChar">
    <w:name w:val="Header Char"/>
    <w:link w:val="Header"/>
    <w:rsid w:val="0029722C"/>
    <w:rPr>
      <w:sz w:val="24"/>
      <w:szCs w:val="24"/>
      <w:lang w:val="es-ES" w:eastAsia="es-ES"/>
    </w:rPr>
  </w:style>
  <w:style w:type="paragraph" w:styleId="BalloonText">
    <w:name w:val="Balloon Text"/>
    <w:basedOn w:val="Normal"/>
    <w:link w:val="BalloonTextChar"/>
    <w:rsid w:val="00C1687F"/>
    <w:rPr>
      <w:rFonts w:ascii="Tahoma" w:hAnsi="Tahoma" w:cs="Tahoma"/>
      <w:sz w:val="16"/>
      <w:szCs w:val="16"/>
    </w:rPr>
  </w:style>
  <w:style w:type="character" w:customStyle="1" w:styleId="BalloonTextChar">
    <w:name w:val="Balloon Text Char"/>
    <w:link w:val="BalloonText"/>
    <w:rsid w:val="00C1687F"/>
    <w:rPr>
      <w:rFonts w:ascii="Tahoma" w:hAnsi="Tahoma" w:cs="Tahoma"/>
      <w:sz w:val="16"/>
      <w:szCs w:val="16"/>
      <w:lang w:val="es-ES" w:eastAsia="es-ES"/>
    </w:rPr>
  </w:style>
  <w:style w:type="table" w:styleId="TableGrid">
    <w:name w:val="Table Grid"/>
    <w:basedOn w:val="TableNormal"/>
    <w:uiPriority w:val="59"/>
    <w:rsid w:val="00262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48783">
      <w:bodyDiv w:val="1"/>
      <w:marLeft w:val="0"/>
      <w:marRight w:val="0"/>
      <w:marTop w:val="0"/>
      <w:marBottom w:val="0"/>
      <w:divBdr>
        <w:top w:val="none" w:sz="0" w:space="0" w:color="auto"/>
        <w:left w:val="none" w:sz="0" w:space="0" w:color="auto"/>
        <w:bottom w:val="none" w:sz="0" w:space="0" w:color="auto"/>
        <w:right w:val="none" w:sz="0" w:space="0" w:color="auto"/>
      </w:divBdr>
    </w:div>
    <w:div w:id="502202614">
      <w:bodyDiv w:val="1"/>
      <w:marLeft w:val="0"/>
      <w:marRight w:val="0"/>
      <w:marTop w:val="0"/>
      <w:marBottom w:val="0"/>
      <w:divBdr>
        <w:top w:val="none" w:sz="0" w:space="0" w:color="auto"/>
        <w:left w:val="none" w:sz="0" w:space="0" w:color="auto"/>
        <w:bottom w:val="none" w:sz="0" w:space="0" w:color="auto"/>
        <w:right w:val="none" w:sz="0" w:space="0" w:color="auto"/>
      </w:divBdr>
      <w:divsChild>
        <w:div w:id="1655596797">
          <w:marLeft w:val="0"/>
          <w:marRight w:val="0"/>
          <w:marTop w:val="0"/>
          <w:marBottom w:val="0"/>
          <w:divBdr>
            <w:top w:val="none" w:sz="0" w:space="0" w:color="auto"/>
            <w:left w:val="none" w:sz="0" w:space="0" w:color="auto"/>
            <w:bottom w:val="none" w:sz="0" w:space="0" w:color="auto"/>
            <w:right w:val="none" w:sz="0" w:space="0" w:color="auto"/>
          </w:divBdr>
          <w:divsChild>
            <w:div w:id="892884300">
              <w:marLeft w:val="0"/>
              <w:marRight w:val="0"/>
              <w:marTop w:val="0"/>
              <w:marBottom w:val="0"/>
              <w:divBdr>
                <w:top w:val="none" w:sz="0" w:space="0" w:color="auto"/>
                <w:left w:val="none" w:sz="0" w:space="0" w:color="auto"/>
                <w:bottom w:val="none" w:sz="0" w:space="0" w:color="auto"/>
                <w:right w:val="none" w:sz="0" w:space="0" w:color="auto"/>
              </w:divBdr>
              <w:divsChild>
                <w:div w:id="147325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96112">
      <w:bodyDiv w:val="1"/>
      <w:marLeft w:val="0"/>
      <w:marRight w:val="0"/>
      <w:marTop w:val="0"/>
      <w:marBottom w:val="0"/>
      <w:divBdr>
        <w:top w:val="none" w:sz="0" w:space="0" w:color="auto"/>
        <w:left w:val="none" w:sz="0" w:space="0" w:color="auto"/>
        <w:bottom w:val="none" w:sz="0" w:space="0" w:color="auto"/>
        <w:right w:val="none" w:sz="0" w:space="0" w:color="auto"/>
      </w:divBdr>
    </w:div>
    <w:div w:id="867261493">
      <w:bodyDiv w:val="1"/>
      <w:marLeft w:val="0"/>
      <w:marRight w:val="0"/>
      <w:marTop w:val="0"/>
      <w:marBottom w:val="0"/>
      <w:divBdr>
        <w:top w:val="none" w:sz="0" w:space="0" w:color="auto"/>
        <w:left w:val="none" w:sz="0" w:space="0" w:color="auto"/>
        <w:bottom w:val="none" w:sz="0" w:space="0" w:color="auto"/>
        <w:right w:val="none" w:sz="0" w:space="0" w:color="auto"/>
      </w:divBdr>
      <w:divsChild>
        <w:div w:id="956595287">
          <w:marLeft w:val="0"/>
          <w:marRight w:val="0"/>
          <w:marTop w:val="240"/>
          <w:marBottom w:val="0"/>
          <w:divBdr>
            <w:top w:val="none" w:sz="0" w:space="0" w:color="auto"/>
            <w:left w:val="none" w:sz="0" w:space="0" w:color="auto"/>
            <w:bottom w:val="none" w:sz="0" w:space="0" w:color="auto"/>
            <w:right w:val="none" w:sz="0" w:space="0" w:color="auto"/>
          </w:divBdr>
          <w:divsChild>
            <w:div w:id="390546123">
              <w:marLeft w:val="0"/>
              <w:marRight w:val="0"/>
              <w:marTop w:val="0"/>
              <w:marBottom w:val="0"/>
              <w:divBdr>
                <w:top w:val="none" w:sz="0" w:space="0" w:color="auto"/>
                <w:left w:val="none" w:sz="0" w:space="0" w:color="auto"/>
                <w:bottom w:val="none" w:sz="0" w:space="0" w:color="auto"/>
                <w:right w:val="none" w:sz="0" w:space="0" w:color="auto"/>
              </w:divBdr>
              <w:divsChild>
                <w:div w:id="7795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2909">
      <w:bodyDiv w:val="1"/>
      <w:marLeft w:val="0"/>
      <w:marRight w:val="0"/>
      <w:marTop w:val="0"/>
      <w:marBottom w:val="0"/>
      <w:divBdr>
        <w:top w:val="none" w:sz="0" w:space="0" w:color="auto"/>
        <w:left w:val="none" w:sz="0" w:space="0" w:color="auto"/>
        <w:bottom w:val="none" w:sz="0" w:space="0" w:color="auto"/>
        <w:right w:val="none" w:sz="0" w:space="0" w:color="auto"/>
      </w:divBdr>
    </w:div>
    <w:div w:id="1026367480">
      <w:bodyDiv w:val="1"/>
      <w:marLeft w:val="0"/>
      <w:marRight w:val="0"/>
      <w:marTop w:val="0"/>
      <w:marBottom w:val="0"/>
      <w:divBdr>
        <w:top w:val="none" w:sz="0" w:space="0" w:color="auto"/>
        <w:left w:val="none" w:sz="0" w:space="0" w:color="auto"/>
        <w:bottom w:val="none" w:sz="0" w:space="0" w:color="auto"/>
        <w:right w:val="none" w:sz="0" w:space="0" w:color="auto"/>
      </w:divBdr>
    </w:div>
    <w:div w:id="1231186434">
      <w:bodyDiv w:val="1"/>
      <w:marLeft w:val="0"/>
      <w:marRight w:val="0"/>
      <w:marTop w:val="0"/>
      <w:marBottom w:val="0"/>
      <w:divBdr>
        <w:top w:val="none" w:sz="0" w:space="0" w:color="auto"/>
        <w:left w:val="none" w:sz="0" w:space="0" w:color="auto"/>
        <w:bottom w:val="none" w:sz="0" w:space="0" w:color="auto"/>
        <w:right w:val="none" w:sz="0" w:space="0" w:color="auto"/>
      </w:divBdr>
    </w:div>
    <w:div w:id="1457219245">
      <w:bodyDiv w:val="1"/>
      <w:marLeft w:val="0"/>
      <w:marRight w:val="0"/>
      <w:marTop w:val="0"/>
      <w:marBottom w:val="0"/>
      <w:divBdr>
        <w:top w:val="none" w:sz="0" w:space="0" w:color="auto"/>
        <w:left w:val="none" w:sz="0" w:space="0" w:color="auto"/>
        <w:bottom w:val="none" w:sz="0" w:space="0" w:color="auto"/>
        <w:right w:val="none" w:sz="0" w:space="0" w:color="auto"/>
      </w:divBdr>
    </w:div>
    <w:div w:id="1479960583">
      <w:bodyDiv w:val="1"/>
      <w:marLeft w:val="0"/>
      <w:marRight w:val="0"/>
      <w:marTop w:val="0"/>
      <w:marBottom w:val="0"/>
      <w:divBdr>
        <w:top w:val="none" w:sz="0" w:space="0" w:color="auto"/>
        <w:left w:val="none" w:sz="0" w:space="0" w:color="auto"/>
        <w:bottom w:val="none" w:sz="0" w:space="0" w:color="auto"/>
        <w:right w:val="none" w:sz="0" w:space="0" w:color="auto"/>
      </w:divBdr>
    </w:div>
    <w:div w:id="1611818207">
      <w:bodyDiv w:val="1"/>
      <w:marLeft w:val="0"/>
      <w:marRight w:val="0"/>
      <w:marTop w:val="0"/>
      <w:marBottom w:val="0"/>
      <w:divBdr>
        <w:top w:val="none" w:sz="0" w:space="0" w:color="auto"/>
        <w:left w:val="none" w:sz="0" w:space="0" w:color="auto"/>
        <w:bottom w:val="none" w:sz="0" w:space="0" w:color="auto"/>
        <w:right w:val="none" w:sz="0" w:space="0" w:color="auto"/>
      </w:divBdr>
    </w:div>
    <w:div w:id="1627198508">
      <w:bodyDiv w:val="1"/>
      <w:marLeft w:val="0"/>
      <w:marRight w:val="0"/>
      <w:marTop w:val="0"/>
      <w:marBottom w:val="0"/>
      <w:divBdr>
        <w:top w:val="none" w:sz="0" w:space="0" w:color="auto"/>
        <w:left w:val="none" w:sz="0" w:space="0" w:color="auto"/>
        <w:bottom w:val="none" w:sz="0" w:space="0" w:color="auto"/>
        <w:right w:val="none" w:sz="0" w:space="0" w:color="auto"/>
      </w:divBdr>
    </w:div>
    <w:div w:id="1646659394">
      <w:bodyDiv w:val="1"/>
      <w:marLeft w:val="0"/>
      <w:marRight w:val="0"/>
      <w:marTop w:val="0"/>
      <w:marBottom w:val="0"/>
      <w:divBdr>
        <w:top w:val="none" w:sz="0" w:space="0" w:color="auto"/>
        <w:left w:val="none" w:sz="0" w:space="0" w:color="auto"/>
        <w:bottom w:val="none" w:sz="0" w:space="0" w:color="auto"/>
        <w:right w:val="none" w:sz="0" w:space="0" w:color="auto"/>
      </w:divBdr>
    </w:div>
    <w:div w:id="1721126978">
      <w:bodyDiv w:val="1"/>
      <w:marLeft w:val="0"/>
      <w:marRight w:val="0"/>
      <w:marTop w:val="0"/>
      <w:marBottom w:val="0"/>
      <w:divBdr>
        <w:top w:val="none" w:sz="0" w:space="0" w:color="auto"/>
        <w:left w:val="none" w:sz="0" w:space="0" w:color="auto"/>
        <w:bottom w:val="none" w:sz="0" w:space="0" w:color="auto"/>
        <w:right w:val="none" w:sz="0" w:space="0" w:color="auto"/>
      </w:divBdr>
    </w:div>
    <w:div w:id="1936594259">
      <w:bodyDiv w:val="1"/>
      <w:marLeft w:val="0"/>
      <w:marRight w:val="0"/>
      <w:marTop w:val="0"/>
      <w:marBottom w:val="0"/>
      <w:divBdr>
        <w:top w:val="none" w:sz="0" w:space="0" w:color="auto"/>
        <w:left w:val="none" w:sz="0" w:space="0" w:color="auto"/>
        <w:bottom w:val="none" w:sz="0" w:space="0" w:color="auto"/>
        <w:right w:val="none" w:sz="0" w:space="0" w:color="auto"/>
      </w:divBdr>
    </w:div>
    <w:div w:id="1963687482">
      <w:bodyDiv w:val="1"/>
      <w:marLeft w:val="0"/>
      <w:marRight w:val="0"/>
      <w:marTop w:val="0"/>
      <w:marBottom w:val="0"/>
      <w:divBdr>
        <w:top w:val="none" w:sz="0" w:space="0" w:color="auto"/>
        <w:left w:val="none" w:sz="0" w:space="0" w:color="auto"/>
        <w:bottom w:val="none" w:sz="0" w:space="0" w:color="auto"/>
        <w:right w:val="none" w:sz="0" w:space="0" w:color="auto"/>
      </w:divBdr>
    </w:div>
    <w:div w:id="2063282173">
      <w:bodyDiv w:val="1"/>
      <w:marLeft w:val="0"/>
      <w:marRight w:val="0"/>
      <w:marTop w:val="0"/>
      <w:marBottom w:val="0"/>
      <w:divBdr>
        <w:top w:val="none" w:sz="0" w:space="0" w:color="auto"/>
        <w:left w:val="none" w:sz="0" w:space="0" w:color="auto"/>
        <w:bottom w:val="none" w:sz="0" w:space="0" w:color="auto"/>
        <w:right w:val="none" w:sz="0" w:space="0" w:color="auto"/>
      </w:divBdr>
    </w:div>
    <w:div w:id="2076656447">
      <w:bodyDiv w:val="1"/>
      <w:marLeft w:val="0"/>
      <w:marRight w:val="0"/>
      <w:marTop w:val="0"/>
      <w:marBottom w:val="0"/>
      <w:divBdr>
        <w:top w:val="none" w:sz="0" w:space="0" w:color="auto"/>
        <w:left w:val="none" w:sz="0" w:space="0" w:color="auto"/>
        <w:bottom w:val="none" w:sz="0" w:space="0" w:color="auto"/>
        <w:right w:val="none" w:sz="0" w:space="0" w:color="auto"/>
      </w:divBdr>
    </w:div>
    <w:div w:id="214461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fepris.gob.mx/AS/Paginas/Establecimientos%20y%20productos%20biologicos/Certificado%20BuenasPracticasFabricacion.aspx"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fepris.gob.mx/AS/Paginas/Establecimientos%20y%20productos%20biologicos/CertificadoBuenasPracticasFabricacion.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ofepris.gob.mx/AS/Paginas/Establecimientos%20y%20productos%20biologicos/CertificadoBuenasPracticasFabricacion.aspx"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cofepris.gob.mx/AS/Paginas/Establecimientos%20y%20productos%20biologicos/Certificado%20BuenasPracticasFabricacion.aspx"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C4C7-525C-4A1F-8E2E-C4D63B01D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35</TotalTime>
  <Pages>164</Pages>
  <Words>99549</Words>
  <Characters>567434</Characters>
  <Application>Microsoft Office Word</Application>
  <DocSecurity>0</DocSecurity>
  <Lines>4728</Lines>
  <Paragraphs>1331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NOM-059-SSA1-2015</vt:lpstr>
      <vt:lpstr>SEGUNDA SECCION</vt:lpstr>
    </vt:vector>
  </TitlesOfParts>
  <Company>Diario Oficial de la Federación</Company>
  <LinksUpToDate>false</LinksUpToDate>
  <CharactersWithSpaces>665652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NOM-059-SSA1-2015</dc:title>
  <dc:subject/>
  <dc:creator>LIC. GLENN LOUIS MCBRIDE</dc:creator>
  <cp:keywords/>
  <cp:lastModifiedBy>GLENN MCBRIDE</cp:lastModifiedBy>
  <cp:revision>25</cp:revision>
  <cp:lastPrinted>2025-03-19T21:34:00Z</cp:lastPrinted>
  <dcterms:created xsi:type="dcterms:W3CDTF">2025-03-19T21:01:00Z</dcterms:created>
  <dcterms:modified xsi:type="dcterms:W3CDTF">2025-03-19T21:35:00Z</dcterms:modified>
</cp:coreProperties>
</file>