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4644"/>
      </w:tblGrid>
      <w:tr w:rsidR="00A33E13" w:rsidRPr="00385481" w14:paraId="03752D71" w14:textId="544019D0" w:rsidTr="008506BA">
        <w:trPr>
          <w:trHeight w:val="828"/>
        </w:trPr>
        <w:tc>
          <w:tcPr>
            <w:tcW w:w="4706" w:type="dxa"/>
          </w:tcPr>
          <w:p w14:paraId="79CB331F" w14:textId="77777777" w:rsidR="00A33E13" w:rsidRPr="00D0180E" w:rsidRDefault="00A33E13" w:rsidP="00A33E13">
            <w:pPr>
              <w:pStyle w:val="Titulo1"/>
              <w:pBdr>
                <w:bottom w:val="none" w:sz="0" w:space="0" w:color="auto"/>
              </w:pBdr>
              <w:rPr>
                <w:rFonts w:ascii="Verdana" w:hAnsi="Verdana" w:cs="Times New Roman"/>
                <w:sz w:val="16"/>
                <w:szCs w:val="16"/>
              </w:rPr>
            </w:pPr>
            <w:r w:rsidRPr="00D0180E">
              <w:rPr>
                <w:rFonts w:ascii="Verdana" w:hAnsi="Verdana" w:cs="Times New Roman"/>
                <w:sz w:val="16"/>
                <w:szCs w:val="16"/>
              </w:rPr>
              <w:t>DECRETO por el que se expide el Reglamento de la Ley del Sector Eléctrico.</w:t>
            </w:r>
          </w:p>
        </w:tc>
        <w:tc>
          <w:tcPr>
            <w:tcW w:w="4644" w:type="dxa"/>
          </w:tcPr>
          <w:p w14:paraId="3A2B29EA" w14:textId="7E25D4AE" w:rsidR="00A33E13" w:rsidRPr="00016395" w:rsidRDefault="00A33E13" w:rsidP="00A33E13">
            <w:pPr>
              <w:pStyle w:val="Titulo1"/>
              <w:pBdr>
                <w:bottom w:val="none" w:sz="0" w:space="0" w:color="auto"/>
              </w:pBdr>
              <w:rPr>
                <w:rFonts w:ascii="Verdana" w:hAnsi="Verdana" w:cs="Times New Roman"/>
                <w:sz w:val="16"/>
                <w:szCs w:val="16"/>
                <w:lang w:val="en-US"/>
              </w:rPr>
            </w:pPr>
            <w:r w:rsidRPr="00016395">
              <w:rPr>
                <w:rFonts w:ascii="Verdana" w:hAnsi="Verdana" w:cs="Times New Roman"/>
                <w:sz w:val="16"/>
                <w:szCs w:val="16"/>
                <w:lang w:val="en-US"/>
              </w:rPr>
              <w:t xml:space="preserve">DECREE </w:t>
            </w:r>
            <w:r w:rsidR="006F3F8C">
              <w:rPr>
                <w:rFonts w:ascii="Verdana" w:hAnsi="Verdana" w:cs="Times New Roman"/>
                <w:sz w:val="16"/>
                <w:szCs w:val="16"/>
                <w:lang w:val="en-US"/>
              </w:rPr>
              <w:t>by which is issued the Regulation</w:t>
            </w:r>
            <w:r w:rsidRPr="00016395">
              <w:rPr>
                <w:rFonts w:ascii="Verdana" w:hAnsi="Verdana" w:cs="Times New Roman"/>
                <w:sz w:val="16"/>
                <w:szCs w:val="16"/>
                <w:lang w:val="en-US"/>
              </w:rPr>
              <w:t xml:space="preserve"> of the </w:t>
            </w:r>
            <w:r w:rsidR="00FB5DAD" w:rsidRPr="00016395">
              <w:rPr>
                <w:rFonts w:ascii="Verdana" w:hAnsi="Verdana" w:cs="Times New Roman"/>
                <w:sz w:val="16"/>
                <w:szCs w:val="16"/>
                <w:lang w:val="en-US"/>
              </w:rPr>
              <w:t>Law</w:t>
            </w:r>
            <w:r w:rsidR="00FB5DAD">
              <w:rPr>
                <w:rFonts w:ascii="Verdana" w:hAnsi="Verdana" w:cs="Times New Roman"/>
                <w:sz w:val="16"/>
                <w:szCs w:val="16"/>
                <w:lang w:val="en-US"/>
              </w:rPr>
              <w:t xml:space="preserve"> of the</w:t>
            </w:r>
            <w:r w:rsidR="00FB5DAD" w:rsidRPr="00016395">
              <w:rPr>
                <w:rFonts w:ascii="Verdana" w:hAnsi="Verdana" w:cs="Times New Roman"/>
                <w:sz w:val="16"/>
                <w:szCs w:val="16"/>
                <w:lang w:val="en-US"/>
              </w:rPr>
              <w:t xml:space="preserve"> </w:t>
            </w:r>
            <w:r w:rsidRPr="00016395">
              <w:rPr>
                <w:rFonts w:ascii="Verdana" w:hAnsi="Verdana" w:cs="Times New Roman"/>
                <w:sz w:val="16"/>
                <w:szCs w:val="16"/>
                <w:lang w:val="en-US"/>
              </w:rPr>
              <w:t>Electricity Sector.</w:t>
            </w:r>
            <w:r w:rsidR="0036180B">
              <w:rPr>
                <w:rFonts w:ascii="Verdana" w:hAnsi="Verdana" w:cs="Times New Roman"/>
                <w:sz w:val="16"/>
                <w:szCs w:val="16"/>
                <w:lang w:val="en-US"/>
              </w:rPr>
              <w:t xml:space="preserve"> </w:t>
            </w:r>
          </w:p>
        </w:tc>
      </w:tr>
      <w:tr w:rsidR="00A33E13" w:rsidRPr="00385481" w14:paraId="2804B1E3" w14:textId="24F3B852" w:rsidTr="00FB5DAD">
        <w:tc>
          <w:tcPr>
            <w:tcW w:w="4706" w:type="dxa"/>
          </w:tcPr>
          <w:p w14:paraId="415D0139" w14:textId="77777777" w:rsidR="00A33E13" w:rsidRPr="00D0180E" w:rsidRDefault="00A33E13" w:rsidP="00A33E13">
            <w:pPr>
              <w:pStyle w:val="Titulo2"/>
              <w:pBdr>
                <w:top w:val="none" w:sz="0" w:space="0" w:color="auto"/>
              </w:pBdr>
              <w:rPr>
                <w:rFonts w:ascii="Verdana" w:hAnsi="Verdana"/>
                <w:sz w:val="16"/>
                <w:szCs w:val="16"/>
              </w:rPr>
            </w:pPr>
            <w:r w:rsidRPr="00D0180E">
              <w:rPr>
                <w:rFonts w:ascii="Verdana" w:hAnsi="Verdana"/>
                <w:sz w:val="16"/>
                <w:szCs w:val="16"/>
              </w:rPr>
              <w:t xml:space="preserve">Al margen un sello con el Escudo Nacional, que dice: Estados Unidos </w:t>
            </w:r>
            <w:proofErr w:type="gramStart"/>
            <w:r w:rsidRPr="00D0180E">
              <w:rPr>
                <w:rFonts w:ascii="Verdana" w:hAnsi="Verdana"/>
                <w:sz w:val="16"/>
                <w:szCs w:val="16"/>
              </w:rPr>
              <w:t>Mexicanos.-</w:t>
            </w:r>
            <w:proofErr w:type="gramEnd"/>
            <w:r w:rsidRPr="00D0180E">
              <w:rPr>
                <w:rFonts w:ascii="Verdana" w:hAnsi="Verdana"/>
                <w:sz w:val="16"/>
                <w:szCs w:val="16"/>
              </w:rPr>
              <w:t xml:space="preserve"> Presidencia de la República.</w:t>
            </w:r>
          </w:p>
        </w:tc>
        <w:tc>
          <w:tcPr>
            <w:tcW w:w="4644" w:type="dxa"/>
          </w:tcPr>
          <w:p w14:paraId="34F2F21D" w14:textId="03AB26D5" w:rsidR="00A33E13" w:rsidRPr="00D0180E" w:rsidRDefault="0036180B" w:rsidP="00A33E13">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which reads: United Mexican States. - Presidency of the Republic. </w:t>
            </w:r>
          </w:p>
        </w:tc>
      </w:tr>
      <w:tr w:rsidR="00A33E13" w:rsidRPr="00385481" w14:paraId="606C6CA5" w14:textId="673F1195" w:rsidTr="00FB5DAD">
        <w:tc>
          <w:tcPr>
            <w:tcW w:w="4706" w:type="dxa"/>
          </w:tcPr>
          <w:p w14:paraId="5729248F" w14:textId="77777777" w:rsidR="00A33E13" w:rsidRPr="00D0180E" w:rsidRDefault="00A33E13" w:rsidP="00A33E13">
            <w:pPr>
              <w:pStyle w:val="Texto"/>
              <w:spacing w:line="220" w:lineRule="exact"/>
              <w:ind w:firstLine="0"/>
              <w:rPr>
                <w:rFonts w:ascii="Verdana" w:hAnsi="Verdana"/>
                <w:sz w:val="16"/>
                <w:szCs w:val="16"/>
              </w:rPr>
            </w:pPr>
            <w:r w:rsidRPr="00D0180E">
              <w:rPr>
                <w:rFonts w:ascii="Verdana" w:hAnsi="Verdana"/>
                <w:b/>
                <w:sz w:val="16"/>
                <w:szCs w:val="16"/>
              </w:rPr>
              <w:t>CLAUDIA SHEINBAUM PARDO,</w:t>
            </w:r>
            <w:r w:rsidRPr="00D0180E">
              <w:rPr>
                <w:rFonts w:ascii="Verdana" w:hAnsi="Verdana"/>
                <w:sz w:val="16"/>
                <w:szCs w:val="16"/>
              </w:rPr>
              <w:t xml:space="preserve"> Presidenta de los Estados Unidos Mexicanos, en ejercicio de la facultad que me confiere el artículo 89, fracción I y 92, de la Constitución Política de los Estados Unidos Mexicanos, y con fundamento en los artículos 2, 13, 14, 31, 33 y 34 de la Ley Orgánica de la Administración Pública Federal, y 3, 9, 10, 11, 12, 31, 32, 33, 38, 39, 40, 43, 50, 82, 86, 91, 94, 136, 137, 138, 139, 151 y 152 y demás aplicables de la Ley del Sector Eléctrico, he tenido a bien expedir el siguiente</w:t>
            </w:r>
          </w:p>
        </w:tc>
        <w:tc>
          <w:tcPr>
            <w:tcW w:w="4644" w:type="dxa"/>
          </w:tcPr>
          <w:p w14:paraId="7992732B" w14:textId="32149C17" w:rsidR="00A33E13" w:rsidRPr="00016395" w:rsidRDefault="00A33E13" w:rsidP="00A33E13">
            <w:pPr>
              <w:pStyle w:val="Texto"/>
              <w:spacing w:line="220" w:lineRule="exact"/>
              <w:ind w:firstLine="0"/>
              <w:rPr>
                <w:rFonts w:ascii="Verdana" w:hAnsi="Verdana"/>
                <w:b/>
                <w:sz w:val="16"/>
                <w:szCs w:val="16"/>
                <w:lang w:val="en-US"/>
              </w:rPr>
            </w:pPr>
            <w:r w:rsidRPr="00016395">
              <w:rPr>
                <w:rFonts w:ascii="Verdana" w:hAnsi="Verdana"/>
                <w:b/>
                <w:sz w:val="16"/>
                <w:szCs w:val="16"/>
                <w:lang w:val="en-US"/>
              </w:rPr>
              <w:t xml:space="preserve">CLAUDIA SHEINBAUM PARDO, </w:t>
            </w:r>
            <w:r w:rsidRPr="00016395">
              <w:rPr>
                <w:rFonts w:ascii="Verdana" w:hAnsi="Verdana"/>
                <w:sz w:val="16"/>
                <w:szCs w:val="16"/>
                <w:lang w:val="en-US"/>
              </w:rPr>
              <w:t xml:space="preserve">President of the United Mexican States, exercising the power conferred upon me by Article 89, Section I and 92 of the Political Constitution of the United Mexican States, and based on Articles 2, 13, 14, 31, 33 and 34 of the Organic Law of the Federal Public Administration, and 3, 9, 10, 11, 12, 31, 32, 33, 38, 39, 40, 43, 50, 82, 86, 91, 94, 136, 137, 138, 139, 151 and 152 and other applicable articles of the </w:t>
            </w:r>
            <w:r w:rsidR="002C3D0E">
              <w:rPr>
                <w:rFonts w:ascii="Verdana" w:hAnsi="Verdana"/>
                <w:sz w:val="16"/>
                <w:szCs w:val="16"/>
                <w:lang w:val="en-US"/>
              </w:rPr>
              <w:t>Law of the Electricity Sector</w:t>
            </w:r>
            <w:r w:rsidRPr="00016395">
              <w:rPr>
                <w:rFonts w:ascii="Verdana" w:hAnsi="Verdana"/>
                <w:sz w:val="16"/>
                <w:szCs w:val="16"/>
                <w:lang w:val="en-US"/>
              </w:rPr>
              <w:t>, I have seen fit to issue the following</w:t>
            </w:r>
          </w:p>
        </w:tc>
      </w:tr>
      <w:tr w:rsidR="00A33E13" w:rsidRPr="00385481" w14:paraId="6445D1DF" w14:textId="025923FF" w:rsidTr="00FB5DAD">
        <w:tc>
          <w:tcPr>
            <w:tcW w:w="4706" w:type="dxa"/>
          </w:tcPr>
          <w:p w14:paraId="3A90E8F5" w14:textId="77777777" w:rsidR="00A33E13" w:rsidRPr="00D0180E" w:rsidRDefault="00A33E13" w:rsidP="00A33E13">
            <w:pPr>
              <w:pStyle w:val="Texto"/>
              <w:spacing w:line="220" w:lineRule="exact"/>
              <w:ind w:firstLine="0"/>
              <w:rPr>
                <w:rFonts w:ascii="Verdana" w:hAnsi="Verdana"/>
                <w:b/>
                <w:sz w:val="16"/>
                <w:szCs w:val="16"/>
              </w:rPr>
            </w:pPr>
            <w:r w:rsidRPr="00D0180E">
              <w:rPr>
                <w:rFonts w:ascii="Verdana" w:hAnsi="Verdana"/>
                <w:b/>
                <w:sz w:val="16"/>
                <w:szCs w:val="16"/>
              </w:rPr>
              <w:t>DECRETO POR EL QUE SE EXPIDE EL REGLAMENTO DE LA LEY DEL SECTOR ELÉCTRICO</w:t>
            </w:r>
          </w:p>
        </w:tc>
        <w:tc>
          <w:tcPr>
            <w:tcW w:w="4644" w:type="dxa"/>
          </w:tcPr>
          <w:p w14:paraId="30C6AC5A" w14:textId="70E5344D" w:rsidR="00A33E13" w:rsidRPr="00016395" w:rsidRDefault="00A33E13" w:rsidP="00A33E13">
            <w:pPr>
              <w:pStyle w:val="Texto"/>
              <w:spacing w:line="220" w:lineRule="exact"/>
              <w:ind w:firstLine="0"/>
              <w:rPr>
                <w:rFonts w:ascii="Verdana" w:hAnsi="Verdana"/>
                <w:b/>
                <w:sz w:val="16"/>
                <w:szCs w:val="16"/>
                <w:lang w:val="en-US"/>
              </w:rPr>
            </w:pPr>
            <w:r w:rsidRPr="00016395">
              <w:rPr>
                <w:rFonts w:ascii="Verdana" w:hAnsi="Verdana"/>
                <w:b/>
                <w:sz w:val="16"/>
                <w:szCs w:val="16"/>
                <w:lang w:val="en-US"/>
              </w:rPr>
              <w:t xml:space="preserve">DECREE </w:t>
            </w:r>
            <w:r w:rsidR="006F3F8C">
              <w:rPr>
                <w:rFonts w:ascii="Verdana" w:hAnsi="Verdana"/>
                <w:b/>
                <w:sz w:val="16"/>
                <w:szCs w:val="16"/>
                <w:lang w:val="en-US"/>
              </w:rPr>
              <w:t>BY WHICH IS ISSUED THE REGULATION</w:t>
            </w:r>
            <w:r w:rsidRPr="00016395">
              <w:rPr>
                <w:rFonts w:ascii="Verdana" w:hAnsi="Verdana"/>
                <w:b/>
                <w:sz w:val="16"/>
                <w:szCs w:val="16"/>
                <w:lang w:val="en-US"/>
              </w:rPr>
              <w:t xml:space="preserve"> OF THE </w:t>
            </w:r>
            <w:r w:rsidR="002C3D0E">
              <w:rPr>
                <w:rFonts w:ascii="Verdana" w:hAnsi="Verdana"/>
                <w:b/>
                <w:sz w:val="16"/>
                <w:szCs w:val="16"/>
                <w:lang w:val="en-US"/>
              </w:rPr>
              <w:t xml:space="preserve">LAW OF THE </w:t>
            </w:r>
            <w:r w:rsidRPr="00016395">
              <w:rPr>
                <w:rFonts w:ascii="Verdana" w:hAnsi="Verdana"/>
                <w:b/>
                <w:sz w:val="16"/>
                <w:szCs w:val="16"/>
                <w:lang w:val="en-US"/>
              </w:rPr>
              <w:t>ELECTRIC</w:t>
            </w:r>
            <w:r w:rsidR="002C3D0E">
              <w:rPr>
                <w:rFonts w:ascii="Verdana" w:hAnsi="Verdana"/>
                <w:b/>
                <w:sz w:val="16"/>
                <w:szCs w:val="16"/>
                <w:lang w:val="en-US"/>
              </w:rPr>
              <w:t>ITY</w:t>
            </w:r>
            <w:r w:rsidRPr="00016395">
              <w:rPr>
                <w:rFonts w:ascii="Verdana" w:hAnsi="Verdana"/>
                <w:b/>
                <w:sz w:val="16"/>
                <w:szCs w:val="16"/>
                <w:lang w:val="en-US"/>
              </w:rPr>
              <w:t xml:space="preserve"> SECTOR </w:t>
            </w:r>
          </w:p>
        </w:tc>
      </w:tr>
      <w:tr w:rsidR="00A33E13" w:rsidRPr="00385481" w14:paraId="1356CEA4" w14:textId="50CED3CF" w:rsidTr="00FB5DAD">
        <w:tc>
          <w:tcPr>
            <w:tcW w:w="4706" w:type="dxa"/>
          </w:tcPr>
          <w:p w14:paraId="6591542A" w14:textId="77777777" w:rsidR="00A33E13" w:rsidRPr="00D0180E" w:rsidRDefault="00A33E13" w:rsidP="00A33E13">
            <w:pPr>
              <w:pStyle w:val="Texto"/>
              <w:spacing w:line="220" w:lineRule="exact"/>
              <w:ind w:firstLine="0"/>
              <w:rPr>
                <w:rFonts w:ascii="Verdana" w:hAnsi="Verdana"/>
                <w:sz w:val="16"/>
                <w:szCs w:val="16"/>
              </w:rPr>
            </w:pPr>
            <w:r w:rsidRPr="00D0180E">
              <w:rPr>
                <w:rFonts w:ascii="Verdana" w:hAnsi="Verdana"/>
                <w:b/>
                <w:sz w:val="16"/>
                <w:szCs w:val="16"/>
              </w:rPr>
              <w:t>ARTÍCULO ÚNICO.</w:t>
            </w:r>
            <w:r w:rsidRPr="00D0180E">
              <w:rPr>
                <w:rFonts w:ascii="Verdana" w:hAnsi="Verdana"/>
                <w:sz w:val="16"/>
                <w:szCs w:val="16"/>
              </w:rPr>
              <w:t xml:space="preserve"> Se expide el Reglamento de la Ley del Sector Eléctrico, para quedar como sigue:</w:t>
            </w:r>
          </w:p>
        </w:tc>
        <w:tc>
          <w:tcPr>
            <w:tcW w:w="4644" w:type="dxa"/>
          </w:tcPr>
          <w:p w14:paraId="29A0983F" w14:textId="6BCF7541" w:rsidR="00A33E13" w:rsidRPr="00016395" w:rsidRDefault="00A33E13" w:rsidP="00A33E13">
            <w:pPr>
              <w:pStyle w:val="Texto"/>
              <w:spacing w:line="220" w:lineRule="exact"/>
              <w:ind w:firstLine="0"/>
              <w:rPr>
                <w:rFonts w:ascii="Verdana" w:hAnsi="Verdana"/>
                <w:b/>
                <w:sz w:val="16"/>
                <w:szCs w:val="16"/>
                <w:lang w:val="en-US"/>
              </w:rPr>
            </w:pPr>
            <w:r w:rsidRPr="00016395">
              <w:rPr>
                <w:rFonts w:ascii="Verdana" w:hAnsi="Verdana"/>
                <w:b/>
                <w:sz w:val="16"/>
                <w:szCs w:val="16"/>
                <w:lang w:val="en-US"/>
              </w:rPr>
              <w:t xml:space="preserve">SOLE ARTICLE. </w:t>
            </w:r>
            <w:r w:rsidRPr="00016395">
              <w:rPr>
                <w:rFonts w:ascii="Verdana" w:hAnsi="Verdana"/>
                <w:sz w:val="16"/>
                <w:szCs w:val="16"/>
                <w:lang w:val="en-US"/>
              </w:rPr>
              <w:t xml:space="preserve">The </w:t>
            </w:r>
            <w:r w:rsidR="005F6D66">
              <w:rPr>
                <w:rFonts w:ascii="Verdana" w:hAnsi="Verdana"/>
                <w:sz w:val="16"/>
                <w:szCs w:val="16"/>
                <w:lang w:val="en-US"/>
              </w:rPr>
              <w:t>Regulation</w:t>
            </w:r>
            <w:r w:rsidRPr="00016395">
              <w:rPr>
                <w:rFonts w:ascii="Verdana" w:hAnsi="Verdana"/>
                <w:sz w:val="16"/>
                <w:szCs w:val="16"/>
                <w:lang w:val="en-US"/>
              </w:rPr>
              <w:t xml:space="preserve"> of the </w:t>
            </w:r>
            <w:r w:rsidR="002C3D0E">
              <w:rPr>
                <w:rFonts w:ascii="Verdana" w:hAnsi="Verdana"/>
                <w:sz w:val="16"/>
                <w:szCs w:val="16"/>
                <w:lang w:val="en-US"/>
              </w:rPr>
              <w:t xml:space="preserve">Law of the Electricity Sector is </w:t>
            </w:r>
            <w:r w:rsidRPr="00016395">
              <w:rPr>
                <w:rFonts w:ascii="Verdana" w:hAnsi="Verdana"/>
                <w:sz w:val="16"/>
                <w:szCs w:val="16"/>
                <w:lang w:val="en-US"/>
              </w:rPr>
              <w:t>hereby issued, as follows:</w:t>
            </w:r>
          </w:p>
        </w:tc>
      </w:tr>
      <w:tr w:rsidR="00A33E13" w:rsidRPr="00385481" w14:paraId="762B01B9" w14:textId="10FD7FE2" w:rsidTr="00FB5DAD">
        <w:tc>
          <w:tcPr>
            <w:tcW w:w="4706" w:type="dxa"/>
          </w:tcPr>
          <w:p w14:paraId="044214F7" w14:textId="77777777" w:rsidR="00A33E13" w:rsidRPr="00D0180E" w:rsidRDefault="00A33E13" w:rsidP="00A33E13">
            <w:pPr>
              <w:pStyle w:val="ANOTACION"/>
              <w:spacing w:line="220" w:lineRule="exact"/>
              <w:rPr>
                <w:rFonts w:ascii="Verdana" w:hAnsi="Verdana"/>
                <w:sz w:val="16"/>
                <w:szCs w:val="16"/>
              </w:rPr>
            </w:pPr>
            <w:r w:rsidRPr="00D0180E">
              <w:rPr>
                <w:rFonts w:ascii="Verdana" w:hAnsi="Verdana"/>
                <w:sz w:val="16"/>
                <w:szCs w:val="16"/>
              </w:rPr>
              <w:t>REGLAMENTO DE LA LEY DEL SECTOR ELÉCTRICO</w:t>
            </w:r>
          </w:p>
        </w:tc>
        <w:tc>
          <w:tcPr>
            <w:tcW w:w="4644" w:type="dxa"/>
          </w:tcPr>
          <w:p w14:paraId="681FB028" w14:textId="762B1A7C" w:rsidR="00A33E13" w:rsidRPr="00016395" w:rsidRDefault="005F6D66" w:rsidP="00A33E13">
            <w:pPr>
              <w:pStyle w:val="ANOTACION"/>
              <w:spacing w:line="220" w:lineRule="exact"/>
              <w:rPr>
                <w:rFonts w:ascii="Verdana" w:hAnsi="Verdana"/>
                <w:sz w:val="16"/>
                <w:szCs w:val="16"/>
                <w:lang w:val="en-US"/>
              </w:rPr>
            </w:pPr>
            <w:r>
              <w:rPr>
                <w:rFonts w:ascii="Verdana" w:hAnsi="Verdana"/>
                <w:sz w:val="16"/>
                <w:szCs w:val="16"/>
                <w:lang w:val="en-US"/>
              </w:rPr>
              <w:t>REGULATION</w:t>
            </w:r>
            <w:r w:rsidR="00A33E13" w:rsidRPr="00016395">
              <w:rPr>
                <w:rFonts w:ascii="Verdana" w:hAnsi="Verdana"/>
                <w:sz w:val="16"/>
                <w:szCs w:val="16"/>
                <w:lang w:val="en-US"/>
              </w:rPr>
              <w:t xml:space="preserve"> OF THE </w:t>
            </w:r>
            <w:r w:rsidR="002C3D0E">
              <w:rPr>
                <w:rFonts w:ascii="Verdana" w:hAnsi="Verdana"/>
                <w:sz w:val="16"/>
                <w:szCs w:val="16"/>
                <w:lang w:val="en-US"/>
              </w:rPr>
              <w:t>LAW OF THE ELECTRICITY SECTOR</w:t>
            </w:r>
          </w:p>
        </w:tc>
      </w:tr>
      <w:tr w:rsidR="00A761A1" w:rsidRPr="00385481" w14:paraId="06D7834A" w14:textId="77777777" w:rsidTr="00FB5DAD">
        <w:tc>
          <w:tcPr>
            <w:tcW w:w="4706" w:type="dxa"/>
          </w:tcPr>
          <w:p w14:paraId="261BE194" w14:textId="77777777" w:rsidR="00A761A1" w:rsidRPr="00F76AB0" w:rsidRDefault="00A761A1" w:rsidP="00A761A1">
            <w:pPr>
              <w:pStyle w:val="ANOTACION"/>
              <w:spacing w:before="0" w:after="0" w:line="220" w:lineRule="exact"/>
              <w:jc w:val="left"/>
              <w:rPr>
                <w:rFonts w:ascii="Verdana" w:hAnsi="Verdana"/>
                <w:b w:val="0"/>
                <w:bCs/>
                <w:sz w:val="16"/>
                <w:szCs w:val="16"/>
                <w:lang w:val="en-US"/>
              </w:rPr>
            </w:pPr>
          </w:p>
        </w:tc>
        <w:tc>
          <w:tcPr>
            <w:tcW w:w="4644" w:type="dxa"/>
          </w:tcPr>
          <w:p w14:paraId="16A9B027" w14:textId="77777777" w:rsidR="00A761A1" w:rsidRPr="00A761A1" w:rsidRDefault="00A761A1" w:rsidP="00A761A1">
            <w:pPr>
              <w:pStyle w:val="ANOTACION"/>
              <w:spacing w:before="0" w:after="0" w:line="220" w:lineRule="exact"/>
              <w:jc w:val="left"/>
              <w:rPr>
                <w:rFonts w:ascii="Verdana" w:hAnsi="Verdana"/>
                <w:b w:val="0"/>
                <w:bCs/>
                <w:sz w:val="16"/>
                <w:szCs w:val="16"/>
                <w:lang w:val="en-US"/>
              </w:rPr>
            </w:pPr>
          </w:p>
        </w:tc>
      </w:tr>
      <w:tr w:rsidR="003A38FF" w:rsidRPr="00067E05" w14:paraId="398B4137" w14:textId="77777777" w:rsidTr="00FB5DAD">
        <w:tc>
          <w:tcPr>
            <w:tcW w:w="4706" w:type="dxa"/>
          </w:tcPr>
          <w:p w14:paraId="46628281" w14:textId="4C9D6702" w:rsidR="003A38FF" w:rsidRPr="00F76AB0" w:rsidRDefault="003A38FF" w:rsidP="003A38FF">
            <w:pPr>
              <w:pStyle w:val="ANOTACION"/>
              <w:spacing w:before="0" w:after="0" w:line="220" w:lineRule="exact"/>
              <w:jc w:val="left"/>
              <w:rPr>
                <w:rFonts w:ascii="Verdana" w:hAnsi="Verdana"/>
                <w:sz w:val="16"/>
                <w:szCs w:val="16"/>
              </w:rPr>
            </w:pPr>
            <w:r w:rsidRPr="00F76AB0">
              <w:rPr>
                <w:rFonts w:ascii="Verdana" w:hAnsi="Verdana"/>
                <w:sz w:val="16"/>
                <w:szCs w:val="16"/>
              </w:rPr>
              <w:t>TÍTULO PRIMERO</w:t>
            </w:r>
          </w:p>
        </w:tc>
        <w:tc>
          <w:tcPr>
            <w:tcW w:w="4644" w:type="dxa"/>
          </w:tcPr>
          <w:p w14:paraId="4C35730B" w14:textId="4D859F80" w:rsidR="003A38FF" w:rsidRPr="00F76AB0" w:rsidRDefault="003A38FF" w:rsidP="003A38FF">
            <w:pPr>
              <w:pStyle w:val="ANOTACION"/>
              <w:spacing w:before="0" w:after="0" w:line="220" w:lineRule="exact"/>
              <w:jc w:val="left"/>
              <w:rPr>
                <w:rFonts w:ascii="Verdana" w:hAnsi="Verdana"/>
                <w:sz w:val="16"/>
                <w:szCs w:val="16"/>
                <w:lang w:val="en-US"/>
              </w:rPr>
            </w:pPr>
            <w:r w:rsidRPr="00F76AB0">
              <w:rPr>
                <w:rFonts w:ascii="Verdana" w:hAnsi="Verdana"/>
                <w:sz w:val="16"/>
                <w:szCs w:val="16"/>
                <w:lang w:val="en-US"/>
              </w:rPr>
              <w:t>FIRST TITLE</w:t>
            </w:r>
          </w:p>
        </w:tc>
      </w:tr>
      <w:tr w:rsidR="003A38FF" w:rsidRPr="00067E05" w14:paraId="65056442" w14:textId="77777777" w:rsidTr="00FB5DAD">
        <w:tc>
          <w:tcPr>
            <w:tcW w:w="4706" w:type="dxa"/>
          </w:tcPr>
          <w:p w14:paraId="1CDD6810" w14:textId="1A44E14C" w:rsidR="003A38FF" w:rsidRPr="00F76AB0" w:rsidRDefault="003A38FF" w:rsidP="003A38FF">
            <w:pPr>
              <w:pStyle w:val="ANOTACION"/>
              <w:spacing w:before="0" w:after="0" w:line="220" w:lineRule="exact"/>
              <w:jc w:val="left"/>
              <w:rPr>
                <w:rFonts w:ascii="Verdana" w:hAnsi="Verdana"/>
                <w:sz w:val="16"/>
                <w:szCs w:val="16"/>
              </w:rPr>
            </w:pPr>
            <w:r w:rsidRPr="00F76AB0">
              <w:rPr>
                <w:rFonts w:ascii="Verdana" w:hAnsi="Verdana"/>
                <w:sz w:val="16"/>
                <w:szCs w:val="16"/>
              </w:rPr>
              <w:t>DISPOSICIONES GENERALES</w:t>
            </w:r>
          </w:p>
        </w:tc>
        <w:tc>
          <w:tcPr>
            <w:tcW w:w="4644" w:type="dxa"/>
          </w:tcPr>
          <w:p w14:paraId="74EDE209" w14:textId="5F83D462" w:rsidR="003A38FF" w:rsidRPr="00F76AB0" w:rsidRDefault="003A38FF" w:rsidP="003A38FF">
            <w:pPr>
              <w:pStyle w:val="ANOTACION"/>
              <w:spacing w:before="0" w:after="0" w:line="220" w:lineRule="exact"/>
              <w:jc w:val="left"/>
              <w:rPr>
                <w:rFonts w:ascii="Verdana" w:hAnsi="Verdana"/>
                <w:sz w:val="16"/>
                <w:szCs w:val="16"/>
                <w:lang w:val="en-US"/>
              </w:rPr>
            </w:pPr>
            <w:r w:rsidRPr="00F76AB0">
              <w:rPr>
                <w:rFonts w:ascii="Verdana" w:hAnsi="Verdana"/>
                <w:sz w:val="16"/>
                <w:szCs w:val="16"/>
                <w:lang w:val="en-US"/>
              </w:rPr>
              <w:t>GENERAL PROVISIONS</w:t>
            </w:r>
          </w:p>
        </w:tc>
      </w:tr>
      <w:tr w:rsidR="003A38FF" w:rsidRPr="00067E05" w14:paraId="4CB66BCD" w14:textId="77777777" w:rsidTr="00FB5DAD">
        <w:tc>
          <w:tcPr>
            <w:tcW w:w="4706" w:type="dxa"/>
          </w:tcPr>
          <w:p w14:paraId="1AE434E2" w14:textId="5F77A125"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I</w:t>
            </w:r>
          </w:p>
        </w:tc>
        <w:tc>
          <w:tcPr>
            <w:tcW w:w="4644" w:type="dxa"/>
          </w:tcPr>
          <w:p w14:paraId="3FCD9413" w14:textId="0B6DF7B7"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I</w:t>
            </w:r>
          </w:p>
        </w:tc>
      </w:tr>
      <w:tr w:rsidR="003A38FF" w:rsidRPr="00067E05" w14:paraId="0A4D4291" w14:textId="77777777" w:rsidTr="00FB5DAD">
        <w:tc>
          <w:tcPr>
            <w:tcW w:w="4706" w:type="dxa"/>
          </w:tcPr>
          <w:p w14:paraId="47963FB5" w14:textId="14C4D0D8"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Objeto y Definiciones</w:t>
            </w:r>
          </w:p>
        </w:tc>
        <w:tc>
          <w:tcPr>
            <w:tcW w:w="4644" w:type="dxa"/>
          </w:tcPr>
          <w:p w14:paraId="6A16DDF0" w14:textId="5D8CAC22"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Purpose and Definitions</w:t>
            </w:r>
          </w:p>
        </w:tc>
      </w:tr>
      <w:tr w:rsidR="003A38FF" w:rsidRPr="00067E05" w14:paraId="060EB370" w14:textId="77777777" w:rsidTr="00FB5DAD">
        <w:tc>
          <w:tcPr>
            <w:tcW w:w="4706" w:type="dxa"/>
          </w:tcPr>
          <w:p w14:paraId="50FF6A40" w14:textId="78B480FF"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II</w:t>
            </w:r>
          </w:p>
        </w:tc>
        <w:tc>
          <w:tcPr>
            <w:tcW w:w="4644" w:type="dxa"/>
          </w:tcPr>
          <w:p w14:paraId="719BEE37" w14:textId="3FC59F03"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II</w:t>
            </w:r>
          </w:p>
        </w:tc>
      </w:tr>
      <w:tr w:rsidR="003A38FF" w:rsidRPr="00385481" w14:paraId="5EE262C4" w14:textId="77777777" w:rsidTr="00FB5DAD">
        <w:tc>
          <w:tcPr>
            <w:tcW w:w="4706" w:type="dxa"/>
          </w:tcPr>
          <w:p w14:paraId="7543C061" w14:textId="1B7210FB"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 la Planeación Vinculante, Control y Prevalencia del Estado</w:t>
            </w:r>
          </w:p>
        </w:tc>
        <w:tc>
          <w:tcPr>
            <w:tcW w:w="4644" w:type="dxa"/>
          </w:tcPr>
          <w:p w14:paraId="433838A8" w14:textId="02022D54"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Binding Planning, Control and Prevalence of the State</w:t>
            </w:r>
          </w:p>
        </w:tc>
      </w:tr>
      <w:tr w:rsidR="003A38FF" w:rsidRPr="00067E05" w14:paraId="5C049880" w14:textId="77777777" w:rsidTr="00FB5DAD">
        <w:tc>
          <w:tcPr>
            <w:tcW w:w="4706" w:type="dxa"/>
          </w:tcPr>
          <w:p w14:paraId="2DF3DBF6" w14:textId="28918F36"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III</w:t>
            </w:r>
          </w:p>
        </w:tc>
        <w:tc>
          <w:tcPr>
            <w:tcW w:w="4644" w:type="dxa"/>
          </w:tcPr>
          <w:p w14:paraId="7F4A2F46" w14:textId="732FDE16"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III</w:t>
            </w:r>
          </w:p>
        </w:tc>
      </w:tr>
      <w:tr w:rsidR="003A38FF" w:rsidRPr="00385481" w14:paraId="09DA4429" w14:textId="77777777" w:rsidTr="00FB5DAD">
        <w:tc>
          <w:tcPr>
            <w:tcW w:w="4706" w:type="dxa"/>
          </w:tcPr>
          <w:p w14:paraId="5B15840E" w14:textId="0E67F02D"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 la Normalización, Estandarización y Especificaciones Técnicas</w:t>
            </w:r>
          </w:p>
        </w:tc>
        <w:tc>
          <w:tcPr>
            <w:tcW w:w="4644" w:type="dxa"/>
          </w:tcPr>
          <w:p w14:paraId="6377E6B3" w14:textId="44759D54"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Normalization, Standardization and Technical Specifications</w:t>
            </w:r>
          </w:p>
        </w:tc>
      </w:tr>
      <w:tr w:rsidR="003A38FF" w:rsidRPr="00067E05" w14:paraId="0B5EAB15" w14:textId="77777777" w:rsidTr="00FB5DAD">
        <w:tc>
          <w:tcPr>
            <w:tcW w:w="4706" w:type="dxa"/>
          </w:tcPr>
          <w:p w14:paraId="15759849" w14:textId="6F217515"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IV</w:t>
            </w:r>
          </w:p>
        </w:tc>
        <w:tc>
          <w:tcPr>
            <w:tcW w:w="4644" w:type="dxa"/>
          </w:tcPr>
          <w:p w14:paraId="5B5FF59F" w14:textId="71959119"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IV</w:t>
            </w:r>
          </w:p>
        </w:tc>
      </w:tr>
      <w:tr w:rsidR="003A38FF" w:rsidRPr="00067E05" w14:paraId="682268F8" w14:textId="77777777" w:rsidTr="00FB5DAD">
        <w:tc>
          <w:tcPr>
            <w:tcW w:w="4706" w:type="dxa"/>
          </w:tcPr>
          <w:p w14:paraId="0D5A3B15" w14:textId="11EC70A2"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 los Permisos y Autorizaciones</w:t>
            </w:r>
          </w:p>
        </w:tc>
        <w:tc>
          <w:tcPr>
            <w:tcW w:w="4644" w:type="dxa"/>
          </w:tcPr>
          <w:p w14:paraId="59994615" w14:textId="36A9B6C4"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Permits and Authorizations</w:t>
            </w:r>
          </w:p>
        </w:tc>
      </w:tr>
      <w:tr w:rsidR="003A38FF" w:rsidRPr="00067E05" w14:paraId="586452C7" w14:textId="77777777" w:rsidTr="00FB5DAD">
        <w:tc>
          <w:tcPr>
            <w:tcW w:w="4706" w:type="dxa"/>
          </w:tcPr>
          <w:p w14:paraId="0B21EE07" w14:textId="27D554B9" w:rsidR="003A38FF" w:rsidRPr="00F76AB0" w:rsidRDefault="003A38FF" w:rsidP="003A38FF">
            <w:pPr>
              <w:pStyle w:val="ANOTACION"/>
              <w:spacing w:before="0" w:after="0" w:line="220" w:lineRule="exact"/>
              <w:jc w:val="left"/>
              <w:rPr>
                <w:rFonts w:ascii="Verdana" w:hAnsi="Verdana"/>
                <w:sz w:val="16"/>
                <w:szCs w:val="16"/>
              </w:rPr>
            </w:pPr>
            <w:r w:rsidRPr="00F76AB0">
              <w:rPr>
                <w:rFonts w:ascii="Verdana" w:hAnsi="Verdana"/>
                <w:sz w:val="16"/>
                <w:szCs w:val="16"/>
              </w:rPr>
              <w:t>TÍTULO SEGUNDO</w:t>
            </w:r>
          </w:p>
        </w:tc>
        <w:tc>
          <w:tcPr>
            <w:tcW w:w="4644" w:type="dxa"/>
          </w:tcPr>
          <w:p w14:paraId="2FB546A7" w14:textId="3E1FF6AD" w:rsidR="003A38FF" w:rsidRPr="00F76AB0" w:rsidRDefault="003A38FF" w:rsidP="003A38FF">
            <w:pPr>
              <w:pStyle w:val="ANOTACION"/>
              <w:spacing w:before="0" w:after="0" w:line="220" w:lineRule="exact"/>
              <w:jc w:val="left"/>
              <w:rPr>
                <w:rFonts w:ascii="Verdana" w:hAnsi="Verdana"/>
                <w:sz w:val="16"/>
                <w:szCs w:val="16"/>
                <w:lang w:val="en-US"/>
              </w:rPr>
            </w:pPr>
            <w:r w:rsidRPr="00F76AB0">
              <w:rPr>
                <w:rFonts w:ascii="Verdana" w:hAnsi="Verdana"/>
                <w:sz w:val="16"/>
                <w:szCs w:val="16"/>
                <w:lang w:val="en-US"/>
              </w:rPr>
              <w:t>SECOND TITLE</w:t>
            </w:r>
          </w:p>
        </w:tc>
      </w:tr>
      <w:tr w:rsidR="003A38FF" w:rsidRPr="00067E05" w14:paraId="5903E0F8" w14:textId="77777777" w:rsidTr="00FB5DAD">
        <w:tc>
          <w:tcPr>
            <w:tcW w:w="4706" w:type="dxa"/>
          </w:tcPr>
          <w:p w14:paraId="769C2FB2" w14:textId="6B4730E6" w:rsidR="003A38FF" w:rsidRPr="00F76AB0" w:rsidRDefault="003A38FF" w:rsidP="003A38FF">
            <w:pPr>
              <w:pStyle w:val="ANOTACION"/>
              <w:spacing w:before="0" w:after="0" w:line="220" w:lineRule="exact"/>
              <w:jc w:val="left"/>
              <w:rPr>
                <w:rFonts w:ascii="Verdana" w:hAnsi="Verdana"/>
                <w:sz w:val="16"/>
                <w:szCs w:val="16"/>
              </w:rPr>
            </w:pPr>
            <w:r w:rsidRPr="00F76AB0">
              <w:rPr>
                <w:rFonts w:ascii="Verdana" w:hAnsi="Verdana"/>
                <w:sz w:val="16"/>
                <w:szCs w:val="16"/>
              </w:rPr>
              <w:t>DE LA JUSTICIA ENERGÉTICA</w:t>
            </w:r>
          </w:p>
        </w:tc>
        <w:tc>
          <w:tcPr>
            <w:tcW w:w="4644" w:type="dxa"/>
          </w:tcPr>
          <w:p w14:paraId="60DEA8F0" w14:textId="252BD088" w:rsidR="003A38FF" w:rsidRPr="00F76AB0" w:rsidRDefault="003A38FF" w:rsidP="003A38FF">
            <w:pPr>
              <w:pStyle w:val="ANOTACION"/>
              <w:spacing w:before="0" w:after="0" w:line="220" w:lineRule="exact"/>
              <w:jc w:val="left"/>
              <w:rPr>
                <w:rFonts w:ascii="Verdana" w:hAnsi="Verdana"/>
                <w:sz w:val="16"/>
                <w:szCs w:val="16"/>
                <w:lang w:val="en-US"/>
              </w:rPr>
            </w:pPr>
            <w:r w:rsidRPr="00F76AB0">
              <w:rPr>
                <w:rFonts w:ascii="Verdana" w:hAnsi="Verdana"/>
                <w:sz w:val="16"/>
                <w:szCs w:val="16"/>
                <w:lang w:val="en-US"/>
              </w:rPr>
              <w:t>ENERGY JUSTICE</w:t>
            </w:r>
          </w:p>
        </w:tc>
      </w:tr>
      <w:tr w:rsidR="003A38FF" w:rsidRPr="00067E05" w14:paraId="272C263B" w14:textId="77777777" w:rsidTr="00FB5DAD">
        <w:tc>
          <w:tcPr>
            <w:tcW w:w="4706" w:type="dxa"/>
          </w:tcPr>
          <w:p w14:paraId="04DA6583" w14:textId="1CEBB751"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I</w:t>
            </w:r>
          </w:p>
        </w:tc>
        <w:tc>
          <w:tcPr>
            <w:tcW w:w="4644" w:type="dxa"/>
          </w:tcPr>
          <w:p w14:paraId="4974F6C8" w14:textId="19E463F6"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I</w:t>
            </w:r>
          </w:p>
        </w:tc>
      </w:tr>
      <w:tr w:rsidR="003A38FF" w:rsidRPr="00067E05" w14:paraId="19097164" w14:textId="77777777" w:rsidTr="00FB5DAD">
        <w:tc>
          <w:tcPr>
            <w:tcW w:w="4706" w:type="dxa"/>
          </w:tcPr>
          <w:p w14:paraId="522E1066" w14:textId="69DB9D6C"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 la Justicia Energética</w:t>
            </w:r>
          </w:p>
        </w:tc>
        <w:tc>
          <w:tcPr>
            <w:tcW w:w="4644" w:type="dxa"/>
          </w:tcPr>
          <w:p w14:paraId="4C37F045" w14:textId="293315E5"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Energy Justice</w:t>
            </w:r>
          </w:p>
        </w:tc>
      </w:tr>
      <w:tr w:rsidR="003A38FF" w:rsidRPr="00067E05" w14:paraId="3BDE4CBE" w14:textId="77777777" w:rsidTr="00FB5DAD">
        <w:tc>
          <w:tcPr>
            <w:tcW w:w="4706" w:type="dxa"/>
          </w:tcPr>
          <w:p w14:paraId="1A4FD981" w14:textId="27DBCDFB"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II</w:t>
            </w:r>
          </w:p>
        </w:tc>
        <w:tc>
          <w:tcPr>
            <w:tcW w:w="4644" w:type="dxa"/>
          </w:tcPr>
          <w:p w14:paraId="0457EAFB" w14:textId="3679DD37"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II</w:t>
            </w:r>
          </w:p>
        </w:tc>
      </w:tr>
      <w:tr w:rsidR="003A38FF" w:rsidRPr="00067E05" w14:paraId="3AD720E2" w14:textId="77777777" w:rsidTr="00FB5DAD">
        <w:tc>
          <w:tcPr>
            <w:tcW w:w="4706" w:type="dxa"/>
          </w:tcPr>
          <w:p w14:paraId="5A32D948" w14:textId="7C28684F"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Del Fondo de Servicio Universal Energético</w:t>
            </w:r>
          </w:p>
        </w:tc>
        <w:tc>
          <w:tcPr>
            <w:tcW w:w="4644" w:type="dxa"/>
          </w:tcPr>
          <w:p w14:paraId="6BC68B33" w14:textId="35369D08"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Universal Energy Service Fund</w:t>
            </w:r>
          </w:p>
        </w:tc>
      </w:tr>
      <w:tr w:rsidR="003A38FF" w:rsidRPr="00067E05" w14:paraId="385E8870" w14:textId="77777777" w:rsidTr="00FB5DAD">
        <w:tc>
          <w:tcPr>
            <w:tcW w:w="4706" w:type="dxa"/>
          </w:tcPr>
          <w:p w14:paraId="6A155398" w14:textId="0B32F8FA" w:rsidR="003A38FF" w:rsidRPr="00F76AB0" w:rsidRDefault="003A38FF" w:rsidP="003A38FF">
            <w:pPr>
              <w:pStyle w:val="ANOTACION"/>
              <w:spacing w:before="0" w:after="0" w:line="220" w:lineRule="exact"/>
              <w:jc w:val="left"/>
              <w:rPr>
                <w:rFonts w:ascii="Verdana" w:hAnsi="Verdana"/>
                <w:sz w:val="16"/>
                <w:szCs w:val="16"/>
              </w:rPr>
            </w:pPr>
            <w:r w:rsidRPr="00F76AB0">
              <w:rPr>
                <w:rFonts w:ascii="Verdana" w:hAnsi="Verdana"/>
                <w:sz w:val="16"/>
                <w:szCs w:val="16"/>
              </w:rPr>
              <w:t>TÍTULO TERCERO</w:t>
            </w:r>
          </w:p>
        </w:tc>
        <w:tc>
          <w:tcPr>
            <w:tcW w:w="4644" w:type="dxa"/>
          </w:tcPr>
          <w:p w14:paraId="4F34D1B9" w14:textId="3D8643B8" w:rsidR="003A38FF" w:rsidRPr="00F76AB0" w:rsidRDefault="003A38FF" w:rsidP="003A38FF">
            <w:pPr>
              <w:pStyle w:val="ANOTACION"/>
              <w:spacing w:before="0" w:after="0" w:line="220" w:lineRule="exact"/>
              <w:jc w:val="left"/>
              <w:rPr>
                <w:rFonts w:ascii="Verdana" w:hAnsi="Verdana"/>
                <w:sz w:val="16"/>
                <w:szCs w:val="16"/>
                <w:lang w:val="en-US"/>
              </w:rPr>
            </w:pPr>
            <w:r w:rsidRPr="00F76AB0">
              <w:rPr>
                <w:rFonts w:ascii="Verdana" w:hAnsi="Verdana"/>
                <w:sz w:val="16"/>
                <w:szCs w:val="16"/>
                <w:lang w:val="en-US"/>
              </w:rPr>
              <w:t>THIRD TITLE</w:t>
            </w:r>
          </w:p>
        </w:tc>
      </w:tr>
      <w:tr w:rsidR="003A38FF" w:rsidRPr="00067E05" w14:paraId="4F56328B" w14:textId="77777777" w:rsidTr="00FB5DAD">
        <w:tc>
          <w:tcPr>
            <w:tcW w:w="4706" w:type="dxa"/>
          </w:tcPr>
          <w:p w14:paraId="1DA50F8D" w14:textId="62E0CCD2" w:rsidR="003A38FF" w:rsidRPr="00F76AB0" w:rsidRDefault="003A38FF" w:rsidP="003A38FF">
            <w:pPr>
              <w:pStyle w:val="ANOTACION"/>
              <w:spacing w:before="0" w:after="0" w:line="220" w:lineRule="exact"/>
              <w:jc w:val="left"/>
              <w:rPr>
                <w:rFonts w:ascii="Verdana" w:hAnsi="Verdana"/>
                <w:sz w:val="16"/>
                <w:szCs w:val="16"/>
              </w:rPr>
            </w:pPr>
            <w:r w:rsidRPr="00F76AB0">
              <w:rPr>
                <w:rFonts w:ascii="Verdana" w:hAnsi="Verdana"/>
                <w:sz w:val="16"/>
                <w:szCs w:val="16"/>
              </w:rPr>
              <w:t>DE LA GENERACIÓN DE ENERGÍA ELÉCTRICA</w:t>
            </w:r>
          </w:p>
        </w:tc>
        <w:tc>
          <w:tcPr>
            <w:tcW w:w="4644" w:type="dxa"/>
          </w:tcPr>
          <w:p w14:paraId="6052460C" w14:textId="651E9277" w:rsidR="003A38FF" w:rsidRPr="00F76AB0" w:rsidRDefault="003A38FF" w:rsidP="003A38FF">
            <w:pPr>
              <w:pStyle w:val="ANOTACION"/>
              <w:spacing w:before="0" w:after="0" w:line="220" w:lineRule="exact"/>
              <w:jc w:val="left"/>
              <w:rPr>
                <w:rFonts w:ascii="Verdana" w:hAnsi="Verdana"/>
                <w:sz w:val="16"/>
                <w:szCs w:val="16"/>
                <w:lang w:val="en-US"/>
              </w:rPr>
            </w:pPr>
            <w:r w:rsidRPr="00F76AB0">
              <w:rPr>
                <w:rFonts w:ascii="Verdana" w:hAnsi="Verdana"/>
                <w:sz w:val="16"/>
                <w:szCs w:val="16"/>
                <w:lang w:val="en-US"/>
              </w:rPr>
              <w:t>GENERATION OF ELECTRIC POWER</w:t>
            </w:r>
          </w:p>
        </w:tc>
      </w:tr>
      <w:tr w:rsidR="003A38FF" w:rsidRPr="00067E05" w14:paraId="64675AB7" w14:textId="77777777" w:rsidTr="00FB5DAD">
        <w:tc>
          <w:tcPr>
            <w:tcW w:w="4706" w:type="dxa"/>
          </w:tcPr>
          <w:p w14:paraId="38DDE5D3" w14:textId="60E5DAEF"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I</w:t>
            </w:r>
          </w:p>
        </w:tc>
        <w:tc>
          <w:tcPr>
            <w:tcW w:w="4644" w:type="dxa"/>
          </w:tcPr>
          <w:p w14:paraId="33C695A3" w14:textId="6D0CFEC1"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I</w:t>
            </w:r>
          </w:p>
        </w:tc>
      </w:tr>
      <w:tr w:rsidR="003A38FF" w:rsidRPr="00067E05" w14:paraId="35F76FDB" w14:textId="77777777" w:rsidTr="00FB5DAD">
        <w:tc>
          <w:tcPr>
            <w:tcW w:w="4706" w:type="dxa"/>
          </w:tcPr>
          <w:p w14:paraId="6C1009C7" w14:textId="26961C97"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 la Generación Distribuida</w:t>
            </w:r>
          </w:p>
        </w:tc>
        <w:tc>
          <w:tcPr>
            <w:tcW w:w="4644" w:type="dxa"/>
          </w:tcPr>
          <w:p w14:paraId="3E53F554" w14:textId="67D384AD"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Distributed Generation</w:t>
            </w:r>
          </w:p>
        </w:tc>
      </w:tr>
      <w:tr w:rsidR="003A38FF" w:rsidRPr="00067E05" w14:paraId="249C4666" w14:textId="77777777" w:rsidTr="00FB5DAD">
        <w:tc>
          <w:tcPr>
            <w:tcW w:w="4706" w:type="dxa"/>
          </w:tcPr>
          <w:p w14:paraId="708B0450" w14:textId="3895C70D"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II</w:t>
            </w:r>
          </w:p>
        </w:tc>
        <w:tc>
          <w:tcPr>
            <w:tcW w:w="4644" w:type="dxa"/>
          </w:tcPr>
          <w:p w14:paraId="20317683" w14:textId="65020E45"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II</w:t>
            </w:r>
          </w:p>
        </w:tc>
      </w:tr>
      <w:tr w:rsidR="003A38FF" w:rsidRPr="00067E05" w14:paraId="4B0B573F" w14:textId="77777777" w:rsidTr="00FB5DAD">
        <w:tc>
          <w:tcPr>
            <w:tcW w:w="4706" w:type="dxa"/>
          </w:tcPr>
          <w:p w14:paraId="1A45837C" w14:textId="1AEA5106"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Del Autoconsumo</w:t>
            </w:r>
          </w:p>
        </w:tc>
        <w:tc>
          <w:tcPr>
            <w:tcW w:w="4644" w:type="dxa"/>
          </w:tcPr>
          <w:p w14:paraId="77D1EA02" w14:textId="2A33127F"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Self-consumption</w:t>
            </w:r>
          </w:p>
        </w:tc>
      </w:tr>
      <w:tr w:rsidR="003A38FF" w:rsidRPr="00067E05" w14:paraId="23DD508A" w14:textId="77777777" w:rsidTr="00FB5DAD">
        <w:tc>
          <w:tcPr>
            <w:tcW w:w="4706" w:type="dxa"/>
          </w:tcPr>
          <w:p w14:paraId="0D1EE3EE" w14:textId="04595846"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Sección I</w:t>
            </w:r>
          </w:p>
        </w:tc>
        <w:tc>
          <w:tcPr>
            <w:tcW w:w="4644" w:type="dxa"/>
          </w:tcPr>
          <w:p w14:paraId="751AE558" w14:textId="729C2981"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Section I</w:t>
            </w:r>
          </w:p>
        </w:tc>
      </w:tr>
      <w:tr w:rsidR="003A38FF" w:rsidRPr="00067E05" w14:paraId="36C75E56" w14:textId="77777777" w:rsidTr="00FB5DAD">
        <w:tc>
          <w:tcPr>
            <w:tcW w:w="4706" w:type="dxa"/>
          </w:tcPr>
          <w:p w14:paraId="7C678370" w14:textId="6BF11CEB"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Autoconsumo Aislado</w:t>
            </w:r>
          </w:p>
        </w:tc>
        <w:tc>
          <w:tcPr>
            <w:tcW w:w="4644" w:type="dxa"/>
          </w:tcPr>
          <w:p w14:paraId="2A2A6091" w14:textId="1BEF424F"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Isolated Self-Consumption</w:t>
            </w:r>
          </w:p>
        </w:tc>
      </w:tr>
      <w:tr w:rsidR="003A38FF" w:rsidRPr="00067E05" w14:paraId="23A8E629" w14:textId="77777777" w:rsidTr="00FB5DAD">
        <w:tc>
          <w:tcPr>
            <w:tcW w:w="4706" w:type="dxa"/>
          </w:tcPr>
          <w:p w14:paraId="197AE3E8" w14:textId="44CF8992"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Sección II</w:t>
            </w:r>
          </w:p>
        </w:tc>
        <w:tc>
          <w:tcPr>
            <w:tcW w:w="4644" w:type="dxa"/>
          </w:tcPr>
          <w:p w14:paraId="1A860CE1" w14:textId="68DD7AB5"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Section II</w:t>
            </w:r>
          </w:p>
        </w:tc>
      </w:tr>
      <w:tr w:rsidR="003A38FF" w:rsidRPr="00067E05" w14:paraId="7C8E7B6A" w14:textId="77777777" w:rsidTr="00FB5DAD">
        <w:tc>
          <w:tcPr>
            <w:tcW w:w="4706" w:type="dxa"/>
          </w:tcPr>
          <w:p w14:paraId="2192853E" w14:textId="13B95556"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Autoconsumo Interconectado</w:t>
            </w:r>
          </w:p>
        </w:tc>
        <w:tc>
          <w:tcPr>
            <w:tcW w:w="4644" w:type="dxa"/>
          </w:tcPr>
          <w:p w14:paraId="0D0E66E8" w14:textId="480B8714"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Interconnected Self-Consumption</w:t>
            </w:r>
          </w:p>
        </w:tc>
      </w:tr>
      <w:tr w:rsidR="003A38FF" w:rsidRPr="00067E05" w14:paraId="7DFEDC99" w14:textId="77777777" w:rsidTr="00FB5DAD">
        <w:tc>
          <w:tcPr>
            <w:tcW w:w="4706" w:type="dxa"/>
          </w:tcPr>
          <w:p w14:paraId="2D382C69" w14:textId="7D49E500"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III</w:t>
            </w:r>
          </w:p>
        </w:tc>
        <w:tc>
          <w:tcPr>
            <w:tcW w:w="4644" w:type="dxa"/>
          </w:tcPr>
          <w:p w14:paraId="5F0C82B2" w14:textId="16E32FEE"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III</w:t>
            </w:r>
          </w:p>
        </w:tc>
      </w:tr>
      <w:tr w:rsidR="003A38FF" w:rsidRPr="00385481" w14:paraId="5DAB2207" w14:textId="77777777" w:rsidTr="00FB5DAD">
        <w:tc>
          <w:tcPr>
            <w:tcW w:w="4706" w:type="dxa"/>
          </w:tcPr>
          <w:p w14:paraId="3561D60A" w14:textId="24B28BEA"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 la Generación para el Mercado Eléctrico Mayorista</w:t>
            </w:r>
          </w:p>
        </w:tc>
        <w:tc>
          <w:tcPr>
            <w:tcW w:w="4644" w:type="dxa"/>
          </w:tcPr>
          <w:p w14:paraId="055D0C3D" w14:textId="70AE4A4D"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Generation for the Wholesale Electricity Market</w:t>
            </w:r>
          </w:p>
        </w:tc>
      </w:tr>
      <w:tr w:rsidR="003A38FF" w:rsidRPr="00067E05" w14:paraId="1727F623" w14:textId="77777777" w:rsidTr="00FB5DAD">
        <w:tc>
          <w:tcPr>
            <w:tcW w:w="4706" w:type="dxa"/>
          </w:tcPr>
          <w:p w14:paraId="09454448" w14:textId="696551F3"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IV</w:t>
            </w:r>
          </w:p>
        </w:tc>
        <w:tc>
          <w:tcPr>
            <w:tcW w:w="4644" w:type="dxa"/>
          </w:tcPr>
          <w:p w14:paraId="41593A8C" w14:textId="6F05B95B"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IV</w:t>
            </w:r>
          </w:p>
        </w:tc>
      </w:tr>
      <w:tr w:rsidR="003A38FF" w:rsidRPr="00067E05" w14:paraId="27221EF1" w14:textId="77777777" w:rsidTr="00FB5DAD">
        <w:tc>
          <w:tcPr>
            <w:tcW w:w="4706" w:type="dxa"/>
          </w:tcPr>
          <w:p w14:paraId="731A580E" w14:textId="49A4CF58"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 los Esquemas para el Desarrollo Mixto</w:t>
            </w:r>
          </w:p>
        </w:tc>
        <w:tc>
          <w:tcPr>
            <w:tcW w:w="4644" w:type="dxa"/>
          </w:tcPr>
          <w:p w14:paraId="54B10BE4" w14:textId="52B34367"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Schemes for Mixed Development</w:t>
            </w:r>
          </w:p>
        </w:tc>
      </w:tr>
      <w:tr w:rsidR="003A38FF" w:rsidRPr="00067E05" w14:paraId="6727EFBF" w14:textId="77777777" w:rsidTr="00FB5DAD">
        <w:tc>
          <w:tcPr>
            <w:tcW w:w="4706" w:type="dxa"/>
          </w:tcPr>
          <w:p w14:paraId="6309D9B7" w14:textId="422D977E"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lastRenderedPageBreak/>
              <w:t>Sección I</w:t>
            </w:r>
          </w:p>
        </w:tc>
        <w:tc>
          <w:tcPr>
            <w:tcW w:w="4644" w:type="dxa"/>
          </w:tcPr>
          <w:p w14:paraId="0BF23D57" w14:textId="6A1984C7"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Section I</w:t>
            </w:r>
          </w:p>
        </w:tc>
      </w:tr>
      <w:tr w:rsidR="003A38FF" w:rsidRPr="00067E05" w14:paraId="4E788C2B" w14:textId="77777777" w:rsidTr="00FB5DAD">
        <w:tc>
          <w:tcPr>
            <w:tcW w:w="4706" w:type="dxa"/>
          </w:tcPr>
          <w:p w14:paraId="0225549F" w14:textId="7007B57C"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Disposiciones Generales</w:t>
            </w:r>
          </w:p>
        </w:tc>
        <w:tc>
          <w:tcPr>
            <w:tcW w:w="4644" w:type="dxa"/>
          </w:tcPr>
          <w:p w14:paraId="6D2C1041" w14:textId="72CA452A"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General Provisions</w:t>
            </w:r>
          </w:p>
        </w:tc>
      </w:tr>
      <w:tr w:rsidR="003A38FF" w:rsidRPr="00067E05" w14:paraId="327860A8" w14:textId="77777777" w:rsidTr="00FB5DAD">
        <w:tc>
          <w:tcPr>
            <w:tcW w:w="4706" w:type="dxa"/>
          </w:tcPr>
          <w:p w14:paraId="01A63673" w14:textId="54CC447B"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Sección II</w:t>
            </w:r>
          </w:p>
        </w:tc>
        <w:tc>
          <w:tcPr>
            <w:tcW w:w="4644" w:type="dxa"/>
          </w:tcPr>
          <w:p w14:paraId="608391AC" w14:textId="3B6C1600"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Section II</w:t>
            </w:r>
          </w:p>
        </w:tc>
      </w:tr>
      <w:tr w:rsidR="003A38FF" w:rsidRPr="00067E05" w14:paraId="2956B3CF" w14:textId="77777777" w:rsidTr="00FB5DAD">
        <w:tc>
          <w:tcPr>
            <w:tcW w:w="4706" w:type="dxa"/>
          </w:tcPr>
          <w:p w14:paraId="4F20E4EC" w14:textId="3C94C662"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Producción de Largo Plazo</w:t>
            </w:r>
          </w:p>
        </w:tc>
        <w:tc>
          <w:tcPr>
            <w:tcW w:w="4644" w:type="dxa"/>
          </w:tcPr>
          <w:p w14:paraId="3BFB0E0C" w14:textId="55B89B05" w:rsidR="003A38FF" w:rsidRPr="00A761A1" w:rsidRDefault="009E2B03" w:rsidP="003A38FF">
            <w:pPr>
              <w:pStyle w:val="ANOTACION"/>
              <w:spacing w:before="0" w:after="0" w:line="220" w:lineRule="exact"/>
              <w:jc w:val="left"/>
              <w:rPr>
                <w:rFonts w:ascii="Verdana" w:hAnsi="Verdana"/>
                <w:b w:val="0"/>
                <w:bCs/>
                <w:sz w:val="16"/>
                <w:szCs w:val="16"/>
                <w:lang w:val="en-US"/>
              </w:rPr>
            </w:pPr>
            <w:r>
              <w:rPr>
                <w:rFonts w:ascii="Verdana" w:hAnsi="Verdana"/>
                <w:b w:val="0"/>
                <w:bCs/>
                <w:sz w:val="16"/>
                <w:szCs w:val="16"/>
                <w:lang w:val="en-US"/>
              </w:rPr>
              <w:t>Long term</w:t>
            </w:r>
            <w:r w:rsidR="003A38FF" w:rsidRPr="005A428F">
              <w:rPr>
                <w:rFonts w:ascii="Verdana" w:hAnsi="Verdana"/>
                <w:b w:val="0"/>
                <w:bCs/>
                <w:sz w:val="16"/>
                <w:szCs w:val="16"/>
                <w:lang w:val="en-US"/>
              </w:rPr>
              <w:t xml:space="preserve"> Production</w:t>
            </w:r>
          </w:p>
        </w:tc>
      </w:tr>
      <w:tr w:rsidR="003A38FF" w:rsidRPr="00067E05" w14:paraId="788CA9F5" w14:textId="77777777" w:rsidTr="00FB5DAD">
        <w:tc>
          <w:tcPr>
            <w:tcW w:w="4706" w:type="dxa"/>
          </w:tcPr>
          <w:p w14:paraId="7E3CD0AE" w14:textId="285E5F29"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Sección III</w:t>
            </w:r>
          </w:p>
        </w:tc>
        <w:tc>
          <w:tcPr>
            <w:tcW w:w="4644" w:type="dxa"/>
          </w:tcPr>
          <w:p w14:paraId="7E1EA429" w14:textId="47756B8E"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Section III</w:t>
            </w:r>
          </w:p>
        </w:tc>
      </w:tr>
      <w:tr w:rsidR="003A38FF" w:rsidRPr="00067E05" w14:paraId="313561E4" w14:textId="77777777" w:rsidTr="00FB5DAD">
        <w:tc>
          <w:tcPr>
            <w:tcW w:w="4706" w:type="dxa"/>
          </w:tcPr>
          <w:p w14:paraId="47611FF4" w14:textId="7EAC013F"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Inversión Mixta</w:t>
            </w:r>
          </w:p>
        </w:tc>
        <w:tc>
          <w:tcPr>
            <w:tcW w:w="4644" w:type="dxa"/>
          </w:tcPr>
          <w:p w14:paraId="7413A888" w14:textId="27B8C5D9"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Mixed Investment</w:t>
            </w:r>
          </w:p>
        </w:tc>
      </w:tr>
      <w:tr w:rsidR="003A38FF" w:rsidRPr="00067E05" w14:paraId="0E99E6C4" w14:textId="77777777" w:rsidTr="00FB5DAD">
        <w:tc>
          <w:tcPr>
            <w:tcW w:w="4706" w:type="dxa"/>
          </w:tcPr>
          <w:p w14:paraId="67F944AA" w14:textId="768AE853"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Sección IV</w:t>
            </w:r>
          </w:p>
        </w:tc>
        <w:tc>
          <w:tcPr>
            <w:tcW w:w="4644" w:type="dxa"/>
          </w:tcPr>
          <w:p w14:paraId="60CC099E" w14:textId="49FFB7D4"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Section IV</w:t>
            </w:r>
          </w:p>
        </w:tc>
      </w:tr>
      <w:tr w:rsidR="003A38FF" w:rsidRPr="00067E05" w14:paraId="088BC893" w14:textId="77777777" w:rsidTr="00FB5DAD">
        <w:tc>
          <w:tcPr>
            <w:tcW w:w="4706" w:type="dxa"/>
          </w:tcPr>
          <w:p w14:paraId="4136A40D" w14:textId="723C2DA2"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Otros Esquemas de Desarrollo Mixto</w:t>
            </w:r>
          </w:p>
        </w:tc>
        <w:tc>
          <w:tcPr>
            <w:tcW w:w="4644" w:type="dxa"/>
          </w:tcPr>
          <w:p w14:paraId="68405F10" w14:textId="09AF9618"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Other Mixed Development Schemes</w:t>
            </w:r>
          </w:p>
        </w:tc>
      </w:tr>
      <w:tr w:rsidR="003A38FF" w:rsidRPr="00067E05" w14:paraId="792C40E1" w14:textId="77777777" w:rsidTr="00FB5DAD">
        <w:tc>
          <w:tcPr>
            <w:tcW w:w="4706" w:type="dxa"/>
          </w:tcPr>
          <w:p w14:paraId="759A681F" w14:textId="301DBC1C"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V</w:t>
            </w:r>
          </w:p>
        </w:tc>
        <w:tc>
          <w:tcPr>
            <w:tcW w:w="4644" w:type="dxa"/>
          </w:tcPr>
          <w:p w14:paraId="3F995A5C" w14:textId="7FC64A25"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V</w:t>
            </w:r>
          </w:p>
        </w:tc>
      </w:tr>
      <w:tr w:rsidR="003A38FF" w:rsidRPr="00067E05" w14:paraId="2A8561A1" w14:textId="77777777" w:rsidTr="00FB5DAD">
        <w:tc>
          <w:tcPr>
            <w:tcW w:w="4706" w:type="dxa"/>
          </w:tcPr>
          <w:p w14:paraId="3FD0C67F" w14:textId="751774AF"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 la Cogeneración</w:t>
            </w:r>
          </w:p>
        </w:tc>
        <w:tc>
          <w:tcPr>
            <w:tcW w:w="4644" w:type="dxa"/>
          </w:tcPr>
          <w:p w14:paraId="475BDEF6" w14:textId="1FE45889"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Cogeneration</w:t>
            </w:r>
          </w:p>
        </w:tc>
      </w:tr>
      <w:tr w:rsidR="003A38FF" w:rsidRPr="00067E05" w14:paraId="6CDEF199" w14:textId="77777777" w:rsidTr="00FB5DAD">
        <w:tc>
          <w:tcPr>
            <w:tcW w:w="4706" w:type="dxa"/>
          </w:tcPr>
          <w:p w14:paraId="59FF244B" w14:textId="16253618" w:rsidR="003A38FF" w:rsidRPr="00F76AB0" w:rsidRDefault="003A38FF" w:rsidP="003A38FF">
            <w:pPr>
              <w:pStyle w:val="ANOTACION"/>
              <w:spacing w:before="0" w:after="0" w:line="220" w:lineRule="exact"/>
              <w:jc w:val="left"/>
              <w:rPr>
                <w:rFonts w:ascii="Verdana" w:hAnsi="Verdana"/>
                <w:sz w:val="16"/>
                <w:szCs w:val="16"/>
              </w:rPr>
            </w:pPr>
            <w:r w:rsidRPr="00F76AB0">
              <w:rPr>
                <w:rFonts w:ascii="Verdana" w:hAnsi="Verdana"/>
                <w:sz w:val="16"/>
                <w:szCs w:val="16"/>
              </w:rPr>
              <w:t>TÍTULO CUARTO</w:t>
            </w:r>
          </w:p>
        </w:tc>
        <w:tc>
          <w:tcPr>
            <w:tcW w:w="4644" w:type="dxa"/>
          </w:tcPr>
          <w:p w14:paraId="2C20440A" w14:textId="2C9904A5" w:rsidR="003A38FF" w:rsidRPr="00F76AB0" w:rsidRDefault="003A38FF" w:rsidP="003A38FF">
            <w:pPr>
              <w:pStyle w:val="ANOTACION"/>
              <w:spacing w:before="0" w:after="0" w:line="220" w:lineRule="exact"/>
              <w:jc w:val="left"/>
              <w:rPr>
                <w:rFonts w:ascii="Verdana" w:hAnsi="Verdana"/>
                <w:sz w:val="16"/>
                <w:szCs w:val="16"/>
                <w:lang w:val="en-US"/>
              </w:rPr>
            </w:pPr>
            <w:r w:rsidRPr="00F76AB0">
              <w:rPr>
                <w:rFonts w:ascii="Verdana" w:hAnsi="Verdana"/>
                <w:sz w:val="16"/>
                <w:szCs w:val="16"/>
                <w:lang w:val="en-US"/>
              </w:rPr>
              <w:t xml:space="preserve">FOURTH TITLE </w:t>
            </w:r>
          </w:p>
        </w:tc>
      </w:tr>
      <w:tr w:rsidR="003A38FF" w:rsidRPr="00385481" w14:paraId="34EB3B47" w14:textId="77777777" w:rsidTr="00FB5DAD">
        <w:tc>
          <w:tcPr>
            <w:tcW w:w="4706" w:type="dxa"/>
          </w:tcPr>
          <w:p w14:paraId="3FE75CBD" w14:textId="05540430" w:rsidR="003A38FF" w:rsidRPr="00F76AB0" w:rsidRDefault="003A38FF" w:rsidP="003A38FF">
            <w:pPr>
              <w:pStyle w:val="ANOTACION"/>
              <w:spacing w:before="0" w:after="0" w:line="220" w:lineRule="exact"/>
              <w:jc w:val="left"/>
              <w:rPr>
                <w:rFonts w:ascii="Verdana" w:hAnsi="Verdana"/>
                <w:sz w:val="16"/>
                <w:szCs w:val="16"/>
              </w:rPr>
            </w:pPr>
            <w:r w:rsidRPr="00F76AB0">
              <w:rPr>
                <w:rFonts w:ascii="Verdana" w:hAnsi="Verdana"/>
                <w:sz w:val="16"/>
                <w:szCs w:val="16"/>
              </w:rPr>
              <w:t>DE LA TRANSMISIÓN Y DISTRIBUCIÓN DE ENERGÍA ELÉCTRICA, DEL SUMINISTRO ELÉCTRICO Y LAS TARIFAS ELÉCTRICAS</w:t>
            </w:r>
          </w:p>
        </w:tc>
        <w:tc>
          <w:tcPr>
            <w:tcW w:w="4644" w:type="dxa"/>
          </w:tcPr>
          <w:p w14:paraId="29DD96B4" w14:textId="03315B8A" w:rsidR="003A38FF" w:rsidRPr="00F76AB0" w:rsidRDefault="003A38FF" w:rsidP="003A38FF">
            <w:pPr>
              <w:pStyle w:val="ANOTACION"/>
              <w:spacing w:before="0" w:after="0" w:line="220" w:lineRule="exact"/>
              <w:jc w:val="left"/>
              <w:rPr>
                <w:rFonts w:ascii="Verdana" w:hAnsi="Verdana"/>
                <w:sz w:val="16"/>
                <w:szCs w:val="16"/>
                <w:lang w:val="en-US"/>
              </w:rPr>
            </w:pPr>
            <w:r w:rsidRPr="00F76AB0">
              <w:rPr>
                <w:rFonts w:ascii="Verdana" w:hAnsi="Verdana"/>
                <w:sz w:val="16"/>
                <w:szCs w:val="16"/>
                <w:lang w:val="en-US"/>
              </w:rPr>
              <w:t>THE TRANSMISSION AND DISTRIBUTION OF ELECTRICAL ENERGY, ELECTRICAL SUPPLY AND ELECTRICAL RATES</w:t>
            </w:r>
          </w:p>
        </w:tc>
      </w:tr>
      <w:tr w:rsidR="003A38FF" w:rsidRPr="00067E05" w14:paraId="27851E58" w14:textId="77777777" w:rsidTr="00FB5DAD">
        <w:tc>
          <w:tcPr>
            <w:tcW w:w="4706" w:type="dxa"/>
          </w:tcPr>
          <w:p w14:paraId="3F4DDC00" w14:textId="17917628"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I</w:t>
            </w:r>
          </w:p>
        </w:tc>
        <w:tc>
          <w:tcPr>
            <w:tcW w:w="4644" w:type="dxa"/>
          </w:tcPr>
          <w:p w14:paraId="28FDB13C" w14:textId="426E98C7"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I</w:t>
            </w:r>
          </w:p>
        </w:tc>
      </w:tr>
      <w:tr w:rsidR="003A38FF" w:rsidRPr="00067E05" w14:paraId="61B4F9C0" w14:textId="77777777" w:rsidTr="00FB5DAD">
        <w:tc>
          <w:tcPr>
            <w:tcW w:w="4706" w:type="dxa"/>
          </w:tcPr>
          <w:p w14:paraId="38E9DDC0" w14:textId="27E7D646"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 la Transmisión y Distribución</w:t>
            </w:r>
          </w:p>
        </w:tc>
        <w:tc>
          <w:tcPr>
            <w:tcW w:w="4644" w:type="dxa"/>
          </w:tcPr>
          <w:p w14:paraId="7EECE909" w14:textId="0413F5F4"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Transmission and Distribution</w:t>
            </w:r>
          </w:p>
        </w:tc>
      </w:tr>
      <w:tr w:rsidR="003A38FF" w:rsidRPr="00067E05" w14:paraId="3F77FF57" w14:textId="77777777" w:rsidTr="00FB5DAD">
        <w:tc>
          <w:tcPr>
            <w:tcW w:w="4706" w:type="dxa"/>
          </w:tcPr>
          <w:p w14:paraId="76DE21C6" w14:textId="0CCF3FCD"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II</w:t>
            </w:r>
          </w:p>
        </w:tc>
        <w:tc>
          <w:tcPr>
            <w:tcW w:w="4644" w:type="dxa"/>
          </w:tcPr>
          <w:p w14:paraId="42C29FC4" w14:textId="05CF4AC2"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II</w:t>
            </w:r>
          </w:p>
        </w:tc>
      </w:tr>
      <w:tr w:rsidR="003A38FF" w:rsidRPr="00385481" w14:paraId="229C88D0" w14:textId="77777777" w:rsidTr="00FB5DAD">
        <w:tc>
          <w:tcPr>
            <w:tcW w:w="4706" w:type="dxa"/>
          </w:tcPr>
          <w:p w14:paraId="798B7DF9" w14:textId="7C739930"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Condiciones Generales para la Prestación del Servicio Público de Transmisión y Distribución de Energía Eléctrica y del Suministro Eléctrico</w:t>
            </w:r>
          </w:p>
        </w:tc>
        <w:tc>
          <w:tcPr>
            <w:tcW w:w="4644" w:type="dxa"/>
          </w:tcPr>
          <w:p w14:paraId="776CC3B2" w14:textId="79C8C6C9"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General Conditions for the Provision of the Public Service of Transmission and Distribution of Electric Energy and Electricity Supply</w:t>
            </w:r>
          </w:p>
        </w:tc>
      </w:tr>
      <w:tr w:rsidR="003A38FF" w:rsidRPr="00067E05" w14:paraId="2A2E5636" w14:textId="77777777" w:rsidTr="00FB5DAD">
        <w:tc>
          <w:tcPr>
            <w:tcW w:w="4706" w:type="dxa"/>
          </w:tcPr>
          <w:p w14:paraId="6A3964DC" w14:textId="267F1311"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III</w:t>
            </w:r>
          </w:p>
        </w:tc>
        <w:tc>
          <w:tcPr>
            <w:tcW w:w="4644" w:type="dxa"/>
          </w:tcPr>
          <w:p w14:paraId="36DF28D5" w14:textId="740B4B5D"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III</w:t>
            </w:r>
          </w:p>
        </w:tc>
      </w:tr>
      <w:tr w:rsidR="003A38FF" w:rsidRPr="00067E05" w14:paraId="26561607" w14:textId="77777777" w:rsidTr="00FB5DAD">
        <w:tc>
          <w:tcPr>
            <w:tcW w:w="4706" w:type="dxa"/>
          </w:tcPr>
          <w:p w14:paraId="4EAE1F7F" w14:textId="705726F8"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Del Acceso Local</w:t>
            </w:r>
          </w:p>
        </w:tc>
        <w:tc>
          <w:tcPr>
            <w:tcW w:w="4644" w:type="dxa"/>
          </w:tcPr>
          <w:p w14:paraId="08FB28BA" w14:textId="5A7EDF6B"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Local Access</w:t>
            </w:r>
          </w:p>
        </w:tc>
      </w:tr>
      <w:tr w:rsidR="003A38FF" w:rsidRPr="00067E05" w14:paraId="58E8253F" w14:textId="77777777" w:rsidTr="00FB5DAD">
        <w:tc>
          <w:tcPr>
            <w:tcW w:w="4706" w:type="dxa"/>
          </w:tcPr>
          <w:p w14:paraId="4F97D5B2" w14:textId="504DF84B"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IV</w:t>
            </w:r>
          </w:p>
        </w:tc>
        <w:tc>
          <w:tcPr>
            <w:tcW w:w="4644" w:type="dxa"/>
          </w:tcPr>
          <w:p w14:paraId="0EEDEEA0" w14:textId="5A3B28B7"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IV</w:t>
            </w:r>
          </w:p>
        </w:tc>
      </w:tr>
      <w:tr w:rsidR="003A38FF" w:rsidRPr="00385481" w14:paraId="47032212" w14:textId="77777777" w:rsidTr="00FB5DAD">
        <w:tc>
          <w:tcPr>
            <w:tcW w:w="4706" w:type="dxa"/>
          </w:tcPr>
          <w:p w14:paraId="5CE9D9C5" w14:textId="2A95DBA9"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 la Revisión de los Sistemas de Medición e Instalaciones Eléctricas</w:t>
            </w:r>
          </w:p>
        </w:tc>
        <w:tc>
          <w:tcPr>
            <w:tcW w:w="4644" w:type="dxa"/>
          </w:tcPr>
          <w:p w14:paraId="12544C63" w14:textId="52189A71"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Review of Measurement Systems and Electrical Installations</w:t>
            </w:r>
          </w:p>
        </w:tc>
      </w:tr>
      <w:tr w:rsidR="003A38FF" w:rsidRPr="00067E05" w14:paraId="423625AF" w14:textId="77777777" w:rsidTr="00FB5DAD">
        <w:tc>
          <w:tcPr>
            <w:tcW w:w="4706" w:type="dxa"/>
          </w:tcPr>
          <w:p w14:paraId="5E3ED78A" w14:textId="14E9B5CC"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V</w:t>
            </w:r>
          </w:p>
        </w:tc>
        <w:tc>
          <w:tcPr>
            <w:tcW w:w="4644" w:type="dxa"/>
          </w:tcPr>
          <w:p w14:paraId="2BDFC285" w14:textId="64F0174B"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V</w:t>
            </w:r>
          </w:p>
        </w:tc>
      </w:tr>
      <w:tr w:rsidR="003A38FF" w:rsidRPr="00385481" w14:paraId="069CB955" w14:textId="77777777" w:rsidTr="00FB5DAD">
        <w:tc>
          <w:tcPr>
            <w:tcW w:w="4706" w:type="dxa"/>
          </w:tcPr>
          <w:p w14:paraId="32507B59" w14:textId="69BA7D52"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 las Quejas del Servicio Público de Transmisión y Distribución y de Suministro Eléctrico</w:t>
            </w:r>
          </w:p>
        </w:tc>
        <w:tc>
          <w:tcPr>
            <w:tcW w:w="4644" w:type="dxa"/>
          </w:tcPr>
          <w:p w14:paraId="5498D7D4" w14:textId="3266B444"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Complaints about the Public Transmission and Distribution Service and Electricity Supply</w:t>
            </w:r>
          </w:p>
        </w:tc>
      </w:tr>
      <w:tr w:rsidR="003A38FF" w:rsidRPr="00067E05" w14:paraId="07FF0469" w14:textId="77777777" w:rsidTr="00FB5DAD">
        <w:tc>
          <w:tcPr>
            <w:tcW w:w="4706" w:type="dxa"/>
          </w:tcPr>
          <w:p w14:paraId="44DAC375" w14:textId="291E69C0"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VI</w:t>
            </w:r>
          </w:p>
        </w:tc>
        <w:tc>
          <w:tcPr>
            <w:tcW w:w="4644" w:type="dxa"/>
          </w:tcPr>
          <w:p w14:paraId="178943E9" w14:textId="0ECBA473"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VI</w:t>
            </w:r>
          </w:p>
        </w:tc>
      </w:tr>
      <w:tr w:rsidR="003A38FF" w:rsidRPr="00385481" w14:paraId="4B052692" w14:textId="77777777" w:rsidTr="00FB5DAD">
        <w:tc>
          <w:tcPr>
            <w:tcW w:w="4706" w:type="dxa"/>
          </w:tcPr>
          <w:p w14:paraId="5D58DD8D" w14:textId="35707E02"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Del Acceso a la Red Nacional de Transmisión y a las Redes Generales de Distribución</w:t>
            </w:r>
          </w:p>
        </w:tc>
        <w:tc>
          <w:tcPr>
            <w:tcW w:w="4644" w:type="dxa"/>
          </w:tcPr>
          <w:p w14:paraId="353846E9" w14:textId="379EEF57"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Access to the National Transmission Network and the General Distribution Networks</w:t>
            </w:r>
          </w:p>
        </w:tc>
      </w:tr>
      <w:tr w:rsidR="003A38FF" w:rsidRPr="00067E05" w14:paraId="3C8647C8" w14:textId="77777777" w:rsidTr="00FB5DAD">
        <w:tc>
          <w:tcPr>
            <w:tcW w:w="4706" w:type="dxa"/>
          </w:tcPr>
          <w:p w14:paraId="1FA58549" w14:textId="6750A38F"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VII</w:t>
            </w:r>
          </w:p>
        </w:tc>
        <w:tc>
          <w:tcPr>
            <w:tcW w:w="4644" w:type="dxa"/>
          </w:tcPr>
          <w:p w14:paraId="2BF6F79F" w14:textId="1B9FA5AE"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VII</w:t>
            </w:r>
          </w:p>
        </w:tc>
      </w:tr>
      <w:tr w:rsidR="003A38FF" w:rsidRPr="00385481" w14:paraId="50E25DCC" w14:textId="77777777" w:rsidTr="00FB5DAD">
        <w:tc>
          <w:tcPr>
            <w:tcW w:w="4706" w:type="dxa"/>
          </w:tcPr>
          <w:p w14:paraId="067CA644" w14:textId="56A3B9EF"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 las Tarifas Eléctricas, los Precios, las Contraprestaciones y los Costos</w:t>
            </w:r>
          </w:p>
        </w:tc>
        <w:tc>
          <w:tcPr>
            <w:tcW w:w="4644" w:type="dxa"/>
          </w:tcPr>
          <w:p w14:paraId="770333AD" w14:textId="6220E8BA"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Electricity Rates, Prices, Considerations and Costs</w:t>
            </w:r>
          </w:p>
        </w:tc>
      </w:tr>
      <w:tr w:rsidR="003A38FF" w:rsidRPr="00067E05" w14:paraId="20FE6F6A" w14:textId="77777777" w:rsidTr="00FB5DAD">
        <w:tc>
          <w:tcPr>
            <w:tcW w:w="4706" w:type="dxa"/>
          </w:tcPr>
          <w:p w14:paraId="17352EF5" w14:textId="238D1EC9"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VIII</w:t>
            </w:r>
          </w:p>
        </w:tc>
        <w:tc>
          <w:tcPr>
            <w:tcW w:w="4644" w:type="dxa"/>
          </w:tcPr>
          <w:p w14:paraId="6E572A4B" w14:textId="77E2B81E"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VIII</w:t>
            </w:r>
          </w:p>
        </w:tc>
      </w:tr>
      <w:tr w:rsidR="003A38FF" w:rsidRPr="00385481" w14:paraId="6AFBEF58" w14:textId="77777777" w:rsidTr="00FB5DAD">
        <w:tc>
          <w:tcPr>
            <w:tcW w:w="4706" w:type="dxa"/>
          </w:tcPr>
          <w:p w14:paraId="5C050C33" w14:textId="4FBE5274"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 las Aportaciones para la Ejecución de Obras para la Interconexión o Conexión a la Red Nacional de Transmisión y a las Redes Generales de Distribución</w:t>
            </w:r>
          </w:p>
        </w:tc>
        <w:tc>
          <w:tcPr>
            <w:tcW w:w="4644" w:type="dxa"/>
          </w:tcPr>
          <w:p w14:paraId="48B1E06F" w14:textId="536E1A36"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 xml:space="preserve">Contributions </w:t>
            </w:r>
            <w:proofErr w:type="gramStart"/>
            <w:r w:rsidRPr="005A428F">
              <w:rPr>
                <w:rFonts w:ascii="Verdana" w:hAnsi="Verdana"/>
                <w:b w:val="0"/>
                <w:bCs/>
                <w:sz w:val="16"/>
                <w:szCs w:val="16"/>
                <w:lang w:val="en-US"/>
              </w:rPr>
              <w:t>for</w:t>
            </w:r>
            <w:proofErr w:type="gramEnd"/>
            <w:r w:rsidRPr="005A428F">
              <w:rPr>
                <w:rFonts w:ascii="Verdana" w:hAnsi="Verdana"/>
                <w:b w:val="0"/>
                <w:bCs/>
                <w:sz w:val="16"/>
                <w:szCs w:val="16"/>
                <w:lang w:val="en-US"/>
              </w:rPr>
              <w:t xml:space="preserve"> the Execution of Works for Interconnection or Connection to the National Transmission Network and the General Distribution Networks</w:t>
            </w:r>
          </w:p>
        </w:tc>
      </w:tr>
      <w:tr w:rsidR="003A38FF" w:rsidRPr="00067E05" w14:paraId="6C0D4C11" w14:textId="77777777" w:rsidTr="00FB5DAD">
        <w:tc>
          <w:tcPr>
            <w:tcW w:w="4706" w:type="dxa"/>
          </w:tcPr>
          <w:p w14:paraId="5E19E7D2" w14:textId="41F05CF0"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IX</w:t>
            </w:r>
          </w:p>
        </w:tc>
        <w:tc>
          <w:tcPr>
            <w:tcW w:w="4644" w:type="dxa"/>
          </w:tcPr>
          <w:p w14:paraId="22DF5003" w14:textId="3D2A3C6D"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IX</w:t>
            </w:r>
          </w:p>
        </w:tc>
      </w:tr>
      <w:tr w:rsidR="003A38FF" w:rsidRPr="00385481" w14:paraId="3D245E7F" w14:textId="77777777" w:rsidTr="00FB5DAD">
        <w:tc>
          <w:tcPr>
            <w:tcW w:w="4706" w:type="dxa"/>
          </w:tcPr>
          <w:p w14:paraId="552C253B" w14:textId="185D0841"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 las Controversias Relacionadas con la Interconexión o la Conexión a la Red Nacional de Transmisión y a las Redes Generales de Distribución</w:t>
            </w:r>
          </w:p>
        </w:tc>
        <w:tc>
          <w:tcPr>
            <w:tcW w:w="4644" w:type="dxa"/>
          </w:tcPr>
          <w:p w14:paraId="199D286B" w14:textId="4412533F"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Disputes Related to the Interconnection or Connection to the National Transmission Network and the General Distribution Networks</w:t>
            </w:r>
          </w:p>
        </w:tc>
      </w:tr>
      <w:tr w:rsidR="003A38FF" w:rsidRPr="00067E05" w14:paraId="5DAC701A" w14:textId="77777777" w:rsidTr="00FB5DAD">
        <w:tc>
          <w:tcPr>
            <w:tcW w:w="4706" w:type="dxa"/>
          </w:tcPr>
          <w:p w14:paraId="374A0EDF" w14:textId="0E10631E"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X</w:t>
            </w:r>
          </w:p>
        </w:tc>
        <w:tc>
          <w:tcPr>
            <w:tcW w:w="4644" w:type="dxa"/>
          </w:tcPr>
          <w:p w14:paraId="2F294798" w14:textId="25B73776"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X</w:t>
            </w:r>
          </w:p>
        </w:tc>
      </w:tr>
      <w:tr w:rsidR="003A38FF" w:rsidRPr="00385481" w14:paraId="556CFAD7" w14:textId="77777777" w:rsidTr="00FB5DAD">
        <w:tc>
          <w:tcPr>
            <w:tcW w:w="4706" w:type="dxa"/>
          </w:tcPr>
          <w:p w14:paraId="3B558623" w14:textId="00D7813D"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 la Suspensión del Servicio de Energía Eléctrica</w:t>
            </w:r>
          </w:p>
        </w:tc>
        <w:tc>
          <w:tcPr>
            <w:tcW w:w="4644" w:type="dxa"/>
          </w:tcPr>
          <w:p w14:paraId="5B07CDBF" w14:textId="6685ACB1"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Suspension of Electric Power Service</w:t>
            </w:r>
          </w:p>
        </w:tc>
      </w:tr>
      <w:tr w:rsidR="003A38FF" w:rsidRPr="00067E05" w14:paraId="77A14E0C" w14:textId="77777777" w:rsidTr="00FB5DAD">
        <w:tc>
          <w:tcPr>
            <w:tcW w:w="4706" w:type="dxa"/>
          </w:tcPr>
          <w:p w14:paraId="50DFFDDE" w14:textId="313EF099"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XI</w:t>
            </w:r>
          </w:p>
        </w:tc>
        <w:tc>
          <w:tcPr>
            <w:tcW w:w="4644" w:type="dxa"/>
          </w:tcPr>
          <w:p w14:paraId="3C1B1FD7" w14:textId="56A0EAE8"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XI</w:t>
            </w:r>
          </w:p>
        </w:tc>
      </w:tr>
      <w:tr w:rsidR="003A38FF" w:rsidRPr="00385481" w14:paraId="62BFE16A" w14:textId="77777777" w:rsidTr="00FB5DAD">
        <w:tc>
          <w:tcPr>
            <w:tcW w:w="4706" w:type="dxa"/>
          </w:tcPr>
          <w:p w14:paraId="023C257D" w14:textId="7660B180"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 la Inversión para la Prestación del Servicio Público de Transmisión y Distribución de Energía Eléctrica</w:t>
            </w:r>
          </w:p>
        </w:tc>
        <w:tc>
          <w:tcPr>
            <w:tcW w:w="4644" w:type="dxa"/>
          </w:tcPr>
          <w:p w14:paraId="5876DB17" w14:textId="768678ED"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 xml:space="preserve">Investment </w:t>
            </w:r>
            <w:proofErr w:type="gramStart"/>
            <w:r w:rsidRPr="005A428F">
              <w:rPr>
                <w:rFonts w:ascii="Verdana" w:hAnsi="Verdana"/>
                <w:b w:val="0"/>
                <w:bCs/>
                <w:sz w:val="16"/>
                <w:szCs w:val="16"/>
                <w:lang w:val="en-US"/>
              </w:rPr>
              <w:t>for</w:t>
            </w:r>
            <w:proofErr w:type="gramEnd"/>
            <w:r w:rsidRPr="005A428F">
              <w:rPr>
                <w:rFonts w:ascii="Verdana" w:hAnsi="Verdana"/>
                <w:b w:val="0"/>
                <w:bCs/>
                <w:sz w:val="16"/>
                <w:szCs w:val="16"/>
                <w:lang w:val="en-US"/>
              </w:rPr>
              <w:t xml:space="preserve"> the Provision of the Public Service of Transmission and Distribution of Electric Energy</w:t>
            </w:r>
          </w:p>
        </w:tc>
      </w:tr>
      <w:tr w:rsidR="003A38FF" w:rsidRPr="00067E05" w14:paraId="799090E9" w14:textId="77777777" w:rsidTr="00FB5DAD">
        <w:tc>
          <w:tcPr>
            <w:tcW w:w="4706" w:type="dxa"/>
          </w:tcPr>
          <w:p w14:paraId="76378B1A" w14:textId="1FDA1F00" w:rsidR="003A38FF" w:rsidRPr="00DF13A8" w:rsidRDefault="003A38FF" w:rsidP="003A38FF">
            <w:pPr>
              <w:pStyle w:val="ANOTACION"/>
              <w:spacing w:before="0" w:after="0" w:line="220" w:lineRule="exact"/>
              <w:jc w:val="left"/>
              <w:rPr>
                <w:rFonts w:ascii="Verdana" w:hAnsi="Verdana"/>
                <w:sz w:val="16"/>
                <w:szCs w:val="16"/>
              </w:rPr>
            </w:pPr>
            <w:r w:rsidRPr="00DF13A8">
              <w:rPr>
                <w:rFonts w:ascii="Verdana" w:hAnsi="Verdana"/>
                <w:sz w:val="16"/>
                <w:szCs w:val="16"/>
              </w:rPr>
              <w:t>TÍTULO QUINTO</w:t>
            </w:r>
          </w:p>
        </w:tc>
        <w:tc>
          <w:tcPr>
            <w:tcW w:w="4644" w:type="dxa"/>
          </w:tcPr>
          <w:p w14:paraId="4BE05E5A" w14:textId="0DE40311" w:rsidR="003A38FF" w:rsidRPr="00DF13A8" w:rsidRDefault="003A38FF" w:rsidP="003A38FF">
            <w:pPr>
              <w:pStyle w:val="ANOTACION"/>
              <w:spacing w:before="0" w:after="0" w:line="220" w:lineRule="exact"/>
              <w:jc w:val="left"/>
              <w:rPr>
                <w:rFonts w:ascii="Verdana" w:hAnsi="Verdana"/>
                <w:sz w:val="16"/>
                <w:szCs w:val="16"/>
                <w:lang w:val="en-US"/>
              </w:rPr>
            </w:pPr>
            <w:r w:rsidRPr="00DF13A8">
              <w:rPr>
                <w:rFonts w:ascii="Verdana" w:hAnsi="Verdana"/>
                <w:sz w:val="16"/>
                <w:szCs w:val="16"/>
                <w:lang w:val="en-US"/>
              </w:rPr>
              <w:t>FIFTH TITLE</w:t>
            </w:r>
          </w:p>
        </w:tc>
      </w:tr>
      <w:tr w:rsidR="003A38FF" w:rsidRPr="00385481" w14:paraId="64F192CB" w14:textId="77777777" w:rsidTr="00FB5DAD">
        <w:tc>
          <w:tcPr>
            <w:tcW w:w="4706" w:type="dxa"/>
          </w:tcPr>
          <w:p w14:paraId="2950A92C" w14:textId="7F566243" w:rsidR="003A38FF" w:rsidRPr="00DF13A8" w:rsidRDefault="003A38FF" w:rsidP="003A38FF">
            <w:pPr>
              <w:pStyle w:val="ANOTACION"/>
              <w:spacing w:before="0" w:after="0" w:line="220" w:lineRule="exact"/>
              <w:jc w:val="left"/>
              <w:rPr>
                <w:rFonts w:ascii="Verdana" w:hAnsi="Verdana"/>
                <w:sz w:val="16"/>
                <w:szCs w:val="16"/>
              </w:rPr>
            </w:pPr>
            <w:r w:rsidRPr="00DF13A8">
              <w:rPr>
                <w:rFonts w:ascii="Verdana" w:hAnsi="Verdana"/>
                <w:sz w:val="16"/>
                <w:szCs w:val="16"/>
              </w:rPr>
              <w:t>DE LAS DEMAS ACTIVIDADES DEL SECTOR ELÉCTRICO</w:t>
            </w:r>
          </w:p>
        </w:tc>
        <w:tc>
          <w:tcPr>
            <w:tcW w:w="4644" w:type="dxa"/>
          </w:tcPr>
          <w:p w14:paraId="1676C1B2" w14:textId="3004A24C" w:rsidR="003A38FF" w:rsidRPr="00DF13A8" w:rsidRDefault="003A38FF" w:rsidP="003A38FF">
            <w:pPr>
              <w:pStyle w:val="ANOTACION"/>
              <w:spacing w:before="0" w:after="0" w:line="220" w:lineRule="exact"/>
              <w:jc w:val="left"/>
              <w:rPr>
                <w:rFonts w:ascii="Verdana" w:hAnsi="Verdana"/>
                <w:sz w:val="16"/>
                <w:szCs w:val="16"/>
                <w:lang w:val="en-US"/>
              </w:rPr>
            </w:pPr>
            <w:r w:rsidRPr="00DF13A8">
              <w:rPr>
                <w:rFonts w:ascii="Verdana" w:hAnsi="Verdana"/>
                <w:sz w:val="16"/>
                <w:szCs w:val="16"/>
                <w:lang w:val="en-US"/>
              </w:rPr>
              <w:t>OTHER ACTIVITIES IN THE ELECTRICAL SECTOR</w:t>
            </w:r>
          </w:p>
        </w:tc>
      </w:tr>
      <w:tr w:rsidR="003A38FF" w:rsidRPr="00067E05" w14:paraId="067B57E8" w14:textId="77777777" w:rsidTr="00FB5DAD">
        <w:tc>
          <w:tcPr>
            <w:tcW w:w="4706" w:type="dxa"/>
          </w:tcPr>
          <w:p w14:paraId="22995A60" w14:textId="3CD2FE20"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I</w:t>
            </w:r>
          </w:p>
        </w:tc>
        <w:tc>
          <w:tcPr>
            <w:tcW w:w="4644" w:type="dxa"/>
          </w:tcPr>
          <w:p w14:paraId="702CEC8A" w14:textId="056BD42A"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I</w:t>
            </w:r>
          </w:p>
        </w:tc>
      </w:tr>
      <w:tr w:rsidR="003A38FF" w:rsidRPr="00385481" w14:paraId="517CD74A" w14:textId="77777777" w:rsidTr="00FB5DAD">
        <w:tc>
          <w:tcPr>
            <w:tcW w:w="4706" w:type="dxa"/>
          </w:tcPr>
          <w:p w14:paraId="44E816CE" w14:textId="14B70E20"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 los Usuarios Calificados y Comercializadoras no Suministradoras</w:t>
            </w:r>
          </w:p>
        </w:tc>
        <w:tc>
          <w:tcPr>
            <w:tcW w:w="4644" w:type="dxa"/>
          </w:tcPr>
          <w:p w14:paraId="16BFA72B" w14:textId="4DA5A450"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Qualified Users and Non-Supplier Marketers</w:t>
            </w:r>
          </w:p>
        </w:tc>
      </w:tr>
      <w:tr w:rsidR="003A38FF" w:rsidRPr="00067E05" w14:paraId="5D69E78D" w14:textId="77777777" w:rsidTr="00FB5DAD">
        <w:tc>
          <w:tcPr>
            <w:tcW w:w="4706" w:type="dxa"/>
          </w:tcPr>
          <w:p w14:paraId="3D5C1457" w14:textId="669D5DDD"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II</w:t>
            </w:r>
          </w:p>
        </w:tc>
        <w:tc>
          <w:tcPr>
            <w:tcW w:w="4644" w:type="dxa"/>
          </w:tcPr>
          <w:p w14:paraId="10851B02" w14:textId="3E26C818"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II</w:t>
            </w:r>
          </w:p>
        </w:tc>
      </w:tr>
      <w:tr w:rsidR="003A38FF" w:rsidRPr="00067E05" w14:paraId="3ADCB984" w14:textId="77777777" w:rsidTr="00FB5DAD">
        <w:tc>
          <w:tcPr>
            <w:tcW w:w="4706" w:type="dxa"/>
          </w:tcPr>
          <w:p w14:paraId="42E50588" w14:textId="70D70E44"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 los Pequeños Sistemas Eléctricos</w:t>
            </w:r>
          </w:p>
        </w:tc>
        <w:tc>
          <w:tcPr>
            <w:tcW w:w="4644" w:type="dxa"/>
          </w:tcPr>
          <w:p w14:paraId="67120F2A" w14:textId="054B46D6"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Small Electrical Systems</w:t>
            </w:r>
          </w:p>
        </w:tc>
      </w:tr>
      <w:tr w:rsidR="003A38FF" w:rsidRPr="00067E05" w14:paraId="1ADE7686" w14:textId="77777777" w:rsidTr="00FB5DAD">
        <w:tc>
          <w:tcPr>
            <w:tcW w:w="4706" w:type="dxa"/>
          </w:tcPr>
          <w:p w14:paraId="40C5CF13" w14:textId="33E9243C"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Sección Única</w:t>
            </w:r>
          </w:p>
        </w:tc>
        <w:tc>
          <w:tcPr>
            <w:tcW w:w="4644" w:type="dxa"/>
          </w:tcPr>
          <w:p w14:paraId="7FA5E8BC" w14:textId="121FD6E2"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Sole Section</w:t>
            </w:r>
          </w:p>
        </w:tc>
      </w:tr>
      <w:tr w:rsidR="003A38FF" w:rsidRPr="00385481" w14:paraId="62A2CB5B" w14:textId="77777777" w:rsidTr="00FB5DAD">
        <w:tc>
          <w:tcPr>
            <w:tcW w:w="4706" w:type="dxa"/>
          </w:tcPr>
          <w:p w14:paraId="6375C0D4" w14:textId="6A8361B5"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lastRenderedPageBreak/>
              <w:t>De los Pequeños Sistemas Eléctricos en Régimen de Micro-Red</w:t>
            </w:r>
          </w:p>
        </w:tc>
        <w:tc>
          <w:tcPr>
            <w:tcW w:w="4644" w:type="dxa"/>
          </w:tcPr>
          <w:p w14:paraId="3773702A" w14:textId="4D485324"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Small Electrical Systems in Micro-Grid Regime</w:t>
            </w:r>
          </w:p>
        </w:tc>
      </w:tr>
      <w:tr w:rsidR="003A38FF" w:rsidRPr="00067E05" w14:paraId="1CB132BB" w14:textId="77777777" w:rsidTr="00FB5DAD">
        <w:tc>
          <w:tcPr>
            <w:tcW w:w="4706" w:type="dxa"/>
          </w:tcPr>
          <w:p w14:paraId="1A604292" w14:textId="6AAA659D"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III</w:t>
            </w:r>
          </w:p>
        </w:tc>
        <w:tc>
          <w:tcPr>
            <w:tcW w:w="4644" w:type="dxa"/>
          </w:tcPr>
          <w:p w14:paraId="79E68CB7" w14:textId="26093A90"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III</w:t>
            </w:r>
          </w:p>
        </w:tc>
      </w:tr>
      <w:tr w:rsidR="003A38FF" w:rsidRPr="00067E05" w14:paraId="18DE6764" w14:textId="77777777" w:rsidTr="00FB5DAD">
        <w:tc>
          <w:tcPr>
            <w:tcW w:w="4706" w:type="dxa"/>
          </w:tcPr>
          <w:p w14:paraId="54F3F94A" w14:textId="4B1869D3"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Del Mercado Eléctrico Mayorista</w:t>
            </w:r>
          </w:p>
        </w:tc>
        <w:tc>
          <w:tcPr>
            <w:tcW w:w="4644" w:type="dxa"/>
          </w:tcPr>
          <w:p w14:paraId="2EAF5F0E" w14:textId="02A09062"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Wholesale Electricity Market</w:t>
            </w:r>
          </w:p>
        </w:tc>
      </w:tr>
      <w:tr w:rsidR="003A38FF" w:rsidRPr="00067E05" w14:paraId="6D28E9E4" w14:textId="77777777" w:rsidTr="00FB5DAD">
        <w:tc>
          <w:tcPr>
            <w:tcW w:w="4706" w:type="dxa"/>
          </w:tcPr>
          <w:p w14:paraId="27312FDC" w14:textId="64CFB313"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IV</w:t>
            </w:r>
          </w:p>
        </w:tc>
        <w:tc>
          <w:tcPr>
            <w:tcW w:w="4644" w:type="dxa"/>
          </w:tcPr>
          <w:p w14:paraId="2505DE2B" w14:textId="0F15D7F1"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IV</w:t>
            </w:r>
          </w:p>
        </w:tc>
      </w:tr>
      <w:tr w:rsidR="003A38FF" w:rsidRPr="00385481" w14:paraId="33C75E4C" w14:textId="77777777" w:rsidTr="00FB5DAD">
        <w:tc>
          <w:tcPr>
            <w:tcW w:w="4706" w:type="dxa"/>
          </w:tcPr>
          <w:p w14:paraId="55A1BA9A" w14:textId="540A0294"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 la Separación de las Integrantes del Sector Eléctrico</w:t>
            </w:r>
          </w:p>
        </w:tc>
        <w:tc>
          <w:tcPr>
            <w:tcW w:w="4644" w:type="dxa"/>
          </w:tcPr>
          <w:p w14:paraId="388079A4" w14:textId="1F11D34A"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Separation of the Members of the Electric Sector</w:t>
            </w:r>
          </w:p>
        </w:tc>
      </w:tr>
      <w:tr w:rsidR="003A38FF" w:rsidRPr="00067E05" w14:paraId="0AC1848B" w14:textId="77777777" w:rsidTr="00FB5DAD">
        <w:tc>
          <w:tcPr>
            <w:tcW w:w="4706" w:type="dxa"/>
          </w:tcPr>
          <w:p w14:paraId="02795BA9" w14:textId="09E38A77"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V</w:t>
            </w:r>
          </w:p>
        </w:tc>
        <w:tc>
          <w:tcPr>
            <w:tcW w:w="4644" w:type="dxa"/>
          </w:tcPr>
          <w:p w14:paraId="04BE11E7" w14:textId="79439CC4"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V</w:t>
            </w:r>
          </w:p>
        </w:tc>
      </w:tr>
      <w:tr w:rsidR="003A38FF" w:rsidRPr="00385481" w14:paraId="5F0C7B68" w14:textId="77777777" w:rsidTr="00FB5DAD">
        <w:tc>
          <w:tcPr>
            <w:tcW w:w="4706" w:type="dxa"/>
          </w:tcPr>
          <w:p w14:paraId="3D0686C1" w14:textId="31E20B7B"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 las Obligaciones para Energías Limpias, Transición Energética y Descarbonización del Sector Eléctrico</w:t>
            </w:r>
          </w:p>
        </w:tc>
        <w:tc>
          <w:tcPr>
            <w:tcW w:w="4644" w:type="dxa"/>
          </w:tcPr>
          <w:p w14:paraId="3E6C6286" w14:textId="47DF4653"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Obligations for Clean Energy, Energy Transition and Decarbonization of the Electricity Sector</w:t>
            </w:r>
          </w:p>
        </w:tc>
      </w:tr>
      <w:tr w:rsidR="003A38FF" w:rsidRPr="00067E05" w14:paraId="7E431B6F" w14:textId="77777777" w:rsidTr="00FB5DAD">
        <w:tc>
          <w:tcPr>
            <w:tcW w:w="4706" w:type="dxa"/>
          </w:tcPr>
          <w:p w14:paraId="7C87FADC" w14:textId="5B99B36B"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VI</w:t>
            </w:r>
          </w:p>
        </w:tc>
        <w:tc>
          <w:tcPr>
            <w:tcW w:w="4644" w:type="dxa"/>
          </w:tcPr>
          <w:p w14:paraId="07AFCC73" w14:textId="328504D6"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VI</w:t>
            </w:r>
          </w:p>
        </w:tc>
      </w:tr>
      <w:tr w:rsidR="003A38FF" w:rsidRPr="00067E05" w14:paraId="4943A77C" w14:textId="77777777" w:rsidTr="00FB5DAD">
        <w:tc>
          <w:tcPr>
            <w:tcW w:w="4706" w:type="dxa"/>
          </w:tcPr>
          <w:p w14:paraId="6F807259" w14:textId="34174DF9"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Del Almacenamiento de Energía</w:t>
            </w:r>
          </w:p>
        </w:tc>
        <w:tc>
          <w:tcPr>
            <w:tcW w:w="4644" w:type="dxa"/>
          </w:tcPr>
          <w:p w14:paraId="2DAFB872" w14:textId="7D172730"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Energy Storage</w:t>
            </w:r>
          </w:p>
        </w:tc>
      </w:tr>
      <w:tr w:rsidR="003A38FF" w:rsidRPr="00067E05" w14:paraId="085911E7" w14:textId="77777777" w:rsidTr="00FB5DAD">
        <w:tc>
          <w:tcPr>
            <w:tcW w:w="4706" w:type="dxa"/>
          </w:tcPr>
          <w:p w14:paraId="437D111F" w14:textId="7C47658E"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VII</w:t>
            </w:r>
          </w:p>
        </w:tc>
        <w:tc>
          <w:tcPr>
            <w:tcW w:w="4644" w:type="dxa"/>
          </w:tcPr>
          <w:p w14:paraId="30069A45" w14:textId="5A0FE202"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VII</w:t>
            </w:r>
          </w:p>
        </w:tc>
      </w:tr>
      <w:tr w:rsidR="003A38FF" w:rsidRPr="00385481" w14:paraId="5BBD0C1A" w14:textId="77777777" w:rsidTr="00FB5DAD">
        <w:tc>
          <w:tcPr>
            <w:tcW w:w="4706" w:type="dxa"/>
          </w:tcPr>
          <w:p w14:paraId="5C106D4F" w14:textId="2E5E5672"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 la Infraestructura y el Suministro de Electricidad en Materia de Electromovilidad</w:t>
            </w:r>
          </w:p>
        </w:tc>
        <w:tc>
          <w:tcPr>
            <w:tcW w:w="4644" w:type="dxa"/>
          </w:tcPr>
          <w:p w14:paraId="7D3E57D9" w14:textId="74272695"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Infrastructure and Electricity Supply in the Field of Electromobility</w:t>
            </w:r>
          </w:p>
        </w:tc>
      </w:tr>
      <w:tr w:rsidR="003A38FF" w:rsidRPr="00067E05" w14:paraId="364BF7BB" w14:textId="77777777" w:rsidTr="00FB5DAD">
        <w:tc>
          <w:tcPr>
            <w:tcW w:w="4706" w:type="dxa"/>
          </w:tcPr>
          <w:p w14:paraId="7E862D6A" w14:textId="1D0013CC" w:rsidR="003A38FF" w:rsidRPr="00DF13A8" w:rsidRDefault="003A38FF" w:rsidP="003A38FF">
            <w:pPr>
              <w:pStyle w:val="ANOTACION"/>
              <w:spacing w:before="0" w:after="0" w:line="220" w:lineRule="exact"/>
              <w:jc w:val="left"/>
              <w:rPr>
                <w:rFonts w:ascii="Verdana" w:hAnsi="Verdana"/>
                <w:sz w:val="16"/>
                <w:szCs w:val="16"/>
              </w:rPr>
            </w:pPr>
            <w:r w:rsidRPr="00DF13A8">
              <w:rPr>
                <w:rFonts w:ascii="Verdana" w:hAnsi="Verdana"/>
                <w:sz w:val="16"/>
                <w:szCs w:val="16"/>
              </w:rPr>
              <w:t>TÍTULO SEXTO</w:t>
            </w:r>
          </w:p>
        </w:tc>
        <w:tc>
          <w:tcPr>
            <w:tcW w:w="4644" w:type="dxa"/>
          </w:tcPr>
          <w:p w14:paraId="7C8931E4" w14:textId="270441B7" w:rsidR="003A38FF" w:rsidRPr="00DF13A8" w:rsidRDefault="003A38FF" w:rsidP="003A38FF">
            <w:pPr>
              <w:pStyle w:val="ANOTACION"/>
              <w:spacing w:before="0" w:after="0" w:line="220" w:lineRule="exact"/>
              <w:jc w:val="left"/>
              <w:rPr>
                <w:rFonts w:ascii="Verdana" w:hAnsi="Verdana"/>
                <w:sz w:val="16"/>
                <w:szCs w:val="16"/>
                <w:lang w:val="en-US"/>
              </w:rPr>
            </w:pPr>
            <w:r w:rsidRPr="00DF13A8">
              <w:rPr>
                <w:rFonts w:ascii="Verdana" w:hAnsi="Verdana"/>
                <w:sz w:val="16"/>
                <w:szCs w:val="16"/>
                <w:lang w:val="en-US"/>
              </w:rPr>
              <w:t>SIXTH TITLE</w:t>
            </w:r>
          </w:p>
        </w:tc>
      </w:tr>
      <w:tr w:rsidR="003A38FF" w:rsidRPr="00385481" w14:paraId="6F1C7CD5" w14:textId="77777777" w:rsidTr="00FB5DAD">
        <w:tc>
          <w:tcPr>
            <w:tcW w:w="4706" w:type="dxa"/>
          </w:tcPr>
          <w:p w14:paraId="1B6B9D2C" w14:textId="6959E3B1" w:rsidR="003A38FF" w:rsidRPr="00DF13A8" w:rsidRDefault="003A38FF" w:rsidP="003A38FF">
            <w:pPr>
              <w:pStyle w:val="ANOTACION"/>
              <w:spacing w:before="0" w:after="0" w:line="220" w:lineRule="exact"/>
              <w:jc w:val="left"/>
              <w:rPr>
                <w:rFonts w:ascii="Verdana" w:hAnsi="Verdana"/>
                <w:sz w:val="16"/>
                <w:szCs w:val="16"/>
              </w:rPr>
            </w:pPr>
            <w:r w:rsidRPr="00DF13A8">
              <w:rPr>
                <w:rFonts w:ascii="Verdana" w:hAnsi="Verdana"/>
                <w:sz w:val="16"/>
                <w:szCs w:val="16"/>
              </w:rPr>
              <w:t>DE LA MANIFESTACIÓN DE IMPACTO SOCIAL DEL SECTOR ENERGÉTICO Y LA CONSULTA PREVIA</w:t>
            </w:r>
          </w:p>
        </w:tc>
        <w:tc>
          <w:tcPr>
            <w:tcW w:w="4644" w:type="dxa"/>
          </w:tcPr>
          <w:p w14:paraId="0A796B77" w14:textId="3880F1D1" w:rsidR="003A38FF" w:rsidRPr="00DF13A8" w:rsidRDefault="003A38FF" w:rsidP="003A38FF">
            <w:pPr>
              <w:pStyle w:val="ANOTACION"/>
              <w:spacing w:before="0" w:after="0" w:line="220" w:lineRule="exact"/>
              <w:jc w:val="left"/>
              <w:rPr>
                <w:rFonts w:ascii="Verdana" w:hAnsi="Verdana"/>
                <w:sz w:val="16"/>
                <w:szCs w:val="16"/>
                <w:lang w:val="en-US"/>
              </w:rPr>
            </w:pPr>
            <w:r w:rsidRPr="00DF13A8">
              <w:rPr>
                <w:rFonts w:ascii="Verdana" w:hAnsi="Verdana"/>
                <w:sz w:val="16"/>
                <w:szCs w:val="16"/>
                <w:lang w:val="en-US"/>
              </w:rPr>
              <w:t>SOCIAL IMPACT STATEMENT OF THE ENERGY SECTOR AND PRIOR CONSULTATION</w:t>
            </w:r>
          </w:p>
        </w:tc>
      </w:tr>
      <w:tr w:rsidR="003A38FF" w:rsidRPr="00067E05" w14:paraId="4B000351" w14:textId="77777777" w:rsidTr="00FB5DAD">
        <w:tc>
          <w:tcPr>
            <w:tcW w:w="4706" w:type="dxa"/>
          </w:tcPr>
          <w:p w14:paraId="32EDF7F5" w14:textId="45C9A3B6"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I</w:t>
            </w:r>
          </w:p>
        </w:tc>
        <w:tc>
          <w:tcPr>
            <w:tcW w:w="4644" w:type="dxa"/>
          </w:tcPr>
          <w:p w14:paraId="6E4E4027" w14:textId="639A4D37"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I</w:t>
            </w:r>
          </w:p>
        </w:tc>
      </w:tr>
      <w:tr w:rsidR="003A38FF" w:rsidRPr="00385481" w14:paraId="284DB843" w14:textId="77777777" w:rsidTr="00FB5DAD">
        <w:tc>
          <w:tcPr>
            <w:tcW w:w="4706" w:type="dxa"/>
          </w:tcPr>
          <w:p w14:paraId="5A8C0AAC" w14:textId="3191177D"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 la Manifestación de Impacto Social del Sector Energético</w:t>
            </w:r>
          </w:p>
        </w:tc>
        <w:tc>
          <w:tcPr>
            <w:tcW w:w="4644" w:type="dxa"/>
          </w:tcPr>
          <w:p w14:paraId="498256EE" w14:textId="263EEE74"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Social Impact Statement of the Energy Sector</w:t>
            </w:r>
          </w:p>
        </w:tc>
      </w:tr>
      <w:tr w:rsidR="003A38FF" w:rsidRPr="00067E05" w14:paraId="670333EE" w14:textId="77777777" w:rsidTr="00FB5DAD">
        <w:tc>
          <w:tcPr>
            <w:tcW w:w="4706" w:type="dxa"/>
          </w:tcPr>
          <w:p w14:paraId="48A2A6F9" w14:textId="574E9C06"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II</w:t>
            </w:r>
          </w:p>
        </w:tc>
        <w:tc>
          <w:tcPr>
            <w:tcW w:w="4644" w:type="dxa"/>
          </w:tcPr>
          <w:p w14:paraId="22EC86FC" w14:textId="7DC481BF"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II</w:t>
            </w:r>
          </w:p>
        </w:tc>
      </w:tr>
      <w:tr w:rsidR="003A38FF" w:rsidRPr="00067E05" w14:paraId="2A6DFD12" w14:textId="77777777" w:rsidTr="00FB5DAD">
        <w:tc>
          <w:tcPr>
            <w:tcW w:w="4706" w:type="dxa"/>
          </w:tcPr>
          <w:p w14:paraId="00EC2F1F" w14:textId="76B267FB"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 la Consulta Previa</w:t>
            </w:r>
          </w:p>
        </w:tc>
        <w:tc>
          <w:tcPr>
            <w:tcW w:w="4644" w:type="dxa"/>
          </w:tcPr>
          <w:p w14:paraId="7FD85CD3" w14:textId="354C0218"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Prior Consultation</w:t>
            </w:r>
          </w:p>
        </w:tc>
      </w:tr>
      <w:tr w:rsidR="003A38FF" w:rsidRPr="00067E05" w14:paraId="3F18019F" w14:textId="77777777" w:rsidTr="00FB5DAD">
        <w:tc>
          <w:tcPr>
            <w:tcW w:w="4706" w:type="dxa"/>
          </w:tcPr>
          <w:p w14:paraId="589268A4" w14:textId="3FF91A93" w:rsidR="003A38FF" w:rsidRPr="00DF13A8" w:rsidRDefault="003A38FF" w:rsidP="003A38FF">
            <w:pPr>
              <w:pStyle w:val="ANOTACION"/>
              <w:spacing w:before="0" w:after="0" w:line="220" w:lineRule="exact"/>
              <w:jc w:val="left"/>
              <w:rPr>
                <w:rFonts w:ascii="Verdana" w:hAnsi="Verdana"/>
                <w:sz w:val="16"/>
                <w:szCs w:val="16"/>
              </w:rPr>
            </w:pPr>
            <w:r w:rsidRPr="00DF13A8">
              <w:rPr>
                <w:rFonts w:ascii="Verdana" w:hAnsi="Verdana"/>
                <w:sz w:val="16"/>
                <w:szCs w:val="16"/>
              </w:rPr>
              <w:t>TÍTULO SÉPTIMO</w:t>
            </w:r>
          </w:p>
        </w:tc>
        <w:tc>
          <w:tcPr>
            <w:tcW w:w="4644" w:type="dxa"/>
          </w:tcPr>
          <w:p w14:paraId="03C531E6" w14:textId="527D5AA9" w:rsidR="003A38FF" w:rsidRPr="00DF13A8" w:rsidRDefault="003A38FF" w:rsidP="003A38FF">
            <w:pPr>
              <w:pStyle w:val="ANOTACION"/>
              <w:spacing w:before="0" w:after="0" w:line="220" w:lineRule="exact"/>
              <w:jc w:val="left"/>
              <w:rPr>
                <w:rFonts w:ascii="Verdana" w:hAnsi="Verdana"/>
                <w:sz w:val="16"/>
                <w:szCs w:val="16"/>
                <w:lang w:val="en-US"/>
              </w:rPr>
            </w:pPr>
            <w:r w:rsidRPr="00DF13A8">
              <w:rPr>
                <w:rFonts w:ascii="Verdana" w:hAnsi="Verdana"/>
                <w:sz w:val="16"/>
                <w:szCs w:val="16"/>
                <w:lang w:val="en-US"/>
              </w:rPr>
              <w:t>SEVENTH TITLE</w:t>
            </w:r>
          </w:p>
        </w:tc>
      </w:tr>
      <w:tr w:rsidR="003A38FF" w:rsidRPr="00385481" w14:paraId="402B6DB6" w14:textId="77777777" w:rsidTr="00FB5DAD">
        <w:tc>
          <w:tcPr>
            <w:tcW w:w="4706" w:type="dxa"/>
          </w:tcPr>
          <w:p w14:paraId="17030C07" w14:textId="2E0BD665" w:rsidR="003A38FF" w:rsidRPr="00DF13A8" w:rsidRDefault="003A38FF" w:rsidP="003A38FF">
            <w:pPr>
              <w:pStyle w:val="ANOTACION"/>
              <w:spacing w:before="0" w:after="0" w:line="220" w:lineRule="exact"/>
              <w:jc w:val="left"/>
              <w:rPr>
                <w:rFonts w:ascii="Verdana" w:hAnsi="Verdana"/>
                <w:sz w:val="16"/>
                <w:szCs w:val="16"/>
              </w:rPr>
            </w:pPr>
            <w:r w:rsidRPr="00DF13A8">
              <w:rPr>
                <w:rFonts w:ascii="Verdana" w:hAnsi="Verdana"/>
                <w:sz w:val="16"/>
                <w:szCs w:val="16"/>
              </w:rPr>
              <w:t>OTRAS OBLIGACIONES DE LAS INTEGRANTES DEL SECTOR ELÉCTRICO</w:t>
            </w:r>
          </w:p>
        </w:tc>
        <w:tc>
          <w:tcPr>
            <w:tcW w:w="4644" w:type="dxa"/>
          </w:tcPr>
          <w:p w14:paraId="6AF12528" w14:textId="172CA1BB" w:rsidR="003A38FF" w:rsidRPr="00DF13A8" w:rsidRDefault="003A38FF" w:rsidP="003A38FF">
            <w:pPr>
              <w:pStyle w:val="ANOTACION"/>
              <w:spacing w:before="0" w:after="0" w:line="220" w:lineRule="exact"/>
              <w:jc w:val="left"/>
              <w:rPr>
                <w:rFonts w:ascii="Verdana" w:hAnsi="Verdana"/>
                <w:sz w:val="16"/>
                <w:szCs w:val="16"/>
                <w:lang w:val="en-US"/>
              </w:rPr>
            </w:pPr>
            <w:r w:rsidRPr="00DF13A8">
              <w:rPr>
                <w:rFonts w:ascii="Verdana" w:hAnsi="Verdana"/>
                <w:sz w:val="16"/>
                <w:szCs w:val="16"/>
                <w:lang w:val="en-US"/>
              </w:rPr>
              <w:t>OTHER OBLIGATIONS OF THE MEMBERS OF THE ELECTRICAL SECTOR</w:t>
            </w:r>
          </w:p>
        </w:tc>
      </w:tr>
      <w:tr w:rsidR="003A38FF" w:rsidRPr="00067E05" w14:paraId="1538D4CD" w14:textId="77777777" w:rsidTr="00FB5DAD">
        <w:tc>
          <w:tcPr>
            <w:tcW w:w="4706" w:type="dxa"/>
          </w:tcPr>
          <w:p w14:paraId="5D1CB476" w14:textId="26454FE3"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Único</w:t>
            </w:r>
          </w:p>
        </w:tc>
        <w:tc>
          <w:tcPr>
            <w:tcW w:w="4644" w:type="dxa"/>
          </w:tcPr>
          <w:p w14:paraId="3143E870" w14:textId="4C167FD8"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Sole Chapter</w:t>
            </w:r>
          </w:p>
        </w:tc>
      </w:tr>
      <w:tr w:rsidR="003A38FF" w:rsidRPr="00067E05" w14:paraId="7A326D1D" w14:textId="77777777" w:rsidTr="00FB5DAD">
        <w:tc>
          <w:tcPr>
            <w:tcW w:w="4706" w:type="dxa"/>
          </w:tcPr>
          <w:p w14:paraId="1C556D70" w14:textId="16336D25"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Del Uso y la Ocupación Superficial</w:t>
            </w:r>
          </w:p>
        </w:tc>
        <w:tc>
          <w:tcPr>
            <w:tcW w:w="4644" w:type="dxa"/>
          </w:tcPr>
          <w:p w14:paraId="14541EE8" w14:textId="4DEED897"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Use and Surface Occupation</w:t>
            </w:r>
          </w:p>
        </w:tc>
      </w:tr>
      <w:tr w:rsidR="003A38FF" w:rsidRPr="00067E05" w14:paraId="156DB9E8" w14:textId="77777777" w:rsidTr="00FB5DAD">
        <w:tc>
          <w:tcPr>
            <w:tcW w:w="4706" w:type="dxa"/>
          </w:tcPr>
          <w:p w14:paraId="7B90F2A2" w14:textId="5EF802E1" w:rsidR="003A38FF" w:rsidRPr="00DF13A8" w:rsidRDefault="003A38FF" w:rsidP="003A38FF">
            <w:pPr>
              <w:pStyle w:val="ANOTACION"/>
              <w:spacing w:before="0" w:after="0" w:line="220" w:lineRule="exact"/>
              <w:jc w:val="left"/>
              <w:rPr>
                <w:rFonts w:ascii="Verdana" w:hAnsi="Verdana"/>
                <w:sz w:val="16"/>
                <w:szCs w:val="16"/>
              </w:rPr>
            </w:pPr>
            <w:r w:rsidRPr="00DF13A8">
              <w:rPr>
                <w:rFonts w:ascii="Verdana" w:hAnsi="Verdana"/>
                <w:sz w:val="16"/>
                <w:szCs w:val="16"/>
              </w:rPr>
              <w:t>TÍTULO OCTAVO</w:t>
            </w:r>
          </w:p>
        </w:tc>
        <w:tc>
          <w:tcPr>
            <w:tcW w:w="4644" w:type="dxa"/>
          </w:tcPr>
          <w:p w14:paraId="02B92FDC" w14:textId="6B934C66" w:rsidR="003A38FF" w:rsidRPr="00DF13A8" w:rsidRDefault="003A38FF" w:rsidP="003A38FF">
            <w:pPr>
              <w:pStyle w:val="ANOTACION"/>
              <w:spacing w:before="0" w:after="0" w:line="220" w:lineRule="exact"/>
              <w:jc w:val="left"/>
              <w:rPr>
                <w:rFonts w:ascii="Verdana" w:hAnsi="Verdana"/>
                <w:sz w:val="16"/>
                <w:szCs w:val="16"/>
                <w:lang w:val="en-US"/>
              </w:rPr>
            </w:pPr>
            <w:r w:rsidRPr="00DF13A8">
              <w:rPr>
                <w:rFonts w:ascii="Verdana" w:hAnsi="Verdana"/>
                <w:sz w:val="16"/>
                <w:szCs w:val="16"/>
                <w:lang w:val="en-US"/>
              </w:rPr>
              <w:t>EIGHTH TITLE</w:t>
            </w:r>
          </w:p>
        </w:tc>
      </w:tr>
      <w:tr w:rsidR="003A38FF" w:rsidRPr="00067E05" w14:paraId="71B34FB8" w14:textId="77777777" w:rsidTr="00FB5DAD">
        <w:tc>
          <w:tcPr>
            <w:tcW w:w="4706" w:type="dxa"/>
          </w:tcPr>
          <w:p w14:paraId="2D81A87D" w14:textId="0CE6DD05" w:rsidR="003A38FF" w:rsidRPr="00DF13A8" w:rsidRDefault="003A38FF" w:rsidP="003A38FF">
            <w:pPr>
              <w:pStyle w:val="ANOTACION"/>
              <w:spacing w:before="0" w:after="0" w:line="220" w:lineRule="exact"/>
              <w:jc w:val="left"/>
              <w:rPr>
                <w:rFonts w:ascii="Verdana" w:hAnsi="Verdana"/>
                <w:sz w:val="16"/>
                <w:szCs w:val="16"/>
              </w:rPr>
            </w:pPr>
            <w:r w:rsidRPr="00DF13A8">
              <w:rPr>
                <w:rFonts w:ascii="Verdana" w:hAnsi="Verdana"/>
                <w:sz w:val="16"/>
                <w:szCs w:val="16"/>
              </w:rPr>
              <w:t>DE LA VERIFICACIÓN E INSPECCIÓN</w:t>
            </w:r>
          </w:p>
        </w:tc>
        <w:tc>
          <w:tcPr>
            <w:tcW w:w="4644" w:type="dxa"/>
          </w:tcPr>
          <w:p w14:paraId="62299E85" w14:textId="0FB9B4F4" w:rsidR="003A38FF" w:rsidRPr="00DF13A8" w:rsidRDefault="003A38FF" w:rsidP="003A38FF">
            <w:pPr>
              <w:pStyle w:val="ANOTACION"/>
              <w:spacing w:before="0" w:after="0" w:line="220" w:lineRule="exact"/>
              <w:jc w:val="left"/>
              <w:rPr>
                <w:rFonts w:ascii="Verdana" w:hAnsi="Verdana"/>
                <w:sz w:val="16"/>
                <w:szCs w:val="16"/>
                <w:lang w:val="en-US"/>
              </w:rPr>
            </w:pPr>
            <w:r w:rsidRPr="00DF13A8">
              <w:rPr>
                <w:rFonts w:ascii="Verdana" w:hAnsi="Verdana"/>
                <w:sz w:val="16"/>
                <w:szCs w:val="16"/>
                <w:lang w:val="en-US"/>
              </w:rPr>
              <w:t>VERIFICATION AND INSPECTION</w:t>
            </w:r>
          </w:p>
        </w:tc>
      </w:tr>
      <w:tr w:rsidR="003A38FF" w:rsidRPr="00067E05" w14:paraId="3B467CF6" w14:textId="77777777" w:rsidTr="00FB5DAD">
        <w:tc>
          <w:tcPr>
            <w:tcW w:w="4706" w:type="dxa"/>
          </w:tcPr>
          <w:p w14:paraId="07064C45" w14:textId="625FA797"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I</w:t>
            </w:r>
          </w:p>
        </w:tc>
        <w:tc>
          <w:tcPr>
            <w:tcW w:w="4644" w:type="dxa"/>
          </w:tcPr>
          <w:p w14:paraId="17A8A173" w14:textId="0AAD397B"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I</w:t>
            </w:r>
          </w:p>
        </w:tc>
      </w:tr>
      <w:tr w:rsidR="003A38FF" w:rsidRPr="00067E05" w14:paraId="282CFE17" w14:textId="77777777" w:rsidTr="00FB5DAD">
        <w:tc>
          <w:tcPr>
            <w:tcW w:w="4706" w:type="dxa"/>
          </w:tcPr>
          <w:p w14:paraId="1A34CE73" w14:textId="3282CD32"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Disposiciones Generales</w:t>
            </w:r>
          </w:p>
        </w:tc>
        <w:tc>
          <w:tcPr>
            <w:tcW w:w="4644" w:type="dxa"/>
          </w:tcPr>
          <w:p w14:paraId="76E0C686" w14:textId="5F06C2C4"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General Provisions</w:t>
            </w:r>
          </w:p>
        </w:tc>
      </w:tr>
      <w:tr w:rsidR="003A38FF" w:rsidRPr="00067E05" w14:paraId="5CC736ED" w14:textId="77777777" w:rsidTr="00FB5DAD">
        <w:tc>
          <w:tcPr>
            <w:tcW w:w="4706" w:type="dxa"/>
          </w:tcPr>
          <w:p w14:paraId="611C7220" w14:textId="216ABD9C"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II</w:t>
            </w:r>
          </w:p>
        </w:tc>
        <w:tc>
          <w:tcPr>
            <w:tcW w:w="4644" w:type="dxa"/>
          </w:tcPr>
          <w:p w14:paraId="1B531131" w14:textId="16F8CC70"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II</w:t>
            </w:r>
          </w:p>
        </w:tc>
      </w:tr>
      <w:tr w:rsidR="003A38FF" w:rsidRPr="00067E05" w14:paraId="45302956" w14:textId="77777777" w:rsidTr="00FB5DAD">
        <w:tc>
          <w:tcPr>
            <w:tcW w:w="4706" w:type="dxa"/>
          </w:tcPr>
          <w:p w14:paraId="61930FCA" w14:textId="61C79218"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 las Visitas de Verificación</w:t>
            </w:r>
          </w:p>
        </w:tc>
        <w:tc>
          <w:tcPr>
            <w:tcW w:w="4644" w:type="dxa"/>
          </w:tcPr>
          <w:p w14:paraId="61D1B596" w14:textId="403C7F68"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Verification Visits</w:t>
            </w:r>
          </w:p>
        </w:tc>
      </w:tr>
      <w:tr w:rsidR="003A38FF" w:rsidRPr="00067E05" w14:paraId="426EB466" w14:textId="77777777" w:rsidTr="00FB5DAD">
        <w:tc>
          <w:tcPr>
            <w:tcW w:w="4706" w:type="dxa"/>
          </w:tcPr>
          <w:p w14:paraId="63AEAD05" w14:textId="6BF086B4"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III</w:t>
            </w:r>
          </w:p>
        </w:tc>
        <w:tc>
          <w:tcPr>
            <w:tcW w:w="4644" w:type="dxa"/>
          </w:tcPr>
          <w:p w14:paraId="3F307E6B" w14:textId="056CA400"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III</w:t>
            </w:r>
          </w:p>
        </w:tc>
      </w:tr>
      <w:tr w:rsidR="003A38FF" w:rsidRPr="00385481" w14:paraId="2EA796CA" w14:textId="77777777" w:rsidTr="00FB5DAD">
        <w:tc>
          <w:tcPr>
            <w:tcW w:w="4706" w:type="dxa"/>
          </w:tcPr>
          <w:p w14:paraId="2C0B8B9E" w14:textId="33DC4A2D"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 la Verificación mediante Requerimientos y Comparecencias</w:t>
            </w:r>
          </w:p>
        </w:tc>
        <w:tc>
          <w:tcPr>
            <w:tcW w:w="4644" w:type="dxa"/>
          </w:tcPr>
          <w:p w14:paraId="51F7E8B7" w14:textId="25166057"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Verification through Requirements</w:t>
            </w:r>
            <w:r w:rsidRPr="005A428F">
              <w:rPr>
                <w:rStyle w:val="FootnoteReference"/>
                <w:rFonts w:ascii="Verdana" w:hAnsi="Verdana"/>
                <w:b w:val="0"/>
                <w:bCs/>
                <w:sz w:val="16"/>
                <w:szCs w:val="16"/>
                <w:lang w:val="en-US"/>
              </w:rPr>
              <w:footnoteReference w:id="1"/>
            </w:r>
            <w:r w:rsidRPr="005A428F">
              <w:rPr>
                <w:rFonts w:ascii="Verdana" w:hAnsi="Verdana"/>
                <w:b w:val="0"/>
                <w:bCs/>
                <w:sz w:val="16"/>
                <w:szCs w:val="16"/>
                <w:lang w:val="en-US"/>
              </w:rPr>
              <w:t xml:space="preserve"> and Appearances</w:t>
            </w:r>
          </w:p>
        </w:tc>
      </w:tr>
      <w:tr w:rsidR="003A38FF" w:rsidRPr="00067E05" w14:paraId="40E87A44" w14:textId="77777777" w:rsidTr="00FB5DAD">
        <w:tc>
          <w:tcPr>
            <w:tcW w:w="4706" w:type="dxa"/>
          </w:tcPr>
          <w:p w14:paraId="6E5082D8" w14:textId="22CB0896"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IV</w:t>
            </w:r>
          </w:p>
        </w:tc>
        <w:tc>
          <w:tcPr>
            <w:tcW w:w="4644" w:type="dxa"/>
          </w:tcPr>
          <w:p w14:paraId="21B892E7" w14:textId="62152194"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IV</w:t>
            </w:r>
          </w:p>
        </w:tc>
      </w:tr>
      <w:tr w:rsidR="003A38FF" w:rsidRPr="00067E05" w14:paraId="012E001E" w14:textId="77777777" w:rsidTr="00FB5DAD">
        <w:tc>
          <w:tcPr>
            <w:tcW w:w="4706" w:type="dxa"/>
          </w:tcPr>
          <w:p w14:paraId="31A74E15" w14:textId="5FB628B8"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 la Inspección</w:t>
            </w:r>
          </w:p>
        </w:tc>
        <w:tc>
          <w:tcPr>
            <w:tcW w:w="4644" w:type="dxa"/>
          </w:tcPr>
          <w:p w14:paraId="7A6B4B20" w14:textId="6A4501A5"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Inspection</w:t>
            </w:r>
          </w:p>
        </w:tc>
      </w:tr>
      <w:tr w:rsidR="003A38FF" w:rsidRPr="00067E05" w14:paraId="59A45035" w14:textId="77777777" w:rsidTr="00FB5DAD">
        <w:tc>
          <w:tcPr>
            <w:tcW w:w="4706" w:type="dxa"/>
          </w:tcPr>
          <w:p w14:paraId="5CC72B2E" w14:textId="745CF8DF"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V</w:t>
            </w:r>
          </w:p>
        </w:tc>
        <w:tc>
          <w:tcPr>
            <w:tcW w:w="4644" w:type="dxa"/>
          </w:tcPr>
          <w:p w14:paraId="5FD06AF6" w14:textId="2DC46C5D"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V</w:t>
            </w:r>
          </w:p>
        </w:tc>
      </w:tr>
      <w:tr w:rsidR="003A38FF" w:rsidRPr="00385481" w14:paraId="7A46EFE2" w14:textId="77777777" w:rsidTr="00FB5DAD">
        <w:tc>
          <w:tcPr>
            <w:tcW w:w="4706" w:type="dxa"/>
          </w:tcPr>
          <w:p w14:paraId="0FA5F03A" w14:textId="637DEE3F"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 la Supervisión y Vigilancia de las otras Entidades de la Administración Pública Federal con actividades en el Sector Eléctrico</w:t>
            </w:r>
          </w:p>
        </w:tc>
        <w:tc>
          <w:tcPr>
            <w:tcW w:w="4644" w:type="dxa"/>
          </w:tcPr>
          <w:p w14:paraId="6BFD94EB" w14:textId="7129C525"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Supervision and Oversight of other Federal Public Administration Entities with activities in the Electric Sector</w:t>
            </w:r>
          </w:p>
        </w:tc>
      </w:tr>
      <w:tr w:rsidR="003A38FF" w:rsidRPr="00067E05" w14:paraId="6E593242" w14:textId="77777777" w:rsidTr="00FB5DAD">
        <w:tc>
          <w:tcPr>
            <w:tcW w:w="4706" w:type="dxa"/>
          </w:tcPr>
          <w:p w14:paraId="580C679A" w14:textId="6A7D099C" w:rsidR="003A38FF" w:rsidRPr="00DF13A8" w:rsidRDefault="003A38FF" w:rsidP="003A38FF">
            <w:pPr>
              <w:pStyle w:val="ANOTACION"/>
              <w:spacing w:before="0" w:after="0" w:line="220" w:lineRule="exact"/>
              <w:jc w:val="left"/>
              <w:rPr>
                <w:rFonts w:ascii="Verdana" w:hAnsi="Verdana"/>
                <w:sz w:val="16"/>
                <w:szCs w:val="16"/>
              </w:rPr>
            </w:pPr>
            <w:r w:rsidRPr="00DF13A8">
              <w:rPr>
                <w:rFonts w:ascii="Verdana" w:hAnsi="Verdana"/>
                <w:sz w:val="16"/>
                <w:szCs w:val="16"/>
              </w:rPr>
              <w:t>TÍTULO NOVENO</w:t>
            </w:r>
          </w:p>
        </w:tc>
        <w:tc>
          <w:tcPr>
            <w:tcW w:w="4644" w:type="dxa"/>
          </w:tcPr>
          <w:p w14:paraId="6EEF533D" w14:textId="59E69889" w:rsidR="003A38FF" w:rsidRPr="00DF13A8" w:rsidRDefault="003A38FF" w:rsidP="003A38FF">
            <w:pPr>
              <w:pStyle w:val="ANOTACION"/>
              <w:spacing w:before="0" w:after="0" w:line="220" w:lineRule="exact"/>
              <w:jc w:val="left"/>
              <w:rPr>
                <w:rFonts w:ascii="Verdana" w:hAnsi="Verdana"/>
                <w:sz w:val="16"/>
                <w:szCs w:val="16"/>
                <w:lang w:val="en-US"/>
              </w:rPr>
            </w:pPr>
            <w:r w:rsidRPr="00DF13A8">
              <w:rPr>
                <w:rFonts w:ascii="Verdana" w:hAnsi="Verdana"/>
                <w:sz w:val="16"/>
                <w:szCs w:val="16"/>
                <w:lang w:val="en-US"/>
              </w:rPr>
              <w:t>NINTH TITLE</w:t>
            </w:r>
          </w:p>
        </w:tc>
      </w:tr>
      <w:tr w:rsidR="003A38FF" w:rsidRPr="00067E05" w14:paraId="6999486F" w14:textId="77777777" w:rsidTr="00FB5DAD">
        <w:tc>
          <w:tcPr>
            <w:tcW w:w="4706" w:type="dxa"/>
          </w:tcPr>
          <w:p w14:paraId="6EEA0BC7" w14:textId="7E76AB10" w:rsidR="003A38FF" w:rsidRPr="00DF13A8" w:rsidRDefault="003A38FF" w:rsidP="003A38FF">
            <w:pPr>
              <w:pStyle w:val="ANOTACION"/>
              <w:spacing w:before="0" w:after="0" w:line="220" w:lineRule="exact"/>
              <w:jc w:val="left"/>
              <w:rPr>
                <w:rFonts w:ascii="Verdana" w:hAnsi="Verdana"/>
                <w:sz w:val="16"/>
                <w:szCs w:val="16"/>
              </w:rPr>
            </w:pPr>
            <w:r w:rsidRPr="00DF13A8">
              <w:rPr>
                <w:rFonts w:ascii="Verdana" w:hAnsi="Verdana"/>
                <w:sz w:val="16"/>
                <w:szCs w:val="16"/>
              </w:rPr>
              <w:t>DE LA INTERVENCIÓN Y LA REQUISA</w:t>
            </w:r>
          </w:p>
        </w:tc>
        <w:tc>
          <w:tcPr>
            <w:tcW w:w="4644" w:type="dxa"/>
          </w:tcPr>
          <w:p w14:paraId="23D2D099" w14:textId="298D8936" w:rsidR="003A38FF" w:rsidRPr="00DF13A8" w:rsidRDefault="003A38FF" w:rsidP="003A38FF">
            <w:pPr>
              <w:pStyle w:val="ANOTACION"/>
              <w:spacing w:before="0" w:after="0" w:line="220" w:lineRule="exact"/>
              <w:jc w:val="left"/>
              <w:rPr>
                <w:rFonts w:ascii="Verdana" w:hAnsi="Verdana"/>
                <w:sz w:val="16"/>
                <w:szCs w:val="16"/>
                <w:lang w:val="en-US"/>
              </w:rPr>
            </w:pPr>
            <w:r w:rsidRPr="00DF13A8">
              <w:rPr>
                <w:rFonts w:ascii="Verdana" w:hAnsi="Verdana"/>
                <w:sz w:val="16"/>
                <w:szCs w:val="16"/>
                <w:lang w:val="en-US"/>
              </w:rPr>
              <w:t>INTERVENTION AND SEARCH</w:t>
            </w:r>
          </w:p>
        </w:tc>
      </w:tr>
      <w:tr w:rsidR="003A38FF" w:rsidRPr="00067E05" w14:paraId="3CDDA828" w14:textId="77777777" w:rsidTr="00FB5DAD">
        <w:tc>
          <w:tcPr>
            <w:tcW w:w="4706" w:type="dxa"/>
          </w:tcPr>
          <w:p w14:paraId="387CB5C6" w14:textId="35D5B4F5"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I</w:t>
            </w:r>
          </w:p>
        </w:tc>
        <w:tc>
          <w:tcPr>
            <w:tcW w:w="4644" w:type="dxa"/>
          </w:tcPr>
          <w:p w14:paraId="2356328A" w14:textId="628BFAC3"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I</w:t>
            </w:r>
          </w:p>
        </w:tc>
      </w:tr>
      <w:tr w:rsidR="003A38FF" w:rsidRPr="00067E05" w14:paraId="65BA32E6" w14:textId="77777777" w:rsidTr="00FB5DAD">
        <w:tc>
          <w:tcPr>
            <w:tcW w:w="4706" w:type="dxa"/>
          </w:tcPr>
          <w:p w14:paraId="1E88E013" w14:textId="2F1FE9ED"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Disposiciones Generales</w:t>
            </w:r>
          </w:p>
        </w:tc>
        <w:tc>
          <w:tcPr>
            <w:tcW w:w="4644" w:type="dxa"/>
          </w:tcPr>
          <w:p w14:paraId="0408EEB4" w14:textId="765DEFD4"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General Provisions</w:t>
            </w:r>
          </w:p>
        </w:tc>
      </w:tr>
      <w:tr w:rsidR="003A38FF" w:rsidRPr="00067E05" w14:paraId="24D26554" w14:textId="77777777" w:rsidTr="00FB5DAD">
        <w:tc>
          <w:tcPr>
            <w:tcW w:w="4706" w:type="dxa"/>
          </w:tcPr>
          <w:p w14:paraId="333F94A5" w14:textId="0CC683D7"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II</w:t>
            </w:r>
          </w:p>
        </w:tc>
        <w:tc>
          <w:tcPr>
            <w:tcW w:w="4644" w:type="dxa"/>
          </w:tcPr>
          <w:p w14:paraId="293657C8" w14:textId="36BC9145"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II</w:t>
            </w:r>
          </w:p>
        </w:tc>
      </w:tr>
      <w:tr w:rsidR="003A38FF" w:rsidRPr="00067E05" w14:paraId="400370FB" w14:textId="77777777" w:rsidTr="00FB5DAD">
        <w:tc>
          <w:tcPr>
            <w:tcW w:w="4706" w:type="dxa"/>
          </w:tcPr>
          <w:p w14:paraId="368620E8" w14:textId="7B1DC673"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 la Intervención</w:t>
            </w:r>
          </w:p>
        </w:tc>
        <w:tc>
          <w:tcPr>
            <w:tcW w:w="4644" w:type="dxa"/>
          </w:tcPr>
          <w:p w14:paraId="52A93281" w14:textId="4053276F"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Intervention</w:t>
            </w:r>
          </w:p>
        </w:tc>
      </w:tr>
      <w:tr w:rsidR="003A38FF" w:rsidRPr="00067E05" w14:paraId="6C7C18CF" w14:textId="77777777" w:rsidTr="00FB5DAD">
        <w:tc>
          <w:tcPr>
            <w:tcW w:w="4706" w:type="dxa"/>
          </w:tcPr>
          <w:p w14:paraId="5F121929" w14:textId="511C9854"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III</w:t>
            </w:r>
          </w:p>
        </w:tc>
        <w:tc>
          <w:tcPr>
            <w:tcW w:w="4644" w:type="dxa"/>
          </w:tcPr>
          <w:p w14:paraId="545C1AC7" w14:textId="510CA189"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III</w:t>
            </w:r>
          </w:p>
        </w:tc>
      </w:tr>
      <w:tr w:rsidR="003A38FF" w:rsidRPr="00067E05" w14:paraId="700303D0" w14:textId="77777777" w:rsidTr="00FB5DAD">
        <w:tc>
          <w:tcPr>
            <w:tcW w:w="4706" w:type="dxa"/>
          </w:tcPr>
          <w:p w14:paraId="6FD0B934" w14:textId="6C9DE87F"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 la Requisa</w:t>
            </w:r>
          </w:p>
        </w:tc>
        <w:tc>
          <w:tcPr>
            <w:tcW w:w="4644" w:type="dxa"/>
          </w:tcPr>
          <w:p w14:paraId="355DF168" w14:textId="00ED4747"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Requisition</w:t>
            </w:r>
          </w:p>
        </w:tc>
      </w:tr>
      <w:tr w:rsidR="003A38FF" w:rsidRPr="00067E05" w14:paraId="434935EA" w14:textId="77777777" w:rsidTr="00FB5DAD">
        <w:tc>
          <w:tcPr>
            <w:tcW w:w="4706" w:type="dxa"/>
          </w:tcPr>
          <w:p w14:paraId="3EB62505" w14:textId="29D41B14" w:rsidR="003A38FF" w:rsidRPr="00DF13A8" w:rsidRDefault="003A38FF" w:rsidP="003A38FF">
            <w:pPr>
              <w:pStyle w:val="ANOTACION"/>
              <w:spacing w:before="0" w:after="0" w:line="220" w:lineRule="exact"/>
              <w:jc w:val="left"/>
              <w:rPr>
                <w:rFonts w:ascii="Verdana" w:hAnsi="Verdana"/>
                <w:sz w:val="16"/>
                <w:szCs w:val="16"/>
              </w:rPr>
            </w:pPr>
            <w:r w:rsidRPr="00DF13A8">
              <w:rPr>
                <w:rFonts w:ascii="Verdana" w:hAnsi="Verdana"/>
                <w:sz w:val="16"/>
                <w:szCs w:val="16"/>
              </w:rPr>
              <w:t>TÍTULO DÉCIMO</w:t>
            </w:r>
          </w:p>
        </w:tc>
        <w:tc>
          <w:tcPr>
            <w:tcW w:w="4644" w:type="dxa"/>
          </w:tcPr>
          <w:p w14:paraId="6CB6FE5D" w14:textId="491F8F28" w:rsidR="003A38FF" w:rsidRPr="00DF13A8" w:rsidRDefault="003A38FF" w:rsidP="003A38FF">
            <w:pPr>
              <w:pStyle w:val="ANOTACION"/>
              <w:spacing w:before="0" w:after="0" w:line="220" w:lineRule="exact"/>
              <w:jc w:val="left"/>
              <w:rPr>
                <w:rFonts w:ascii="Verdana" w:hAnsi="Verdana"/>
                <w:sz w:val="16"/>
                <w:szCs w:val="16"/>
                <w:lang w:val="en-US"/>
              </w:rPr>
            </w:pPr>
            <w:r w:rsidRPr="00DF13A8">
              <w:rPr>
                <w:rFonts w:ascii="Verdana" w:hAnsi="Verdana"/>
                <w:sz w:val="16"/>
                <w:szCs w:val="16"/>
                <w:lang w:val="en-US"/>
              </w:rPr>
              <w:t>TENTH TITLE</w:t>
            </w:r>
          </w:p>
        </w:tc>
      </w:tr>
      <w:tr w:rsidR="003A38FF" w:rsidRPr="00385481" w14:paraId="0D907520" w14:textId="77777777" w:rsidTr="00FB5DAD">
        <w:tc>
          <w:tcPr>
            <w:tcW w:w="4706" w:type="dxa"/>
          </w:tcPr>
          <w:p w14:paraId="6AA61CDC" w14:textId="5AC3BC0C" w:rsidR="003A38FF" w:rsidRPr="00DF13A8" w:rsidRDefault="003A38FF" w:rsidP="003A38FF">
            <w:pPr>
              <w:pStyle w:val="ANOTACION"/>
              <w:spacing w:before="0" w:after="0" w:line="220" w:lineRule="exact"/>
              <w:jc w:val="left"/>
              <w:rPr>
                <w:rFonts w:ascii="Verdana" w:hAnsi="Verdana"/>
                <w:sz w:val="16"/>
                <w:szCs w:val="16"/>
              </w:rPr>
            </w:pPr>
            <w:r w:rsidRPr="00DF13A8">
              <w:rPr>
                <w:rFonts w:ascii="Verdana" w:hAnsi="Verdana"/>
                <w:sz w:val="16"/>
                <w:szCs w:val="16"/>
              </w:rPr>
              <w:lastRenderedPageBreak/>
              <w:t>DEL CONSEJO CONSULTIVO PARA EL FOMENTO DEL SECTOR ELÉCTRICO</w:t>
            </w:r>
          </w:p>
        </w:tc>
        <w:tc>
          <w:tcPr>
            <w:tcW w:w="4644" w:type="dxa"/>
          </w:tcPr>
          <w:p w14:paraId="01AE0F60" w14:textId="2211F7AC" w:rsidR="003A38FF" w:rsidRPr="00DF13A8" w:rsidRDefault="003A38FF" w:rsidP="003A38FF">
            <w:pPr>
              <w:pStyle w:val="ANOTACION"/>
              <w:spacing w:before="0" w:after="0" w:line="220" w:lineRule="exact"/>
              <w:jc w:val="left"/>
              <w:rPr>
                <w:rFonts w:ascii="Verdana" w:hAnsi="Verdana"/>
                <w:sz w:val="16"/>
                <w:szCs w:val="16"/>
                <w:lang w:val="en-US"/>
              </w:rPr>
            </w:pPr>
            <w:r w:rsidRPr="00DF13A8">
              <w:rPr>
                <w:rFonts w:ascii="Verdana" w:hAnsi="Verdana"/>
                <w:sz w:val="16"/>
                <w:szCs w:val="16"/>
                <w:lang w:val="en-US"/>
              </w:rPr>
              <w:t>ADVISORY COUNCIL FOR THE PROMOTION OF THE ELECTRICITY SECTOR</w:t>
            </w:r>
          </w:p>
        </w:tc>
      </w:tr>
      <w:tr w:rsidR="003A38FF" w:rsidRPr="00067E05" w14:paraId="7B721C0E" w14:textId="77777777" w:rsidTr="00FB5DAD">
        <w:tc>
          <w:tcPr>
            <w:tcW w:w="4706" w:type="dxa"/>
          </w:tcPr>
          <w:p w14:paraId="79E9F649" w14:textId="265736C3"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I</w:t>
            </w:r>
          </w:p>
        </w:tc>
        <w:tc>
          <w:tcPr>
            <w:tcW w:w="4644" w:type="dxa"/>
          </w:tcPr>
          <w:p w14:paraId="1F9A3F10" w14:textId="7ADC8FEF"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I</w:t>
            </w:r>
          </w:p>
        </w:tc>
      </w:tr>
      <w:tr w:rsidR="003A38FF" w:rsidRPr="00385481" w14:paraId="2BE98EC3" w14:textId="77777777" w:rsidTr="00FB5DAD">
        <w:tc>
          <w:tcPr>
            <w:tcW w:w="4706" w:type="dxa"/>
          </w:tcPr>
          <w:p w14:paraId="63AB3DB8" w14:textId="7A8AAD65"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Integración del Consejo Consultivo</w:t>
            </w:r>
          </w:p>
        </w:tc>
        <w:tc>
          <w:tcPr>
            <w:tcW w:w="4644" w:type="dxa"/>
          </w:tcPr>
          <w:p w14:paraId="3B6BA6C4" w14:textId="352AF959"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Integration of the Advisory Council</w:t>
            </w:r>
          </w:p>
        </w:tc>
      </w:tr>
      <w:tr w:rsidR="003A38FF" w:rsidRPr="00067E05" w14:paraId="4902BBB3" w14:textId="77777777" w:rsidTr="00FB5DAD">
        <w:tc>
          <w:tcPr>
            <w:tcW w:w="4706" w:type="dxa"/>
          </w:tcPr>
          <w:p w14:paraId="3A169559" w14:textId="4CAC9656"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II</w:t>
            </w:r>
          </w:p>
        </w:tc>
        <w:tc>
          <w:tcPr>
            <w:tcW w:w="4644" w:type="dxa"/>
          </w:tcPr>
          <w:p w14:paraId="0F6C4E41" w14:textId="14103444"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II</w:t>
            </w:r>
          </w:p>
        </w:tc>
      </w:tr>
      <w:tr w:rsidR="003A38FF" w:rsidRPr="00385481" w14:paraId="2B0D6F85" w14:textId="77777777" w:rsidTr="00FB5DAD">
        <w:tc>
          <w:tcPr>
            <w:tcW w:w="4706" w:type="dxa"/>
          </w:tcPr>
          <w:p w14:paraId="256A783B" w14:textId="4CB1D212"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Funcionamiento del Consejo Consultivo</w:t>
            </w:r>
          </w:p>
        </w:tc>
        <w:tc>
          <w:tcPr>
            <w:tcW w:w="4644" w:type="dxa"/>
          </w:tcPr>
          <w:p w14:paraId="00933964" w14:textId="5CD4CD4F"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Functioning of the Advisory Council</w:t>
            </w:r>
          </w:p>
        </w:tc>
      </w:tr>
      <w:tr w:rsidR="003A38FF" w:rsidRPr="00067E05" w14:paraId="3B552CBB" w14:textId="77777777" w:rsidTr="00FB5DAD">
        <w:tc>
          <w:tcPr>
            <w:tcW w:w="4706" w:type="dxa"/>
          </w:tcPr>
          <w:p w14:paraId="3D7C1204" w14:textId="6AD5488E"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III</w:t>
            </w:r>
          </w:p>
        </w:tc>
        <w:tc>
          <w:tcPr>
            <w:tcW w:w="4644" w:type="dxa"/>
          </w:tcPr>
          <w:p w14:paraId="5BCBFA7B" w14:textId="134D6F44"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III</w:t>
            </w:r>
          </w:p>
        </w:tc>
      </w:tr>
      <w:tr w:rsidR="003A38FF" w:rsidRPr="00385481" w14:paraId="4171917D" w14:textId="77777777" w:rsidTr="00FB5DAD">
        <w:tc>
          <w:tcPr>
            <w:tcW w:w="4706" w:type="dxa"/>
          </w:tcPr>
          <w:p w14:paraId="4DA1D8ED" w14:textId="1CB24AF6"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Funciones del Consejo Consultivo</w:t>
            </w:r>
          </w:p>
        </w:tc>
        <w:tc>
          <w:tcPr>
            <w:tcW w:w="4644" w:type="dxa"/>
          </w:tcPr>
          <w:p w14:paraId="550BD184" w14:textId="7EF28F3D"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Functions of the Advisory Council</w:t>
            </w:r>
          </w:p>
        </w:tc>
      </w:tr>
      <w:tr w:rsidR="003A38FF" w:rsidRPr="00067E05" w14:paraId="00FFE4DE" w14:textId="77777777" w:rsidTr="00FB5DAD">
        <w:tc>
          <w:tcPr>
            <w:tcW w:w="4706" w:type="dxa"/>
          </w:tcPr>
          <w:p w14:paraId="3CE74EC3" w14:textId="3A6E0920" w:rsidR="003A38FF" w:rsidRPr="00DF13A8" w:rsidRDefault="003A38FF" w:rsidP="003A38FF">
            <w:pPr>
              <w:pStyle w:val="ANOTACION"/>
              <w:spacing w:before="0" w:after="0" w:line="220" w:lineRule="exact"/>
              <w:jc w:val="left"/>
              <w:rPr>
                <w:rFonts w:ascii="Verdana" w:hAnsi="Verdana"/>
                <w:sz w:val="16"/>
                <w:szCs w:val="16"/>
              </w:rPr>
            </w:pPr>
            <w:r w:rsidRPr="00DF13A8">
              <w:rPr>
                <w:rFonts w:ascii="Verdana" w:hAnsi="Verdana"/>
                <w:sz w:val="16"/>
                <w:szCs w:val="16"/>
              </w:rPr>
              <w:t>TÍTULO DÉCIMO PRIMERO</w:t>
            </w:r>
          </w:p>
        </w:tc>
        <w:tc>
          <w:tcPr>
            <w:tcW w:w="4644" w:type="dxa"/>
          </w:tcPr>
          <w:p w14:paraId="10C56D54" w14:textId="2A60F51B" w:rsidR="003A38FF" w:rsidRPr="00DF13A8" w:rsidRDefault="003A38FF" w:rsidP="003A38FF">
            <w:pPr>
              <w:pStyle w:val="ANOTACION"/>
              <w:spacing w:before="0" w:after="0" w:line="220" w:lineRule="exact"/>
              <w:jc w:val="left"/>
              <w:rPr>
                <w:rFonts w:ascii="Verdana" w:hAnsi="Verdana"/>
                <w:sz w:val="16"/>
                <w:szCs w:val="16"/>
                <w:lang w:val="en-US"/>
              </w:rPr>
            </w:pPr>
            <w:r w:rsidRPr="00DF13A8">
              <w:rPr>
                <w:rFonts w:ascii="Verdana" w:hAnsi="Verdana"/>
                <w:sz w:val="16"/>
                <w:szCs w:val="16"/>
                <w:lang w:val="en-US"/>
              </w:rPr>
              <w:t xml:space="preserve">ELEVENTH TITLE </w:t>
            </w:r>
          </w:p>
        </w:tc>
      </w:tr>
      <w:tr w:rsidR="003A38FF" w:rsidRPr="00385481" w14:paraId="1650FB2C" w14:textId="77777777" w:rsidTr="00FB5DAD">
        <w:tc>
          <w:tcPr>
            <w:tcW w:w="4706" w:type="dxa"/>
          </w:tcPr>
          <w:p w14:paraId="73FBD8B6" w14:textId="64A7D689" w:rsidR="003A38FF" w:rsidRPr="00DF13A8" w:rsidRDefault="003A38FF" w:rsidP="003A38FF">
            <w:pPr>
              <w:pStyle w:val="ANOTACION"/>
              <w:spacing w:before="0" w:after="0" w:line="220" w:lineRule="exact"/>
              <w:jc w:val="left"/>
              <w:rPr>
                <w:rFonts w:ascii="Verdana" w:hAnsi="Verdana"/>
                <w:sz w:val="16"/>
                <w:szCs w:val="16"/>
              </w:rPr>
            </w:pPr>
            <w:r w:rsidRPr="00DF13A8">
              <w:rPr>
                <w:rFonts w:ascii="Verdana" w:hAnsi="Verdana"/>
                <w:sz w:val="16"/>
                <w:szCs w:val="16"/>
              </w:rPr>
              <w:t xml:space="preserve">DEL CONTENIDO NACIONAL Y DE LAS ESTRATEGIAS PARA EL FOMENTO INDUSTRIAL Y DE LA INVERSIÓN EN EL SECTOR ELÉCTRICO </w:t>
            </w:r>
          </w:p>
        </w:tc>
        <w:tc>
          <w:tcPr>
            <w:tcW w:w="4644" w:type="dxa"/>
          </w:tcPr>
          <w:p w14:paraId="1FB5A393" w14:textId="15DE3BC9" w:rsidR="003A38FF" w:rsidRPr="00DF13A8" w:rsidRDefault="003A38FF" w:rsidP="003A38FF">
            <w:pPr>
              <w:pStyle w:val="ANOTACION"/>
              <w:spacing w:before="0" w:after="0" w:line="220" w:lineRule="exact"/>
              <w:jc w:val="left"/>
              <w:rPr>
                <w:rFonts w:ascii="Verdana" w:hAnsi="Verdana"/>
                <w:sz w:val="16"/>
                <w:szCs w:val="16"/>
                <w:lang w:val="en-US"/>
              </w:rPr>
            </w:pPr>
            <w:r w:rsidRPr="00DF13A8">
              <w:rPr>
                <w:rFonts w:ascii="Verdana" w:hAnsi="Verdana"/>
                <w:sz w:val="16"/>
                <w:szCs w:val="16"/>
                <w:lang w:val="en-US"/>
              </w:rPr>
              <w:t>NATIONAL CONTENT AND STRATEGIES FOR INDUSTRIAL PROMOTION AND INVESTMENT IN THE ELECTRICAL SECTOR</w:t>
            </w:r>
          </w:p>
        </w:tc>
      </w:tr>
      <w:tr w:rsidR="003A38FF" w:rsidRPr="00067E05" w14:paraId="04239624" w14:textId="77777777" w:rsidTr="00FB5DAD">
        <w:tc>
          <w:tcPr>
            <w:tcW w:w="4706" w:type="dxa"/>
          </w:tcPr>
          <w:p w14:paraId="3BC08660" w14:textId="09A844B9"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I</w:t>
            </w:r>
          </w:p>
        </w:tc>
        <w:tc>
          <w:tcPr>
            <w:tcW w:w="4644" w:type="dxa"/>
          </w:tcPr>
          <w:p w14:paraId="63EFDDF9" w14:textId="17611140"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I</w:t>
            </w:r>
          </w:p>
        </w:tc>
      </w:tr>
      <w:tr w:rsidR="003A38FF" w:rsidRPr="00067E05" w14:paraId="32338A5F" w14:textId="77777777" w:rsidTr="00FB5DAD">
        <w:tc>
          <w:tcPr>
            <w:tcW w:w="4706" w:type="dxa"/>
          </w:tcPr>
          <w:p w14:paraId="6443A025" w14:textId="01DF85E4"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Disposiciones Generales</w:t>
            </w:r>
          </w:p>
        </w:tc>
        <w:tc>
          <w:tcPr>
            <w:tcW w:w="4644" w:type="dxa"/>
          </w:tcPr>
          <w:p w14:paraId="116386B5" w14:textId="772033CC"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General Provisions</w:t>
            </w:r>
          </w:p>
        </w:tc>
      </w:tr>
      <w:tr w:rsidR="003A38FF" w:rsidRPr="00067E05" w14:paraId="68241290" w14:textId="77777777" w:rsidTr="00FB5DAD">
        <w:tc>
          <w:tcPr>
            <w:tcW w:w="4706" w:type="dxa"/>
          </w:tcPr>
          <w:p w14:paraId="7E503653" w14:textId="29700D41"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II</w:t>
            </w:r>
          </w:p>
        </w:tc>
        <w:tc>
          <w:tcPr>
            <w:tcW w:w="4644" w:type="dxa"/>
          </w:tcPr>
          <w:p w14:paraId="664109DB" w14:textId="4AB92FA2"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Chapter II</w:t>
            </w:r>
          </w:p>
        </w:tc>
      </w:tr>
      <w:tr w:rsidR="003A38FF" w:rsidRPr="00385481" w14:paraId="3EB17A0E" w14:textId="77777777" w:rsidTr="00FB5DAD">
        <w:tc>
          <w:tcPr>
            <w:tcW w:w="4706" w:type="dxa"/>
          </w:tcPr>
          <w:p w14:paraId="4AE90FC1" w14:textId="3D653C75"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De la Innovación, el Desarrollo Tecnológico y la Formación de Recursos Humanos</w:t>
            </w:r>
          </w:p>
        </w:tc>
        <w:tc>
          <w:tcPr>
            <w:tcW w:w="4644" w:type="dxa"/>
          </w:tcPr>
          <w:p w14:paraId="6A0E391A" w14:textId="6FCD2FD7"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Innovation, Technological Development and Human Resources Training</w:t>
            </w:r>
          </w:p>
        </w:tc>
      </w:tr>
      <w:tr w:rsidR="003A38FF" w:rsidRPr="00067E05" w14:paraId="749CA8A3" w14:textId="77777777" w:rsidTr="00FB5DAD">
        <w:tc>
          <w:tcPr>
            <w:tcW w:w="4706" w:type="dxa"/>
          </w:tcPr>
          <w:p w14:paraId="39A43C3C" w14:textId="2DB1350E" w:rsidR="003A38FF" w:rsidRPr="00DF13A8" w:rsidRDefault="003A38FF" w:rsidP="003A38FF">
            <w:pPr>
              <w:pStyle w:val="ANOTACION"/>
              <w:spacing w:before="0" w:after="0" w:line="220" w:lineRule="exact"/>
              <w:jc w:val="left"/>
              <w:rPr>
                <w:rFonts w:ascii="Verdana" w:hAnsi="Verdana"/>
                <w:sz w:val="16"/>
                <w:szCs w:val="16"/>
              </w:rPr>
            </w:pPr>
            <w:r w:rsidRPr="00DF13A8">
              <w:rPr>
                <w:rFonts w:ascii="Verdana" w:hAnsi="Verdana"/>
                <w:sz w:val="16"/>
                <w:szCs w:val="16"/>
              </w:rPr>
              <w:t>TÍTULO DÉCIMO SEGUNDO</w:t>
            </w:r>
          </w:p>
        </w:tc>
        <w:tc>
          <w:tcPr>
            <w:tcW w:w="4644" w:type="dxa"/>
          </w:tcPr>
          <w:p w14:paraId="6CA798C5" w14:textId="024D2DEF" w:rsidR="003A38FF" w:rsidRPr="00DF13A8" w:rsidRDefault="003A38FF" w:rsidP="003A38FF">
            <w:pPr>
              <w:pStyle w:val="ANOTACION"/>
              <w:spacing w:before="0" w:after="0" w:line="220" w:lineRule="exact"/>
              <w:jc w:val="left"/>
              <w:rPr>
                <w:rFonts w:ascii="Verdana" w:hAnsi="Verdana"/>
                <w:sz w:val="16"/>
                <w:szCs w:val="16"/>
                <w:lang w:val="en-US"/>
              </w:rPr>
            </w:pPr>
            <w:r w:rsidRPr="00DF13A8">
              <w:rPr>
                <w:rFonts w:ascii="Verdana" w:hAnsi="Verdana"/>
                <w:sz w:val="16"/>
                <w:szCs w:val="16"/>
                <w:lang w:val="en-US"/>
              </w:rPr>
              <w:t>TWELFTH TITLE</w:t>
            </w:r>
          </w:p>
        </w:tc>
      </w:tr>
      <w:tr w:rsidR="003A38FF" w:rsidRPr="00067E05" w14:paraId="0316C908" w14:textId="77777777" w:rsidTr="00FB5DAD">
        <w:tc>
          <w:tcPr>
            <w:tcW w:w="4706" w:type="dxa"/>
          </w:tcPr>
          <w:p w14:paraId="38FE64C9" w14:textId="65E7E71D" w:rsidR="003A38FF" w:rsidRPr="00DF13A8" w:rsidRDefault="003A38FF" w:rsidP="003A38FF">
            <w:pPr>
              <w:pStyle w:val="ANOTACION"/>
              <w:spacing w:before="0" w:after="0" w:line="220" w:lineRule="exact"/>
              <w:jc w:val="left"/>
              <w:rPr>
                <w:rFonts w:ascii="Verdana" w:hAnsi="Verdana"/>
                <w:sz w:val="16"/>
                <w:szCs w:val="16"/>
              </w:rPr>
            </w:pPr>
            <w:r w:rsidRPr="00DF13A8">
              <w:rPr>
                <w:rFonts w:ascii="Verdana" w:hAnsi="Verdana"/>
                <w:sz w:val="16"/>
                <w:szCs w:val="16"/>
              </w:rPr>
              <w:t>DE LAS SANCIONES</w:t>
            </w:r>
          </w:p>
        </w:tc>
        <w:tc>
          <w:tcPr>
            <w:tcW w:w="4644" w:type="dxa"/>
          </w:tcPr>
          <w:p w14:paraId="126D3855" w14:textId="0C9A33B5" w:rsidR="003A38FF" w:rsidRPr="00DF13A8" w:rsidRDefault="003A38FF" w:rsidP="003A38FF">
            <w:pPr>
              <w:pStyle w:val="ANOTACION"/>
              <w:spacing w:before="0" w:after="0" w:line="220" w:lineRule="exact"/>
              <w:jc w:val="left"/>
              <w:rPr>
                <w:rFonts w:ascii="Verdana" w:hAnsi="Verdana"/>
                <w:sz w:val="16"/>
                <w:szCs w:val="16"/>
                <w:lang w:val="en-US"/>
              </w:rPr>
            </w:pPr>
            <w:r w:rsidRPr="00DF13A8">
              <w:rPr>
                <w:rFonts w:ascii="Verdana" w:hAnsi="Verdana"/>
                <w:sz w:val="16"/>
                <w:szCs w:val="16"/>
                <w:lang w:val="en-US"/>
              </w:rPr>
              <w:t>SANCTIONS</w:t>
            </w:r>
          </w:p>
        </w:tc>
      </w:tr>
      <w:tr w:rsidR="003A38FF" w:rsidRPr="00067E05" w14:paraId="36D62635" w14:textId="77777777" w:rsidTr="00FB5DAD">
        <w:tc>
          <w:tcPr>
            <w:tcW w:w="4706" w:type="dxa"/>
          </w:tcPr>
          <w:p w14:paraId="1C2AFB92" w14:textId="12BE6E04"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Capítulo Único</w:t>
            </w:r>
          </w:p>
        </w:tc>
        <w:tc>
          <w:tcPr>
            <w:tcW w:w="4644" w:type="dxa"/>
          </w:tcPr>
          <w:p w14:paraId="3801C458" w14:textId="2E8F38F7"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Sole Chapter</w:t>
            </w:r>
          </w:p>
        </w:tc>
      </w:tr>
      <w:tr w:rsidR="003A38FF" w:rsidRPr="00067E05" w14:paraId="5F5C78C5" w14:textId="77777777" w:rsidTr="00FB5DAD">
        <w:tc>
          <w:tcPr>
            <w:tcW w:w="4706" w:type="dxa"/>
          </w:tcPr>
          <w:p w14:paraId="5084889C" w14:textId="47892755" w:rsidR="003A38FF" w:rsidRPr="00A761A1" w:rsidRDefault="003A38FF" w:rsidP="003A38FF">
            <w:pPr>
              <w:pStyle w:val="ANOTACION"/>
              <w:spacing w:before="0" w:after="0" w:line="220" w:lineRule="exact"/>
              <w:jc w:val="left"/>
              <w:rPr>
                <w:rFonts w:ascii="Verdana" w:hAnsi="Verdana"/>
                <w:b w:val="0"/>
                <w:bCs/>
                <w:sz w:val="16"/>
                <w:szCs w:val="16"/>
              </w:rPr>
            </w:pPr>
            <w:r w:rsidRPr="005A428F">
              <w:rPr>
                <w:rFonts w:ascii="Verdana" w:hAnsi="Verdana"/>
                <w:b w:val="0"/>
                <w:bCs/>
                <w:sz w:val="16"/>
                <w:szCs w:val="16"/>
              </w:rPr>
              <w:t>Disposiciones Generales</w:t>
            </w:r>
          </w:p>
        </w:tc>
        <w:tc>
          <w:tcPr>
            <w:tcW w:w="4644" w:type="dxa"/>
          </w:tcPr>
          <w:p w14:paraId="07799BD9" w14:textId="73B6CC48" w:rsidR="003A38FF" w:rsidRPr="00A761A1" w:rsidRDefault="003A38FF" w:rsidP="003A38FF">
            <w:pPr>
              <w:pStyle w:val="ANOTACION"/>
              <w:spacing w:before="0" w:after="0" w:line="220" w:lineRule="exact"/>
              <w:jc w:val="left"/>
              <w:rPr>
                <w:rFonts w:ascii="Verdana" w:hAnsi="Verdana"/>
                <w:b w:val="0"/>
                <w:bCs/>
                <w:sz w:val="16"/>
                <w:szCs w:val="16"/>
                <w:lang w:val="en-US"/>
              </w:rPr>
            </w:pPr>
            <w:r w:rsidRPr="005A428F">
              <w:rPr>
                <w:rFonts w:ascii="Verdana" w:hAnsi="Verdana"/>
                <w:b w:val="0"/>
                <w:bCs/>
                <w:sz w:val="16"/>
                <w:szCs w:val="16"/>
                <w:lang w:val="en-US"/>
              </w:rPr>
              <w:t>General Provisions</w:t>
            </w:r>
          </w:p>
        </w:tc>
      </w:tr>
      <w:tr w:rsidR="003A38FF" w:rsidRPr="00067E05" w14:paraId="30DFD30E" w14:textId="77777777" w:rsidTr="00FB5DAD">
        <w:tc>
          <w:tcPr>
            <w:tcW w:w="4706" w:type="dxa"/>
          </w:tcPr>
          <w:p w14:paraId="36F9D0E2" w14:textId="46C7CF48" w:rsidR="003A38FF" w:rsidRPr="00DF13A8" w:rsidRDefault="003A38FF" w:rsidP="003A38FF">
            <w:pPr>
              <w:pStyle w:val="ANOTACION"/>
              <w:spacing w:before="0" w:after="0" w:line="220" w:lineRule="exact"/>
              <w:jc w:val="left"/>
              <w:rPr>
                <w:rFonts w:ascii="Verdana" w:hAnsi="Verdana"/>
                <w:sz w:val="16"/>
                <w:szCs w:val="16"/>
              </w:rPr>
            </w:pPr>
            <w:r w:rsidRPr="00DF13A8">
              <w:rPr>
                <w:rFonts w:ascii="Verdana" w:hAnsi="Verdana"/>
                <w:sz w:val="16"/>
                <w:szCs w:val="16"/>
              </w:rPr>
              <w:t>TRANSITORIOS</w:t>
            </w:r>
          </w:p>
        </w:tc>
        <w:tc>
          <w:tcPr>
            <w:tcW w:w="4644" w:type="dxa"/>
          </w:tcPr>
          <w:p w14:paraId="28CF398E" w14:textId="7A67D0FF" w:rsidR="003A38FF" w:rsidRPr="00DF13A8" w:rsidRDefault="003A38FF" w:rsidP="003A38FF">
            <w:pPr>
              <w:pStyle w:val="ANOTACION"/>
              <w:spacing w:before="0" w:after="0" w:line="220" w:lineRule="exact"/>
              <w:jc w:val="left"/>
              <w:rPr>
                <w:rFonts w:ascii="Verdana" w:hAnsi="Verdana"/>
                <w:sz w:val="16"/>
                <w:szCs w:val="16"/>
                <w:lang w:val="en-US"/>
              </w:rPr>
            </w:pPr>
            <w:r w:rsidRPr="00DF13A8">
              <w:rPr>
                <w:rFonts w:ascii="Verdana" w:hAnsi="Verdana"/>
                <w:sz w:val="16"/>
                <w:szCs w:val="16"/>
                <w:lang w:val="en-US"/>
              </w:rPr>
              <w:t>TRANSITIONAL ARTICLES</w:t>
            </w:r>
          </w:p>
        </w:tc>
      </w:tr>
      <w:tr w:rsidR="003A38FF" w:rsidRPr="00067E05" w14:paraId="4A92674A" w14:textId="77777777" w:rsidTr="00FB5DAD">
        <w:tc>
          <w:tcPr>
            <w:tcW w:w="4706" w:type="dxa"/>
          </w:tcPr>
          <w:p w14:paraId="37594905" w14:textId="77777777" w:rsidR="003A38FF" w:rsidRPr="00A761A1" w:rsidRDefault="003A38FF" w:rsidP="003A38FF">
            <w:pPr>
              <w:pStyle w:val="ANOTACION"/>
              <w:spacing w:before="0" w:after="0" w:line="220" w:lineRule="exact"/>
              <w:jc w:val="left"/>
              <w:rPr>
                <w:rFonts w:ascii="Verdana" w:hAnsi="Verdana"/>
                <w:b w:val="0"/>
                <w:bCs/>
                <w:sz w:val="16"/>
                <w:szCs w:val="16"/>
              </w:rPr>
            </w:pPr>
          </w:p>
        </w:tc>
        <w:tc>
          <w:tcPr>
            <w:tcW w:w="4644" w:type="dxa"/>
          </w:tcPr>
          <w:p w14:paraId="77531D27" w14:textId="77777777" w:rsidR="003A38FF" w:rsidRPr="00A761A1" w:rsidRDefault="003A38FF" w:rsidP="003A38FF">
            <w:pPr>
              <w:pStyle w:val="ANOTACION"/>
              <w:spacing w:before="0" w:after="0" w:line="220" w:lineRule="exact"/>
              <w:jc w:val="left"/>
              <w:rPr>
                <w:rFonts w:ascii="Verdana" w:hAnsi="Verdana"/>
                <w:b w:val="0"/>
                <w:bCs/>
                <w:sz w:val="16"/>
                <w:szCs w:val="16"/>
                <w:lang w:val="en-US"/>
              </w:rPr>
            </w:pPr>
          </w:p>
        </w:tc>
      </w:tr>
      <w:tr w:rsidR="003A38FF" w:rsidRPr="00D0180E" w14:paraId="4882E70D" w14:textId="22B5CB12" w:rsidTr="00FB5DAD">
        <w:tc>
          <w:tcPr>
            <w:tcW w:w="4706" w:type="dxa"/>
          </w:tcPr>
          <w:p w14:paraId="6AEE06AC" w14:textId="77777777" w:rsidR="003A38FF" w:rsidRPr="00D0180E" w:rsidRDefault="003A38FF" w:rsidP="003A38FF">
            <w:pPr>
              <w:pStyle w:val="Texto"/>
              <w:spacing w:line="220" w:lineRule="exact"/>
              <w:ind w:firstLine="0"/>
              <w:jc w:val="center"/>
              <w:rPr>
                <w:rFonts w:ascii="Verdana" w:hAnsi="Verdana"/>
                <w:b/>
                <w:sz w:val="16"/>
                <w:szCs w:val="16"/>
              </w:rPr>
            </w:pPr>
            <w:r w:rsidRPr="00D0180E">
              <w:rPr>
                <w:rFonts w:ascii="Verdana" w:hAnsi="Verdana"/>
                <w:b/>
                <w:sz w:val="16"/>
                <w:szCs w:val="16"/>
              </w:rPr>
              <w:t>TÍTULO PRIMERO</w:t>
            </w:r>
          </w:p>
        </w:tc>
        <w:tc>
          <w:tcPr>
            <w:tcW w:w="4644" w:type="dxa"/>
          </w:tcPr>
          <w:p w14:paraId="333C3187" w14:textId="27DFC4B7" w:rsidR="003A38FF" w:rsidRPr="00D0180E" w:rsidRDefault="003A38FF" w:rsidP="003A38FF">
            <w:pPr>
              <w:pStyle w:val="Texto"/>
              <w:spacing w:line="220" w:lineRule="exact"/>
              <w:ind w:firstLine="0"/>
              <w:jc w:val="center"/>
              <w:rPr>
                <w:rFonts w:ascii="Verdana" w:hAnsi="Verdana"/>
                <w:b/>
                <w:sz w:val="16"/>
                <w:szCs w:val="16"/>
                <w:lang w:val="en-US"/>
              </w:rPr>
            </w:pPr>
            <w:r w:rsidRPr="00D0180E">
              <w:rPr>
                <w:rFonts w:ascii="Verdana" w:hAnsi="Verdana"/>
                <w:b/>
                <w:sz w:val="16"/>
                <w:szCs w:val="16"/>
              </w:rPr>
              <w:t>FIRST TITLE</w:t>
            </w:r>
          </w:p>
        </w:tc>
      </w:tr>
      <w:tr w:rsidR="003A38FF" w:rsidRPr="00D0180E" w14:paraId="0C9032D6" w14:textId="2744E688" w:rsidTr="00FB5DAD">
        <w:tc>
          <w:tcPr>
            <w:tcW w:w="4706" w:type="dxa"/>
          </w:tcPr>
          <w:p w14:paraId="60E6AD38" w14:textId="77777777" w:rsidR="003A38FF" w:rsidRPr="00D0180E" w:rsidRDefault="003A38FF" w:rsidP="003A38FF">
            <w:pPr>
              <w:pStyle w:val="Texto"/>
              <w:spacing w:line="220" w:lineRule="exact"/>
              <w:ind w:firstLine="0"/>
              <w:jc w:val="center"/>
              <w:rPr>
                <w:rFonts w:ascii="Verdana" w:hAnsi="Verdana"/>
                <w:b/>
                <w:sz w:val="16"/>
                <w:szCs w:val="16"/>
              </w:rPr>
            </w:pPr>
            <w:r w:rsidRPr="00D0180E">
              <w:rPr>
                <w:rFonts w:ascii="Verdana" w:hAnsi="Verdana"/>
                <w:b/>
                <w:sz w:val="16"/>
                <w:szCs w:val="16"/>
              </w:rPr>
              <w:t>DISPOSICIONES GENERALES</w:t>
            </w:r>
          </w:p>
        </w:tc>
        <w:tc>
          <w:tcPr>
            <w:tcW w:w="4644" w:type="dxa"/>
          </w:tcPr>
          <w:p w14:paraId="194CA4C2" w14:textId="4E8A60C5" w:rsidR="003A38FF" w:rsidRPr="00D0180E" w:rsidRDefault="003A38FF" w:rsidP="003A38FF">
            <w:pPr>
              <w:pStyle w:val="Texto"/>
              <w:spacing w:line="220" w:lineRule="exact"/>
              <w:ind w:firstLine="0"/>
              <w:jc w:val="center"/>
              <w:rPr>
                <w:rFonts w:ascii="Verdana" w:hAnsi="Verdana"/>
                <w:b/>
                <w:sz w:val="16"/>
                <w:szCs w:val="16"/>
                <w:lang w:val="en-US"/>
              </w:rPr>
            </w:pPr>
            <w:r w:rsidRPr="00D0180E">
              <w:rPr>
                <w:rFonts w:ascii="Verdana" w:hAnsi="Verdana"/>
                <w:b/>
                <w:sz w:val="16"/>
                <w:szCs w:val="16"/>
              </w:rPr>
              <w:t>GENERAL PROVISIONS</w:t>
            </w:r>
          </w:p>
        </w:tc>
      </w:tr>
      <w:tr w:rsidR="003A38FF" w:rsidRPr="00D0180E" w14:paraId="3EA4156E" w14:textId="2C59668B" w:rsidTr="00FB5DAD">
        <w:tc>
          <w:tcPr>
            <w:tcW w:w="4706" w:type="dxa"/>
          </w:tcPr>
          <w:p w14:paraId="12FAE807" w14:textId="77777777" w:rsidR="003A38FF" w:rsidRPr="00D0180E" w:rsidRDefault="003A38FF" w:rsidP="003A38FF">
            <w:pPr>
              <w:pStyle w:val="Texto"/>
              <w:spacing w:line="220" w:lineRule="exact"/>
              <w:ind w:firstLine="0"/>
              <w:jc w:val="center"/>
              <w:rPr>
                <w:rFonts w:ascii="Verdana" w:hAnsi="Verdana"/>
                <w:b/>
                <w:sz w:val="16"/>
                <w:szCs w:val="16"/>
              </w:rPr>
            </w:pPr>
            <w:r w:rsidRPr="00D0180E">
              <w:rPr>
                <w:rFonts w:ascii="Verdana" w:hAnsi="Verdana"/>
                <w:b/>
                <w:sz w:val="16"/>
                <w:szCs w:val="16"/>
              </w:rPr>
              <w:t>Capítulo I</w:t>
            </w:r>
          </w:p>
        </w:tc>
        <w:tc>
          <w:tcPr>
            <w:tcW w:w="4644" w:type="dxa"/>
          </w:tcPr>
          <w:p w14:paraId="7CBFA195" w14:textId="2DAF3990" w:rsidR="003A38FF" w:rsidRPr="00F6254C" w:rsidRDefault="003A38FF" w:rsidP="003A38FF">
            <w:pPr>
              <w:pStyle w:val="Texto"/>
              <w:spacing w:line="220" w:lineRule="exact"/>
              <w:ind w:firstLine="0"/>
              <w:jc w:val="center"/>
              <w:rPr>
                <w:rFonts w:ascii="Verdana" w:hAnsi="Verdana"/>
                <w:b/>
                <w:sz w:val="16"/>
                <w:szCs w:val="16"/>
                <w:lang w:val="en-US"/>
              </w:rPr>
            </w:pPr>
            <w:r w:rsidRPr="00F6254C">
              <w:rPr>
                <w:rFonts w:ascii="Verdana" w:hAnsi="Verdana"/>
                <w:b/>
                <w:sz w:val="16"/>
                <w:szCs w:val="16"/>
                <w:lang w:val="en-US"/>
              </w:rPr>
              <w:t>Chapter I</w:t>
            </w:r>
          </w:p>
        </w:tc>
      </w:tr>
      <w:tr w:rsidR="003A38FF" w:rsidRPr="00D0180E" w14:paraId="4E81943A" w14:textId="5EA6CF15" w:rsidTr="00FB5DAD">
        <w:tc>
          <w:tcPr>
            <w:tcW w:w="4706" w:type="dxa"/>
          </w:tcPr>
          <w:p w14:paraId="37D70257" w14:textId="77777777" w:rsidR="003A38FF" w:rsidRPr="00D0180E" w:rsidRDefault="003A38FF" w:rsidP="003A38FF">
            <w:pPr>
              <w:pStyle w:val="Texto"/>
              <w:spacing w:line="220" w:lineRule="exact"/>
              <w:ind w:firstLine="0"/>
              <w:jc w:val="center"/>
              <w:rPr>
                <w:rFonts w:ascii="Verdana" w:hAnsi="Verdana"/>
                <w:sz w:val="16"/>
                <w:szCs w:val="16"/>
              </w:rPr>
            </w:pPr>
            <w:r w:rsidRPr="00D0180E">
              <w:rPr>
                <w:rFonts w:ascii="Verdana" w:hAnsi="Verdana"/>
                <w:b/>
                <w:sz w:val="16"/>
                <w:szCs w:val="16"/>
              </w:rPr>
              <w:t>Objeto y Definiciones</w:t>
            </w:r>
          </w:p>
        </w:tc>
        <w:tc>
          <w:tcPr>
            <w:tcW w:w="4644" w:type="dxa"/>
          </w:tcPr>
          <w:p w14:paraId="40633F81" w14:textId="3640148B" w:rsidR="003A38FF" w:rsidRPr="00F6254C" w:rsidRDefault="003A38FF" w:rsidP="003A38FF">
            <w:pPr>
              <w:pStyle w:val="Texto"/>
              <w:spacing w:line="220" w:lineRule="exact"/>
              <w:ind w:firstLine="0"/>
              <w:jc w:val="center"/>
              <w:rPr>
                <w:rFonts w:ascii="Verdana" w:hAnsi="Verdana"/>
                <w:b/>
                <w:sz w:val="16"/>
                <w:szCs w:val="16"/>
                <w:lang w:val="en-US"/>
              </w:rPr>
            </w:pPr>
            <w:r w:rsidRPr="00F6254C">
              <w:rPr>
                <w:rFonts w:ascii="Verdana" w:hAnsi="Verdana"/>
                <w:b/>
                <w:sz w:val="16"/>
                <w:szCs w:val="16"/>
                <w:lang w:val="en-US"/>
              </w:rPr>
              <w:t>Purpose and Definitions</w:t>
            </w:r>
          </w:p>
        </w:tc>
      </w:tr>
      <w:tr w:rsidR="003A38FF" w:rsidRPr="00385481" w14:paraId="610F74D4" w14:textId="3A8820C3" w:rsidTr="00FB5DAD">
        <w:tc>
          <w:tcPr>
            <w:tcW w:w="4706" w:type="dxa"/>
          </w:tcPr>
          <w:p w14:paraId="5C205FFE"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Artículo 1.</w:t>
            </w:r>
            <w:r w:rsidRPr="00D0180E">
              <w:rPr>
                <w:rFonts w:ascii="Verdana" w:hAnsi="Verdana"/>
                <w:sz w:val="16"/>
                <w:szCs w:val="16"/>
              </w:rPr>
              <w:t xml:space="preserve"> El presente reglamento es de observancia general y obligatoria en los Estados Unidos Mexicanos y tiene por objeto reglamentar las disposiciones de la Ley del Sector Eléctrico que regulan la planeación y el Control Operativo del Sistema Eléctrico Nacional, la generación, el almacenamiento y la comercialización de energía eléctrica, el Servicio Público de Transmisión y Distribución de Energía Eléctrica y las demás actividades del sector eléctrico.</w:t>
            </w:r>
          </w:p>
        </w:tc>
        <w:tc>
          <w:tcPr>
            <w:tcW w:w="4644" w:type="dxa"/>
          </w:tcPr>
          <w:p w14:paraId="135DBE12" w14:textId="26E4C658" w:rsidR="003A38FF" w:rsidRPr="00016395" w:rsidRDefault="003A38FF" w:rsidP="003A38FF">
            <w:pPr>
              <w:pStyle w:val="Texto"/>
              <w:spacing w:line="220" w:lineRule="exact"/>
              <w:ind w:firstLine="0"/>
              <w:rPr>
                <w:rFonts w:ascii="Verdana" w:hAnsi="Verdana"/>
                <w:b/>
                <w:sz w:val="16"/>
                <w:szCs w:val="16"/>
                <w:lang w:val="en-US"/>
              </w:rPr>
            </w:pPr>
            <w:r w:rsidRPr="00016395">
              <w:rPr>
                <w:rFonts w:ascii="Verdana" w:hAnsi="Verdana"/>
                <w:b/>
                <w:sz w:val="16"/>
                <w:szCs w:val="16"/>
                <w:lang w:val="en-US"/>
              </w:rPr>
              <w:t xml:space="preserve">Article 1. </w:t>
            </w:r>
            <w:r w:rsidRPr="00016395">
              <w:rPr>
                <w:rFonts w:ascii="Verdana" w:hAnsi="Verdana"/>
                <w:sz w:val="16"/>
                <w:szCs w:val="16"/>
                <w:lang w:val="en-US"/>
              </w:rPr>
              <w:t xml:space="preserve">This regulation is of general and mandatory observance in the United Mexican States and its purpose is to regulate the provisions of the </w:t>
            </w:r>
            <w:r>
              <w:rPr>
                <w:rFonts w:ascii="Verdana" w:hAnsi="Verdana"/>
                <w:sz w:val="16"/>
                <w:szCs w:val="16"/>
                <w:lang w:val="en-US"/>
              </w:rPr>
              <w:t>Law of the Electricity Sector</w:t>
            </w:r>
            <w:r w:rsidRPr="00016395">
              <w:rPr>
                <w:rFonts w:ascii="Verdana" w:hAnsi="Verdana"/>
                <w:sz w:val="16"/>
                <w:szCs w:val="16"/>
                <w:lang w:val="en-US"/>
              </w:rPr>
              <w:t xml:space="preserve"> that regulate the planning and operational control of the National Electricity System, the generation, storage and marketing of electric energy, the Public Service of Transmission and Distribution of Electric Energy and other activities of the electric sector.</w:t>
            </w:r>
          </w:p>
        </w:tc>
      </w:tr>
      <w:tr w:rsidR="003A38FF" w:rsidRPr="00385481" w14:paraId="46773C62" w14:textId="0E517B3B" w:rsidTr="00FB5DAD">
        <w:tc>
          <w:tcPr>
            <w:tcW w:w="4706" w:type="dxa"/>
          </w:tcPr>
          <w:p w14:paraId="2901D5E3"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sz w:val="16"/>
                <w:szCs w:val="16"/>
              </w:rPr>
              <w:t>La Secretaría de Energía, la Comisión Nacional de Energía y el Centro Nacional de Control de Energía deben propiciar, en el ámbito de sus competencias, la operación y el desarrollo eficiente del sector eléctrico y del Mercado Eléctrico Mayorista, en los términos que establece la Ley del Sector Eléctrico.</w:t>
            </w:r>
          </w:p>
        </w:tc>
        <w:tc>
          <w:tcPr>
            <w:tcW w:w="4644" w:type="dxa"/>
          </w:tcPr>
          <w:p w14:paraId="66F12CDF" w14:textId="791B2502" w:rsidR="003A38FF" w:rsidRPr="00016395" w:rsidRDefault="003A38FF" w:rsidP="003A38FF">
            <w:pPr>
              <w:pStyle w:val="Texto"/>
              <w:spacing w:line="220" w:lineRule="exact"/>
              <w:ind w:firstLine="0"/>
              <w:rPr>
                <w:rFonts w:ascii="Verdana" w:hAnsi="Verdana"/>
                <w:sz w:val="16"/>
                <w:szCs w:val="16"/>
                <w:lang w:val="en-US"/>
              </w:rPr>
            </w:pPr>
            <w:r w:rsidRPr="00016395">
              <w:rPr>
                <w:rFonts w:ascii="Verdana" w:hAnsi="Verdana"/>
                <w:sz w:val="16"/>
                <w:szCs w:val="16"/>
                <w:lang w:val="en-US"/>
              </w:rPr>
              <w:t xml:space="preserve">The </w:t>
            </w:r>
            <w:r>
              <w:rPr>
                <w:rFonts w:ascii="Verdana" w:hAnsi="Verdana"/>
                <w:sz w:val="16"/>
                <w:szCs w:val="16"/>
                <w:lang w:val="en-US"/>
              </w:rPr>
              <w:t>Secretary</w:t>
            </w:r>
            <w:r w:rsidRPr="00016395">
              <w:rPr>
                <w:rFonts w:ascii="Verdana" w:hAnsi="Verdana"/>
                <w:sz w:val="16"/>
                <w:szCs w:val="16"/>
                <w:lang w:val="en-US"/>
              </w:rPr>
              <w:t xml:space="preserve"> of Energy, the National Energy Commission, and the National Energy Control Center must promote, within the scope of their powers, the efficient operation and development of the electricity sector and the Wholesale Electricity Market, in accordance with the terms established by the </w:t>
            </w:r>
            <w:r>
              <w:rPr>
                <w:rFonts w:ascii="Verdana" w:hAnsi="Verdana"/>
                <w:sz w:val="16"/>
                <w:szCs w:val="16"/>
                <w:lang w:val="en-US"/>
              </w:rPr>
              <w:t>Law of the Electricity Sector</w:t>
            </w:r>
            <w:r w:rsidRPr="00016395">
              <w:rPr>
                <w:rFonts w:ascii="Verdana" w:hAnsi="Verdana"/>
                <w:sz w:val="16"/>
                <w:szCs w:val="16"/>
                <w:lang w:val="en-US"/>
              </w:rPr>
              <w:t>.</w:t>
            </w:r>
          </w:p>
        </w:tc>
      </w:tr>
      <w:tr w:rsidR="003A38FF" w:rsidRPr="00385481" w14:paraId="27A9B562" w14:textId="4D5347D2" w:rsidTr="00FB5DAD">
        <w:tc>
          <w:tcPr>
            <w:tcW w:w="4706" w:type="dxa"/>
          </w:tcPr>
          <w:p w14:paraId="67544A0D"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Artículo 2.</w:t>
            </w:r>
            <w:r w:rsidRPr="00D0180E">
              <w:rPr>
                <w:rFonts w:ascii="Verdana" w:hAnsi="Verdana"/>
                <w:sz w:val="16"/>
                <w:szCs w:val="16"/>
              </w:rPr>
              <w:t xml:space="preserve"> Para efectos de la aplicación de este reglamento, además de las definiciones previstas en el artículo 3 de la Ley del Sector Eléctrico, se entiende, en singular o plural, por:</w:t>
            </w:r>
          </w:p>
        </w:tc>
        <w:tc>
          <w:tcPr>
            <w:tcW w:w="4644" w:type="dxa"/>
          </w:tcPr>
          <w:p w14:paraId="0EF710D8" w14:textId="23476CB6" w:rsidR="003A38FF" w:rsidRPr="00016395" w:rsidRDefault="003A38FF" w:rsidP="003A38FF">
            <w:pPr>
              <w:pStyle w:val="Texto"/>
              <w:spacing w:line="220" w:lineRule="exact"/>
              <w:ind w:firstLine="0"/>
              <w:rPr>
                <w:rFonts w:ascii="Verdana" w:hAnsi="Verdana"/>
                <w:b/>
                <w:sz w:val="16"/>
                <w:szCs w:val="16"/>
                <w:lang w:val="en-US"/>
              </w:rPr>
            </w:pPr>
            <w:r w:rsidRPr="00016395">
              <w:rPr>
                <w:rFonts w:ascii="Verdana" w:hAnsi="Verdana"/>
                <w:b/>
                <w:sz w:val="16"/>
                <w:szCs w:val="16"/>
                <w:lang w:val="en-US"/>
              </w:rPr>
              <w:t xml:space="preserve">Article 2. </w:t>
            </w:r>
            <w:r w:rsidRPr="00016395">
              <w:rPr>
                <w:rFonts w:ascii="Verdana" w:hAnsi="Verdana"/>
                <w:sz w:val="16"/>
                <w:szCs w:val="16"/>
                <w:lang w:val="en-US"/>
              </w:rPr>
              <w:t xml:space="preserve">For the </w:t>
            </w:r>
            <w:proofErr w:type="gramStart"/>
            <w:r w:rsidRPr="00016395">
              <w:rPr>
                <w:rFonts w:ascii="Verdana" w:hAnsi="Verdana"/>
                <w:sz w:val="16"/>
                <w:szCs w:val="16"/>
                <w:lang w:val="en-US"/>
              </w:rPr>
              <w:t>purposes</w:t>
            </w:r>
            <w:proofErr w:type="gramEnd"/>
            <w:r w:rsidRPr="00016395">
              <w:rPr>
                <w:rFonts w:ascii="Verdana" w:hAnsi="Verdana"/>
                <w:sz w:val="16"/>
                <w:szCs w:val="16"/>
                <w:lang w:val="en-US"/>
              </w:rPr>
              <w:t xml:space="preserve"> of applying this regulation, in addition to the definitions provided for in Article 3 of the </w:t>
            </w:r>
            <w:r>
              <w:rPr>
                <w:rFonts w:ascii="Verdana" w:hAnsi="Verdana"/>
                <w:sz w:val="16"/>
                <w:szCs w:val="16"/>
                <w:lang w:val="en-US"/>
              </w:rPr>
              <w:t>Law of the Electricity Sector</w:t>
            </w:r>
            <w:r w:rsidRPr="00016395">
              <w:rPr>
                <w:rFonts w:ascii="Verdana" w:hAnsi="Verdana"/>
                <w:sz w:val="16"/>
                <w:szCs w:val="16"/>
                <w:lang w:val="en-US"/>
              </w:rPr>
              <w:t>, the following are understood, in singular or plural:</w:t>
            </w:r>
          </w:p>
        </w:tc>
      </w:tr>
      <w:tr w:rsidR="003A38FF" w:rsidRPr="00385481" w14:paraId="00668FFE" w14:textId="374DE1DF" w:rsidTr="00FB5DAD">
        <w:tc>
          <w:tcPr>
            <w:tcW w:w="4706" w:type="dxa"/>
          </w:tcPr>
          <w:p w14:paraId="34A03037"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t>Almacenadora:</w:t>
            </w:r>
            <w:r w:rsidRPr="00D0180E">
              <w:rPr>
                <w:rFonts w:ascii="Verdana" w:hAnsi="Verdana"/>
                <w:sz w:val="16"/>
                <w:szCs w:val="16"/>
              </w:rPr>
              <w:t xml:space="preserve"> Persona física o moral titular de uno o varios permisos de almacenamiento otorgado por la CNE, que opera uno o más Sistemas de Almacenamiento de Energía Eléctrica no asociados a Centrales Eléctricas o Centros de Carga, o bien, la titular de un contrato de Participante del Mercado que representa en el Mercado Eléctrico Mayorista a dichos sistemas, o que cuenta con autorización de la Secretaría </w:t>
            </w:r>
            <w:r w:rsidRPr="00D0180E">
              <w:rPr>
                <w:rFonts w:ascii="Verdana" w:hAnsi="Verdana"/>
                <w:sz w:val="16"/>
                <w:szCs w:val="16"/>
              </w:rPr>
              <w:lastRenderedPageBreak/>
              <w:t>para importación o exportación de energía eléctrica, como Sistemas de Almacenamiento de Energía Eléctrica ubicados en el extranjero o territorio nacional;</w:t>
            </w:r>
          </w:p>
        </w:tc>
        <w:tc>
          <w:tcPr>
            <w:tcW w:w="4644" w:type="dxa"/>
          </w:tcPr>
          <w:p w14:paraId="41DEF2B7" w14:textId="337399DD" w:rsidR="003A38FF" w:rsidRPr="00016395" w:rsidRDefault="003A38FF" w:rsidP="003A38FF">
            <w:pPr>
              <w:pStyle w:val="Texto"/>
              <w:spacing w:line="220" w:lineRule="exact"/>
              <w:ind w:firstLine="0"/>
              <w:rPr>
                <w:rFonts w:ascii="Verdana" w:hAnsi="Verdana"/>
                <w:b/>
                <w:sz w:val="16"/>
                <w:szCs w:val="16"/>
                <w:lang w:val="en-US"/>
              </w:rPr>
            </w:pPr>
            <w:r w:rsidRPr="00016395">
              <w:rPr>
                <w:rFonts w:ascii="Verdana" w:hAnsi="Verdana"/>
                <w:b/>
                <w:sz w:val="16"/>
                <w:szCs w:val="16"/>
                <w:lang w:val="en-US"/>
              </w:rPr>
              <w:lastRenderedPageBreak/>
              <w:t xml:space="preserve">I. </w:t>
            </w:r>
            <w:r w:rsidRPr="00016395">
              <w:rPr>
                <w:rFonts w:ascii="Verdana" w:hAnsi="Verdana"/>
                <w:b/>
                <w:sz w:val="16"/>
                <w:szCs w:val="16"/>
                <w:lang w:val="en-US"/>
              </w:rPr>
              <w:tab/>
              <w:t xml:space="preserve">Storage: </w:t>
            </w:r>
            <w:r>
              <w:rPr>
                <w:rFonts w:ascii="Verdana" w:hAnsi="Verdana"/>
                <w:sz w:val="16"/>
                <w:szCs w:val="16"/>
                <w:lang w:val="en-US"/>
              </w:rPr>
              <w:t>Individual or legal entity</w:t>
            </w:r>
            <w:r w:rsidRPr="00016395">
              <w:rPr>
                <w:rFonts w:ascii="Verdana" w:hAnsi="Verdana"/>
                <w:sz w:val="16"/>
                <w:szCs w:val="16"/>
                <w:lang w:val="en-US"/>
              </w:rPr>
              <w:t xml:space="preserve"> holding one or more storage permits granted by the CNE, who operates one or more Electric Energy Storage Systems not associated with </w:t>
            </w:r>
            <w:r>
              <w:rPr>
                <w:rFonts w:ascii="Verdana" w:hAnsi="Verdana"/>
                <w:sz w:val="16"/>
                <w:szCs w:val="16"/>
                <w:lang w:val="en-US"/>
              </w:rPr>
              <w:t>power plant</w:t>
            </w:r>
            <w:r w:rsidRPr="00016395">
              <w:rPr>
                <w:rFonts w:ascii="Verdana" w:hAnsi="Verdana"/>
                <w:sz w:val="16"/>
                <w:szCs w:val="16"/>
                <w:lang w:val="en-US"/>
              </w:rPr>
              <w:t xml:space="preserve">s or Load Centers, or the holder of a Market Participant contract that represents said systems in the Wholesale Electricity Market, or who has authorization from the </w:t>
            </w:r>
            <w:r>
              <w:rPr>
                <w:rFonts w:ascii="Verdana" w:hAnsi="Verdana"/>
                <w:sz w:val="16"/>
                <w:szCs w:val="16"/>
                <w:lang w:val="en-US"/>
              </w:rPr>
              <w:t>Secretary</w:t>
            </w:r>
            <w:r w:rsidRPr="00016395">
              <w:rPr>
                <w:rFonts w:ascii="Verdana" w:hAnsi="Verdana"/>
                <w:sz w:val="16"/>
                <w:szCs w:val="16"/>
                <w:lang w:val="en-US"/>
              </w:rPr>
              <w:t xml:space="preserve"> to import or export electric energy, such as Electric </w:t>
            </w:r>
            <w:r w:rsidRPr="00016395">
              <w:rPr>
                <w:rFonts w:ascii="Verdana" w:hAnsi="Verdana"/>
                <w:sz w:val="16"/>
                <w:szCs w:val="16"/>
                <w:lang w:val="en-US"/>
              </w:rPr>
              <w:lastRenderedPageBreak/>
              <w:t>Energy Storage Systems located abroad or in national territory;</w:t>
            </w:r>
          </w:p>
        </w:tc>
      </w:tr>
      <w:tr w:rsidR="003A38FF" w:rsidRPr="00385481" w14:paraId="3C4450D7" w14:textId="211233FE" w:rsidTr="00FB5DAD">
        <w:tc>
          <w:tcPr>
            <w:tcW w:w="4706" w:type="dxa"/>
          </w:tcPr>
          <w:p w14:paraId="79AEA6DC"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lastRenderedPageBreak/>
              <w:t>II.</w:t>
            </w:r>
            <w:r w:rsidRPr="00D0180E">
              <w:rPr>
                <w:rFonts w:ascii="Verdana" w:hAnsi="Verdana"/>
                <w:b/>
                <w:sz w:val="16"/>
                <w:szCs w:val="16"/>
              </w:rPr>
              <w:tab/>
              <w:t>Alta Tensión:</w:t>
            </w:r>
            <w:r w:rsidRPr="00D0180E">
              <w:rPr>
                <w:rFonts w:ascii="Verdana" w:hAnsi="Verdana"/>
                <w:sz w:val="16"/>
                <w:szCs w:val="16"/>
              </w:rPr>
              <w:t xml:space="preserve"> Los niveles de tensión de la Red Eléctrica</w:t>
            </w:r>
            <w:r w:rsidRPr="00D0180E">
              <w:rPr>
                <w:rFonts w:ascii="Verdana" w:hAnsi="Verdana"/>
                <w:b/>
                <w:sz w:val="16"/>
                <w:szCs w:val="16"/>
              </w:rPr>
              <w:t xml:space="preserve"> </w:t>
            </w:r>
            <w:r w:rsidRPr="00D0180E">
              <w:rPr>
                <w:rFonts w:ascii="Verdana" w:hAnsi="Verdana"/>
                <w:sz w:val="16"/>
                <w:szCs w:val="16"/>
              </w:rPr>
              <w:t>mayores a 35 kilovolt;</w:t>
            </w:r>
          </w:p>
        </w:tc>
        <w:tc>
          <w:tcPr>
            <w:tcW w:w="4644" w:type="dxa"/>
          </w:tcPr>
          <w:p w14:paraId="52616520" w14:textId="562A2D5A" w:rsidR="003A38FF" w:rsidRPr="00016395" w:rsidRDefault="003A38FF" w:rsidP="003A38FF">
            <w:pPr>
              <w:pStyle w:val="Texto"/>
              <w:spacing w:line="220" w:lineRule="exact"/>
              <w:ind w:firstLine="0"/>
              <w:rPr>
                <w:rFonts w:ascii="Verdana" w:hAnsi="Verdana"/>
                <w:b/>
                <w:sz w:val="16"/>
                <w:szCs w:val="16"/>
                <w:lang w:val="en-US"/>
              </w:rPr>
            </w:pPr>
            <w:r w:rsidRPr="00016395">
              <w:rPr>
                <w:rFonts w:ascii="Verdana" w:hAnsi="Verdana"/>
                <w:b/>
                <w:sz w:val="16"/>
                <w:szCs w:val="16"/>
                <w:lang w:val="en-US"/>
              </w:rPr>
              <w:t>II</w:t>
            </w:r>
            <w:proofErr w:type="gramStart"/>
            <w:r w:rsidRPr="00016395">
              <w:rPr>
                <w:rFonts w:ascii="Verdana" w:hAnsi="Verdana"/>
                <w:b/>
                <w:sz w:val="16"/>
                <w:szCs w:val="16"/>
                <w:lang w:val="en-US"/>
              </w:rPr>
              <w:t xml:space="preserve">. </w:t>
            </w:r>
            <w:r w:rsidRPr="00016395">
              <w:rPr>
                <w:rFonts w:ascii="Verdana" w:hAnsi="Verdana"/>
                <w:b/>
                <w:sz w:val="16"/>
                <w:szCs w:val="16"/>
                <w:lang w:val="en-US"/>
              </w:rPr>
              <w:tab/>
              <w:t>High</w:t>
            </w:r>
            <w:proofErr w:type="gramEnd"/>
            <w:r w:rsidRPr="00016395">
              <w:rPr>
                <w:rFonts w:ascii="Verdana" w:hAnsi="Verdana"/>
                <w:b/>
                <w:sz w:val="16"/>
                <w:szCs w:val="16"/>
                <w:lang w:val="en-US"/>
              </w:rPr>
              <w:t xml:space="preserve"> Voltage: </w:t>
            </w:r>
            <w:r w:rsidRPr="00016395">
              <w:rPr>
                <w:rFonts w:ascii="Verdana" w:hAnsi="Verdana"/>
                <w:sz w:val="16"/>
                <w:szCs w:val="16"/>
                <w:lang w:val="en-US"/>
              </w:rPr>
              <w:t>The voltage levels of the electrical grid</w:t>
            </w:r>
            <w:r w:rsidRPr="00016395">
              <w:rPr>
                <w:rFonts w:ascii="Verdana" w:hAnsi="Verdana"/>
                <w:b/>
                <w:sz w:val="16"/>
                <w:szCs w:val="16"/>
                <w:lang w:val="en-US"/>
              </w:rPr>
              <w:t xml:space="preserve"> </w:t>
            </w:r>
            <w:proofErr w:type="gramStart"/>
            <w:r w:rsidRPr="00016395">
              <w:rPr>
                <w:rFonts w:ascii="Verdana" w:hAnsi="Verdana"/>
                <w:sz w:val="16"/>
                <w:szCs w:val="16"/>
                <w:lang w:val="en-US"/>
              </w:rPr>
              <w:t>greater</w:t>
            </w:r>
            <w:proofErr w:type="gramEnd"/>
            <w:r w:rsidRPr="00016395">
              <w:rPr>
                <w:rFonts w:ascii="Verdana" w:hAnsi="Verdana"/>
                <w:sz w:val="16"/>
                <w:szCs w:val="16"/>
                <w:lang w:val="en-US"/>
              </w:rPr>
              <w:t xml:space="preserve"> than 35 kilovolts;</w:t>
            </w:r>
          </w:p>
        </w:tc>
      </w:tr>
      <w:tr w:rsidR="003A38FF" w:rsidRPr="00385481" w14:paraId="1C924989" w14:textId="7D714BE5" w:rsidTr="00FB5DAD">
        <w:tc>
          <w:tcPr>
            <w:tcW w:w="4706" w:type="dxa"/>
          </w:tcPr>
          <w:p w14:paraId="23DE2731"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t xml:space="preserve">Ampliación: </w:t>
            </w:r>
            <w:r w:rsidRPr="00D0180E">
              <w:rPr>
                <w:rFonts w:ascii="Verdana" w:hAnsi="Verdana"/>
                <w:sz w:val="16"/>
                <w:szCs w:val="16"/>
              </w:rPr>
              <w:t>La adición o sustitución de cualquier elemento del Sistema Eléctrico Nacional, incluido su equipo asociado, en instalaciones existentes o la construcción de nuevas instalaciones, que incrementen su capacidad;</w:t>
            </w:r>
          </w:p>
        </w:tc>
        <w:tc>
          <w:tcPr>
            <w:tcW w:w="4644" w:type="dxa"/>
          </w:tcPr>
          <w:p w14:paraId="7E799722" w14:textId="4722FB2C" w:rsidR="003A38FF" w:rsidRPr="00016395" w:rsidRDefault="003A38FF" w:rsidP="003A38FF">
            <w:pPr>
              <w:pStyle w:val="Texto"/>
              <w:spacing w:line="220" w:lineRule="exact"/>
              <w:ind w:firstLine="0"/>
              <w:rPr>
                <w:rFonts w:ascii="Verdana" w:hAnsi="Verdana"/>
                <w:b/>
                <w:sz w:val="16"/>
                <w:szCs w:val="16"/>
                <w:lang w:val="en-US"/>
              </w:rPr>
            </w:pPr>
            <w:r w:rsidRPr="00016395">
              <w:rPr>
                <w:rFonts w:ascii="Verdana" w:hAnsi="Verdana"/>
                <w:b/>
                <w:sz w:val="16"/>
                <w:szCs w:val="16"/>
                <w:lang w:val="en-US"/>
              </w:rPr>
              <w:t>III</w:t>
            </w:r>
            <w:proofErr w:type="gramStart"/>
            <w:r w:rsidRPr="00016395">
              <w:rPr>
                <w:rFonts w:ascii="Verdana" w:hAnsi="Verdana"/>
                <w:b/>
                <w:sz w:val="16"/>
                <w:szCs w:val="16"/>
                <w:lang w:val="en-US"/>
              </w:rPr>
              <w:t xml:space="preserve">. </w:t>
            </w:r>
            <w:r w:rsidRPr="00016395">
              <w:rPr>
                <w:rFonts w:ascii="Verdana" w:hAnsi="Verdana"/>
                <w:b/>
                <w:sz w:val="16"/>
                <w:szCs w:val="16"/>
                <w:lang w:val="en-US"/>
              </w:rPr>
              <w:tab/>
              <w:t>Expansion</w:t>
            </w:r>
            <w:proofErr w:type="gramEnd"/>
            <w:r w:rsidRPr="00016395">
              <w:rPr>
                <w:rFonts w:ascii="Verdana" w:hAnsi="Verdana"/>
                <w:b/>
                <w:sz w:val="16"/>
                <w:szCs w:val="16"/>
                <w:lang w:val="en-US"/>
              </w:rPr>
              <w:t xml:space="preserve">: </w:t>
            </w:r>
            <w:r w:rsidRPr="00016395">
              <w:rPr>
                <w:rFonts w:ascii="Verdana" w:hAnsi="Verdana"/>
                <w:sz w:val="16"/>
                <w:szCs w:val="16"/>
                <w:lang w:val="en-US"/>
              </w:rPr>
              <w:t xml:space="preserve">The addition or replacement of any element of the </w:t>
            </w:r>
            <w:r>
              <w:rPr>
                <w:rFonts w:ascii="Verdana" w:hAnsi="Verdana"/>
                <w:sz w:val="16"/>
                <w:szCs w:val="16"/>
                <w:lang w:val="en-US"/>
              </w:rPr>
              <w:t>National Electric System</w:t>
            </w:r>
            <w:r w:rsidRPr="00016395">
              <w:rPr>
                <w:rFonts w:ascii="Verdana" w:hAnsi="Verdana"/>
                <w:sz w:val="16"/>
                <w:szCs w:val="16"/>
                <w:lang w:val="en-US"/>
              </w:rPr>
              <w:t>, including its associated equipment, in existing facilities or the construction of new facilities, which increase its capacity;</w:t>
            </w:r>
          </w:p>
        </w:tc>
      </w:tr>
      <w:tr w:rsidR="003A38FF" w:rsidRPr="00385481" w14:paraId="4D5CE385" w14:textId="19A7F8CD" w:rsidTr="00FB5DAD">
        <w:tc>
          <w:tcPr>
            <w:tcW w:w="4706" w:type="dxa"/>
          </w:tcPr>
          <w:p w14:paraId="331BD23B"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t>Aportaciones:</w:t>
            </w:r>
            <w:r w:rsidRPr="00D0180E">
              <w:rPr>
                <w:rFonts w:ascii="Verdana" w:hAnsi="Verdana"/>
                <w:sz w:val="16"/>
                <w:szCs w:val="16"/>
              </w:rPr>
              <w:t xml:space="preserve"> Los recursos en efectivo o en especie, que la Solicitante entrega a la Transportista o la Distribuidora, según sea el caso, por la conexión de Centros de Carga o la interconexión de Centrales Eléctricas a la Red Nacional de Transmisión o a las Redes Generales de Distribución solicitadas para beneficiarse de las Obras Específicas, Ampliaciones o Modificaciones, cuando los costos por su construcción no se recuperen a través del cobro de las Tarifas Reguladas;</w:t>
            </w:r>
          </w:p>
        </w:tc>
        <w:tc>
          <w:tcPr>
            <w:tcW w:w="4644" w:type="dxa"/>
          </w:tcPr>
          <w:p w14:paraId="5C009747" w14:textId="214C3A95" w:rsidR="003A38FF" w:rsidRPr="00016395" w:rsidRDefault="003A38FF" w:rsidP="003A38FF">
            <w:pPr>
              <w:pStyle w:val="Texto"/>
              <w:spacing w:line="220" w:lineRule="exact"/>
              <w:ind w:firstLine="0"/>
              <w:rPr>
                <w:rFonts w:ascii="Verdana" w:hAnsi="Verdana"/>
                <w:b/>
                <w:sz w:val="16"/>
                <w:szCs w:val="16"/>
                <w:lang w:val="en-US"/>
              </w:rPr>
            </w:pPr>
            <w:r w:rsidRPr="00016395">
              <w:rPr>
                <w:rFonts w:ascii="Verdana" w:hAnsi="Verdana"/>
                <w:b/>
                <w:sz w:val="16"/>
                <w:szCs w:val="16"/>
                <w:lang w:val="en-US"/>
              </w:rPr>
              <w:t xml:space="preserve">IV. </w:t>
            </w:r>
            <w:r w:rsidRPr="00016395">
              <w:rPr>
                <w:rFonts w:ascii="Verdana" w:hAnsi="Verdana"/>
                <w:b/>
                <w:sz w:val="16"/>
                <w:szCs w:val="16"/>
                <w:lang w:val="en-US"/>
              </w:rPr>
              <w:tab/>
            </w:r>
            <w:r>
              <w:rPr>
                <w:rFonts w:ascii="Verdana" w:hAnsi="Verdana"/>
                <w:b/>
                <w:sz w:val="16"/>
                <w:szCs w:val="16"/>
                <w:lang w:val="en-US"/>
              </w:rPr>
              <w:t>Payments</w:t>
            </w:r>
            <w:r w:rsidRPr="00016395">
              <w:rPr>
                <w:rFonts w:ascii="Verdana" w:hAnsi="Verdana"/>
                <w:b/>
                <w:sz w:val="16"/>
                <w:szCs w:val="16"/>
                <w:lang w:val="en-US"/>
              </w:rPr>
              <w:t xml:space="preserve">: </w:t>
            </w:r>
            <w:r w:rsidRPr="00016395">
              <w:rPr>
                <w:rFonts w:ascii="Verdana" w:hAnsi="Verdana"/>
                <w:sz w:val="16"/>
                <w:szCs w:val="16"/>
                <w:lang w:val="en-US"/>
              </w:rPr>
              <w:t>The resources in cash or in kind, that the Applicant delivers to the transporter or the distributor, as the case may be, for the connection of load centers or the interconnection of power plants to the National Transmission Network or to the General Distribution Networks requested to benefit from the specific works, extensions or modifications, when the costs for their construction are not recovered through the collection of regulated rates;</w:t>
            </w:r>
          </w:p>
        </w:tc>
      </w:tr>
      <w:tr w:rsidR="003A38FF" w:rsidRPr="00385481" w14:paraId="03616580" w14:textId="1DB87196" w:rsidTr="00FB5DAD">
        <w:tc>
          <w:tcPr>
            <w:tcW w:w="4706" w:type="dxa"/>
          </w:tcPr>
          <w:p w14:paraId="7F914718"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t>Baja Tensión:</w:t>
            </w:r>
            <w:r w:rsidRPr="00D0180E">
              <w:rPr>
                <w:rFonts w:ascii="Verdana" w:hAnsi="Verdana"/>
                <w:sz w:val="16"/>
                <w:szCs w:val="16"/>
              </w:rPr>
              <w:t xml:space="preserve"> Los niveles de tensión de la Red Eléctrica iguales o menores a un kilovolt;</w:t>
            </w:r>
          </w:p>
        </w:tc>
        <w:tc>
          <w:tcPr>
            <w:tcW w:w="4644" w:type="dxa"/>
          </w:tcPr>
          <w:p w14:paraId="47EA4575" w14:textId="0CD5BD61" w:rsidR="003A38FF" w:rsidRPr="00016395" w:rsidRDefault="003A38FF" w:rsidP="003A38FF">
            <w:pPr>
              <w:pStyle w:val="Texto"/>
              <w:spacing w:line="220" w:lineRule="exact"/>
              <w:ind w:firstLine="0"/>
              <w:rPr>
                <w:rFonts w:ascii="Verdana" w:hAnsi="Verdana"/>
                <w:b/>
                <w:sz w:val="16"/>
                <w:szCs w:val="16"/>
                <w:lang w:val="en-US"/>
              </w:rPr>
            </w:pPr>
            <w:r w:rsidRPr="00016395">
              <w:rPr>
                <w:rFonts w:ascii="Verdana" w:hAnsi="Verdana"/>
                <w:b/>
                <w:sz w:val="16"/>
                <w:szCs w:val="16"/>
                <w:lang w:val="en-US"/>
              </w:rPr>
              <w:t>V</w:t>
            </w:r>
            <w:proofErr w:type="gramStart"/>
            <w:r w:rsidRPr="00016395">
              <w:rPr>
                <w:rFonts w:ascii="Verdana" w:hAnsi="Verdana"/>
                <w:b/>
                <w:sz w:val="16"/>
                <w:szCs w:val="16"/>
                <w:lang w:val="en-US"/>
              </w:rPr>
              <w:t xml:space="preserve">. </w:t>
            </w:r>
            <w:r w:rsidRPr="00016395">
              <w:rPr>
                <w:rFonts w:ascii="Verdana" w:hAnsi="Verdana"/>
                <w:b/>
                <w:sz w:val="16"/>
                <w:szCs w:val="16"/>
                <w:lang w:val="en-US"/>
              </w:rPr>
              <w:tab/>
              <w:t>Low</w:t>
            </w:r>
            <w:proofErr w:type="gramEnd"/>
            <w:r w:rsidRPr="00016395">
              <w:rPr>
                <w:rFonts w:ascii="Verdana" w:hAnsi="Verdana"/>
                <w:b/>
                <w:sz w:val="16"/>
                <w:szCs w:val="16"/>
                <w:lang w:val="en-US"/>
              </w:rPr>
              <w:t xml:space="preserve"> Voltage: </w:t>
            </w:r>
            <w:r w:rsidRPr="00016395">
              <w:rPr>
                <w:rFonts w:ascii="Verdana" w:hAnsi="Verdana"/>
                <w:sz w:val="16"/>
                <w:szCs w:val="16"/>
                <w:lang w:val="en-US"/>
              </w:rPr>
              <w:t>Voltage levels of the Electrical Grid equal to or less than one kilovolt;</w:t>
            </w:r>
          </w:p>
        </w:tc>
      </w:tr>
      <w:tr w:rsidR="003A38FF" w:rsidRPr="00385481" w14:paraId="18EBECE1" w14:textId="01777BAA" w:rsidTr="00FB5DAD">
        <w:tc>
          <w:tcPr>
            <w:tcW w:w="4706" w:type="dxa"/>
          </w:tcPr>
          <w:p w14:paraId="4A7F83B1"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t>Beneficios Sociales Compartidos:</w:t>
            </w:r>
            <w:r w:rsidRPr="00D0180E">
              <w:rPr>
                <w:rFonts w:ascii="Verdana" w:hAnsi="Verdana"/>
                <w:sz w:val="16"/>
                <w:szCs w:val="16"/>
              </w:rPr>
              <w:t xml:space="preserve"> Elementos que forman parte del Plan de Gestión Social que tienen el objetivo de contribuir al desarrollo integral y sostenible de las personas y comunidades que habitan en el área de influencia del proyecto, y que son definidos mediante procesos participativos, con el fin de generar Impactos Sociales positivos perdurables en el ámbito social, económico y cultural, en correspondencia con los objetivos de Justicia Energética;</w:t>
            </w:r>
          </w:p>
        </w:tc>
        <w:tc>
          <w:tcPr>
            <w:tcW w:w="4644" w:type="dxa"/>
          </w:tcPr>
          <w:p w14:paraId="5FCFDA49" w14:textId="7ECEE603" w:rsidR="003A38FF" w:rsidRPr="00D0180E" w:rsidRDefault="003A38FF" w:rsidP="003A38FF">
            <w:pPr>
              <w:pStyle w:val="Texto"/>
              <w:spacing w:line="220" w:lineRule="exact"/>
              <w:ind w:firstLine="0"/>
              <w:rPr>
                <w:rFonts w:ascii="Verdana" w:hAnsi="Verdana"/>
                <w:b/>
                <w:sz w:val="16"/>
                <w:szCs w:val="16"/>
                <w:lang w:val="en-US"/>
              </w:rPr>
            </w:pPr>
            <w:r w:rsidRPr="00016395">
              <w:rPr>
                <w:rFonts w:ascii="Verdana" w:hAnsi="Verdana"/>
                <w:b/>
                <w:sz w:val="16"/>
                <w:szCs w:val="16"/>
                <w:lang w:val="en-US"/>
              </w:rPr>
              <w:t xml:space="preserve">VI. </w:t>
            </w:r>
            <w:r w:rsidRPr="00016395">
              <w:rPr>
                <w:rFonts w:ascii="Verdana" w:hAnsi="Verdana"/>
                <w:b/>
                <w:sz w:val="16"/>
                <w:szCs w:val="16"/>
                <w:lang w:val="en-US"/>
              </w:rPr>
              <w:tab/>
              <w:t xml:space="preserve">Shared Social Benefits: </w:t>
            </w:r>
            <w:r w:rsidRPr="00016395">
              <w:rPr>
                <w:rFonts w:ascii="Verdana" w:hAnsi="Verdana"/>
                <w:sz w:val="16"/>
                <w:szCs w:val="16"/>
                <w:lang w:val="en-US"/>
              </w:rPr>
              <w:t>Elements that form part of the Social Management Plan that aim to contribute to the comprehensive and sustainable development of the people and communities that live in the area of influence of the project, and that are defined through participatory processes, in order to generate lasting positive Social Impacts in the social, economic and cultural spheres, in accordance with the objectives of Energy Justice;</w:t>
            </w:r>
          </w:p>
        </w:tc>
      </w:tr>
      <w:tr w:rsidR="003A38FF" w:rsidRPr="00385481" w14:paraId="30BC811F" w14:textId="43F5FED5" w:rsidTr="00FB5DAD">
        <w:tc>
          <w:tcPr>
            <w:tcW w:w="4706" w:type="dxa"/>
          </w:tcPr>
          <w:p w14:paraId="2DEB2378" w14:textId="77777777" w:rsidR="003A38FF" w:rsidRPr="00D0180E" w:rsidRDefault="003A38FF" w:rsidP="003A38FF">
            <w:pPr>
              <w:pStyle w:val="Texto"/>
              <w:spacing w:line="220" w:lineRule="exact"/>
              <w:ind w:firstLine="0"/>
              <w:rPr>
                <w:rFonts w:ascii="Verdana" w:hAnsi="Verdana"/>
                <w:b/>
                <w:sz w:val="16"/>
                <w:szCs w:val="16"/>
              </w:rPr>
            </w:pPr>
            <w:r w:rsidRPr="00D0180E">
              <w:rPr>
                <w:rFonts w:ascii="Verdana" w:hAnsi="Verdana"/>
                <w:b/>
                <w:sz w:val="16"/>
                <w:szCs w:val="16"/>
              </w:rPr>
              <w:t>VII.</w:t>
            </w:r>
            <w:r w:rsidRPr="00D0180E">
              <w:rPr>
                <w:rFonts w:ascii="Verdana" w:hAnsi="Verdana"/>
                <w:b/>
                <w:sz w:val="16"/>
                <w:szCs w:val="16"/>
              </w:rPr>
              <w:tab/>
              <w:t xml:space="preserve">Capacidad Instalada: </w:t>
            </w:r>
            <w:r w:rsidRPr="00D0180E">
              <w:rPr>
                <w:rFonts w:ascii="Verdana" w:hAnsi="Verdana"/>
                <w:sz w:val="16"/>
                <w:szCs w:val="16"/>
              </w:rPr>
              <w:t>Cantidad de potencia que tiene una Central Eléctrica, un Sistema de Almacenamiento de Energía Eléctrica o un recurso de Demanda Controlable, también es identificada como la capacidad de placa;</w:t>
            </w:r>
          </w:p>
        </w:tc>
        <w:tc>
          <w:tcPr>
            <w:tcW w:w="4644" w:type="dxa"/>
          </w:tcPr>
          <w:p w14:paraId="4F3E0E4A" w14:textId="2F3E8969" w:rsidR="003A38FF" w:rsidRPr="00D0180E" w:rsidRDefault="003A38FF" w:rsidP="003A38FF">
            <w:pPr>
              <w:pStyle w:val="Texto"/>
              <w:spacing w:line="220" w:lineRule="exact"/>
              <w:ind w:firstLine="0"/>
              <w:rPr>
                <w:rFonts w:ascii="Verdana" w:hAnsi="Verdana"/>
                <w:b/>
                <w:sz w:val="16"/>
                <w:szCs w:val="16"/>
                <w:lang w:val="en-US"/>
              </w:rPr>
            </w:pPr>
            <w:r w:rsidRPr="00016395">
              <w:rPr>
                <w:rFonts w:ascii="Verdana" w:hAnsi="Verdana"/>
                <w:b/>
                <w:sz w:val="16"/>
                <w:szCs w:val="16"/>
                <w:lang w:val="en-US"/>
              </w:rPr>
              <w:t>VII</w:t>
            </w:r>
            <w:proofErr w:type="gramStart"/>
            <w:r w:rsidRPr="00016395">
              <w:rPr>
                <w:rFonts w:ascii="Verdana" w:hAnsi="Verdana"/>
                <w:b/>
                <w:sz w:val="16"/>
                <w:szCs w:val="16"/>
                <w:lang w:val="en-US"/>
              </w:rPr>
              <w:t xml:space="preserve">. </w:t>
            </w:r>
            <w:r w:rsidRPr="00016395">
              <w:rPr>
                <w:rFonts w:ascii="Verdana" w:hAnsi="Verdana"/>
                <w:b/>
                <w:sz w:val="16"/>
                <w:szCs w:val="16"/>
                <w:lang w:val="en-US"/>
              </w:rPr>
              <w:tab/>
              <w:t>Installed</w:t>
            </w:r>
            <w:proofErr w:type="gramEnd"/>
            <w:r w:rsidRPr="00016395">
              <w:rPr>
                <w:rFonts w:ascii="Verdana" w:hAnsi="Verdana"/>
                <w:b/>
                <w:sz w:val="16"/>
                <w:szCs w:val="16"/>
                <w:lang w:val="en-US"/>
              </w:rPr>
              <w:t xml:space="preserve"> Capacity: </w:t>
            </w:r>
            <w:r w:rsidRPr="00016395">
              <w:rPr>
                <w:rFonts w:ascii="Verdana" w:hAnsi="Verdana"/>
                <w:sz w:val="16"/>
                <w:szCs w:val="16"/>
                <w:lang w:val="en-US"/>
              </w:rPr>
              <w:t xml:space="preserve">Amount of power that a power plant, an electric energy storage system or a controllable demand resource </w:t>
            </w:r>
            <w:proofErr w:type="gramStart"/>
            <w:r w:rsidRPr="00016395">
              <w:rPr>
                <w:rFonts w:ascii="Verdana" w:hAnsi="Verdana"/>
                <w:sz w:val="16"/>
                <w:szCs w:val="16"/>
                <w:lang w:val="en-US"/>
              </w:rPr>
              <w:t>has,</w:t>
            </w:r>
            <w:proofErr w:type="gramEnd"/>
            <w:r w:rsidRPr="00016395">
              <w:rPr>
                <w:rFonts w:ascii="Verdana" w:hAnsi="Verdana"/>
                <w:sz w:val="16"/>
                <w:szCs w:val="16"/>
                <w:lang w:val="en-US"/>
              </w:rPr>
              <w:t xml:space="preserve"> also identified as the nameplate capacity;</w:t>
            </w:r>
          </w:p>
        </w:tc>
      </w:tr>
      <w:tr w:rsidR="003A38FF" w:rsidRPr="00385481" w14:paraId="33D54D89" w14:textId="1AB70FB7" w:rsidTr="00FB5DAD">
        <w:tc>
          <w:tcPr>
            <w:tcW w:w="4706" w:type="dxa"/>
          </w:tcPr>
          <w:p w14:paraId="4AB24386" w14:textId="77777777" w:rsidR="003A38FF" w:rsidRPr="00D0180E" w:rsidRDefault="003A38FF" w:rsidP="003A38FF">
            <w:pPr>
              <w:pStyle w:val="Texto"/>
              <w:spacing w:line="234" w:lineRule="exact"/>
              <w:ind w:firstLine="0"/>
              <w:rPr>
                <w:rFonts w:ascii="Verdana" w:hAnsi="Verdana"/>
                <w:sz w:val="16"/>
                <w:szCs w:val="16"/>
              </w:rPr>
            </w:pPr>
            <w:r w:rsidRPr="00D0180E">
              <w:rPr>
                <w:rFonts w:ascii="Verdana" w:hAnsi="Verdana"/>
                <w:b/>
                <w:sz w:val="16"/>
                <w:szCs w:val="16"/>
              </w:rPr>
              <w:t>VIII.</w:t>
            </w:r>
            <w:r w:rsidRPr="00D0180E">
              <w:rPr>
                <w:rFonts w:ascii="Verdana" w:hAnsi="Verdana"/>
                <w:b/>
                <w:sz w:val="16"/>
                <w:szCs w:val="16"/>
              </w:rPr>
              <w:tab/>
              <w:t xml:space="preserve">Consulta Previa: </w:t>
            </w:r>
            <w:r w:rsidRPr="00D0180E">
              <w:rPr>
                <w:rFonts w:ascii="Verdana" w:hAnsi="Verdana"/>
                <w:sz w:val="16"/>
                <w:szCs w:val="16"/>
              </w:rPr>
              <w:t>El procedimiento previo, libre e informado, desarrollado por la Secretaría, mediante el cual se ejerce el derecho colectivo de los pueblos y comunidades indígenas y afromexicanas a ser consultados, cuando se prevea el desarrollo de proyectos del sector eléctrico, susceptibles de afectar directamente sus intereses y derechos;</w:t>
            </w:r>
          </w:p>
        </w:tc>
        <w:tc>
          <w:tcPr>
            <w:tcW w:w="4644" w:type="dxa"/>
          </w:tcPr>
          <w:p w14:paraId="7BE2A95B" w14:textId="49D81AEA" w:rsidR="003A38FF" w:rsidRPr="00D0180E" w:rsidRDefault="003A38FF" w:rsidP="003A38FF">
            <w:pPr>
              <w:pStyle w:val="Texto"/>
              <w:spacing w:line="234" w:lineRule="exact"/>
              <w:ind w:firstLine="0"/>
              <w:rPr>
                <w:rFonts w:ascii="Verdana" w:hAnsi="Verdana"/>
                <w:b/>
                <w:sz w:val="16"/>
                <w:szCs w:val="16"/>
                <w:lang w:val="en-US"/>
              </w:rPr>
            </w:pPr>
            <w:r w:rsidRPr="0028318A">
              <w:rPr>
                <w:rFonts w:ascii="Verdana" w:hAnsi="Verdana"/>
                <w:b/>
                <w:sz w:val="16"/>
                <w:szCs w:val="16"/>
                <w:lang w:val="en-US"/>
              </w:rPr>
              <w:t xml:space="preserve">VIII. </w:t>
            </w:r>
            <w:r w:rsidRPr="0028318A">
              <w:rPr>
                <w:rFonts w:ascii="Verdana" w:hAnsi="Verdana"/>
                <w:b/>
                <w:sz w:val="16"/>
                <w:szCs w:val="16"/>
                <w:lang w:val="en-US"/>
              </w:rPr>
              <w:tab/>
              <w:t xml:space="preserve">Prior Consultation: </w:t>
            </w:r>
            <w:r w:rsidRPr="0028318A">
              <w:rPr>
                <w:rFonts w:ascii="Verdana" w:hAnsi="Verdana"/>
                <w:sz w:val="16"/>
                <w:szCs w:val="16"/>
                <w:lang w:val="en-US"/>
              </w:rPr>
              <w:t>The prior, free and informed procedure developed by the Secretary, through which the collective right of indigenous and Afro-Mexican peoples and communities to be consulted is exercised, when the development of electricity sector projects is planned, which may directly affect their interests and rights;</w:t>
            </w:r>
          </w:p>
        </w:tc>
      </w:tr>
      <w:tr w:rsidR="003A38FF" w:rsidRPr="00385481" w14:paraId="0B44959B" w14:textId="41880C02" w:rsidTr="00FB5DAD">
        <w:tc>
          <w:tcPr>
            <w:tcW w:w="4706" w:type="dxa"/>
          </w:tcPr>
          <w:p w14:paraId="190C6327" w14:textId="77777777" w:rsidR="003A38FF" w:rsidRPr="00D0180E" w:rsidRDefault="003A38FF" w:rsidP="003A38FF">
            <w:pPr>
              <w:pStyle w:val="Texto"/>
              <w:spacing w:line="234" w:lineRule="exact"/>
              <w:ind w:firstLine="0"/>
              <w:rPr>
                <w:rFonts w:ascii="Verdana" w:hAnsi="Verdana"/>
                <w:sz w:val="16"/>
                <w:szCs w:val="16"/>
              </w:rPr>
            </w:pPr>
            <w:r w:rsidRPr="00D0180E">
              <w:rPr>
                <w:rFonts w:ascii="Verdana" w:hAnsi="Verdana"/>
                <w:b/>
                <w:sz w:val="16"/>
                <w:szCs w:val="16"/>
              </w:rPr>
              <w:t>IX.</w:t>
            </w:r>
            <w:r w:rsidRPr="00D0180E">
              <w:rPr>
                <w:rFonts w:ascii="Verdana" w:hAnsi="Verdana"/>
                <w:b/>
                <w:sz w:val="16"/>
                <w:szCs w:val="16"/>
              </w:rPr>
              <w:tab/>
              <w:t>Comercializadora no Suministradora:</w:t>
            </w:r>
            <w:r w:rsidRPr="00D0180E">
              <w:rPr>
                <w:rFonts w:ascii="Verdana" w:hAnsi="Verdana"/>
                <w:sz w:val="16"/>
                <w:szCs w:val="16"/>
              </w:rPr>
              <w:t xml:space="preserve"> Persona física o moral titular de un contrato de Participante del Mercado, que tiene por objeto realizar las actividades de comercialización con excepción del Suministro Eléctrico;</w:t>
            </w:r>
          </w:p>
        </w:tc>
        <w:tc>
          <w:tcPr>
            <w:tcW w:w="4644" w:type="dxa"/>
          </w:tcPr>
          <w:p w14:paraId="1B417D9F" w14:textId="083A0681" w:rsidR="003A38FF" w:rsidRPr="00D0180E" w:rsidRDefault="003A38FF" w:rsidP="003A38FF">
            <w:pPr>
              <w:pStyle w:val="Texto"/>
              <w:spacing w:line="234" w:lineRule="exact"/>
              <w:ind w:firstLine="0"/>
              <w:rPr>
                <w:rFonts w:ascii="Verdana" w:hAnsi="Verdana"/>
                <w:b/>
                <w:sz w:val="16"/>
                <w:szCs w:val="16"/>
                <w:lang w:val="en-US"/>
              </w:rPr>
            </w:pPr>
            <w:r w:rsidRPr="0028318A">
              <w:rPr>
                <w:rFonts w:ascii="Verdana" w:hAnsi="Verdana"/>
                <w:b/>
                <w:sz w:val="16"/>
                <w:szCs w:val="16"/>
                <w:lang w:val="en-US"/>
              </w:rPr>
              <w:t>IX</w:t>
            </w:r>
            <w:proofErr w:type="gramStart"/>
            <w:r w:rsidRPr="0028318A">
              <w:rPr>
                <w:rFonts w:ascii="Verdana" w:hAnsi="Verdana"/>
                <w:b/>
                <w:sz w:val="16"/>
                <w:szCs w:val="16"/>
                <w:lang w:val="en-US"/>
              </w:rPr>
              <w:t xml:space="preserve">. </w:t>
            </w:r>
            <w:r w:rsidRPr="0028318A">
              <w:rPr>
                <w:rFonts w:ascii="Verdana" w:hAnsi="Verdana"/>
                <w:b/>
                <w:sz w:val="16"/>
                <w:szCs w:val="16"/>
                <w:lang w:val="en-US"/>
              </w:rPr>
              <w:tab/>
              <w:t>Non</w:t>
            </w:r>
            <w:proofErr w:type="gramEnd"/>
            <w:r w:rsidRPr="0028318A">
              <w:rPr>
                <w:rFonts w:ascii="Verdana" w:hAnsi="Verdana"/>
                <w:b/>
                <w:sz w:val="16"/>
                <w:szCs w:val="16"/>
                <w:lang w:val="en-US"/>
              </w:rPr>
              <w:t xml:space="preserve">-Supplier Marketing Company: </w:t>
            </w:r>
            <w:r>
              <w:rPr>
                <w:rFonts w:ascii="Verdana" w:hAnsi="Verdana"/>
                <w:sz w:val="16"/>
                <w:szCs w:val="16"/>
                <w:lang w:val="en-US"/>
              </w:rPr>
              <w:t>An individual or legal entity</w:t>
            </w:r>
            <w:r w:rsidRPr="0028318A">
              <w:rPr>
                <w:rFonts w:ascii="Verdana" w:hAnsi="Verdana"/>
                <w:sz w:val="16"/>
                <w:szCs w:val="16"/>
                <w:lang w:val="en-US"/>
              </w:rPr>
              <w:t xml:space="preserve"> holding a Market Participant contract, whose purpose is to carry out marketing activities </w:t>
            </w:r>
            <w:proofErr w:type="gramStart"/>
            <w:r w:rsidRPr="0028318A">
              <w:rPr>
                <w:rFonts w:ascii="Verdana" w:hAnsi="Verdana"/>
                <w:sz w:val="16"/>
                <w:szCs w:val="16"/>
                <w:lang w:val="en-US"/>
              </w:rPr>
              <w:t>with the exception of</w:t>
            </w:r>
            <w:proofErr w:type="gramEnd"/>
            <w:r w:rsidRPr="0028318A">
              <w:rPr>
                <w:rFonts w:ascii="Verdana" w:hAnsi="Verdana"/>
                <w:sz w:val="16"/>
                <w:szCs w:val="16"/>
                <w:lang w:val="en-US"/>
              </w:rPr>
              <w:t xml:space="preserve"> electricity supply;</w:t>
            </w:r>
          </w:p>
        </w:tc>
      </w:tr>
      <w:tr w:rsidR="003A38FF" w:rsidRPr="00385481" w14:paraId="70C497C2" w14:textId="3A7D0EE2" w:rsidTr="00FB5DAD">
        <w:tc>
          <w:tcPr>
            <w:tcW w:w="4706" w:type="dxa"/>
          </w:tcPr>
          <w:p w14:paraId="612C04E4" w14:textId="77777777" w:rsidR="003A38FF" w:rsidRPr="00D0180E" w:rsidRDefault="003A38FF" w:rsidP="003A38FF">
            <w:pPr>
              <w:pStyle w:val="Texto"/>
              <w:spacing w:line="234" w:lineRule="exact"/>
              <w:ind w:firstLine="0"/>
              <w:rPr>
                <w:rFonts w:ascii="Verdana" w:hAnsi="Verdana"/>
                <w:sz w:val="16"/>
                <w:szCs w:val="16"/>
              </w:rPr>
            </w:pPr>
            <w:r w:rsidRPr="00D0180E">
              <w:rPr>
                <w:rFonts w:ascii="Verdana" w:hAnsi="Verdana"/>
                <w:b/>
                <w:sz w:val="16"/>
                <w:szCs w:val="16"/>
              </w:rPr>
              <w:t>X.</w:t>
            </w:r>
            <w:r w:rsidRPr="00D0180E">
              <w:rPr>
                <w:rFonts w:ascii="Verdana" w:hAnsi="Verdana"/>
                <w:b/>
                <w:sz w:val="16"/>
                <w:szCs w:val="16"/>
              </w:rPr>
              <w:tab/>
              <w:t>Eficiencia:</w:t>
            </w:r>
            <w:r w:rsidRPr="00D0180E">
              <w:rPr>
                <w:rFonts w:ascii="Verdana" w:hAnsi="Verdana"/>
                <w:sz w:val="16"/>
                <w:szCs w:val="16"/>
              </w:rPr>
              <w:t xml:space="preserve"> Conjunto de parámetros que permiten medir el desempeño de las actividades reguladas del sector eléctrico mediante la comparación de los insumos y sus productos; la cual es evaluada con los resultados obtenidos en términos de optimización, minimización del costo total de largo plazo del Sistema </w:t>
            </w:r>
            <w:r w:rsidRPr="00D0180E">
              <w:rPr>
                <w:rFonts w:ascii="Verdana" w:hAnsi="Verdana"/>
                <w:sz w:val="16"/>
                <w:szCs w:val="16"/>
              </w:rPr>
              <w:lastRenderedPageBreak/>
              <w:t>Eléctrico Nacional sujeto a restricciones de Accesibilidad, Continuidad, Calidad, Eficiencia, Confiabilidad, Seguridad, Sostenibilidad, entre otras, del sector eléctrico;</w:t>
            </w:r>
          </w:p>
        </w:tc>
        <w:tc>
          <w:tcPr>
            <w:tcW w:w="4644" w:type="dxa"/>
          </w:tcPr>
          <w:p w14:paraId="6AB0D0EF" w14:textId="3235BACE" w:rsidR="003A38FF" w:rsidRPr="00D0180E" w:rsidRDefault="003A38FF" w:rsidP="003A38FF">
            <w:pPr>
              <w:pStyle w:val="Texto"/>
              <w:spacing w:line="234" w:lineRule="exact"/>
              <w:ind w:firstLine="0"/>
              <w:rPr>
                <w:rFonts w:ascii="Verdana" w:hAnsi="Verdana"/>
                <w:b/>
                <w:sz w:val="16"/>
                <w:szCs w:val="16"/>
                <w:lang w:val="en-US"/>
              </w:rPr>
            </w:pPr>
            <w:r w:rsidRPr="0028318A">
              <w:rPr>
                <w:rFonts w:ascii="Verdana" w:hAnsi="Verdana"/>
                <w:b/>
                <w:sz w:val="16"/>
                <w:szCs w:val="16"/>
                <w:lang w:val="en-US"/>
              </w:rPr>
              <w:lastRenderedPageBreak/>
              <w:t xml:space="preserve">X. </w:t>
            </w:r>
            <w:r w:rsidRPr="0028318A">
              <w:rPr>
                <w:rFonts w:ascii="Verdana" w:hAnsi="Verdana"/>
                <w:b/>
                <w:sz w:val="16"/>
                <w:szCs w:val="16"/>
                <w:lang w:val="en-US"/>
              </w:rPr>
              <w:tab/>
              <w:t xml:space="preserve">Efficiency: </w:t>
            </w:r>
            <w:r w:rsidRPr="0028318A">
              <w:rPr>
                <w:rFonts w:ascii="Verdana" w:hAnsi="Verdana"/>
                <w:sz w:val="16"/>
                <w:szCs w:val="16"/>
                <w:lang w:val="en-US"/>
              </w:rPr>
              <w:t xml:space="preserve">A set of parameters that allow measuring the performance of regulated activities in the electricity sector by comparing inputs and their outputs; this is evaluated with the results obtained in terms of optimization and minimization of the total </w:t>
            </w:r>
            <w:r w:rsidR="009E2B03">
              <w:rPr>
                <w:rFonts w:ascii="Verdana" w:hAnsi="Verdana"/>
                <w:sz w:val="16"/>
                <w:szCs w:val="16"/>
                <w:lang w:val="en-US"/>
              </w:rPr>
              <w:t>long term</w:t>
            </w:r>
            <w:r w:rsidRPr="0028318A">
              <w:rPr>
                <w:rFonts w:ascii="Verdana" w:hAnsi="Verdana"/>
                <w:sz w:val="16"/>
                <w:szCs w:val="16"/>
                <w:lang w:val="en-US"/>
              </w:rPr>
              <w:t xml:space="preserve"> cost of the </w:t>
            </w:r>
            <w:r>
              <w:rPr>
                <w:rFonts w:ascii="Verdana" w:hAnsi="Verdana"/>
                <w:sz w:val="16"/>
                <w:szCs w:val="16"/>
                <w:lang w:val="en-US"/>
              </w:rPr>
              <w:t>National Electric System</w:t>
            </w:r>
            <w:r w:rsidRPr="0028318A">
              <w:rPr>
                <w:rFonts w:ascii="Verdana" w:hAnsi="Verdana"/>
                <w:sz w:val="16"/>
                <w:szCs w:val="16"/>
                <w:lang w:val="en-US"/>
              </w:rPr>
              <w:t xml:space="preserve">, subject to </w:t>
            </w:r>
            <w:r w:rsidRPr="0028318A">
              <w:rPr>
                <w:rFonts w:ascii="Verdana" w:hAnsi="Verdana"/>
                <w:sz w:val="16"/>
                <w:szCs w:val="16"/>
                <w:lang w:val="en-US"/>
              </w:rPr>
              <w:lastRenderedPageBreak/>
              <w:t>restrictions on accessibility, continuity, quality, efficiency, reliability, safety, sustainability, among others, in the electricity sector;</w:t>
            </w:r>
          </w:p>
        </w:tc>
      </w:tr>
      <w:tr w:rsidR="003A38FF" w:rsidRPr="00385481" w14:paraId="0FE832D7" w14:textId="1C4C630D" w:rsidTr="00FB5DAD">
        <w:tc>
          <w:tcPr>
            <w:tcW w:w="4706" w:type="dxa"/>
          </w:tcPr>
          <w:p w14:paraId="40FEF41F" w14:textId="77777777" w:rsidR="003A38FF" w:rsidRPr="00D0180E" w:rsidRDefault="003A38FF" w:rsidP="003A38FF">
            <w:pPr>
              <w:pStyle w:val="Texto"/>
              <w:spacing w:line="234" w:lineRule="exact"/>
              <w:ind w:firstLine="0"/>
              <w:rPr>
                <w:rFonts w:ascii="Verdana" w:hAnsi="Verdana"/>
                <w:sz w:val="16"/>
                <w:szCs w:val="16"/>
              </w:rPr>
            </w:pPr>
            <w:r w:rsidRPr="00D0180E">
              <w:rPr>
                <w:rFonts w:ascii="Verdana" w:hAnsi="Verdana"/>
                <w:b/>
                <w:sz w:val="16"/>
                <w:szCs w:val="16"/>
              </w:rPr>
              <w:lastRenderedPageBreak/>
              <w:t>XI.</w:t>
            </w:r>
            <w:r w:rsidRPr="00D0180E">
              <w:rPr>
                <w:rFonts w:ascii="Verdana" w:hAnsi="Verdana"/>
                <w:b/>
                <w:sz w:val="16"/>
                <w:szCs w:val="16"/>
              </w:rPr>
              <w:tab/>
              <w:t>Especificación Técnica:</w:t>
            </w:r>
            <w:r w:rsidRPr="00D0180E">
              <w:rPr>
                <w:rFonts w:ascii="Verdana" w:hAnsi="Verdana"/>
                <w:sz w:val="16"/>
                <w:szCs w:val="16"/>
              </w:rPr>
              <w:t xml:space="preserve"> Documento que prevé los requisitos, parámetros y características de equipos, así como los procedimientos técnicos que son establecidos por el CENACE, con autorización de la Secretaría o la CNE, según corresponda, las cuales son obligatorias para las Integrantes del Sector Eléctrico y las Usuarias Finales, en tanto no existan normas oficiales mexicanas específicas;</w:t>
            </w:r>
          </w:p>
        </w:tc>
        <w:tc>
          <w:tcPr>
            <w:tcW w:w="4644" w:type="dxa"/>
          </w:tcPr>
          <w:p w14:paraId="3980B7B9" w14:textId="619B985B" w:rsidR="003A38FF" w:rsidRPr="00D0180E" w:rsidRDefault="003A38FF" w:rsidP="003A38FF">
            <w:pPr>
              <w:pStyle w:val="Texto"/>
              <w:spacing w:line="234" w:lineRule="exact"/>
              <w:ind w:firstLine="0"/>
              <w:rPr>
                <w:rFonts w:ascii="Verdana" w:hAnsi="Verdana"/>
                <w:b/>
                <w:sz w:val="16"/>
                <w:szCs w:val="16"/>
                <w:lang w:val="en-US"/>
              </w:rPr>
            </w:pPr>
            <w:r w:rsidRPr="0028318A">
              <w:rPr>
                <w:rFonts w:ascii="Verdana" w:hAnsi="Verdana"/>
                <w:b/>
                <w:sz w:val="16"/>
                <w:szCs w:val="16"/>
                <w:lang w:val="en-US"/>
              </w:rPr>
              <w:t xml:space="preserve">XI. </w:t>
            </w:r>
            <w:r w:rsidRPr="0028318A">
              <w:rPr>
                <w:rFonts w:ascii="Verdana" w:hAnsi="Verdana"/>
                <w:b/>
                <w:sz w:val="16"/>
                <w:szCs w:val="16"/>
                <w:lang w:val="en-US"/>
              </w:rPr>
              <w:tab/>
              <w:t xml:space="preserve">Technical Specification: </w:t>
            </w:r>
            <w:r w:rsidRPr="0028318A">
              <w:rPr>
                <w:rFonts w:ascii="Verdana" w:hAnsi="Verdana"/>
                <w:sz w:val="16"/>
                <w:szCs w:val="16"/>
                <w:lang w:val="en-US"/>
              </w:rPr>
              <w:t xml:space="preserve">Document that provides the requirements, parameters and characteristics of equipment, as well as the technical procedures that are established by CENACE, with authorization from the Secretary or the CNE, as appropriate, which are mandatory for the members of the electric sector and the end users, </w:t>
            </w:r>
            <w:proofErr w:type="gramStart"/>
            <w:r w:rsidRPr="0028318A">
              <w:rPr>
                <w:rFonts w:ascii="Verdana" w:hAnsi="Verdana"/>
                <w:sz w:val="16"/>
                <w:szCs w:val="16"/>
                <w:lang w:val="en-US"/>
              </w:rPr>
              <w:t>as long as</w:t>
            </w:r>
            <w:proofErr w:type="gramEnd"/>
            <w:r w:rsidRPr="0028318A">
              <w:rPr>
                <w:rFonts w:ascii="Verdana" w:hAnsi="Verdana"/>
                <w:sz w:val="16"/>
                <w:szCs w:val="16"/>
                <w:lang w:val="en-US"/>
              </w:rPr>
              <w:t xml:space="preserve"> there are no specific Official Mexican Standards;</w:t>
            </w:r>
          </w:p>
        </w:tc>
      </w:tr>
      <w:tr w:rsidR="003A38FF" w:rsidRPr="00385481" w14:paraId="5D2B2B53" w14:textId="1A15116C" w:rsidTr="00FB5DAD">
        <w:tc>
          <w:tcPr>
            <w:tcW w:w="4706" w:type="dxa"/>
          </w:tcPr>
          <w:p w14:paraId="59F312F5" w14:textId="77777777" w:rsidR="003A38FF" w:rsidRPr="00D0180E" w:rsidRDefault="003A38FF" w:rsidP="003A38FF">
            <w:pPr>
              <w:pStyle w:val="Texto"/>
              <w:spacing w:line="234" w:lineRule="exact"/>
              <w:ind w:firstLine="0"/>
              <w:rPr>
                <w:rFonts w:ascii="Verdana" w:hAnsi="Verdana"/>
                <w:sz w:val="16"/>
                <w:szCs w:val="16"/>
              </w:rPr>
            </w:pPr>
            <w:r w:rsidRPr="00D0180E">
              <w:rPr>
                <w:rFonts w:ascii="Verdana" w:hAnsi="Verdana"/>
                <w:b/>
                <w:sz w:val="16"/>
                <w:szCs w:val="16"/>
              </w:rPr>
              <w:t>XII.</w:t>
            </w:r>
            <w:r w:rsidRPr="00D0180E">
              <w:rPr>
                <w:rFonts w:ascii="Verdana" w:hAnsi="Verdana"/>
                <w:b/>
                <w:sz w:val="16"/>
                <w:szCs w:val="16"/>
              </w:rPr>
              <w:tab/>
              <w:t>Fondo:</w:t>
            </w:r>
            <w:r w:rsidRPr="00D0180E">
              <w:rPr>
                <w:rFonts w:ascii="Verdana" w:hAnsi="Verdana"/>
                <w:sz w:val="16"/>
                <w:szCs w:val="16"/>
              </w:rPr>
              <w:t xml:space="preserve"> El Fondo de Servicio Universal Energético;</w:t>
            </w:r>
          </w:p>
        </w:tc>
        <w:tc>
          <w:tcPr>
            <w:tcW w:w="4644" w:type="dxa"/>
          </w:tcPr>
          <w:p w14:paraId="354A0E36" w14:textId="4E53D679" w:rsidR="003A38FF" w:rsidRPr="00D0180E" w:rsidRDefault="003A38FF" w:rsidP="003A38FF">
            <w:pPr>
              <w:pStyle w:val="Texto"/>
              <w:spacing w:line="234" w:lineRule="exact"/>
              <w:ind w:firstLine="0"/>
              <w:rPr>
                <w:rFonts w:ascii="Verdana" w:hAnsi="Verdana"/>
                <w:b/>
                <w:sz w:val="16"/>
                <w:szCs w:val="16"/>
                <w:lang w:val="en-US"/>
              </w:rPr>
            </w:pPr>
            <w:r w:rsidRPr="0028318A">
              <w:rPr>
                <w:rFonts w:ascii="Verdana" w:hAnsi="Verdana"/>
                <w:b/>
                <w:sz w:val="16"/>
                <w:szCs w:val="16"/>
                <w:lang w:val="en-US"/>
              </w:rPr>
              <w:t>XII</w:t>
            </w:r>
            <w:proofErr w:type="gramStart"/>
            <w:r w:rsidRPr="0028318A">
              <w:rPr>
                <w:rFonts w:ascii="Verdana" w:hAnsi="Verdana"/>
                <w:b/>
                <w:sz w:val="16"/>
                <w:szCs w:val="16"/>
                <w:lang w:val="en-US"/>
              </w:rPr>
              <w:t xml:space="preserve">. </w:t>
            </w:r>
            <w:r w:rsidRPr="0028318A">
              <w:rPr>
                <w:rFonts w:ascii="Verdana" w:hAnsi="Verdana"/>
                <w:b/>
                <w:sz w:val="16"/>
                <w:szCs w:val="16"/>
                <w:lang w:val="en-US"/>
              </w:rPr>
              <w:tab/>
              <w:t>Fund</w:t>
            </w:r>
            <w:proofErr w:type="gramEnd"/>
            <w:r w:rsidRPr="0028318A">
              <w:rPr>
                <w:rFonts w:ascii="Verdana" w:hAnsi="Verdana"/>
                <w:b/>
                <w:sz w:val="16"/>
                <w:szCs w:val="16"/>
                <w:lang w:val="en-US"/>
              </w:rPr>
              <w:t xml:space="preserve">: </w:t>
            </w:r>
            <w:r w:rsidRPr="0028318A">
              <w:rPr>
                <w:rFonts w:ascii="Verdana" w:hAnsi="Verdana"/>
                <w:sz w:val="16"/>
                <w:szCs w:val="16"/>
                <w:lang w:val="en-US"/>
              </w:rPr>
              <w:t>The Universal Energy Service Fund;</w:t>
            </w:r>
          </w:p>
        </w:tc>
      </w:tr>
      <w:tr w:rsidR="003A38FF" w:rsidRPr="00385481" w14:paraId="5329186A" w14:textId="75100D5F" w:rsidTr="00FB5DAD">
        <w:tc>
          <w:tcPr>
            <w:tcW w:w="4706" w:type="dxa"/>
          </w:tcPr>
          <w:p w14:paraId="5C2A05B0" w14:textId="77777777" w:rsidR="003A38FF" w:rsidRPr="00D0180E" w:rsidRDefault="003A38FF" w:rsidP="003A38FF">
            <w:pPr>
              <w:pStyle w:val="Texto"/>
              <w:spacing w:line="234" w:lineRule="exact"/>
              <w:ind w:firstLine="0"/>
              <w:rPr>
                <w:rFonts w:ascii="Verdana" w:hAnsi="Verdana"/>
                <w:sz w:val="16"/>
                <w:szCs w:val="16"/>
              </w:rPr>
            </w:pPr>
            <w:r w:rsidRPr="00D0180E">
              <w:rPr>
                <w:rFonts w:ascii="Verdana" w:hAnsi="Verdana"/>
                <w:b/>
                <w:sz w:val="16"/>
                <w:szCs w:val="16"/>
              </w:rPr>
              <w:t>XIII.</w:t>
            </w:r>
            <w:r w:rsidRPr="00D0180E">
              <w:rPr>
                <w:rFonts w:ascii="Verdana" w:hAnsi="Verdana"/>
                <w:b/>
                <w:sz w:val="16"/>
                <w:szCs w:val="16"/>
              </w:rPr>
              <w:tab/>
              <w:t xml:space="preserve">Generación de Electricidad Inyectada por el Estado: </w:t>
            </w:r>
            <w:r w:rsidRPr="00D0180E">
              <w:rPr>
                <w:rFonts w:ascii="Verdana" w:hAnsi="Verdana"/>
                <w:sz w:val="16"/>
                <w:szCs w:val="16"/>
              </w:rPr>
              <w:t>Suma, en un periodo determinado, de la generación de energía eléctrica neta inyectada al Sistema Eléctrico Nacional por parte de las Centrales Eléctricas propiedad de la Empresa Pública del Estado; la correspondiente a la proporción de energía eléctrica inyectada por las Centrales Eléctricas en las cuales el Estado tenga participación, así como de aquella de las Centrales Eléctricas propiedad de alguna otra entidad del Estado y de los gobiernos estatales o de los órganos político-administrativos de la Ciudad de México;</w:t>
            </w:r>
          </w:p>
        </w:tc>
        <w:tc>
          <w:tcPr>
            <w:tcW w:w="4644" w:type="dxa"/>
          </w:tcPr>
          <w:p w14:paraId="03DDFAF7" w14:textId="1C38D421" w:rsidR="003A38FF" w:rsidRPr="00D0180E" w:rsidRDefault="003A38FF" w:rsidP="003A38FF">
            <w:pPr>
              <w:pStyle w:val="Texto"/>
              <w:spacing w:line="234" w:lineRule="exact"/>
              <w:ind w:firstLine="0"/>
              <w:rPr>
                <w:rFonts w:ascii="Verdana" w:hAnsi="Verdana"/>
                <w:b/>
                <w:sz w:val="16"/>
                <w:szCs w:val="16"/>
                <w:lang w:val="en-US"/>
              </w:rPr>
            </w:pPr>
            <w:r w:rsidRPr="0028318A">
              <w:rPr>
                <w:rFonts w:ascii="Verdana" w:hAnsi="Verdana"/>
                <w:b/>
                <w:sz w:val="16"/>
                <w:szCs w:val="16"/>
                <w:lang w:val="en-US"/>
              </w:rPr>
              <w:t xml:space="preserve">XIII. </w:t>
            </w:r>
            <w:r w:rsidRPr="0028318A">
              <w:rPr>
                <w:rFonts w:ascii="Verdana" w:hAnsi="Verdana"/>
                <w:b/>
                <w:sz w:val="16"/>
                <w:szCs w:val="16"/>
                <w:lang w:val="en-US"/>
              </w:rPr>
              <w:tab/>
              <w:t xml:space="preserve">State-Injected Electricity Generation: </w:t>
            </w:r>
            <w:r w:rsidRPr="0028318A">
              <w:rPr>
                <w:rFonts w:ascii="Verdana" w:hAnsi="Verdana"/>
                <w:sz w:val="16"/>
                <w:szCs w:val="16"/>
                <w:lang w:val="en-US"/>
              </w:rPr>
              <w:t xml:space="preserve">The sum, over a given period, of the net electric power generation injected into the </w:t>
            </w:r>
            <w:r>
              <w:rPr>
                <w:rFonts w:ascii="Verdana" w:hAnsi="Verdana"/>
                <w:sz w:val="16"/>
                <w:szCs w:val="16"/>
                <w:lang w:val="en-US"/>
              </w:rPr>
              <w:t>National Electric System</w:t>
            </w:r>
            <w:r w:rsidRPr="0028318A">
              <w:rPr>
                <w:rFonts w:ascii="Verdana" w:hAnsi="Verdana"/>
                <w:sz w:val="16"/>
                <w:szCs w:val="16"/>
                <w:lang w:val="en-US"/>
              </w:rPr>
              <w:t xml:space="preserve"> by power plants owned by the state-owned public enterprise; the proportion of electric power injected by power plants in which the State has a stake, as well as that of power plants owned by another State entity and by state governments or the political-administrative bodies of Mexico City;</w:t>
            </w:r>
          </w:p>
        </w:tc>
      </w:tr>
      <w:tr w:rsidR="003A38FF" w:rsidRPr="00385481" w14:paraId="418B3639" w14:textId="75F1762C" w:rsidTr="00FB5DAD">
        <w:tc>
          <w:tcPr>
            <w:tcW w:w="4706" w:type="dxa"/>
          </w:tcPr>
          <w:p w14:paraId="6A9A6E6D" w14:textId="77777777" w:rsidR="003A38FF" w:rsidRPr="00D0180E" w:rsidRDefault="003A38FF" w:rsidP="003A38FF">
            <w:pPr>
              <w:pStyle w:val="Texto"/>
              <w:spacing w:line="234" w:lineRule="exact"/>
              <w:ind w:firstLine="0"/>
              <w:rPr>
                <w:rFonts w:ascii="Verdana" w:hAnsi="Verdana"/>
                <w:sz w:val="16"/>
                <w:szCs w:val="16"/>
              </w:rPr>
            </w:pPr>
            <w:r w:rsidRPr="00D0180E">
              <w:rPr>
                <w:rFonts w:ascii="Verdana" w:hAnsi="Verdana"/>
                <w:b/>
                <w:sz w:val="16"/>
                <w:szCs w:val="16"/>
              </w:rPr>
              <w:t>XIV.</w:t>
            </w:r>
            <w:r w:rsidRPr="00D0180E">
              <w:rPr>
                <w:rFonts w:ascii="Verdana" w:hAnsi="Verdana"/>
                <w:b/>
                <w:sz w:val="16"/>
                <w:szCs w:val="16"/>
              </w:rPr>
              <w:tab/>
              <w:t xml:space="preserve">Generación de Electricidad Inyectada Total: </w:t>
            </w:r>
            <w:r w:rsidRPr="00D0180E">
              <w:rPr>
                <w:rFonts w:ascii="Verdana" w:hAnsi="Verdana"/>
                <w:sz w:val="16"/>
                <w:szCs w:val="16"/>
              </w:rPr>
              <w:t>Suma de la generación de energía eléctrica neta inyectada al Sistema Eléctrico Nacional por parte de todas las Centrales Eléctricas en un periodo determinado, conforme a la metodología que emita la Secretaría;</w:t>
            </w:r>
          </w:p>
        </w:tc>
        <w:tc>
          <w:tcPr>
            <w:tcW w:w="4644" w:type="dxa"/>
          </w:tcPr>
          <w:p w14:paraId="4B4F68C6" w14:textId="5B35E8B9" w:rsidR="003A38FF" w:rsidRPr="00D0180E" w:rsidRDefault="003A38FF" w:rsidP="003A38FF">
            <w:pPr>
              <w:pStyle w:val="Texto"/>
              <w:spacing w:line="234" w:lineRule="exact"/>
              <w:ind w:firstLine="0"/>
              <w:rPr>
                <w:rFonts w:ascii="Verdana" w:hAnsi="Verdana"/>
                <w:b/>
                <w:sz w:val="16"/>
                <w:szCs w:val="16"/>
                <w:lang w:val="en-US"/>
              </w:rPr>
            </w:pPr>
            <w:r w:rsidRPr="0028318A">
              <w:rPr>
                <w:rFonts w:ascii="Verdana" w:hAnsi="Verdana"/>
                <w:b/>
                <w:sz w:val="16"/>
                <w:szCs w:val="16"/>
                <w:lang w:val="en-US"/>
              </w:rPr>
              <w:t>XIV</w:t>
            </w:r>
            <w:proofErr w:type="gramStart"/>
            <w:r w:rsidRPr="0028318A">
              <w:rPr>
                <w:rFonts w:ascii="Verdana" w:hAnsi="Verdana"/>
                <w:b/>
                <w:sz w:val="16"/>
                <w:szCs w:val="16"/>
                <w:lang w:val="en-US"/>
              </w:rPr>
              <w:t xml:space="preserve">. </w:t>
            </w:r>
            <w:r w:rsidRPr="0028318A">
              <w:rPr>
                <w:rFonts w:ascii="Verdana" w:hAnsi="Verdana"/>
                <w:b/>
                <w:sz w:val="16"/>
                <w:szCs w:val="16"/>
                <w:lang w:val="en-US"/>
              </w:rPr>
              <w:tab/>
              <w:t>Total</w:t>
            </w:r>
            <w:proofErr w:type="gramEnd"/>
            <w:r w:rsidRPr="0028318A">
              <w:rPr>
                <w:rFonts w:ascii="Verdana" w:hAnsi="Verdana"/>
                <w:b/>
                <w:sz w:val="16"/>
                <w:szCs w:val="16"/>
                <w:lang w:val="en-US"/>
              </w:rPr>
              <w:t xml:space="preserve"> Injected Electricity Generation: </w:t>
            </w:r>
            <w:r w:rsidRPr="0028318A">
              <w:rPr>
                <w:rFonts w:ascii="Verdana" w:hAnsi="Verdana"/>
                <w:sz w:val="16"/>
                <w:szCs w:val="16"/>
                <w:lang w:val="en-US"/>
              </w:rPr>
              <w:t xml:space="preserve">Sum of the net electric energy generation injected into the </w:t>
            </w:r>
            <w:r>
              <w:rPr>
                <w:rFonts w:ascii="Verdana" w:hAnsi="Verdana"/>
                <w:sz w:val="16"/>
                <w:szCs w:val="16"/>
                <w:lang w:val="en-US"/>
              </w:rPr>
              <w:t>National Electric System</w:t>
            </w:r>
            <w:r w:rsidRPr="0028318A">
              <w:rPr>
                <w:rFonts w:ascii="Verdana" w:hAnsi="Verdana"/>
                <w:sz w:val="16"/>
                <w:szCs w:val="16"/>
                <w:lang w:val="en-US"/>
              </w:rPr>
              <w:t xml:space="preserve"> by all power plants </w:t>
            </w:r>
            <w:proofErr w:type="gramStart"/>
            <w:r w:rsidRPr="0028318A">
              <w:rPr>
                <w:rFonts w:ascii="Verdana" w:hAnsi="Verdana"/>
                <w:sz w:val="16"/>
                <w:szCs w:val="16"/>
                <w:lang w:val="en-US"/>
              </w:rPr>
              <w:t>in a given</w:t>
            </w:r>
            <w:proofErr w:type="gramEnd"/>
            <w:r w:rsidRPr="0028318A">
              <w:rPr>
                <w:rFonts w:ascii="Verdana" w:hAnsi="Verdana"/>
                <w:sz w:val="16"/>
                <w:szCs w:val="16"/>
                <w:lang w:val="en-US"/>
              </w:rPr>
              <w:t xml:space="preserve"> period, in accordance with the methodology issued by the Secretary;</w:t>
            </w:r>
          </w:p>
        </w:tc>
      </w:tr>
      <w:tr w:rsidR="003A38FF" w:rsidRPr="00385481" w14:paraId="22E54952" w14:textId="40735842" w:rsidTr="00FB5DAD">
        <w:tc>
          <w:tcPr>
            <w:tcW w:w="4706" w:type="dxa"/>
          </w:tcPr>
          <w:p w14:paraId="14ABEE65" w14:textId="77777777" w:rsidR="003A38FF" w:rsidRPr="00D0180E" w:rsidRDefault="003A38FF" w:rsidP="003A38FF">
            <w:pPr>
              <w:pStyle w:val="Texto"/>
              <w:spacing w:line="234" w:lineRule="exact"/>
              <w:ind w:firstLine="0"/>
              <w:rPr>
                <w:rFonts w:ascii="Verdana" w:hAnsi="Verdana"/>
                <w:sz w:val="16"/>
                <w:szCs w:val="16"/>
              </w:rPr>
            </w:pPr>
            <w:r w:rsidRPr="00D0180E">
              <w:rPr>
                <w:rFonts w:ascii="Verdana" w:hAnsi="Verdana"/>
                <w:b/>
                <w:sz w:val="16"/>
                <w:szCs w:val="16"/>
              </w:rPr>
              <w:t>XV.</w:t>
            </w:r>
            <w:r w:rsidRPr="00D0180E">
              <w:rPr>
                <w:rFonts w:ascii="Verdana" w:hAnsi="Verdana"/>
                <w:b/>
                <w:sz w:val="16"/>
                <w:szCs w:val="16"/>
              </w:rPr>
              <w:tab/>
              <w:t>Grupo de Autoconsumo:</w:t>
            </w:r>
            <w:r w:rsidRPr="00D0180E">
              <w:rPr>
                <w:rFonts w:ascii="Verdana" w:hAnsi="Verdana"/>
                <w:sz w:val="16"/>
                <w:szCs w:val="16"/>
              </w:rPr>
              <w:t xml:space="preserve"> Conjunto integrado por una Central Eléctrica asociada a un permiso de generación de energía eléctrica para autoconsumo y los centros de consumo de una o más Usuarias de Autoconsumo que destinan la energía eléctrica de dicha Central Eléctrica, a la satisfacción de sus necesidades, a través de una Red Particular, en los términos del presente reglamento;</w:t>
            </w:r>
          </w:p>
        </w:tc>
        <w:tc>
          <w:tcPr>
            <w:tcW w:w="4644" w:type="dxa"/>
          </w:tcPr>
          <w:p w14:paraId="240DBE22" w14:textId="2E1F8668" w:rsidR="003A38FF" w:rsidRPr="00D0180E" w:rsidRDefault="003A38FF" w:rsidP="003A38FF">
            <w:pPr>
              <w:pStyle w:val="Texto"/>
              <w:spacing w:line="234" w:lineRule="exact"/>
              <w:ind w:firstLine="0"/>
              <w:rPr>
                <w:rFonts w:ascii="Verdana" w:hAnsi="Verdana"/>
                <w:b/>
                <w:sz w:val="16"/>
                <w:szCs w:val="16"/>
                <w:lang w:val="en-US"/>
              </w:rPr>
            </w:pPr>
            <w:r w:rsidRPr="0028318A">
              <w:rPr>
                <w:rFonts w:ascii="Verdana" w:hAnsi="Verdana"/>
                <w:b/>
                <w:sz w:val="16"/>
                <w:szCs w:val="16"/>
                <w:lang w:val="en-US"/>
              </w:rPr>
              <w:t>XV</w:t>
            </w:r>
            <w:proofErr w:type="gramStart"/>
            <w:r w:rsidRPr="0028318A">
              <w:rPr>
                <w:rFonts w:ascii="Verdana" w:hAnsi="Verdana"/>
                <w:b/>
                <w:sz w:val="16"/>
                <w:szCs w:val="16"/>
                <w:lang w:val="en-US"/>
              </w:rPr>
              <w:t xml:space="preserve">. </w:t>
            </w:r>
            <w:r w:rsidRPr="0028318A">
              <w:rPr>
                <w:rFonts w:ascii="Verdana" w:hAnsi="Verdana"/>
                <w:b/>
                <w:sz w:val="16"/>
                <w:szCs w:val="16"/>
                <w:lang w:val="en-US"/>
              </w:rPr>
              <w:tab/>
              <w:t>Self</w:t>
            </w:r>
            <w:proofErr w:type="gramEnd"/>
            <w:r w:rsidRPr="0028318A">
              <w:rPr>
                <w:rFonts w:ascii="Verdana" w:hAnsi="Verdana"/>
                <w:b/>
                <w:sz w:val="16"/>
                <w:szCs w:val="16"/>
                <w:lang w:val="en-US"/>
              </w:rPr>
              <w:t xml:space="preserve">-Consumption Group: </w:t>
            </w:r>
            <w:r w:rsidRPr="0028318A">
              <w:rPr>
                <w:rFonts w:ascii="Verdana" w:hAnsi="Verdana"/>
                <w:sz w:val="16"/>
                <w:szCs w:val="16"/>
                <w:lang w:val="en-US"/>
              </w:rPr>
              <w:t xml:space="preserve">Group consisting of a </w:t>
            </w:r>
            <w:r>
              <w:rPr>
                <w:rFonts w:ascii="Verdana" w:hAnsi="Verdana"/>
                <w:sz w:val="16"/>
                <w:szCs w:val="16"/>
                <w:lang w:val="en-US"/>
              </w:rPr>
              <w:t>power plant</w:t>
            </w:r>
            <w:r w:rsidRPr="0028318A">
              <w:rPr>
                <w:rFonts w:ascii="Verdana" w:hAnsi="Verdana"/>
                <w:sz w:val="16"/>
                <w:szCs w:val="16"/>
                <w:lang w:val="en-US"/>
              </w:rPr>
              <w:t xml:space="preserve"> associated with a permit for the generation of electric energy for self-consumption and the consumption centers of one or more self-consumption users who allocate the electric energy from said power plant to satisfy their needs, through a private network, </w:t>
            </w:r>
            <w:r>
              <w:rPr>
                <w:rFonts w:ascii="Verdana" w:hAnsi="Verdana"/>
                <w:sz w:val="16"/>
                <w:szCs w:val="16"/>
                <w:lang w:val="en-US"/>
              </w:rPr>
              <w:t>under the terms</w:t>
            </w:r>
            <w:r w:rsidRPr="0028318A">
              <w:rPr>
                <w:rFonts w:ascii="Verdana" w:hAnsi="Verdana"/>
                <w:sz w:val="16"/>
                <w:szCs w:val="16"/>
                <w:lang w:val="en-US"/>
              </w:rPr>
              <w:t xml:space="preserve"> of this regulation;</w:t>
            </w:r>
          </w:p>
        </w:tc>
      </w:tr>
      <w:tr w:rsidR="003A38FF" w:rsidRPr="00385481" w14:paraId="51BA61CA" w14:textId="3E43F63E" w:rsidTr="00FB5DAD">
        <w:tc>
          <w:tcPr>
            <w:tcW w:w="4706" w:type="dxa"/>
          </w:tcPr>
          <w:p w14:paraId="513AA435" w14:textId="77777777" w:rsidR="003A38FF" w:rsidRPr="00D0180E" w:rsidRDefault="003A38FF" w:rsidP="003A38FF">
            <w:pPr>
              <w:pStyle w:val="Texto"/>
              <w:spacing w:line="234" w:lineRule="exact"/>
              <w:ind w:firstLine="0"/>
              <w:rPr>
                <w:rFonts w:ascii="Verdana" w:hAnsi="Verdana"/>
                <w:sz w:val="16"/>
                <w:szCs w:val="16"/>
              </w:rPr>
            </w:pPr>
            <w:r w:rsidRPr="00D0180E">
              <w:rPr>
                <w:rFonts w:ascii="Verdana" w:hAnsi="Verdana"/>
                <w:b/>
                <w:sz w:val="16"/>
                <w:szCs w:val="16"/>
              </w:rPr>
              <w:t>XVI.</w:t>
            </w:r>
            <w:r w:rsidRPr="00D0180E">
              <w:rPr>
                <w:rFonts w:ascii="Verdana" w:hAnsi="Verdana"/>
                <w:b/>
                <w:sz w:val="16"/>
                <w:szCs w:val="16"/>
              </w:rPr>
              <w:tab/>
              <w:t xml:space="preserve">Impacto Social: </w:t>
            </w:r>
            <w:r w:rsidRPr="00D0180E">
              <w:rPr>
                <w:rFonts w:ascii="Verdana" w:hAnsi="Verdana"/>
                <w:sz w:val="16"/>
                <w:szCs w:val="16"/>
              </w:rPr>
              <w:t>Conjunto de cambios y consecuencias, positivos y negativos, derivados del desarrollo de un proyecto que afectan a las personas, comunidades o colectividades y que se clasifican en directos, indirectos, acumulativos, residuales y significativos;</w:t>
            </w:r>
          </w:p>
        </w:tc>
        <w:tc>
          <w:tcPr>
            <w:tcW w:w="4644" w:type="dxa"/>
          </w:tcPr>
          <w:p w14:paraId="504A84D6" w14:textId="2F447AA9" w:rsidR="003A38FF" w:rsidRPr="00D0180E" w:rsidRDefault="003A38FF" w:rsidP="003A38FF">
            <w:pPr>
              <w:pStyle w:val="Texto"/>
              <w:spacing w:line="234" w:lineRule="exact"/>
              <w:ind w:firstLine="0"/>
              <w:rPr>
                <w:rFonts w:ascii="Verdana" w:hAnsi="Verdana"/>
                <w:b/>
                <w:sz w:val="16"/>
                <w:szCs w:val="16"/>
                <w:lang w:val="en-US"/>
              </w:rPr>
            </w:pPr>
            <w:r w:rsidRPr="0028318A">
              <w:rPr>
                <w:rFonts w:ascii="Verdana" w:hAnsi="Verdana"/>
                <w:b/>
                <w:sz w:val="16"/>
                <w:szCs w:val="16"/>
                <w:lang w:val="en-US"/>
              </w:rPr>
              <w:t>XVI</w:t>
            </w:r>
            <w:proofErr w:type="gramStart"/>
            <w:r w:rsidRPr="0028318A">
              <w:rPr>
                <w:rFonts w:ascii="Verdana" w:hAnsi="Verdana"/>
                <w:b/>
                <w:sz w:val="16"/>
                <w:szCs w:val="16"/>
                <w:lang w:val="en-US"/>
              </w:rPr>
              <w:t xml:space="preserve">. </w:t>
            </w:r>
            <w:r w:rsidRPr="0028318A">
              <w:rPr>
                <w:rFonts w:ascii="Verdana" w:hAnsi="Verdana"/>
                <w:b/>
                <w:sz w:val="16"/>
                <w:szCs w:val="16"/>
                <w:lang w:val="en-US"/>
              </w:rPr>
              <w:tab/>
              <w:t>Social</w:t>
            </w:r>
            <w:proofErr w:type="gramEnd"/>
            <w:r w:rsidRPr="0028318A">
              <w:rPr>
                <w:rFonts w:ascii="Verdana" w:hAnsi="Verdana"/>
                <w:b/>
                <w:sz w:val="16"/>
                <w:szCs w:val="16"/>
                <w:lang w:val="en-US"/>
              </w:rPr>
              <w:t xml:space="preserve"> Impact: </w:t>
            </w:r>
            <w:r w:rsidRPr="0028318A">
              <w:rPr>
                <w:rFonts w:ascii="Verdana" w:hAnsi="Verdana"/>
                <w:sz w:val="16"/>
                <w:szCs w:val="16"/>
                <w:lang w:val="en-US"/>
              </w:rPr>
              <w:t>Set of changes and consequences, positive and negative, derived from the development of a project that affect</w:t>
            </w:r>
            <w:r>
              <w:rPr>
                <w:rFonts w:ascii="Verdana" w:hAnsi="Verdana"/>
                <w:sz w:val="16"/>
                <w:szCs w:val="16"/>
                <w:lang w:val="en-US"/>
              </w:rPr>
              <w:t>s</w:t>
            </w:r>
            <w:r w:rsidRPr="0028318A">
              <w:rPr>
                <w:rFonts w:ascii="Verdana" w:hAnsi="Verdana"/>
                <w:sz w:val="16"/>
                <w:szCs w:val="16"/>
                <w:lang w:val="en-US"/>
              </w:rPr>
              <w:t xml:space="preserve"> people, communities or groups and that are classified as direct, indirect, cumulative, residual and significant;</w:t>
            </w:r>
          </w:p>
        </w:tc>
      </w:tr>
      <w:tr w:rsidR="003A38FF" w:rsidRPr="00385481" w14:paraId="062CD2C9" w14:textId="55D6D730" w:rsidTr="00FB5DAD">
        <w:tc>
          <w:tcPr>
            <w:tcW w:w="4706" w:type="dxa"/>
          </w:tcPr>
          <w:p w14:paraId="764668BB" w14:textId="77777777" w:rsidR="003A38FF" w:rsidRPr="00D0180E" w:rsidRDefault="003A38FF" w:rsidP="003A38FF">
            <w:pPr>
              <w:pStyle w:val="Texto"/>
              <w:spacing w:line="234" w:lineRule="exact"/>
              <w:ind w:firstLine="0"/>
              <w:rPr>
                <w:rFonts w:ascii="Verdana" w:hAnsi="Verdana"/>
                <w:sz w:val="16"/>
                <w:szCs w:val="16"/>
              </w:rPr>
            </w:pPr>
            <w:r w:rsidRPr="00D0180E">
              <w:rPr>
                <w:rFonts w:ascii="Verdana" w:hAnsi="Verdana"/>
                <w:b/>
                <w:sz w:val="16"/>
                <w:szCs w:val="16"/>
              </w:rPr>
              <w:t>XVII.</w:t>
            </w:r>
            <w:r w:rsidRPr="00D0180E">
              <w:rPr>
                <w:rFonts w:ascii="Verdana" w:hAnsi="Verdana"/>
                <w:b/>
                <w:sz w:val="16"/>
                <w:szCs w:val="16"/>
              </w:rPr>
              <w:tab/>
              <w:t>Impactos Sociales Significativos:</w:t>
            </w:r>
            <w:r w:rsidRPr="00D0180E">
              <w:rPr>
                <w:rFonts w:ascii="Verdana" w:hAnsi="Verdana"/>
                <w:sz w:val="16"/>
                <w:szCs w:val="16"/>
              </w:rPr>
              <w:t xml:space="preserve"> Aquellos impactos sociales que implican el reasentamiento involuntario, la venta o expropiación de tierras, la pérdida de recursos naturales esenciales, la afectación a pueblos y comunidades indígenas y afromexicanas, vulneraciones a los derechos humanos, daños al patrimonio cultural o cualquier otro impacto que pueda </w:t>
            </w:r>
            <w:r w:rsidRPr="00D0180E">
              <w:rPr>
                <w:rFonts w:ascii="Verdana" w:hAnsi="Verdana"/>
                <w:sz w:val="16"/>
                <w:szCs w:val="16"/>
              </w:rPr>
              <w:lastRenderedPageBreak/>
              <w:t>comprometer la subsistencia física o cultural de las personas o comunidades;</w:t>
            </w:r>
          </w:p>
        </w:tc>
        <w:tc>
          <w:tcPr>
            <w:tcW w:w="4644" w:type="dxa"/>
          </w:tcPr>
          <w:p w14:paraId="2E0A3749" w14:textId="26D91D94" w:rsidR="003A38FF" w:rsidRPr="0028318A" w:rsidRDefault="003A38FF" w:rsidP="003A38FF">
            <w:pPr>
              <w:pStyle w:val="Texto"/>
              <w:spacing w:line="234" w:lineRule="exact"/>
              <w:ind w:firstLine="0"/>
              <w:rPr>
                <w:rFonts w:ascii="Verdana" w:hAnsi="Verdana"/>
                <w:b/>
                <w:sz w:val="16"/>
                <w:szCs w:val="16"/>
                <w:lang w:val="en-US"/>
              </w:rPr>
            </w:pPr>
            <w:r w:rsidRPr="0028318A">
              <w:rPr>
                <w:rFonts w:ascii="Verdana" w:hAnsi="Verdana"/>
                <w:b/>
                <w:sz w:val="16"/>
                <w:szCs w:val="16"/>
                <w:lang w:val="en-US"/>
              </w:rPr>
              <w:lastRenderedPageBreak/>
              <w:t xml:space="preserve">XVII. </w:t>
            </w:r>
            <w:r w:rsidRPr="0028318A">
              <w:rPr>
                <w:rFonts w:ascii="Verdana" w:hAnsi="Verdana"/>
                <w:b/>
                <w:sz w:val="16"/>
                <w:szCs w:val="16"/>
                <w:lang w:val="en-US"/>
              </w:rPr>
              <w:tab/>
              <w:t xml:space="preserve">Significant Social Impacts: </w:t>
            </w:r>
            <w:r w:rsidRPr="0028318A">
              <w:rPr>
                <w:rFonts w:ascii="Verdana" w:hAnsi="Verdana"/>
                <w:sz w:val="16"/>
                <w:szCs w:val="16"/>
                <w:lang w:val="en-US"/>
              </w:rPr>
              <w:t xml:space="preserve">Those social impacts that involve involuntary resettlement, the sale or expropriation of land, the loss of essential natural resources, the impact on indigenous and Afro-Mexican peoples and communities, violations of human rights, damage to cultural heritage or any other impact that </w:t>
            </w:r>
            <w:r w:rsidRPr="0028318A">
              <w:rPr>
                <w:rFonts w:ascii="Verdana" w:hAnsi="Verdana"/>
                <w:sz w:val="16"/>
                <w:szCs w:val="16"/>
                <w:lang w:val="en-US"/>
              </w:rPr>
              <w:lastRenderedPageBreak/>
              <w:t>may compromise the physical or cultural subsistence of people or communities;</w:t>
            </w:r>
          </w:p>
        </w:tc>
      </w:tr>
      <w:tr w:rsidR="003A38FF" w:rsidRPr="00385481" w14:paraId="735FC271" w14:textId="58F7C61B" w:rsidTr="00FB5DAD">
        <w:tc>
          <w:tcPr>
            <w:tcW w:w="4706" w:type="dxa"/>
          </w:tcPr>
          <w:p w14:paraId="009F1E73" w14:textId="77777777" w:rsidR="003A38FF" w:rsidRPr="00D0180E" w:rsidRDefault="003A38FF" w:rsidP="003A38FF">
            <w:pPr>
              <w:pStyle w:val="Texto"/>
              <w:spacing w:line="234" w:lineRule="exact"/>
              <w:ind w:firstLine="0"/>
              <w:rPr>
                <w:rFonts w:ascii="Verdana" w:hAnsi="Verdana"/>
                <w:sz w:val="16"/>
                <w:szCs w:val="16"/>
              </w:rPr>
            </w:pPr>
            <w:r w:rsidRPr="00D0180E">
              <w:rPr>
                <w:rFonts w:ascii="Verdana" w:hAnsi="Verdana"/>
                <w:b/>
                <w:sz w:val="16"/>
                <w:szCs w:val="16"/>
              </w:rPr>
              <w:lastRenderedPageBreak/>
              <w:t>XVIII.</w:t>
            </w:r>
            <w:r w:rsidRPr="00D0180E">
              <w:rPr>
                <w:rFonts w:ascii="Verdana" w:hAnsi="Verdana"/>
                <w:b/>
                <w:sz w:val="16"/>
                <w:szCs w:val="16"/>
              </w:rPr>
              <w:tab/>
              <w:t>Ley:</w:t>
            </w:r>
            <w:r w:rsidRPr="00D0180E">
              <w:rPr>
                <w:rFonts w:ascii="Verdana" w:hAnsi="Verdana"/>
                <w:sz w:val="16"/>
                <w:szCs w:val="16"/>
              </w:rPr>
              <w:t xml:space="preserve"> Ley del Sector Eléctrico;</w:t>
            </w:r>
          </w:p>
        </w:tc>
        <w:tc>
          <w:tcPr>
            <w:tcW w:w="4644" w:type="dxa"/>
          </w:tcPr>
          <w:p w14:paraId="3477EACD" w14:textId="6BBC1F60" w:rsidR="003A38FF" w:rsidRPr="0028318A" w:rsidRDefault="003A38FF" w:rsidP="003A38FF">
            <w:pPr>
              <w:pStyle w:val="Texto"/>
              <w:spacing w:line="234" w:lineRule="exact"/>
              <w:ind w:firstLine="0"/>
              <w:rPr>
                <w:rFonts w:ascii="Verdana" w:hAnsi="Verdana"/>
                <w:b/>
                <w:sz w:val="16"/>
                <w:szCs w:val="16"/>
                <w:lang w:val="en-US"/>
              </w:rPr>
            </w:pPr>
            <w:r w:rsidRPr="0028318A">
              <w:rPr>
                <w:rFonts w:ascii="Verdana" w:hAnsi="Verdana"/>
                <w:b/>
                <w:sz w:val="16"/>
                <w:szCs w:val="16"/>
                <w:lang w:val="en-US"/>
              </w:rPr>
              <w:t>XVIII</w:t>
            </w:r>
            <w:proofErr w:type="gramStart"/>
            <w:r w:rsidRPr="0028318A">
              <w:rPr>
                <w:rFonts w:ascii="Verdana" w:hAnsi="Verdana"/>
                <w:b/>
                <w:sz w:val="16"/>
                <w:szCs w:val="16"/>
                <w:lang w:val="en-US"/>
              </w:rPr>
              <w:t xml:space="preserve">. </w:t>
            </w:r>
            <w:r w:rsidRPr="0028318A">
              <w:rPr>
                <w:rFonts w:ascii="Verdana" w:hAnsi="Verdana"/>
                <w:b/>
                <w:sz w:val="16"/>
                <w:szCs w:val="16"/>
                <w:lang w:val="en-US"/>
              </w:rPr>
              <w:tab/>
              <w:t>Law</w:t>
            </w:r>
            <w:proofErr w:type="gramEnd"/>
            <w:r w:rsidRPr="0028318A">
              <w:rPr>
                <w:rFonts w:ascii="Verdana" w:hAnsi="Verdana"/>
                <w:b/>
                <w:sz w:val="16"/>
                <w:szCs w:val="16"/>
                <w:lang w:val="en-US"/>
              </w:rPr>
              <w:t xml:space="preserve">: </w:t>
            </w:r>
            <w:r>
              <w:rPr>
                <w:rFonts w:ascii="Verdana" w:hAnsi="Verdana"/>
                <w:sz w:val="16"/>
                <w:szCs w:val="16"/>
                <w:lang w:val="en-US"/>
              </w:rPr>
              <w:t>Law of the Electricity Sector</w:t>
            </w:r>
            <w:r w:rsidRPr="0028318A">
              <w:rPr>
                <w:rFonts w:ascii="Verdana" w:hAnsi="Verdana"/>
                <w:sz w:val="16"/>
                <w:szCs w:val="16"/>
                <w:lang w:val="en-US"/>
              </w:rPr>
              <w:t>;</w:t>
            </w:r>
          </w:p>
        </w:tc>
      </w:tr>
      <w:tr w:rsidR="003A38FF" w:rsidRPr="00385481" w14:paraId="6DF932F7" w14:textId="77779103" w:rsidTr="00FB5DAD">
        <w:tc>
          <w:tcPr>
            <w:tcW w:w="4706" w:type="dxa"/>
          </w:tcPr>
          <w:p w14:paraId="3BB370BF" w14:textId="77777777" w:rsidR="003A38FF" w:rsidRPr="00D0180E" w:rsidRDefault="003A38FF" w:rsidP="003A38FF">
            <w:pPr>
              <w:pStyle w:val="Texto"/>
              <w:spacing w:line="234" w:lineRule="exact"/>
              <w:ind w:firstLine="0"/>
              <w:rPr>
                <w:rFonts w:ascii="Verdana" w:hAnsi="Verdana"/>
                <w:sz w:val="16"/>
                <w:szCs w:val="16"/>
              </w:rPr>
            </w:pPr>
            <w:r w:rsidRPr="00D0180E">
              <w:rPr>
                <w:rFonts w:ascii="Verdana" w:hAnsi="Verdana"/>
                <w:b/>
                <w:sz w:val="16"/>
                <w:szCs w:val="16"/>
              </w:rPr>
              <w:t>XIX.</w:t>
            </w:r>
            <w:r w:rsidRPr="00D0180E">
              <w:rPr>
                <w:rFonts w:ascii="Verdana" w:hAnsi="Verdana"/>
                <w:b/>
                <w:sz w:val="16"/>
                <w:szCs w:val="16"/>
              </w:rPr>
              <w:tab/>
              <w:t>Mediación:</w:t>
            </w:r>
            <w:r w:rsidRPr="00D0180E">
              <w:rPr>
                <w:rFonts w:ascii="Verdana" w:hAnsi="Verdana"/>
                <w:sz w:val="16"/>
                <w:szCs w:val="16"/>
              </w:rPr>
              <w:t xml:space="preserve"> Procedimiento voluntario mediante el cual la Empresa Pública del Estado o la persona permisionaria junto con el propietario o titular del bien a afectar, acuerdan resolver una controversia de manera pacífica en términos de este reglamento, con la asistencia de una tercera persona imparcial, denominado persona mediadora o persona Testigo Social, según corresponda;</w:t>
            </w:r>
          </w:p>
        </w:tc>
        <w:tc>
          <w:tcPr>
            <w:tcW w:w="4644" w:type="dxa"/>
          </w:tcPr>
          <w:p w14:paraId="4103186D" w14:textId="7D9A2756" w:rsidR="003A38FF" w:rsidRPr="0028318A" w:rsidRDefault="003A38FF" w:rsidP="003A38FF">
            <w:pPr>
              <w:pStyle w:val="Texto"/>
              <w:spacing w:line="234" w:lineRule="exact"/>
              <w:ind w:firstLine="0"/>
              <w:rPr>
                <w:rFonts w:ascii="Verdana" w:hAnsi="Verdana"/>
                <w:b/>
                <w:sz w:val="16"/>
                <w:szCs w:val="16"/>
                <w:lang w:val="en-US"/>
              </w:rPr>
            </w:pPr>
            <w:r w:rsidRPr="0028318A">
              <w:rPr>
                <w:rFonts w:ascii="Verdana" w:hAnsi="Verdana"/>
                <w:b/>
                <w:sz w:val="16"/>
                <w:szCs w:val="16"/>
                <w:lang w:val="en-US"/>
              </w:rPr>
              <w:t>XIX</w:t>
            </w:r>
            <w:proofErr w:type="gramStart"/>
            <w:r w:rsidRPr="0028318A">
              <w:rPr>
                <w:rFonts w:ascii="Verdana" w:hAnsi="Verdana"/>
                <w:b/>
                <w:sz w:val="16"/>
                <w:szCs w:val="16"/>
                <w:lang w:val="en-US"/>
              </w:rPr>
              <w:t xml:space="preserve">. </w:t>
            </w:r>
            <w:r w:rsidRPr="0028318A">
              <w:rPr>
                <w:rFonts w:ascii="Verdana" w:hAnsi="Verdana"/>
                <w:b/>
                <w:sz w:val="16"/>
                <w:szCs w:val="16"/>
                <w:lang w:val="en-US"/>
              </w:rPr>
              <w:tab/>
              <w:t>Mediation</w:t>
            </w:r>
            <w:proofErr w:type="gramEnd"/>
            <w:r w:rsidRPr="0028318A">
              <w:rPr>
                <w:rFonts w:ascii="Verdana" w:hAnsi="Verdana"/>
                <w:b/>
                <w:sz w:val="16"/>
                <w:szCs w:val="16"/>
                <w:lang w:val="en-US"/>
              </w:rPr>
              <w:t xml:space="preserve">: </w:t>
            </w:r>
            <w:r w:rsidRPr="0028318A">
              <w:rPr>
                <w:rFonts w:ascii="Verdana" w:hAnsi="Verdana"/>
                <w:sz w:val="16"/>
                <w:szCs w:val="16"/>
                <w:lang w:val="en-US"/>
              </w:rPr>
              <w:t xml:space="preserve">A voluntary procedure by which the State-owned Public Enterprise or the permit holder, together with the owner or holder of the property to be affected, agree to resolve a dispute peacefully in accordance with </w:t>
            </w:r>
            <w:r>
              <w:rPr>
                <w:rFonts w:ascii="Verdana" w:hAnsi="Verdana"/>
                <w:sz w:val="16"/>
                <w:szCs w:val="16"/>
                <w:lang w:val="en-US"/>
              </w:rPr>
              <w:t>this regulation</w:t>
            </w:r>
            <w:r w:rsidRPr="0028318A">
              <w:rPr>
                <w:rFonts w:ascii="Verdana" w:hAnsi="Verdana"/>
                <w:sz w:val="16"/>
                <w:szCs w:val="16"/>
                <w:lang w:val="en-US"/>
              </w:rPr>
              <w:t>, with the assistance of an impartial third party, called a mediator or Social Witness, as appropriate;</w:t>
            </w:r>
          </w:p>
        </w:tc>
      </w:tr>
      <w:tr w:rsidR="003A38FF" w:rsidRPr="00385481" w14:paraId="05ED8334" w14:textId="2ECCDCA6" w:rsidTr="00FB5DAD">
        <w:tc>
          <w:tcPr>
            <w:tcW w:w="4706" w:type="dxa"/>
          </w:tcPr>
          <w:p w14:paraId="0C2516EF" w14:textId="77777777" w:rsidR="003A38FF" w:rsidRPr="00D0180E" w:rsidRDefault="003A38FF" w:rsidP="003A38FF">
            <w:pPr>
              <w:pStyle w:val="Texto"/>
              <w:spacing w:line="234" w:lineRule="exact"/>
              <w:ind w:firstLine="0"/>
              <w:rPr>
                <w:rFonts w:ascii="Verdana" w:hAnsi="Verdana"/>
                <w:sz w:val="16"/>
                <w:szCs w:val="16"/>
              </w:rPr>
            </w:pPr>
            <w:r w:rsidRPr="00D0180E">
              <w:rPr>
                <w:rFonts w:ascii="Verdana" w:hAnsi="Verdana"/>
                <w:b/>
                <w:sz w:val="16"/>
                <w:szCs w:val="16"/>
              </w:rPr>
              <w:t>XX.</w:t>
            </w:r>
            <w:r w:rsidRPr="00D0180E">
              <w:rPr>
                <w:rFonts w:ascii="Verdana" w:hAnsi="Verdana"/>
                <w:b/>
                <w:sz w:val="16"/>
                <w:szCs w:val="16"/>
              </w:rPr>
              <w:tab/>
              <w:t>Modificación:</w:t>
            </w:r>
            <w:r w:rsidRPr="00D0180E">
              <w:rPr>
                <w:rFonts w:ascii="Verdana" w:hAnsi="Verdana"/>
                <w:sz w:val="16"/>
                <w:szCs w:val="16"/>
              </w:rPr>
              <w:t xml:space="preserve"> Cambio en las características técnicas, de ubicación, reemplazo o retiro de las instalaciones existentes de la Transportista o la Distribuidora, para atender una solicitud de conexión de un Centro de Carga, de interconexión de una Central Eléctrica, o para atender otros servicios o necesidades de la Solicitante;</w:t>
            </w:r>
          </w:p>
        </w:tc>
        <w:tc>
          <w:tcPr>
            <w:tcW w:w="4644" w:type="dxa"/>
          </w:tcPr>
          <w:p w14:paraId="043997FC" w14:textId="58397EEA" w:rsidR="003A38FF" w:rsidRPr="0028318A" w:rsidRDefault="003A38FF" w:rsidP="003A38FF">
            <w:pPr>
              <w:pStyle w:val="Texto"/>
              <w:spacing w:line="234" w:lineRule="exact"/>
              <w:ind w:firstLine="0"/>
              <w:rPr>
                <w:rFonts w:ascii="Verdana" w:hAnsi="Verdana"/>
                <w:b/>
                <w:sz w:val="16"/>
                <w:szCs w:val="16"/>
                <w:lang w:val="en-US"/>
              </w:rPr>
            </w:pPr>
            <w:r w:rsidRPr="0028318A">
              <w:rPr>
                <w:rFonts w:ascii="Verdana" w:hAnsi="Verdana"/>
                <w:b/>
                <w:sz w:val="16"/>
                <w:szCs w:val="16"/>
                <w:lang w:val="en-US"/>
              </w:rPr>
              <w:t>XX</w:t>
            </w:r>
            <w:proofErr w:type="gramStart"/>
            <w:r w:rsidRPr="0028318A">
              <w:rPr>
                <w:rFonts w:ascii="Verdana" w:hAnsi="Verdana"/>
                <w:b/>
                <w:sz w:val="16"/>
                <w:szCs w:val="16"/>
                <w:lang w:val="en-US"/>
              </w:rPr>
              <w:t xml:space="preserve">. </w:t>
            </w:r>
            <w:r w:rsidRPr="0028318A">
              <w:rPr>
                <w:rFonts w:ascii="Verdana" w:hAnsi="Verdana"/>
                <w:b/>
                <w:sz w:val="16"/>
                <w:szCs w:val="16"/>
                <w:lang w:val="en-US"/>
              </w:rPr>
              <w:tab/>
              <w:t>Modification</w:t>
            </w:r>
            <w:proofErr w:type="gramEnd"/>
            <w:r w:rsidRPr="0028318A">
              <w:rPr>
                <w:rFonts w:ascii="Verdana" w:hAnsi="Verdana"/>
                <w:b/>
                <w:sz w:val="16"/>
                <w:szCs w:val="16"/>
                <w:lang w:val="en-US"/>
              </w:rPr>
              <w:t xml:space="preserve">: </w:t>
            </w:r>
            <w:r w:rsidRPr="0028318A">
              <w:rPr>
                <w:rFonts w:ascii="Verdana" w:hAnsi="Verdana"/>
                <w:sz w:val="16"/>
                <w:szCs w:val="16"/>
                <w:lang w:val="en-US"/>
              </w:rPr>
              <w:t>Change in the technical characteristics, location, replacement or removal of the existing facilities of the transporter or the distributor, to meet a request for connection of a load center, interconnection of a power plant, or to meet other services or needs of the applicant;</w:t>
            </w:r>
          </w:p>
        </w:tc>
      </w:tr>
      <w:tr w:rsidR="003A38FF" w:rsidRPr="00385481" w14:paraId="3A42AB05" w14:textId="3088638F" w:rsidTr="00FB5DAD">
        <w:tc>
          <w:tcPr>
            <w:tcW w:w="4706" w:type="dxa"/>
          </w:tcPr>
          <w:p w14:paraId="03CF1419"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b/>
                <w:sz w:val="16"/>
                <w:szCs w:val="16"/>
              </w:rPr>
              <w:t>XXI.</w:t>
            </w:r>
            <w:r w:rsidRPr="00D0180E">
              <w:rPr>
                <w:rFonts w:ascii="Verdana" w:hAnsi="Verdana"/>
                <w:b/>
                <w:sz w:val="16"/>
                <w:szCs w:val="16"/>
              </w:rPr>
              <w:tab/>
              <w:t>Obra Específica:</w:t>
            </w:r>
            <w:r w:rsidRPr="00D0180E">
              <w:rPr>
                <w:rFonts w:ascii="Verdana" w:hAnsi="Verdana"/>
                <w:sz w:val="16"/>
                <w:szCs w:val="16"/>
              </w:rPr>
              <w:t xml:space="preserve"> Obras que se requieren para llevar a cabo la interconexión o conexión desde una Central Eléctrica, un Sistema de Almacenamiento de Energía Eléctrica o un Centro de Carga, según corresponda, hasta el punto de interconexión o conexión con la Red Nacional de Transmisión o las Redes Generales de Distribución, conforme a los estudios de conexión e interconexión realizados por la Distribuidora o el CENACE, necesarias para atender una solicitud de servicio que cumpla con las normas oficiales mexicanas o, a falta de ellas, con las Especificaciones Técnicas;</w:t>
            </w:r>
          </w:p>
        </w:tc>
        <w:tc>
          <w:tcPr>
            <w:tcW w:w="4644" w:type="dxa"/>
          </w:tcPr>
          <w:p w14:paraId="7B602396" w14:textId="235C318A" w:rsidR="003A38FF" w:rsidRPr="0028318A" w:rsidRDefault="003A38FF" w:rsidP="003A38FF">
            <w:pPr>
              <w:pStyle w:val="Texto"/>
              <w:spacing w:line="238" w:lineRule="exact"/>
              <w:ind w:firstLine="0"/>
              <w:rPr>
                <w:rFonts w:ascii="Verdana" w:hAnsi="Verdana"/>
                <w:b/>
                <w:sz w:val="16"/>
                <w:szCs w:val="16"/>
                <w:lang w:val="en-US"/>
              </w:rPr>
            </w:pPr>
            <w:r w:rsidRPr="0028318A">
              <w:rPr>
                <w:rFonts w:ascii="Verdana" w:hAnsi="Verdana"/>
                <w:b/>
                <w:sz w:val="16"/>
                <w:szCs w:val="16"/>
                <w:lang w:val="en-US"/>
              </w:rPr>
              <w:t xml:space="preserve">XXI. </w:t>
            </w:r>
            <w:r w:rsidRPr="0028318A">
              <w:rPr>
                <w:rFonts w:ascii="Verdana" w:hAnsi="Verdana"/>
                <w:b/>
                <w:sz w:val="16"/>
                <w:szCs w:val="16"/>
                <w:lang w:val="en-US"/>
              </w:rPr>
              <w:tab/>
              <w:t xml:space="preserve">Specific Work: </w:t>
            </w:r>
            <w:r w:rsidRPr="0028318A">
              <w:rPr>
                <w:rFonts w:ascii="Verdana" w:hAnsi="Verdana"/>
                <w:sz w:val="16"/>
                <w:szCs w:val="16"/>
                <w:lang w:val="en-US"/>
              </w:rPr>
              <w:t xml:space="preserve">Works required to carry out the interconnection or connection from a </w:t>
            </w:r>
            <w:r>
              <w:rPr>
                <w:rFonts w:ascii="Verdana" w:hAnsi="Verdana"/>
                <w:sz w:val="16"/>
                <w:szCs w:val="16"/>
                <w:lang w:val="en-US"/>
              </w:rPr>
              <w:t>power plant</w:t>
            </w:r>
            <w:r w:rsidRPr="0028318A">
              <w:rPr>
                <w:rFonts w:ascii="Verdana" w:hAnsi="Verdana"/>
                <w:sz w:val="16"/>
                <w:szCs w:val="16"/>
                <w:lang w:val="en-US"/>
              </w:rPr>
              <w:t>, an electric energy storage system or a Load Center, as appropriate, to the point of interconnection or connection with the national transmission grid or the general distribution networks, in accordance with the connection and interconnection studies carried out by the Distributor or CENACE, necessary to meet a service request that complies with Official Mexican Standards or, in the absence of these, with the Technical Specifications;</w:t>
            </w:r>
          </w:p>
        </w:tc>
      </w:tr>
      <w:tr w:rsidR="003A38FF" w:rsidRPr="00385481" w14:paraId="7E52C2FC" w14:textId="32422C00" w:rsidTr="00FB5DAD">
        <w:tc>
          <w:tcPr>
            <w:tcW w:w="4706" w:type="dxa"/>
          </w:tcPr>
          <w:p w14:paraId="2AA7B18A" w14:textId="77777777" w:rsidR="003A38FF" w:rsidRPr="001E6528" w:rsidRDefault="003A38FF" w:rsidP="003A38FF">
            <w:pPr>
              <w:pStyle w:val="Texto"/>
              <w:spacing w:line="238" w:lineRule="exact"/>
              <w:ind w:firstLine="0"/>
              <w:rPr>
                <w:rFonts w:ascii="Verdana" w:hAnsi="Verdana"/>
                <w:sz w:val="16"/>
                <w:szCs w:val="16"/>
              </w:rPr>
            </w:pPr>
            <w:r w:rsidRPr="001E6528">
              <w:rPr>
                <w:rFonts w:ascii="Verdana" w:hAnsi="Verdana"/>
                <w:b/>
                <w:sz w:val="16"/>
                <w:szCs w:val="16"/>
              </w:rPr>
              <w:t>XXII.</w:t>
            </w:r>
            <w:r w:rsidRPr="001E6528">
              <w:rPr>
                <w:rFonts w:ascii="Verdana" w:hAnsi="Verdana"/>
                <w:b/>
                <w:sz w:val="16"/>
                <w:szCs w:val="16"/>
              </w:rPr>
              <w:tab/>
            </w:r>
            <w:r w:rsidRPr="001E6528">
              <w:rPr>
                <w:rFonts w:ascii="Verdana" w:hAnsi="Verdana"/>
                <w:b/>
                <w:sz w:val="16"/>
                <w:szCs w:val="16"/>
                <w:lang w:val="es"/>
              </w:rPr>
              <w:t xml:space="preserve">Persona Obligada: </w:t>
            </w:r>
            <w:r w:rsidRPr="001E6528">
              <w:rPr>
                <w:rFonts w:ascii="Verdana" w:hAnsi="Verdana"/>
                <w:sz w:val="16"/>
                <w:szCs w:val="16"/>
              </w:rPr>
              <w:t>Persona física o moral a quien, en términos de la Ley, el presente reglamento y demás instrumentos que de estos emanen, le sea formulado un requerimiento de información, una solicitud de comparecencia o bien, la persona propietaria, poseedora, ocupante, o responsable de la actividad, inmueble, instalación eléctrica o equipos, objeto de una visita de verificación, inspección o revisión;</w:t>
            </w:r>
          </w:p>
        </w:tc>
        <w:tc>
          <w:tcPr>
            <w:tcW w:w="4644" w:type="dxa"/>
          </w:tcPr>
          <w:p w14:paraId="2F9ED53E" w14:textId="4D7CD74D" w:rsidR="003A38FF" w:rsidRPr="001E6528" w:rsidRDefault="003A38FF" w:rsidP="003A38FF">
            <w:pPr>
              <w:pStyle w:val="Texto"/>
              <w:spacing w:line="238" w:lineRule="exact"/>
              <w:ind w:firstLine="0"/>
              <w:rPr>
                <w:rFonts w:ascii="Verdana" w:hAnsi="Verdana"/>
                <w:b/>
                <w:sz w:val="16"/>
                <w:szCs w:val="16"/>
                <w:lang w:val="en-US"/>
              </w:rPr>
            </w:pPr>
            <w:r w:rsidRPr="001E6528">
              <w:rPr>
                <w:rFonts w:ascii="Verdana" w:hAnsi="Verdana"/>
                <w:b/>
                <w:sz w:val="16"/>
                <w:szCs w:val="16"/>
                <w:lang w:val="en-US"/>
              </w:rPr>
              <w:t xml:space="preserve">XXII. </w:t>
            </w:r>
            <w:r w:rsidRPr="001E6528">
              <w:rPr>
                <w:rFonts w:ascii="Verdana" w:hAnsi="Verdana"/>
                <w:b/>
                <w:sz w:val="16"/>
                <w:szCs w:val="16"/>
                <w:lang w:val="en-US"/>
              </w:rPr>
              <w:tab/>
              <w:t xml:space="preserve">Obligated Person: </w:t>
            </w:r>
            <w:r w:rsidRPr="001E6528">
              <w:rPr>
                <w:rFonts w:ascii="Verdana" w:hAnsi="Verdana"/>
                <w:sz w:val="16"/>
                <w:szCs w:val="16"/>
                <w:lang w:val="en-US"/>
              </w:rPr>
              <w:t>An individual or legal entity to whom, in terms of the Law, this regulation and other instruments emanating from them, a request for information, a request for appearance is made, or the person who is the owner, possessor, occupant, or responsible for the activity, property, electrical installation or equipment, object of a verification visit, inspection or review;</w:t>
            </w:r>
          </w:p>
        </w:tc>
      </w:tr>
      <w:tr w:rsidR="003A38FF" w:rsidRPr="00385481" w14:paraId="0CDD53C6" w14:textId="7B676BCF" w:rsidTr="00FB5DAD">
        <w:tc>
          <w:tcPr>
            <w:tcW w:w="4706" w:type="dxa"/>
          </w:tcPr>
          <w:p w14:paraId="480F452B"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b/>
                <w:sz w:val="16"/>
                <w:szCs w:val="16"/>
              </w:rPr>
              <w:t>XXIII.</w:t>
            </w:r>
            <w:r w:rsidRPr="00D0180E">
              <w:rPr>
                <w:rFonts w:ascii="Verdana" w:hAnsi="Verdana"/>
                <w:b/>
                <w:sz w:val="16"/>
                <w:szCs w:val="16"/>
              </w:rPr>
              <w:tab/>
              <w:t>Plan de Gestión Social:</w:t>
            </w:r>
            <w:r w:rsidRPr="00D0180E">
              <w:rPr>
                <w:rFonts w:ascii="Verdana" w:hAnsi="Verdana"/>
                <w:sz w:val="16"/>
                <w:szCs w:val="16"/>
              </w:rPr>
              <w:t xml:space="preserve"> Documento que forma parte de la Manifestación de Impacto Social del Sector Energético cuyo propósito es la gestión de Impactos Sociales y brindar Beneficios Sociales Compartidos, bajo principios de Sostenibilidad, respeto a los derechos humanos y Justicia Energética;</w:t>
            </w:r>
          </w:p>
        </w:tc>
        <w:tc>
          <w:tcPr>
            <w:tcW w:w="4644" w:type="dxa"/>
          </w:tcPr>
          <w:p w14:paraId="499FDE8F" w14:textId="72132F52" w:rsidR="003A38FF" w:rsidRPr="00D0180E" w:rsidRDefault="003A38FF" w:rsidP="003A38FF">
            <w:pPr>
              <w:pStyle w:val="Texto"/>
              <w:spacing w:line="238" w:lineRule="exact"/>
              <w:ind w:firstLine="0"/>
              <w:rPr>
                <w:rFonts w:ascii="Verdana" w:hAnsi="Verdana"/>
                <w:b/>
                <w:sz w:val="16"/>
                <w:szCs w:val="16"/>
                <w:lang w:val="en-US"/>
              </w:rPr>
            </w:pPr>
            <w:r w:rsidRPr="0028318A">
              <w:rPr>
                <w:rFonts w:ascii="Verdana" w:hAnsi="Verdana"/>
                <w:b/>
                <w:sz w:val="16"/>
                <w:szCs w:val="16"/>
                <w:lang w:val="en-US"/>
              </w:rPr>
              <w:t>XXIII</w:t>
            </w:r>
            <w:proofErr w:type="gramStart"/>
            <w:r w:rsidRPr="0028318A">
              <w:rPr>
                <w:rFonts w:ascii="Verdana" w:hAnsi="Verdana"/>
                <w:b/>
                <w:sz w:val="16"/>
                <w:szCs w:val="16"/>
                <w:lang w:val="en-US"/>
              </w:rPr>
              <w:t xml:space="preserve">. </w:t>
            </w:r>
            <w:r w:rsidRPr="0028318A">
              <w:rPr>
                <w:rFonts w:ascii="Verdana" w:hAnsi="Verdana"/>
                <w:b/>
                <w:sz w:val="16"/>
                <w:szCs w:val="16"/>
                <w:lang w:val="en-US"/>
              </w:rPr>
              <w:tab/>
              <w:t>Social</w:t>
            </w:r>
            <w:proofErr w:type="gramEnd"/>
            <w:r w:rsidRPr="0028318A">
              <w:rPr>
                <w:rFonts w:ascii="Verdana" w:hAnsi="Verdana"/>
                <w:b/>
                <w:sz w:val="16"/>
                <w:szCs w:val="16"/>
                <w:lang w:val="en-US"/>
              </w:rPr>
              <w:t xml:space="preserve"> Management Plan: </w:t>
            </w:r>
            <w:r w:rsidRPr="0028318A">
              <w:rPr>
                <w:rFonts w:ascii="Verdana" w:hAnsi="Verdana"/>
                <w:sz w:val="16"/>
                <w:szCs w:val="16"/>
                <w:lang w:val="en-US"/>
              </w:rPr>
              <w:t xml:space="preserve">Document that forms part of the </w:t>
            </w:r>
            <w:r>
              <w:rPr>
                <w:rFonts w:ascii="Verdana" w:hAnsi="Verdana"/>
                <w:sz w:val="16"/>
                <w:szCs w:val="16"/>
                <w:lang w:val="en-US"/>
              </w:rPr>
              <w:t>e</w:t>
            </w:r>
            <w:r w:rsidRPr="0028318A">
              <w:rPr>
                <w:rFonts w:ascii="Verdana" w:hAnsi="Verdana"/>
                <w:sz w:val="16"/>
                <w:szCs w:val="16"/>
                <w:lang w:val="en-US"/>
              </w:rPr>
              <w:t xml:space="preserve">nergy </w:t>
            </w:r>
            <w:r>
              <w:rPr>
                <w:rFonts w:ascii="Verdana" w:hAnsi="Verdana"/>
                <w:sz w:val="16"/>
                <w:szCs w:val="16"/>
                <w:lang w:val="en-US"/>
              </w:rPr>
              <w:t>s</w:t>
            </w:r>
            <w:r w:rsidRPr="0028318A">
              <w:rPr>
                <w:rFonts w:ascii="Verdana" w:hAnsi="Verdana"/>
                <w:sz w:val="16"/>
                <w:szCs w:val="16"/>
                <w:lang w:val="en-US"/>
              </w:rPr>
              <w:t>ector's Social Impact Statement, the purpose of which is to manage social impacts and provide Shared Social Benefits, under the principles of sustainability, respect for human rights and energy justice;</w:t>
            </w:r>
          </w:p>
        </w:tc>
      </w:tr>
      <w:tr w:rsidR="003A38FF" w:rsidRPr="00385481" w14:paraId="2F074835" w14:textId="1529DF41" w:rsidTr="00FB5DAD">
        <w:tc>
          <w:tcPr>
            <w:tcW w:w="4706" w:type="dxa"/>
          </w:tcPr>
          <w:p w14:paraId="21E37B8B"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b/>
                <w:sz w:val="16"/>
                <w:szCs w:val="16"/>
              </w:rPr>
              <w:t>XXIV.</w:t>
            </w:r>
            <w:r w:rsidRPr="00D0180E">
              <w:rPr>
                <w:rFonts w:ascii="Verdana" w:hAnsi="Verdana"/>
                <w:b/>
                <w:sz w:val="16"/>
                <w:szCs w:val="16"/>
              </w:rPr>
              <w:tab/>
              <w:t>Personas en Situación de Vulnerabilidad:</w:t>
            </w:r>
            <w:r w:rsidRPr="00D0180E">
              <w:rPr>
                <w:rFonts w:ascii="Verdana" w:hAnsi="Verdana"/>
                <w:sz w:val="16"/>
                <w:szCs w:val="16"/>
              </w:rPr>
              <w:t xml:space="preserve"> Persona o grupo de personas que, derivado de la interrupción, intermitencia o inexistencia del Suministro Básico, enfrentan situaciones de riesgo o discriminación que les impiden alcanzar mejores niveles de vida y, por lo tanto, requieren de la atención e inversión del Estado para lograr su bienestar;</w:t>
            </w:r>
          </w:p>
        </w:tc>
        <w:tc>
          <w:tcPr>
            <w:tcW w:w="4644" w:type="dxa"/>
          </w:tcPr>
          <w:p w14:paraId="02668926" w14:textId="60741E6D" w:rsidR="003A38FF" w:rsidRPr="0028318A" w:rsidRDefault="003A38FF" w:rsidP="003A38FF">
            <w:pPr>
              <w:pStyle w:val="Texto"/>
              <w:spacing w:line="238" w:lineRule="exact"/>
              <w:ind w:firstLine="0"/>
              <w:rPr>
                <w:rFonts w:ascii="Verdana" w:hAnsi="Verdana"/>
                <w:b/>
                <w:sz w:val="16"/>
                <w:szCs w:val="16"/>
                <w:lang w:val="en-US"/>
              </w:rPr>
            </w:pPr>
            <w:r w:rsidRPr="0028318A">
              <w:rPr>
                <w:rFonts w:ascii="Verdana" w:hAnsi="Verdana"/>
                <w:b/>
                <w:sz w:val="16"/>
                <w:szCs w:val="16"/>
                <w:lang w:val="en-US"/>
              </w:rPr>
              <w:t>XXIV</w:t>
            </w:r>
            <w:proofErr w:type="gramStart"/>
            <w:r w:rsidRPr="0028318A">
              <w:rPr>
                <w:rFonts w:ascii="Verdana" w:hAnsi="Verdana"/>
                <w:b/>
                <w:sz w:val="16"/>
                <w:szCs w:val="16"/>
                <w:lang w:val="en-US"/>
              </w:rPr>
              <w:t xml:space="preserve">. </w:t>
            </w:r>
            <w:r w:rsidRPr="0028318A">
              <w:rPr>
                <w:rFonts w:ascii="Verdana" w:hAnsi="Verdana"/>
                <w:b/>
                <w:sz w:val="16"/>
                <w:szCs w:val="16"/>
                <w:lang w:val="en-US"/>
              </w:rPr>
              <w:tab/>
              <w:t>People</w:t>
            </w:r>
            <w:proofErr w:type="gramEnd"/>
            <w:r w:rsidRPr="0028318A">
              <w:rPr>
                <w:rFonts w:ascii="Verdana" w:hAnsi="Verdana"/>
                <w:b/>
                <w:sz w:val="16"/>
                <w:szCs w:val="16"/>
                <w:lang w:val="en-US"/>
              </w:rPr>
              <w:t xml:space="preserve"> in Vulnerable Situations: </w:t>
            </w:r>
            <w:r w:rsidRPr="0028318A">
              <w:rPr>
                <w:rFonts w:ascii="Verdana" w:hAnsi="Verdana"/>
                <w:sz w:val="16"/>
                <w:szCs w:val="16"/>
                <w:lang w:val="en-US"/>
              </w:rPr>
              <w:t>A person or group of people who, due to the interruption, intermittency or non-existence of the basic supply, face situations of risk or discrimination that prevent them from achieving better standards of living and, therefore, require the attention and investment of the State to achieve their well-being;</w:t>
            </w:r>
          </w:p>
        </w:tc>
      </w:tr>
      <w:tr w:rsidR="003A38FF" w:rsidRPr="00385481" w14:paraId="0A1EAE3C" w14:textId="32A823B0" w:rsidTr="00FB5DAD">
        <w:tc>
          <w:tcPr>
            <w:tcW w:w="4706" w:type="dxa"/>
          </w:tcPr>
          <w:p w14:paraId="4569E262" w14:textId="77777777" w:rsidR="003A38FF" w:rsidRPr="00D0180E" w:rsidRDefault="003A38FF" w:rsidP="003A38FF">
            <w:pPr>
              <w:pStyle w:val="Texto"/>
              <w:spacing w:line="238" w:lineRule="exact"/>
              <w:ind w:firstLine="0"/>
              <w:rPr>
                <w:rFonts w:ascii="Verdana" w:hAnsi="Verdana"/>
                <w:b/>
                <w:sz w:val="16"/>
                <w:szCs w:val="16"/>
              </w:rPr>
            </w:pPr>
            <w:r w:rsidRPr="00D0180E">
              <w:rPr>
                <w:rFonts w:ascii="Verdana" w:hAnsi="Verdana"/>
                <w:b/>
                <w:sz w:val="16"/>
                <w:szCs w:val="16"/>
              </w:rPr>
              <w:lastRenderedPageBreak/>
              <w:t>XXV.</w:t>
            </w:r>
            <w:r w:rsidRPr="00D0180E">
              <w:rPr>
                <w:rFonts w:ascii="Verdana" w:hAnsi="Verdana"/>
                <w:b/>
                <w:sz w:val="16"/>
                <w:szCs w:val="16"/>
              </w:rPr>
              <w:tab/>
              <w:t>Proyecto Estratégico:</w:t>
            </w:r>
            <w:r w:rsidRPr="00D0180E">
              <w:rPr>
                <w:rFonts w:ascii="Verdana" w:hAnsi="Verdana"/>
                <w:sz w:val="16"/>
                <w:szCs w:val="16"/>
              </w:rPr>
              <w:t xml:space="preserve"> Obras y actividades que defina la Secretaría en las actividades de generación, almacenamiento, transmisión, distribución, suministro, comercialización, así como la planeación y el Control Operativo del Sistema Eléctrico Nacional que, por su objeto, características, naturaleza, complejidad, magnitud e impacto estimado, se definen como relevantes, prioritarios o indispensables para fortalecer o mantener la Accesibilidad, Calidad, Confiabilidad, Continuidad, Eficiencia, Seguridad y Sostenibilidad del Sistema Eléctrico Nacional;</w:t>
            </w:r>
          </w:p>
        </w:tc>
        <w:tc>
          <w:tcPr>
            <w:tcW w:w="4644" w:type="dxa"/>
          </w:tcPr>
          <w:p w14:paraId="776DE935" w14:textId="7BCB6821" w:rsidR="003A38FF" w:rsidRPr="0028318A" w:rsidRDefault="003A38FF" w:rsidP="003A38FF">
            <w:pPr>
              <w:pStyle w:val="Texto"/>
              <w:spacing w:line="238" w:lineRule="exact"/>
              <w:ind w:firstLine="0"/>
              <w:rPr>
                <w:rFonts w:ascii="Verdana" w:hAnsi="Verdana"/>
                <w:b/>
                <w:sz w:val="16"/>
                <w:szCs w:val="16"/>
                <w:lang w:val="en-US"/>
              </w:rPr>
            </w:pPr>
            <w:r w:rsidRPr="0028318A">
              <w:rPr>
                <w:rFonts w:ascii="Verdana" w:hAnsi="Verdana"/>
                <w:b/>
                <w:sz w:val="16"/>
                <w:szCs w:val="16"/>
                <w:lang w:val="en-US"/>
              </w:rPr>
              <w:t xml:space="preserve">XXV. </w:t>
            </w:r>
            <w:r w:rsidRPr="0028318A">
              <w:rPr>
                <w:rFonts w:ascii="Verdana" w:hAnsi="Verdana"/>
                <w:b/>
                <w:sz w:val="16"/>
                <w:szCs w:val="16"/>
                <w:lang w:val="en-US"/>
              </w:rPr>
              <w:tab/>
              <w:t xml:space="preserve">Strategic Project: </w:t>
            </w:r>
            <w:r w:rsidRPr="0028318A">
              <w:rPr>
                <w:rFonts w:ascii="Verdana" w:hAnsi="Verdana"/>
                <w:sz w:val="16"/>
                <w:szCs w:val="16"/>
                <w:lang w:val="en-US"/>
              </w:rPr>
              <w:t>Works and activities defined by the Secretary in the activities of generation, storage, transmission, distribution, supply, marketing, as well as the planning and operational control of the national electric system that, due to their purpose, characteristics, nature, complexity, magnitude and estimated impact, are defined as relevant, priority or indispensable to strengthen or maintain the accessibility, quality, reliability, continuity, efficiency, security and sustainability of the national electric system;</w:t>
            </w:r>
          </w:p>
        </w:tc>
      </w:tr>
      <w:tr w:rsidR="003A38FF" w:rsidRPr="00385481" w14:paraId="1477DDDB" w14:textId="4E989807" w:rsidTr="00FB5DAD">
        <w:tc>
          <w:tcPr>
            <w:tcW w:w="4706" w:type="dxa"/>
          </w:tcPr>
          <w:p w14:paraId="560EE519"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b/>
                <w:sz w:val="16"/>
                <w:szCs w:val="16"/>
              </w:rPr>
              <w:t>XXVI.</w:t>
            </w:r>
            <w:r w:rsidRPr="00D0180E">
              <w:rPr>
                <w:rFonts w:ascii="Verdana" w:hAnsi="Verdana"/>
                <w:b/>
                <w:sz w:val="16"/>
                <w:szCs w:val="16"/>
              </w:rPr>
              <w:tab/>
              <w:t>Seguridad:</w:t>
            </w:r>
            <w:r w:rsidRPr="00D0180E">
              <w:rPr>
                <w:rFonts w:ascii="Verdana" w:hAnsi="Verdana"/>
                <w:sz w:val="16"/>
                <w:szCs w:val="16"/>
              </w:rPr>
              <w:t xml:space="preserve"> Minimización de los riesgos asociados a la actividad y desarrollo del sector eléctrico, el Sistema Eléctrico Nacional, el Suministro Eléctrico y el Despacho Económico de Carga, que comprometen la Continuidad del Suministro Eléctrico, hasta niveles admisibles de operación, así como la reducción de aquellos que pueden afectar a la población expuesta por la actividad del sector, a través de políticas, estrategias y acciones vinculantes, coordinadas e integrales;</w:t>
            </w:r>
          </w:p>
        </w:tc>
        <w:tc>
          <w:tcPr>
            <w:tcW w:w="4644" w:type="dxa"/>
          </w:tcPr>
          <w:p w14:paraId="4F0D3576" w14:textId="04A5BA15" w:rsidR="003A38FF" w:rsidRPr="0028318A" w:rsidRDefault="003A38FF" w:rsidP="003A38FF">
            <w:pPr>
              <w:pStyle w:val="Texto"/>
              <w:spacing w:line="238" w:lineRule="exact"/>
              <w:ind w:firstLine="0"/>
              <w:rPr>
                <w:rFonts w:ascii="Verdana" w:hAnsi="Verdana"/>
                <w:b/>
                <w:sz w:val="16"/>
                <w:szCs w:val="16"/>
                <w:lang w:val="en-US"/>
              </w:rPr>
            </w:pPr>
            <w:r w:rsidRPr="0028318A">
              <w:rPr>
                <w:rFonts w:ascii="Verdana" w:hAnsi="Verdana"/>
                <w:b/>
                <w:sz w:val="16"/>
                <w:szCs w:val="16"/>
                <w:lang w:val="en-US"/>
              </w:rPr>
              <w:t xml:space="preserve">XXVI. </w:t>
            </w:r>
            <w:r w:rsidRPr="0028318A">
              <w:rPr>
                <w:rFonts w:ascii="Verdana" w:hAnsi="Verdana"/>
                <w:b/>
                <w:sz w:val="16"/>
                <w:szCs w:val="16"/>
                <w:lang w:val="en-US"/>
              </w:rPr>
              <w:tab/>
              <w:t xml:space="preserve">Security: </w:t>
            </w:r>
            <w:r w:rsidRPr="0028318A">
              <w:rPr>
                <w:rFonts w:ascii="Verdana" w:hAnsi="Verdana"/>
                <w:sz w:val="16"/>
                <w:szCs w:val="16"/>
                <w:lang w:val="en-US"/>
              </w:rPr>
              <w:t xml:space="preserve">Minimization of the risks associated with the activity and development of the electricity sector, the </w:t>
            </w:r>
            <w:r>
              <w:rPr>
                <w:rFonts w:ascii="Verdana" w:hAnsi="Verdana"/>
                <w:sz w:val="16"/>
                <w:szCs w:val="16"/>
                <w:lang w:val="en-US"/>
              </w:rPr>
              <w:t>National Electric System</w:t>
            </w:r>
            <w:r w:rsidRPr="0028318A">
              <w:rPr>
                <w:rFonts w:ascii="Verdana" w:hAnsi="Verdana"/>
                <w:sz w:val="16"/>
                <w:szCs w:val="16"/>
                <w:lang w:val="en-US"/>
              </w:rPr>
              <w:t>, the electric supply and the economic load dispatch, which compromise the continuity of the electric supply, to admissible levels of operation, as well as the reduction of those that may affect the population exposed by the activity of the sector, through binding, coordinated and comprehensive policies, strategies and actions;</w:t>
            </w:r>
          </w:p>
        </w:tc>
      </w:tr>
      <w:tr w:rsidR="003A38FF" w:rsidRPr="00385481" w14:paraId="30335A17" w14:textId="48C8BF71" w:rsidTr="00FB5DAD">
        <w:tc>
          <w:tcPr>
            <w:tcW w:w="4706" w:type="dxa"/>
          </w:tcPr>
          <w:p w14:paraId="5586D201"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b/>
                <w:sz w:val="16"/>
                <w:szCs w:val="16"/>
              </w:rPr>
              <w:t>XXVII.</w:t>
            </w:r>
            <w:r w:rsidRPr="00D0180E">
              <w:rPr>
                <w:rFonts w:ascii="Verdana" w:hAnsi="Verdana"/>
                <w:b/>
                <w:sz w:val="16"/>
                <w:szCs w:val="16"/>
              </w:rPr>
              <w:tab/>
              <w:t>Sistema de Medición:</w:t>
            </w:r>
            <w:r w:rsidRPr="00D0180E">
              <w:rPr>
                <w:rFonts w:ascii="Verdana" w:hAnsi="Verdana"/>
                <w:sz w:val="16"/>
                <w:szCs w:val="16"/>
              </w:rPr>
              <w:t xml:space="preserve"> Conjunto de elementos que permiten la adquisición, transmisión, y en su caso, almacenamiento de datos de un medidor, que está integrado, entre otros, por los siguientes elementos:</w:t>
            </w:r>
          </w:p>
        </w:tc>
        <w:tc>
          <w:tcPr>
            <w:tcW w:w="4644" w:type="dxa"/>
          </w:tcPr>
          <w:p w14:paraId="58652824" w14:textId="79374CB7" w:rsidR="003A38FF" w:rsidRPr="0028318A" w:rsidRDefault="003A38FF" w:rsidP="003A38FF">
            <w:pPr>
              <w:pStyle w:val="Texto"/>
              <w:spacing w:line="238" w:lineRule="exact"/>
              <w:ind w:firstLine="0"/>
              <w:rPr>
                <w:rFonts w:ascii="Verdana" w:hAnsi="Verdana"/>
                <w:b/>
                <w:sz w:val="16"/>
                <w:szCs w:val="16"/>
                <w:lang w:val="en-US"/>
              </w:rPr>
            </w:pPr>
            <w:r w:rsidRPr="0028318A">
              <w:rPr>
                <w:rFonts w:ascii="Verdana" w:hAnsi="Verdana"/>
                <w:b/>
                <w:sz w:val="16"/>
                <w:szCs w:val="16"/>
                <w:lang w:val="en-US"/>
              </w:rPr>
              <w:t>XXVII</w:t>
            </w:r>
            <w:proofErr w:type="gramStart"/>
            <w:r w:rsidRPr="0028318A">
              <w:rPr>
                <w:rFonts w:ascii="Verdana" w:hAnsi="Verdana"/>
                <w:b/>
                <w:sz w:val="16"/>
                <w:szCs w:val="16"/>
                <w:lang w:val="en-US"/>
              </w:rPr>
              <w:t xml:space="preserve">. </w:t>
            </w:r>
            <w:r w:rsidRPr="0028318A">
              <w:rPr>
                <w:rFonts w:ascii="Verdana" w:hAnsi="Verdana"/>
                <w:b/>
                <w:sz w:val="16"/>
                <w:szCs w:val="16"/>
                <w:lang w:val="en-US"/>
              </w:rPr>
              <w:tab/>
              <w:t>Measurement</w:t>
            </w:r>
            <w:proofErr w:type="gramEnd"/>
            <w:r w:rsidRPr="0028318A">
              <w:rPr>
                <w:rFonts w:ascii="Verdana" w:hAnsi="Verdana"/>
                <w:b/>
                <w:sz w:val="16"/>
                <w:szCs w:val="16"/>
                <w:lang w:val="en-US"/>
              </w:rPr>
              <w:t xml:space="preserve"> System: </w:t>
            </w:r>
            <w:r w:rsidRPr="0028318A">
              <w:rPr>
                <w:rFonts w:ascii="Verdana" w:hAnsi="Verdana"/>
                <w:sz w:val="16"/>
                <w:szCs w:val="16"/>
                <w:lang w:val="en-US"/>
              </w:rPr>
              <w:t>Set of elements that allow the acquisition, transmission, and where appropriate, storage of data from a meter, which is composed of, among others, the following elements:</w:t>
            </w:r>
          </w:p>
        </w:tc>
      </w:tr>
      <w:tr w:rsidR="003A38FF" w:rsidRPr="00385481" w14:paraId="3EFDE486" w14:textId="3BC1E1F8" w:rsidTr="00FB5DAD">
        <w:tc>
          <w:tcPr>
            <w:tcW w:w="4706" w:type="dxa"/>
          </w:tcPr>
          <w:p w14:paraId="3D13E325"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Instalaciones y equipos de medición eléctrica, así como transformadores de instrumentos;</w:t>
            </w:r>
          </w:p>
        </w:tc>
        <w:tc>
          <w:tcPr>
            <w:tcW w:w="4644" w:type="dxa"/>
          </w:tcPr>
          <w:p w14:paraId="1806A85C" w14:textId="598705D6" w:rsidR="003A38FF" w:rsidRPr="0028318A" w:rsidRDefault="003A38FF" w:rsidP="003A38FF">
            <w:pPr>
              <w:pStyle w:val="Texto"/>
              <w:spacing w:line="238" w:lineRule="exact"/>
              <w:ind w:firstLine="0"/>
              <w:rPr>
                <w:rFonts w:ascii="Verdana" w:hAnsi="Verdana"/>
                <w:b/>
                <w:sz w:val="16"/>
                <w:szCs w:val="16"/>
                <w:lang w:val="en-US"/>
              </w:rPr>
            </w:pPr>
            <w:r w:rsidRPr="0028318A">
              <w:rPr>
                <w:rFonts w:ascii="Verdana" w:hAnsi="Verdana"/>
                <w:b/>
                <w:sz w:val="16"/>
                <w:szCs w:val="16"/>
                <w:lang w:val="en-US"/>
              </w:rPr>
              <w:t>a</w:t>
            </w:r>
            <w:proofErr w:type="gramStart"/>
            <w:r w:rsidRPr="0028318A">
              <w:rPr>
                <w:rFonts w:ascii="Verdana" w:hAnsi="Verdana"/>
                <w:b/>
                <w:sz w:val="16"/>
                <w:szCs w:val="16"/>
                <w:lang w:val="en-US"/>
              </w:rPr>
              <w:t xml:space="preserve">) </w:t>
            </w:r>
            <w:r w:rsidRPr="0028318A">
              <w:rPr>
                <w:rFonts w:ascii="Verdana" w:hAnsi="Verdana"/>
                <w:b/>
                <w:sz w:val="16"/>
                <w:szCs w:val="16"/>
                <w:lang w:val="en-US"/>
              </w:rPr>
              <w:tab/>
            </w:r>
            <w:r w:rsidRPr="0028318A">
              <w:rPr>
                <w:rFonts w:ascii="Verdana" w:hAnsi="Verdana"/>
                <w:sz w:val="16"/>
                <w:szCs w:val="16"/>
                <w:lang w:val="en-US"/>
              </w:rPr>
              <w:t>Electrical</w:t>
            </w:r>
            <w:proofErr w:type="gramEnd"/>
            <w:r w:rsidRPr="0028318A">
              <w:rPr>
                <w:rFonts w:ascii="Verdana" w:hAnsi="Verdana"/>
                <w:sz w:val="16"/>
                <w:szCs w:val="16"/>
                <w:lang w:val="en-US"/>
              </w:rPr>
              <w:t xml:space="preserve"> measurement installations and equipment, as well as instrument transformers;</w:t>
            </w:r>
          </w:p>
        </w:tc>
      </w:tr>
      <w:tr w:rsidR="003A38FF" w:rsidRPr="00385481" w14:paraId="5AC12960" w14:textId="52758CEA" w:rsidTr="00FB5DAD">
        <w:tc>
          <w:tcPr>
            <w:tcW w:w="4706" w:type="dxa"/>
          </w:tcPr>
          <w:p w14:paraId="2D34B99B"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Un sistema de comunicaciones, el cual incluye elementos físicos y sistemas informáticos, que permitan transmitir o recibir la información de la medición, y</w:t>
            </w:r>
          </w:p>
        </w:tc>
        <w:tc>
          <w:tcPr>
            <w:tcW w:w="4644" w:type="dxa"/>
          </w:tcPr>
          <w:p w14:paraId="02ABCF65" w14:textId="2BF7B83D" w:rsidR="003A38FF" w:rsidRPr="0028318A" w:rsidRDefault="003A38FF" w:rsidP="003A38FF">
            <w:pPr>
              <w:pStyle w:val="Texto"/>
              <w:spacing w:line="238" w:lineRule="exact"/>
              <w:ind w:firstLine="0"/>
              <w:rPr>
                <w:rFonts w:ascii="Verdana" w:hAnsi="Verdana"/>
                <w:b/>
                <w:sz w:val="16"/>
                <w:szCs w:val="16"/>
                <w:lang w:val="en-US"/>
              </w:rPr>
            </w:pPr>
            <w:r w:rsidRPr="0028318A">
              <w:rPr>
                <w:rFonts w:ascii="Verdana" w:hAnsi="Verdana"/>
                <w:b/>
                <w:sz w:val="16"/>
                <w:szCs w:val="16"/>
                <w:lang w:val="en-US"/>
              </w:rPr>
              <w:t>b</w:t>
            </w:r>
            <w:proofErr w:type="gramStart"/>
            <w:r w:rsidRPr="0028318A">
              <w:rPr>
                <w:rFonts w:ascii="Verdana" w:hAnsi="Verdana"/>
                <w:b/>
                <w:sz w:val="16"/>
                <w:szCs w:val="16"/>
                <w:lang w:val="en-US"/>
              </w:rPr>
              <w:t xml:space="preserve">) </w:t>
            </w:r>
            <w:r w:rsidRPr="0028318A">
              <w:rPr>
                <w:rFonts w:ascii="Verdana" w:hAnsi="Verdana"/>
                <w:b/>
                <w:sz w:val="16"/>
                <w:szCs w:val="16"/>
                <w:lang w:val="en-US"/>
              </w:rPr>
              <w:tab/>
            </w:r>
            <w:r w:rsidRPr="0028318A">
              <w:rPr>
                <w:rFonts w:ascii="Verdana" w:hAnsi="Verdana"/>
                <w:sz w:val="16"/>
                <w:szCs w:val="16"/>
                <w:lang w:val="en-US"/>
              </w:rPr>
              <w:t>A</w:t>
            </w:r>
            <w:proofErr w:type="gramEnd"/>
            <w:r w:rsidRPr="0028318A">
              <w:rPr>
                <w:rFonts w:ascii="Verdana" w:hAnsi="Verdana"/>
                <w:sz w:val="16"/>
                <w:szCs w:val="16"/>
                <w:lang w:val="en-US"/>
              </w:rPr>
              <w:t xml:space="preserve"> communications system, which includes physical elements and computer systems, that allow the measurement information to be transmitted or received, and</w:t>
            </w:r>
          </w:p>
        </w:tc>
      </w:tr>
      <w:tr w:rsidR="003A38FF" w:rsidRPr="00385481" w14:paraId="7752A811" w14:textId="143FF5C4" w:rsidTr="00FB5DAD">
        <w:tc>
          <w:tcPr>
            <w:tcW w:w="4706" w:type="dxa"/>
          </w:tcPr>
          <w:p w14:paraId="3F5D3F50"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Un sistema de sincronía de tiempo;</w:t>
            </w:r>
          </w:p>
        </w:tc>
        <w:tc>
          <w:tcPr>
            <w:tcW w:w="4644" w:type="dxa"/>
          </w:tcPr>
          <w:p w14:paraId="74C409CA" w14:textId="5963B94D" w:rsidR="003A38FF" w:rsidRPr="0028318A" w:rsidRDefault="003A38FF" w:rsidP="003A38FF">
            <w:pPr>
              <w:pStyle w:val="Texto"/>
              <w:spacing w:line="238" w:lineRule="exact"/>
              <w:ind w:firstLine="0"/>
              <w:rPr>
                <w:rFonts w:ascii="Verdana" w:hAnsi="Verdana"/>
                <w:b/>
                <w:sz w:val="16"/>
                <w:szCs w:val="16"/>
                <w:lang w:val="en-US"/>
              </w:rPr>
            </w:pPr>
            <w:r w:rsidRPr="0028318A">
              <w:rPr>
                <w:rFonts w:ascii="Verdana" w:hAnsi="Verdana"/>
                <w:b/>
                <w:sz w:val="16"/>
                <w:szCs w:val="16"/>
                <w:lang w:val="en-US"/>
              </w:rPr>
              <w:t>c</w:t>
            </w:r>
            <w:proofErr w:type="gramStart"/>
            <w:r w:rsidRPr="0028318A">
              <w:rPr>
                <w:rFonts w:ascii="Verdana" w:hAnsi="Verdana"/>
                <w:b/>
                <w:sz w:val="16"/>
                <w:szCs w:val="16"/>
                <w:lang w:val="en-US"/>
              </w:rPr>
              <w:t xml:space="preserve">) </w:t>
            </w:r>
            <w:r w:rsidRPr="0028318A">
              <w:rPr>
                <w:rFonts w:ascii="Verdana" w:hAnsi="Verdana"/>
                <w:b/>
                <w:sz w:val="16"/>
                <w:szCs w:val="16"/>
                <w:lang w:val="en-US"/>
              </w:rPr>
              <w:tab/>
            </w:r>
            <w:r w:rsidRPr="0028318A">
              <w:rPr>
                <w:rFonts w:ascii="Verdana" w:hAnsi="Verdana"/>
                <w:sz w:val="16"/>
                <w:szCs w:val="16"/>
                <w:lang w:val="en-US"/>
              </w:rPr>
              <w:t>A</w:t>
            </w:r>
            <w:proofErr w:type="gramEnd"/>
            <w:r w:rsidRPr="0028318A">
              <w:rPr>
                <w:rFonts w:ascii="Verdana" w:hAnsi="Verdana"/>
                <w:sz w:val="16"/>
                <w:szCs w:val="16"/>
                <w:lang w:val="en-US"/>
              </w:rPr>
              <w:t xml:space="preserve"> time synchronization system;</w:t>
            </w:r>
          </w:p>
        </w:tc>
      </w:tr>
      <w:tr w:rsidR="003A38FF" w:rsidRPr="00385481" w14:paraId="49EA9C44" w14:textId="1FB873F6" w:rsidTr="00FB5DAD">
        <w:tc>
          <w:tcPr>
            <w:tcW w:w="4706" w:type="dxa"/>
          </w:tcPr>
          <w:p w14:paraId="3906835F" w14:textId="2E4716CC"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b/>
                <w:sz w:val="16"/>
                <w:szCs w:val="16"/>
              </w:rPr>
              <w:t>XXVIII.</w:t>
            </w:r>
            <w:r w:rsidRPr="00D0180E">
              <w:rPr>
                <w:rFonts w:ascii="Verdana" w:hAnsi="Verdana"/>
                <w:b/>
                <w:sz w:val="16"/>
                <w:szCs w:val="16"/>
              </w:rPr>
              <w:tab/>
            </w:r>
            <w:r>
              <w:rPr>
                <w:rFonts w:ascii="Verdana" w:hAnsi="Verdana"/>
                <w:b/>
                <w:sz w:val="16"/>
                <w:szCs w:val="16"/>
              </w:rPr>
              <w:t xml:space="preserve"> </w:t>
            </w:r>
            <w:r w:rsidRPr="00D0180E">
              <w:rPr>
                <w:rFonts w:ascii="Verdana" w:hAnsi="Verdana"/>
                <w:b/>
                <w:sz w:val="16"/>
                <w:szCs w:val="16"/>
              </w:rPr>
              <w:t>Solicitante:</w:t>
            </w:r>
            <w:r w:rsidRPr="00D0180E">
              <w:rPr>
                <w:rFonts w:ascii="Verdana" w:hAnsi="Verdana"/>
                <w:sz w:val="16"/>
                <w:szCs w:val="16"/>
              </w:rPr>
              <w:t xml:space="preserve"> Persona física o moral que presenta una solicitud para la interconexión o conexión a la Red Nacional de Transmisión o las Redes Generales de Distribución, al CENACE o la Empresa Pública del Estado y, en su caso, para que esta última ejecute una Obra Específica, la Ampliación o Modificación en las instalaciones existentes;</w:t>
            </w:r>
          </w:p>
        </w:tc>
        <w:tc>
          <w:tcPr>
            <w:tcW w:w="4644" w:type="dxa"/>
          </w:tcPr>
          <w:p w14:paraId="0245554D" w14:textId="2B32FB2F" w:rsidR="003A38FF" w:rsidRPr="00D0180E" w:rsidRDefault="003A38FF" w:rsidP="003A38FF">
            <w:pPr>
              <w:pStyle w:val="Texto"/>
              <w:spacing w:line="238" w:lineRule="exact"/>
              <w:ind w:firstLine="0"/>
              <w:rPr>
                <w:rFonts w:ascii="Verdana" w:hAnsi="Verdana"/>
                <w:b/>
                <w:sz w:val="16"/>
                <w:szCs w:val="16"/>
                <w:lang w:val="en-US"/>
              </w:rPr>
            </w:pPr>
            <w:r w:rsidRPr="0028318A">
              <w:rPr>
                <w:rFonts w:ascii="Verdana" w:hAnsi="Verdana"/>
                <w:b/>
                <w:sz w:val="16"/>
                <w:szCs w:val="16"/>
                <w:lang w:val="en-US"/>
              </w:rPr>
              <w:t xml:space="preserve">XXVIII. Applicant: </w:t>
            </w:r>
            <w:r>
              <w:rPr>
                <w:rFonts w:ascii="Verdana" w:hAnsi="Verdana"/>
                <w:sz w:val="16"/>
                <w:szCs w:val="16"/>
                <w:lang w:val="en-US"/>
              </w:rPr>
              <w:t>Individual or legal entity</w:t>
            </w:r>
            <w:r w:rsidRPr="0028318A">
              <w:rPr>
                <w:rFonts w:ascii="Verdana" w:hAnsi="Verdana"/>
                <w:sz w:val="16"/>
                <w:szCs w:val="16"/>
                <w:lang w:val="en-US"/>
              </w:rPr>
              <w:t xml:space="preserve"> who </w:t>
            </w:r>
            <w:proofErr w:type="gramStart"/>
            <w:r w:rsidRPr="0028318A">
              <w:rPr>
                <w:rFonts w:ascii="Verdana" w:hAnsi="Verdana"/>
                <w:sz w:val="16"/>
                <w:szCs w:val="16"/>
                <w:lang w:val="en-US"/>
              </w:rPr>
              <w:t>submits an application</w:t>
            </w:r>
            <w:proofErr w:type="gramEnd"/>
            <w:r w:rsidRPr="0028318A">
              <w:rPr>
                <w:rFonts w:ascii="Verdana" w:hAnsi="Verdana"/>
                <w:sz w:val="16"/>
                <w:szCs w:val="16"/>
                <w:lang w:val="en-US"/>
              </w:rPr>
              <w:t xml:space="preserve"> for interconnection or connection to the National Transmission Network or the General Distribution Networks, to CENACE or the </w:t>
            </w:r>
            <w:r>
              <w:rPr>
                <w:rFonts w:ascii="Verdana" w:hAnsi="Verdana"/>
                <w:sz w:val="16"/>
                <w:szCs w:val="16"/>
                <w:lang w:val="en-US"/>
              </w:rPr>
              <w:t xml:space="preserve">State Public </w:t>
            </w:r>
            <w:proofErr w:type="gramStart"/>
            <w:r>
              <w:rPr>
                <w:rFonts w:ascii="Verdana" w:hAnsi="Verdana"/>
                <w:sz w:val="16"/>
                <w:szCs w:val="16"/>
                <w:lang w:val="en-US"/>
              </w:rPr>
              <w:t xml:space="preserve">Enterprise </w:t>
            </w:r>
            <w:r w:rsidRPr="0028318A">
              <w:rPr>
                <w:rFonts w:ascii="Verdana" w:hAnsi="Verdana"/>
                <w:sz w:val="16"/>
                <w:szCs w:val="16"/>
                <w:lang w:val="en-US"/>
              </w:rPr>
              <w:t xml:space="preserve"> and</w:t>
            </w:r>
            <w:proofErr w:type="gramEnd"/>
            <w:r w:rsidRPr="0028318A">
              <w:rPr>
                <w:rFonts w:ascii="Verdana" w:hAnsi="Verdana"/>
                <w:sz w:val="16"/>
                <w:szCs w:val="16"/>
                <w:lang w:val="en-US"/>
              </w:rPr>
              <w:t xml:space="preserve">, where applicable, for the latter to carry out </w:t>
            </w:r>
            <w:proofErr w:type="gramStart"/>
            <w:r w:rsidRPr="0028318A">
              <w:rPr>
                <w:rFonts w:ascii="Verdana" w:hAnsi="Verdana"/>
                <w:sz w:val="16"/>
                <w:szCs w:val="16"/>
                <w:lang w:val="en-US"/>
              </w:rPr>
              <w:t>a specific</w:t>
            </w:r>
            <w:proofErr w:type="gramEnd"/>
            <w:r w:rsidRPr="0028318A">
              <w:rPr>
                <w:rFonts w:ascii="Verdana" w:hAnsi="Verdana"/>
                <w:sz w:val="16"/>
                <w:szCs w:val="16"/>
                <w:lang w:val="en-US"/>
              </w:rPr>
              <w:t xml:space="preserve"> work, the expansion or modification of existing facilities;</w:t>
            </w:r>
          </w:p>
        </w:tc>
      </w:tr>
      <w:tr w:rsidR="003A38FF" w:rsidRPr="00385481" w14:paraId="0281CB79" w14:textId="38E60F8A" w:rsidTr="00FB5DAD">
        <w:tc>
          <w:tcPr>
            <w:tcW w:w="4706" w:type="dxa"/>
          </w:tcPr>
          <w:p w14:paraId="4879C4DA"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b/>
                <w:sz w:val="16"/>
                <w:szCs w:val="16"/>
              </w:rPr>
              <w:t>XXIX.</w:t>
            </w:r>
            <w:r w:rsidRPr="00D0180E">
              <w:rPr>
                <w:rFonts w:ascii="Verdana" w:hAnsi="Verdana"/>
                <w:b/>
                <w:sz w:val="16"/>
                <w:szCs w:val="16"/>
              </w:rPr>
              <w:tab/>
              <w:t xml:space="preserve">Tarifas Eléctricas: </w:t>
            </w:r>
            <w:r w:rsidRPr="00D0180E">
              <w:rPr>
                <w:rFonts w:ascii="Verdana" w:hAnsi="Verdana"/>
                <w:sz w:val="16"/>
                <w:szCs w:val="16"/>
              </w:rPr>
              <w:t>Las Tarifas Reguladas y el resto de las tarifas que se encuentran referidas en la Ley;</w:t>
            </w:r>
          </w:p>
        </w:tc>
        <w:tc>
          <w:tcPr>
            <w:tcW w:w="4644" w:type="dxa"/>
          </w:tcPr>
          <w:p w14:paraId="6CEEED2F" w14:textId="68DD26BF" w:rsidR="003A38FF" w:rsidRPr="00D0180E" w:rsidRDefault="003A38FF" w:rsidP="003A38FF">
            <w:pPr>
              <w:pStyle w:val="Texto"/>
              <w:spacing w:line="238" w:lineRule="exact"/>
              <w:ind w:firstLine="0"/>
              <w:rPr>
                <w:rFonts w:ascii="Verdana" w:hAnsi="Verdana"/>
                <w:b/>
                <w:sz w:val="16"/>
                <w:szCs w:val="16"/>
                <w:lang w:val="en-US"/>
              </w:rPr>
            </w:pPr>
            <w:r w:rsidRPr="0028318A">
              <w:rPr>
                <w:rFonts w:ascii="Verdana" w:hAnsi="Verdana"/>
                <w:b/>
                <w:sz w:val="16"/>
                <w:szCs w:val="16"/>
                <w:lang w:val="en-US"/>
              </w:rPr>
              <w:t>XXIX</w:t>
            </w:r>
            <w:proofErr w:type="gramStart"/>
            <w:r w:rsidRPr="0028318A">
              <w:rPr>
                <w:rFonts w:ascii="Verdana" w:hAnsi="Verdana"/>
                <w:b/>
                <w:sz w:val="16"/>
                <w:szCs w:val="16"/>
                <w:lang w:val="en-US"/>
              </w:rPr>
              <w:t xml:space="preserve">. </w:t>
            </w:r>
            <w:r w:rsidRPr="0028318A">
              <w:rPr>
                <w:rFonts w:ascii="Verdana" w:hAnsi="Verdana"/>
                <w:b/>
                <w:sz w:val="16"/>
                <w:szCs w:val="16"/>
                <w:lang w:val="en-US"/>
              </w:rPr>
              <w:tab/>
              <w:t>Electricity</w:t>
            </w:r>
            <w:proofErr w:type="gramEnd"/>
            <w:r w:rsidRPr="0028318A">
              <w:rPr>
                <w:rFonts w:ascii="Verdana" w:hAnsi="Verdana"/>
                <w:b/>
                <w:sz w:val="16"/>
                <w:szCs w:val="16"/>
                <w:lang w:val="en-US"/>
              </w:rPr>
              <w:t xml:space="preserve"> Rates: </w:t>
            </w:r>
            <w:r w:rsidRPr="0028318A">
              <w:rPr>
                <w:rFonts w:ascii="Verdana" w:hAnsi="Verdana"/>
                <w:sz w:val="16"/>
                <w:szCs w:val="16"/>
                <w:lang w:val="en-US"/>
              </w:rPr>
              <w:t>Regulated Rates and the rest of the rates referred to in the Law;</w:t>
            </w:r>
          </w:p>
        </w:tc>
      </w:tr>
      <w:tr w:rsidR="003A38FF" w:rsidRPr="00385481" w14:paraId="45AB3B0C" w14:textId="250E22EE" w:rsidTr="00FB5DAD">
        <w:tc>
          <w:tcPr>
            <w:tcW w:w="4706" w:type="dxa"/>
          </w:tcPr>
          <w:p w14:paraId="48678021"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b/>
                <w:sz w:val="16"/>
                <w:szCs w:val="16"/>
              </w:rPr>
              <w:t>XXX.</w:t>
            </w:r>
            <w:r w:rsidRPr="00D0180E">
              <w:rPr>
                <w:rFonts w:ascii="Verdana" w:hAnsi="Verdana"/>
                <w:b/>
                <w:sz w:val="16"/>
                <w:szCs w:val="16"/>
              </w:rPr>
              <w:tab/>
              <w:t>Transferencia de Tecnología:</w:t>
            </w:r>
            <w:r w:rsidRPr="00D0180E">
              <w:rPr>
                <w:rFonts w:ascii="Verdana" w:hAnsi="Verdana"/>
                <w:sz w:val="16"/>
                <w:szCs w:val="16"/>
              </w:rPr>
              <w:t xml:space="preserve"> Conjunto de instrumentos y mecanismos para acceder, desarrollar, asimilar, innovar, adoptar, habilitar o transferir de manera sistemática a la industria mexicana, sus cadenas productivas y a la mano de obra nacional, conocimientos técnicos de vanguardia y especializados, así como mejores prácticas y tecnologías críticas para el sector eléctrico, con el objetivo de desarrollar una base tecnológica sólida de capacidades nacionales;</w:t>
            </w:r>
          </w:p>
        </w:tc>
        <w:tc>
          <w:tcPr>
            <w:tcW w:w="4644" w:type="dxa"/>
          </w:tcPr>
          <w:p w14:paraId="2A5ECBDF" w14:textId="02DDEED3" w:rsidR="003A38FF" w:rsidRPr="00D0180E" w:rsidRDefault="003A38FF" w:rsidP="003A38FF">
            <w:pPr>
              <w:pStyle w:val="Texto"/>
              <w:spacing w:line="238" w:lineRule="exact"/>
              <w:ind w:firstLine="0"/>
              <w:rPr>
                <w:rFonts w:ascii="Verdana" w:hAnsi="Verdana"/>
                <w:b/>
                <w:sz w:val="16"/>
                <w:szCs w:val="16"/>
                <w:lang w:val="en-US"/>
              </w:rPr>
            </w:pPr>
            <w:r w:rsidRPr="0028318A">
              <w:rPr>
                <w:rFonts w:ascii="Verdana" w:hAnsi="Verdana"/>
                <w:b/>
                <w:sz w:val="16"/>
                <w:szCs w:val="16"/>
                <w:lang w:val="en-US"/>
              </w:rPr>
              <w:t xml:space="preserve">XXX. </w:t>
            </w:r>
            <w:r w:rsidRPr="0028318A">
              <w:rPr>
                <w:rFonts w:ascii="Verdana" w:hAnsi="Verdana"/>
                <w:b/>
                <w:sz w:val="16"/>
                <w:szCs w:val="16"/>
                <w:lang w:val="en-US"/>
              </w:rPr>
              <w:tab/>
              <w:t xml:space="preserve">Technology Transfer: </w:t>
            </w:r>
            <w:r w:rsidRPr="0028318A">
              <w:rPr>
                <w:rFonts w:ascii="Verdana" w:hAnsi="Verdana"/>
                <w:sz w:val="16"/>
                <w:szCs w:val="16"/>
                <w:lang w:val="en-US"/>
              </w:rPr>
              <w:t xml:space="preserve">Set of instruments and mechanisms to access, develop, assimilate, innovate, adopt, enable or transfer in a systematic manner to the </w:t>
            </w:r>
            <w:r>
              <w:rPr>
                <w:rFonts w:ascii="Verdana" w:hAnsi="Verdana"/>
                <w:sz w:val="16"/>
                <w:szCs w:val="16"/>
                <w:lang w:val="en-US"/>
              </w:rPr>
              <w:t>M</w:t>
            </w:r>
            <w:r w:rsidRPr="0028318A">
              <w:rPr>
                <w:rFonts w:ascii="Verdana" w:hAnsi="Verdana"/>
                <w:sz w:val="16"/>
                <w:szCs w:val="16"/>
                <w:lang w:val="en-US"/>
              </w:rPr>
              <w:t>exican industry, its production chains and the national workforce, cutting-edge and specialized technical knowledge, as well as best practices and critical technologies for the electrical sector, with the objective of developing a solid technological base of national capabilities;</w:t>
            </w:r>
          </w:p>
        </w:tc>
      </w:tr>
      <w:tr w:rsidR="003A38FF" w:rsidRPr="00385481" w14:paraId="3D506B1E" w14:textId="11BFE176" w:rsidTr="00FB5DAD">
        <w:tc>
          <w:tcPr>
            <w:tcW w:w="4706" w:type="dxa"/>
          </w:tcPr>
          <w:p w14:paraId="550509A9" w14:textId="77777777" w:rsidR="003A38FF" w:rsidRPr="00D0180E" w:rsidRDefault="003A38FF" w:rsidP="003A38FF">
            <w:pPr>
              <w:pStyle w:val="Texto"/>
              <w:spacing w:line="221" w:lineRule="exact"/>
              <w:ind w:firstLine="0"/>
              <w:rPr>
                <w:rFonts w:ascii="Verdana" w:hAnsi="Verdana"/>
                <w:sz w:val="16"/>
                <w:szCs w:val="16"/>
              </w:rPr>
            </w:pPr>
            <w:r w:rsidRPr="00D0180E">
              <w:rPr>
                <w:rFonts w:ascii="Verdana" w:hAnsi="Verdana"/>
                <w:b/>
                <w:sz w:val="16"/>
                <w:szCs w:val="16"/>
              </w:rPr>
              <w:lastRenderedPageBreak/>
              <w:t>XXXI.</w:t>
            </w:r>
            <w:r w:rsidRPr="00D0180E">
              <w:rPr>
                <w:rFonts w:ascii="Verdana" w:hAnsi="Verdana"/>
                <w:b/>
                <w:sz w:val="16"/>
                <w:szCs w:val="16"/>
              </w:rPr>
              <w:tab/>
              <w:t>Usuaria de Autoconsumo:</w:t>
            </w:r>
            <w:r w:rsidRPr="00D0180E">
              <w:rPr>
                <w:rFonts w:ascii="Verdana" w:hAnsi="Verdana"/>
                <w:sz w:val="16"/>
                <w:szCs w:val="16"/>
              </w:rPr>
              <w:t xml:space="preserve"> Persona física o moral cuyos centros de consumo reciben y aprovechan energía eléctrica de una Central Eléctrica con permiso de generación de energía eléctrica bajo la figura de autoconsumo, y que pueden formar parte de un Grupo de Autoconsumo, cuando se trata de más de una usuaria, y</w:t>
            </w:r>
          </w:p>
        </w:tc>
        <w:tc>
          <w:tcPr>
            <w:tcW w:w="4644" w:type="dxa"/>
          </w:tcPr>
          <w:p w14:paraId="09392F3B" w14:textId="507B82D7" w:rsidR="003A38FF" w:rsidRPr="00D0180E" w:rsidRDefault="003A38FF" w:rsidP="003A38FF">
            <w:pPr>
              <w:pStyle w:val="Texto"/>
              <w:spacing w:line="221" w:lineRule="exact"/>
              <w:ind w:firstLine="0"/>
              <w:rPr>
                <w:rFonts w:ascii="Verdana" w:hAnsi="Verdana"/>
                <w:b/>
                <w:sz w:val="16"/>
                <w:szCs w:val="16"/>
                <w:lang w:val="en-US"/>
              </w:rPr>
            </w:pPr>
            <w:r w:rsidRPr="0028318A">
              <w:rPr>
                <w:rFonts w:ascii="Verdana" w:hAnsi="Verdana"/>
                <w:b/>
                <w:sz w:val="16"/>
                <w:szCs w:val="16"/>
                <w:lang w:val="en-US"/>
              </w:rPr>
              <w:t>XXXI</w:t>
            </w:r>
            <w:proofErr w:type="gramStart"/>
            <w:r w:rsidRPr="0028318A">
              <w:rPr>
                <w:rFonts w:ascii="Verdana" w:hAnsi="Verdana"/>
                <w:b/>
                <w:sz w:val="16"/>
                <w:szCs w:val="16"/>
                <w:lang w:val="en-US"/>
              </w:rPr>
              <w:t xml:space="preserve">. </w:t>
            </w:r>
            <w:r w:rsidRPr="0028318A">
              <w:rPr>
                <w:rFonts w:ascii="Verdana" w:hAnsi="Verdana"/>
                <w:b/>
                <w:sz w:val="16"/>
                <w:szCs w:val="16"/>
                <w:lang w:val="en-US"/>
              </w:rPr>
              <w:tab/>
              <w:t>Self</w:t>
            </w:r>
            <w:proofErr w:type="gramEnd"/>
            <w:r w:rsidRPr="0028318A">
              <w:rPr>
                <w:rFonts w:ascii="Verdana" w:hAnsi="Verdana"/>
                <w:b/>
                <w:sz w:val="16"/>
                <w:szCs w:val="16"/>
                <w:lang w:val="en-US"/>
              </w:rPr>
              <w:t xml:space="preserve">-consumption user: </w:t>
            </w:r>
            <w:r>
              <w:rPr>
                <w:rFonts w:ascii="Verdana" w:hAnsi="Verdana"/>
                <w:sz w:val="16"/>
                <w:szCs w:val="16"/>
                <w:lang w:val="en-US"/>
              </w:rPr>
              <w:t>An individual or legal entity</w:t>
            </w:r>
            <w:r w:rsidRPr="0028318A">
              <w:rPr>
                <w:rFonts w:ascii="Verdana" w:hAnsi="Verdana"/>
                <w:sz w:val="16"/>
                <w:szCs w:val="16"/>
                <w:lang w:val="en-US"/>
              </w:rPr>
              <w:t xml:space="preserve"> whose consumption centers receive and use electrical energy from a </w:t>
            </w:r>
            <w:r>
              <w:rPr>
                <w:rFonts w:ascii="Verdana" w:hAnsi="Verdana"/>
                <w:sz w:val="16"/>
                <w:szCs w:val="16"/>
                <w:lang w:val="en-US"/>
              </w:rPr>
              <w:t>power plant</w:t>
            </w:r>
            <w:r w:rsidRPr="0028318A">
              <w:rPr>
                <w:rFonts w:ascii="Verdana" w:hAnsi="Verdana"/>
                <w:sz w:val="16"/>
                <w:szCs w:val="16"/>
                <w:lang w:val="en-US"/>
              </w:rPr>
              <w:t xml:space="preserve"> with a permit to generate electrical energy under the self-consumption figure, and who may form part of a self-consumption group, when there is more than one user, and</w:t>
            </w:r>
          </w:p>
        </w:tc>
      </w:tr>
      <w:tr w:rsidR="003A38FF" w:rsidRPr="00385481" w14:paraId="58F73E5E" w14:textId="71D5A939" w:rsidTr="00FB5DAD">
        <w:tc>
          <w:tcPr>
            <w:tcW w:w="4706" w:type="dxa"/>
          </w:tcPr>
          <w:p w14:paraId="512A25C1" w14:textId="77777777" w:rsidR="003A38FF" w:rsidRPr="00D0180E" w:rsidRDefault="003A38FF" w:rsidP="003A38FF">
            <w:pPr>
              <w:pStyle w:val="Texto"/>
              <w:spacing w:line="221" w:lineRule="exact"/>
              <w:ind w:firstLine="0"/>
              <w:rPr>
                <w:rFonts w:ascii="Verdana" w:hAnsi="Verdana"/>
                <w:sz w:val="16"/>
                <w:szCs w:val="16"/>
              </w:rPr>
            </w:pPr>
            <w:r w:rsidRPr="00D0180E">
              <w:rPr>
                <w:rFonts w:ascii="Verdana" w:hAnsi="Verdana"/>
                <w:b/>
                <w:sz w:val="16"/>
                <w:szCs w:val="16"/>
              </w:rPr>
              <w:t>XXXII.</w:t>
            </w:r>
            <w:r w:rsidRPr="00D0180E">
              <w:rPr>
                <w:rFonts w:ascii="Verdana" w:hAnsi="Verdana"/>
                <w:b/>
                <w:sz w:val="16"/>
                <w:szCs w:val="16"/>
              </w:rPr>
              <w:tab/>
              <w:t>Vigilancia del Mercado:</w:t>
            </w:r>
            <w:r w:rsidRPr="00D0180E">
              <w:rPr>
                <w:rFonts w:ascii="Verdana" w:hAnsi="Verdana"/>
                <w:sz w:val="16"/>
                <w:szCs w:val="16"/>
              </w:rPr>
              <w:t xml:space="preserve"> Los procesos y procedimientos para supervisar, investigar, evaluar e informar sobre la operación y vigilancia del Mercado Eléctrico Mayorista que se realiza en términos de la Ley, el presente reglamento y las Reglas del Mercado.</w:t>
            </w:r>
          </w:p>
        </w:tc>
        <w:tc>
          <w:tcPr>
            <w:tcW w:w="4644" w:type="dxa"/>
          </w:tcPr>
          <w:p w14:paraId="2CC9D1CA" w14:textId="3A315888" w:rsidR="003A38FF" w:rsidRPr="00D0180E" w:rsidRDefault="003A38FF" w:rsidP="003A38FF">
            <w:pPr>
              <w:pStyle w:val="Texto"/>
              <w:spacing w:line="221" w:lineRule="exact"/>
              <w:ind w:firstLine="0"/>
              <w:rPr>
                <w:rFonts w:ascii="Verdana" w:hAnsi="Verdana"/>
                <w:b/>
                <w:sz w:val="16"/>
                <w:szCs w:val="16"/>
                <w:lang w:val="en-US"/>
              </w:rPr>
            </w:pPr>
            <w:r w:rsidRPr="0028318A">
              <w:rPr>
                <w:rFonts w:ascii="Verdana" w:hAnsi="Verdana"/>
                <w:b/>
                <w:sz w:val="16"/>
                <w:szCs w:val="16"/>
                <w:lang w:val="en-US"/>
              </w:rPr>
              <w:t xml:space="preserve">XXXII. </w:t>
            </w:r>
            <w:r w:rsidRPr="0028318A">
              <w:rPr>
                <w:rFonts w:ascii="Verdana" w:hAnsi="Verdana"/>
                <w:b/>
                <w:sz w:val="16"/>
                <w:szCs w:val="16"/>
                <w:lang w:val="en-US"/>
              </w:rPr>
              <w:tab/>
              <w:t xml:space="preserve">Market </w:t>
            </w:r>
            <w:r>
              <w:rPr>
                <w:rFonts w:ascii="Verdana" w:hAnsi="Verdana"/>
                <w:b/>
                <w:sz w:val="16"/>
                <w:szCs w:val="16"/>
                <w:lang w:val="en-US"/>
              </w:rPr>
              <w:t>Oversight</w:t>
            </w:r>
            <w:r w:rsidRPr="0028318A">
              <w:rPr>
                <w:rFonts w:ascii="Verdana" w:hAnsi="Verdana"/>
                <w:b/>
                <w:sz w:val="16"/>
                <w:szCs w:val="16"/>
                <w:lang w:val="en-US"/>
              </w:rPr>
              <w:t xml:space="preserve">: </w:t>
            </w:r>
            <w:r w:rsidRPr="0028318A">
              <w:rPr>
                <w:rFonts w:ascii="Verdana" w:hAnsi="Verdana"/>
                <w:sz w:val="16"/>
                <w:szCs w:val="16"/>
                <w:lang w:val="en-US"/>
              </w:rPr>
              <w:t xml:space="preserve">The processes and procedures for supervising, investigating, evaluating and reporting on the operation and </w:t>
            </w:r>
            <w:r>
              <w:rPr>
                <w:rFonts w:ascii="Verdana" w:hAnsi="Verdana"/>
                <w:sz w:val="16"/>
                <w:szCs w:val="16"/>
                <w:lang w:val="en-US"/>
              </w:rPr>
              <w:t>oversight</w:t>
            </w:r>
            <w:r w:rsidRPr="0028318A">
              <w:rPr>
                <w:rFonts w:ascii="Verdana" w:hAnsi="Verdana"/>
                <w:sz w:val="16"/>
                <w:szCs w:val="16"/>
                <w:lang w:val="en-US"/>
              </w:rPr>
              <w:t xml:space="preserve"> of the wholesale electricity market carried out in accordance with the Law, </w:t>
            </w:r>
            <w:r>
              <w:rPr>
                <w:rFonts w:ascii="Verdana" w:hAnsi="Verdana"/>
                <w:sz w:val="16"/>
                <w:szCs w:val="16"/>
                <w:lang w:val="en-US"/>
              </w:rPr>
              <w:t>this Regulation</w:t>
            </w:r>
            <w:r w:rsidRPr="0028318A">
              <w:rPr>
                <w:rFonts w:ascii="Verdana" w:hAnsi="Verdana"/>
                <w:sz w:val="16"/>
                <w:szCs w:val="16"/>
                <w:lang w:val="en-US"/>
              </w:rPr>
              <w:t xml:space="preserve"> and the Market Rules.</w:t>
            </w:r>
          </w:p>
        </w:tc>
      </w:tr>
      <w:tr w:rsidR="003A38FF" w:rsidRPr="00385481" w14:paraId="1CC7C9A1" w14:textId="55820361" w:rsidTr="00FB5DAD">
        <w:tc>
          <w:tcPr>
            <w:tcW w:w="4706" w:type="dxa"/>
          </w:tcPr>
          <w:p w14:paraId="20209383" w14:textId="77777777" w:rsidR="003A38FF" w:rsidRPr="00D0180E" w:rsidRDefault="003A38FF" w:rsidP="003A38FF">
            <w:pPr>
              <w:pStyle w:val="Texto"/>
              <w:spacing w:line="221" w:lineRule="exact"/>
              <w:ind w:firstLine="0"/>
              <w:rPr>
                <w:rFonts w:ascii="Verdana" w:hAnsi="Verdana"/>
                <w:sz w:val="16"/>
                <w:szCs w:val="16"/>
              </w:rPr>
            </w:pPr>
            <w:r w:rsidRPr="00D0180E">
              <w:rPr>
                <w:rFonts w:ascii="Verdana" w:hAnsi="Verdana"/>
                <w:b/>
                <w:sz w:val="16"/>
                <w:szCs w:val="16"/>
              </w:rPr>
              <w:t>Artículo 3.</w:t>
            </w:r>
            <w:r w:rsidRPr="00D0180E">
              <w:rPr>
                <w:rFonts w:ascii="Verdana" w:hAnsi="Verdana"/>
                <w:sz w:val="16"/>
                <w:szCs w:val="16"/>
              </w:rPr>
              <w:t xml:space="preserve"> La aplicación de este reglamento compete a la Secretaría y la CNE, en el ámbito de sus competencias, sin perjuicio de las atribuciones que correspondan a otras dependencias y entidades de la Administración Pública Federal.</w:t>
            </w:r>
          </w:p>
        </w:tc>
        <w:tc>
          <w:tcPr>
            <w:tcW w:w="4644" w:type="dxa"/>
          </w:tcPr>
          <w:p w14:paraId="77C887A3" w14:textId="1765C438" w:rsidR="003A38FF" w:rsidRPr="00D0180E" w:rsidRDefault="003A38FF" w:rsidP="003A38FF">
            <w:pPr>
              <w:pStyle w:val="Texto"/>
              <w:spacing w:line="221" w:lineRule="exact"/>
              <w:ind w:firstLine="0"/>
              <w:rPr>
                <w:rFonts w:ascii="Verdana" w:hAnsi="Verdana"/>
                <w:b/>
                <w:sz w:val="16"/>
                <w:szCs w:val="16"/>
                <w:lang w:val="en-US"/>
              </w:rPr>
            </w:pPr>
            <w:r w:rsidRPr="0028318A">
              <w:rPr>
                <w:rFonts w:ascii="Verdana" w:hAnsi="Verdana"/>
                <w:b/>
                <w:sz w:val="16"/>
                <w:szCs w:val="16"/>
                <w:lang w:val="en-US"/>
              </w:rPr>
              <w:t xml:space="preserve">Article 3. </w:t>
            </w:r>
            <w:r w:rsidRPr="0028318A">
              <w:rPr>
                <w:rFonts w:ascii="Verdana" w:hAnsi="Verdana"/>
                <w:sz w:val="16"/>
                <w:szCs w:val="16"/>
                <w:lang w:val="en-US"/>
              </w:rPr>
              <w:t>The application of this regulation is the responsibility of the Secretary and the CNE, within the scope of their powers, without prejudice to the powers that correspond to other departments and entities of the federal public administration.</w:t>
            </w:r>
          </w:p>
        </w:tc>
      </w:tr>
      <w:tr w:rsidR="003A38FF" w:rsidRPr="00385481" w14:paraId="01F7A170" w14:textId="63086B87" w:rsidTr="00FB5DAD">
        <w:tc>
          <w:tcPr>
            <w:tcW w:w="4706" w:type="dxa"/>
          </w:tcPr>
          <w:p w14:paraId="378EF271" w14:textId="77777777" w:rsidR="003A38FF" w:rsidRPr="00D0180E" w:rsidRDefault="003A38FF" w:rsidP="003A38FF">
            <w:pPr>
              <w:pStyle w:val="Texto"/>
              <w:spacing w:line="221" w:lineRule="exact"/>
              <w:ind w:firstLine="0"/>
              <w:rPr>
                <w:rFonts w:ascii="Verdana" w:hAnsi="Verdana"/>
                <w:sz w:val="16"/>
                <w:szCs w:val="16"/>
              </w:rPr>
            </w:pPr>
            <w:r w:rsidRPr="00D0180E">
              <w:rPr>
                <w:rFonts w:ascii="Verdana" w:hAnsi="Verdana"/>
                <w:sz w:val="16"/>
                <w:szCs w:val="16"/>
              </w:rPr>
              <w:t>Corresponde a la Secretaría y a la CNE, en el ámbito de sus respectivas competencias, la emisión o actualización de los actos administrativos de carácter general, tales como decretos, acuerdos, normas, normas oficiales mexicanas, circulares, formatos, permisos y autorizaciones, así como los lineamientos, criterios, metodologías, instructivos, directivas, reglas, manuales, disposiciones que tengan por objeto establecer obligaciones generales o específicas y cualesquiera de naturaleza análoga a los actos anteriores, respecto de las actividades reguladas en la Ley y en este reglamento, sin perjuicio de las facultades que, en su caso, correspondan a otras dependencias y entidades de la Administración Pública Federal.</w:t>
            </w:r>
          </w:p>
        </w:tc>
        <w:tc>
          <w:tcPr>
            <w:tcW w:w="4644" w:type="dxa"/>
          </w:tcPr>
          <w:p w14:paraId="551208DC" w14:textId="35917576" w:rsidR="003A38FF" w:rsidRPr="00D0180E" w:rsidRDefault="003A38FF" w:rsidP="003A38FF">
            <w:pPr>
              <w:pStyle w:val="Texto"/>
              <w:spacing w:line="221" w:lineRule="exact"/>
              <w:ind w:firstLine="0"/>
              <w:rPr>
                <w:rFonts w:ascii="Verdana" w:hAnsi="Verdana"/>
                <w:sz w:val="16"/>
                <w:szCs w:val="16"/>
                <w:lang w:val="en-US"/>
              </w:rPr>
            </w:pPr>
            <w:r w:rsidRPr="0028318A">
              <w:rPr>
                <w:rFonts w:ascii="Verdana" w:hAnsi="Verdana"/>
                <w:sz w:val="16"/>
                <w:szCs w:val="16"/>
                <w:lang w:val="en-US"/>
              </w:rPr>
              <w:t xml:space="preserve">It is the responsibility of the Secretary and the CNE, within the scope of their respective powers, to issue or update administrative acts of a general nature, such as decrees, agreements, </w:t>
            </w:r>
            <w:r>
              <w:rPr>
                <w:rFonts w:ascii="Verdana" w:hAnsi="Verdana"/>
                <w:sz w:val="16"/>
                <w:szCs w:val="16"/>
                <w:lang w:val="en-US"/>
              </w:rPr>
              <w:t>norms</w:t>
            </w:r>
            <w:r w:rsidRPr="0028318A">
              <w:rPr>
                <w:rFonts w:ascii="Verdana" w:hAnsi="Verdana"/>
                <w:sz w:val="16"/>
                <w:szCs w:val="16"/>
                <w:lang w:val="en-US"/>
              </w:rPr>
              <w:t xml:space="preserve">, Official Mexican Standards, circulars, formats, permits and authorizations, as well as guidelines, criteria, methodologies, instructions, directives, rules, manuals, provisions that aim to establish general or specific obligations and any of a nature analogous to the previous acts, with respect to the activities regulated by the Law and in this regulation, without prejudice to the powers that, where applicable, correspond to other </w:t>
            </w:r>
            <w:r>
              <w:rPr>
                <w:rFonts w:ascii="Verdana" w:hAnsi="Verdana"/>
                <w:sz w:val="16"/>
                <w:szCs w:val="16"/>
                <w:lang w:val="en-US"/>
              </w:rPr>
              <w:t>departments</w:t>
            </w:r>
            <w:r w:rsidRPr="0028318A">
              <w:rPr>
                <w:rFonts w:ascii="Verdana" w:hAnsi="Verdana"/>
                <w:sz w:val="16"/>
                <w:szCs w:val="16"/>
                <w:lang w:val="en-US"/>
              </w:rPr>
              <w:t xml:space="preserve"> and entities of the federal public administration.</w:t>
            </w:r>
          </w:p>
        </w:tc>
      </w:tr>
      <w:tr w:rsidR="003A38FF" w:rsidRPr="00385481" w14:paraId="4E67F55E" w14:textId="2FEAD290" w:rsidTr="00FB5DAD">
        <w:tc>
          <w:tcPr>
            <w:tcW w:w="4706" w:type="dxa"/>
          </w:tcPr>
          <w:p w14:paraId="13F8E4A3" w14:textId="77777777" w:rsidR="003A38FF" w:rsidRPr="00D0180E" w:rsidRDefault="003A38FF" w:rsidP="003A38FF">
            <w:pPr>
              <w:pStyle w:val="Texto"/>
              <w:spacing w:line="221" w:lineRule="exact"/>
              <w:ind w:firstLine="0"/>
              <w:rPr>
                <w:rFonts w:ascii="Verdana" w:hAnsi="Verdana"/>
                <w:sz w:val="16"/>
                <w:szCs w:val="16"/>
              </w:rPr>
            </w:pPr>
            <w:r w:rsidRPr="00D0180E">
              <w:rPr>
                <w:rFonts w:ascii="Verdana" w:hAnsi="Verdana"/>
                <w:b/>
                <w:sz w:val="16"/>
                <w:szCs w:val="16"/>
              </w:rPr>
              <w:t xml:space="preserve">Artículo 4. </w:t>
            </w:r>
            <w:r w:rsidRPr="00D0180E">
              <w:rPr>
                <w:rFonts w:ascii="Verdana" w:hAnsi="Verdana"/>
                <w:sz w:val="16"/>
                <w:szCs w:val="16"/>
              </w:rPr>
              <w:t>Para efectos de los trámites, notificaciones, citaciones, emplazamientos, informes, requerimientos, verificaciones, inspecciones, seguimiento de proyectos, medidas cautelares, correctivas y de seguridad, la Secretaría, el CENACE y la CNE, pueden auxiliarse de medios de comunicación electrónicos, de equipos, herramientas, sistemas y programas tecnológicos u otros que faciliten su práctica.</w:t>
            </w:r>
          </w:p>
        </w:tc>
        <w:tc>
          <w:tcPr>
            <w:tcW w:w="4644" w:type="dxa"/>
          </w:tcPr>
          <w:p w14:paraId="5E9CB4B4" w14:textId="3643380D" w:rsidR="003A38FF" w:rsidRPr="00D0180E" w:rsidRDefault="003A38FF" w:rsidP="003A38FF">
            <w:pPr>
              <w:pStyle w:val="Texto"/>
              <w:spacing w:line="221" w:lineRule="exact"/>
              <w:ind w:firstLine="0"/>
              <w:rPr>
                <w:rFonts w:ascii="Verdana" w:hAnsi="Verdana"/>
                <w:b/>
                <w:sz w:val="16"/>
                <w:szCs w:val="16"/>
                <w:lang w:val="en-US"/>
              </w:rPr>
            </w:pPr>
            <w:r w:rsidRPr="0028318A">
              <w:rPr>
                <w:rFonts w:ascii="Verdana" w:hAnsi="Verdana"/>
                <w:b/>
                <w:sz w:val="16"/>
                <w:szCs w:val="16"/>
                <w:lang w:val="en-US"/>
              </w:rPr>
              <w:t xml:space="preserve">Article 4. </w:t>
            </w:r>
            <w:r w:rsidRPr="0028318A">
              <w:rPr>
                <w:rFonts w:ascii="Verdana" w:hAnsi="Verdana"/>
                <w:sz w:val="16"/>
                <w:szCs w:val="16"/>
                <w:lang w:val="en-US"/>
              </w:rPr>
              <w:t xml:space="preserve">For the purposes of procedures, notifications, citations, summons, reports, requirements, verifications, inspections, project monitoring, precautionary, corrective and </w:t>
            </w:r>
            <w:r w:rsidR="00226052">
              <w:rPr>
                <w:rFonts w:ascii="Verdana" w:hAnsi="Verdana"/>
                <w:sz w:val="16"/>
                <w:szCs w:val="16"/>
                <w:lang w:val="en-US"/>
              </w:rPr>
              <w:t>safety measures</w:t>
            </w:r>
            <w:r w:rsidRPr="0028318A">
              <w:rPr>
                <w:rFonts w:ascii="Verdana" w:hAnsi="Verdana"/>
                <w:sz w:val="16"/>
                <w:szCs w:val="16"/>
                <w:lang w:val="en-US"/>
              </w:rPr>
              <w:t>, the Secretary, CENACE and the CNE may use electronic means of communication, equipment, tools, systems and technological programs or others that facilitate their practice.</w:t>
            </w:r>
          </w:p>
        </w:tc>
      </w:tr>
      <w:tr w:rsidR="003A38FF" w:rsidRPr="00D83DA2" w14:paraId="0E158A2A" w14:textId="3CCD47CA" w:rsidTr="00FB5DAD">
        <w:tc>
          <w:tcPr>
            <w:tcW w:w="4706" w:type="dxa"/>
          </w:tcPr>
          <w:p w14:paraId="053CF1D1" w14:textId="77777777" w:rsidR="003A38FF" w:rsidRPr="00D0180E" w:rsidRDefault="003A38FF" w:rsidP="003A38FF">
            <w:pPr>
              <w:pStyle w:val="Texto"/>
              <w:spacing w:line="221" w:lineRule="exact"/>
              <w:ind w:firstLine="0"/>
              <w:rPr>
                <w:rFonts w:ascii="Verdana" w:hAnsi="Verdana"/>
                <w:sz w:val="16"/>
                <w:szCs w:val="16"/>
              </w:rPr>
            </w:pPr>
            <w:r w:rsidRPr="00D0180E">
              <w:rPr>
                <w:rFonts w:ascii="Verdana" w:hAnsi="Verdana"/>
                <w:sz w:val="16"/>
                <w:szCs w:val="16"/>
              </w:rPr>
              <w:t>Cuando se realicen las notificaciones por medios de comunicación electrónica o cualquier otro medio digital, se debe contar con la aceptación expresa del promovente o la persona que se pretenda notificar.</w:t>
            </w:r>
          </w:p>
        </w:tc>
        <w:tc>
          <w:tcPr>
            <w:tcW w:w="4644" w:type="dxa"/>
          </w:tcPr>
          <w:p w14:paraId="2A47E787" w14:textId="2716E898" w:rsidR="003A38FF" w:rsidRPr="00D0180E" w:rsidRDefault="003A38FF" w:rsidP="003A38FF">
            <w:pPr>
              <w:pStyle w:val="Texto"/>
              <w:spacing w:line="221" w:lineRule="exact"/>
              <w:ind w:firstLine="0"/>
              <w:rPr>
                <w:rFonts w:ascii="Verdana" w:hAnsi="Verdana"/>
                <w:sz w:val="16"/>
                <w:szCs w:val="16"/>
                <w:lang w:val="en-US"/>
              </w:rPr>
            </w:pPr>
            <w:r w:rsidRPr="0028318A">
              <w:rPr>
                <w:rFonts w:ascii="Verdana" w:hAnsi="Verdana"/>
                <w:sz w:val="16"/>
                <w:szCs w:val="16"/>
                <w:lang w:val="en-US"/>
              </w:rPr>
              <w:t>When notifications are made by electronic means or any other digital means, the express acceptance of the promoter or the person to be notified must be obtained.</w:t>
            </w:r>
          </w:p>
        </w:tc>
      </w:tr>
      <w:tr w:rsidR="003A38FF" w:rsidRPr="00D83DA2" w14:paraId="2D720AC6" w14:textId="2389E309" w:rsidTr="00FB5DAD">
        <w:tc>
          <w:tcPr>
            <w:tcW w:w="4706" w:type="dxa"/>
          </w:tcPr>
          <w:p w14:paraId="6B621950" w14:textId="77777777" w:rsidR="003A38FF" w:rsidRPr="00D0180E" w:rsidRDefault="003A38FF" w:rsidP="003A38FF">
            <w:pPr>
              <w:pStyle w:val="Texto"/>
              <w:spacing w:line="221" w:lineRule="exact"/>
              <w:ind w:firstLine="0"/>
              <w:rPr>
                <w:rFonts w:ascii="Verdana" w:hAnsi="Verdana"/>
                <w:sz w:val="16"/>
                <w:szCs w:val="16"/>
              </w:rPr>
            </w:pPr>
            <w:r w:rsidRPr="00D0180E">
              <w:rPr>
                <w:rFonts w:ascii="Verdana" w:hAnsi="Verdana"/>
                <w:b/>
                <w:sz w:val="16"/>
                <w:szCs w:val="16"/>
              </w:rPr>
              <w:t>Artículo 5.</w:t>
            </w:r>
            <w:r w:rsidRPr="00D0180E">
              <w:rPr>
                <w:rFonts w:ascii="Verdana" w:hAnsi="Verdana"/>
                <w:sz w:val="16"/>
                <w:szCs w:val="16"/>
              </w:rPr>
              <w:t xml:space="preserve"> A falta de disposición expresa en este ordenamiento, son de aplicación supletoria al mismo, la Ley Federal de Procedimiento Administrativo y el código de procedimientos civiles vigente.</w:t>
            </w:r>
          </w:p>
        </w:tc>
        <w:tc>
          <w:tcPr>
            <w:tcW w:w="4644" w:type="dxa"/>
          </w:tcPr>
          <w:p w14:paraId="7BD7A48F" w14:textId="3116C1AC" w:rsidR="003A38FF" w:rsidRPr="00D0180E" w:rsidRDefault="003A38FF" w:rsidP="003A38FF">
            <w:pPr>
              <w:pStyle w:val="Texto"/>
              <w:spacing w:line="221" w:lineRule="exact"/>
              <w:ind w:firstLine="0"/>
              <w:rPr>
                <w:rFonts w:ascii="Verdana" w:hAnsi="Verdana"/>
                <w:b/>
                <w:sz w:val="16"/>
                <w:szCs w:val="16"/>
                <w:lang w:val="en-US"/>
              </w:rPr>
            </w:pPr>
            <w:r w:rsidRPr="0028318A">
              <w:rPr>
                <w:rFonts w:ascii="Verdana" w:hAnsi="Verdana"/>
                <w:b/>
                <w:sz w:val="16"/>
                <w:szCs w:val="16"/>
                <w:lang w:val="en-US"/>
              </w:rPr>
              <w:t xml:space="preserve">Article 5. </w:t>
            </w:r>
            <w:r w:rsidRPr="0028318A">
              <w:rPr>
                <w:rFonts w:ascii="Verdana" w:hAnsi="Verdana"/>
                <w:sz w:val="16"/>
                <w:szCs w:val="16"/>
                <w:lang w:val="en-US"/>
              </w:rPr>
              <w:t xml:space="preserve">In the absence of an express provision in this ordinance, the Federal Law of Administrative Procedure and the current </w:t>
            </w:r>
            <w:r>
              <w:rPr>
                <w:rFonts w:ascii="Verdana" w:hAnsi="Verdana"/>
                <w:sz w:val="16"/>
                <w:szCs w:val="16"/>
                <w:lang w:val="en-US"/>
              </w:rPr>
              <w:t>C</w:t>
            </w:r>
            <w:r w:rsidRPr="0028318A">
              <w:rPr>
                <w:rFonts w:ascii="Verdana" w:hAnsi="Verdana"/>
                <w:sz w:val="16"/>
                <w:szCs w:val="16"/>
                <w:lang w:val="en-US"/>
              </w:rPr>
              <w:t xml:space="preserve">ode of </w:t>
            </w:r>
            <w:r>
              <w:rPr>
                <w:rFonts w:ascii="Verdana" w:hAnsi="Verdana"/>
                <w:sz w:val="16"/>
                <w:szCs w:val="16"/>
                <w:lang w:val="en-US"/>
              </w:rPr>
              <w:t>C</w:t>
            </w:r>
            <w:r w:rsidRPr="0028318A">
              <w:rPr>
                <w:rFonts w:ascii="Verdana" w:hAnsi="Verdana"/>
                <w:sz w:val="16"/>
                <w:szCs w:val="16"/>
                <w:lang w:val="en-US"/>
              </w:rPr>
              <w:t xml:space="preserve">ivil </w:t>
            </w:r>
            <w:r>
              <w:rPr>
                <w:rFonts w:ascii="Verdana" w:hAnsi="Verdana"/>
                <w:sz w:val="16"/>
                <w:szCs w:val="16"/>
                <w:lang w:val="en-US"/>
              </w:rPr>
              <w:t>P</w:t>
            </w:r>
            <w:r w:rsidRPr="0028318A">
              <w:rPr>
                <w:rFonts w:ascii="Verdana" w:hAnsi="Verdana"/>
                <w:sz w:val="16"/>
                <w:szCs w:val="16"/>
                <w:lang w:val="en-US"/>
              </w:rPr>
              <w:t>rocedure shall apply as supplementary provisions.</w:t>
            </w:r>
          </w:p>
        </w:tc>
      </w:tr>
      <w:tr w:rsidR="003A38FF" w:rsidRPr="00D83DA2" w14:paraId="1D1E9B12" w14:textId="1AD10F6B" w:rsidTr="00FB5DAD">
        <w:tc>
          <w:tcPr>
            <w:tcW w:w="4706" w:type="dxa"/>
          </w:tcPr>
          <w:p w14:paraId="0B141963" w14:textId="77777777" w:rsidR="003A38FF" w:rsidRPr="00D0180E" w:rsidRDefault="003A38FF" w:rsidP="003A38FF">
            <w:pPr>
              <w:pStyle w:val="Texto"/>
              <w:spacing w:line="221" w:lineRule="exact"/>
              <w:ind w:firstLine="0"/>
              <w:rPr>
                <w:rFonts w:ascii="Verdana" w:hAnsi="Verdana"/>
                <w:sz w:val="16"/>
                <w:szCs w:val="16"/>
              </w:rPr>
            </w:pPr>
            <w:r w:rsidRPr="00D0180E">
              <w:rPr>
                <w:rFonts w:ascii="Verdana" w:hAnsi="Verdana"/>
                <w:sz w:val="16"/>
                <w:szCs w:val="16"/>
              </w:rPr>
              <w:t>La interpretación del presente reglamento corresponde a la Secretaría y a la CNE, en el ámbito de sus respectivas facultades.</w:t>
            </w:r>
          </w:p>
        </w:tc>
        <w:tc>
          <w:tcPr>
            <w:tcW w:w="4644" w:type="dxa"/>
          </w:tcPr>
          <w:p w14:paraId="61492CF3" w14:textId="14A41497" w:rsidR="003A38FF" w:rsidRPr="00D0180E" w:rsidRDefault="003A38FF" w:rsidP="003A38FF">
            <w:pPr>
              <w:pStyle w:val="Texto"/>
              <w:spacing w:line="221" w:lineRule="exact"/>
              <w:ind w:firstLine="0"/>
              <w:rPr>
                <w:rFonts w:ascii="Verdana" w:hAnsi="Verdana"/>
                <w:sz w:val="16"/>
                <w:szCs w:val="16"/>
                <w:lang w:val="en-US"/>
              </w:rPr>
            </w:pPr>
            <w:r w:rsidRPr="0028318A">
              <w:rPr>
                <w:rFonts w:ascii="Verdana" w:hAnsi="Verdana"/>
                <w:sz w:val="16"/>
                <w:szCs w:val="16"/>
                <w:lang w:val="en-US"/>
              </w:rPr>
              <w:t xml:space="preserve">The interpretation of </w:t>
            </w:r>
            <w:r>
              <w:rPr>
                <w:rFonts w:ascii="Verdana" w:hAnsi="Verdana"/>
                <w:sz w:val="16"/>
                <w:szCs w:val="16"/>
                <w:lang w:val="en-US"/>
              </w:rPr>
              <w:t>this Regulation</w:t>
            </w:r>
            <w:r w:rsidRPr="0028318A">
              <w:rPr>
                <w:rFonts w:ascii="Verdana" w:hAnsi="Verdana"/>
                <w:sz w:val="16"/>
                <w:szCs w:val="16"/>
                <w:lang w:val="en-US"/>
              </w:rPr>
              <w:t xml:space="preserve"> corresponds to the Secretary and the CNE, within the scope of their respective powers.</w:t>
            </w:r>
          </w:p>
        </w:tc>
      </w:tr>
      <w:tr w:rsidR="003A38FF" w:rsidRPr="00D83DA2" w14:paraId="56C6C384" w14:textId="4F4E3F24" w:rsidTr="00FB5DAD">
        <w:tc>
          <w:tcPr>
            <w:tcW w:w="4706" w:type="dxa"/>
          </w:tcPr>
          <w:p w14:paraId="3A2FCC8B" w14:textId="77777777" w:rsidR="003A38FF" w:rsidRPr="00D0180E" w:rsidRDefault="003A38FF" w:rsidP="003A38FF">
            <w:pPr>
              <w:pStyle w:val="Texto"/>
              <w:spacing w:line="221" w:lineRule="exact"/>
              <w:ind w:firstLine="0"/>
              <w:rPr>
                <w:rFonts w:ascii="Verdana" w:hAnsi="Verdana"/>
                <w:sz w:val="16"/>
                <w:szCs w:val="16"/>
              </w:rPr>
            </w:pPr>
            <w:r w:rsidRPr="00D0180E">
              <w:rPr>
                <w:rFonts w:ascii="Verdana" w:hAnsi="Verdana"/>
                <w:b/>
                <w:sz w:val="16"/>
                <w:szCs w:val="16"/>
              </w:rPr>
              <w:t>Artículo 6.</w:t>
            </w:r>
            <w:r w:rsidRPr="00D0180E">
              <w:rPr>
                <w:rFonts w:ascii="Verdana" w:hAnsi="Verdana"/>
                <w:sz w:val="16"/>
                <w:szCs w:val="16"/>
              </w:rPr>
              <w:t xml:space="preserve"> La actuación administrativa en los procedimientos previstos en la Ley y en este reglamento se debe desarrollar conforme a los principios de economía, competitividad, sencillez, celeridad, </w:t>
            </w:r>
            <w:r w:rsidRPr="00D0180E">
              <w:rPr>
                <w:rFonts w:ascii="Verdana" w:hAnsi="Verdana"/>
                <w:sz w:val="16"/>
                <w:szCs w:val="16"/>
              </w:rPr>
              <w:lastRenderedPageBreak/>
              <w:t>eficiencia, eficacia, legalidad, simplificación administrativa, mejores prácticas de la industria, transparencia, imparcialidad, igualdad y buena fe, y en su caso, considerar la Justicia Energética en términos de la Ley.</w:t>
            </w:r>
          </w:p>
        </w:tc>
        <w:tc>
          <w:tcPr>
            <w:tcW w:w="4644" w:type="dxa"/>
          </w:tcPr>
          <w:p w14:paraId="07D93241" w14:textId="6A4B81E1" w:rsidR="003A38FF" w:rsidRPr="00D0180E" w:rsidRDefault="003A38FF" w:rsidP="003A38FF">
            <w:pPr>
              <w:pStyle w:val="Texto"/>
              <w:spacing w:line="221" w:lineRule="exact"/>
              <w:ind w:firstLine="0"/>
              <w:rPr>
                <w:rFonts w:ascii="Verdana" w:hAnsi="Verdana"/>
                <w:b/>
                <w:sz w:val="16"/>
                <w:szCs w:val="16"/>
                <w:lang w:val="en-US"/>
              </w:rPr>
            </w:pPr>
            <w:r w:rsidRPr="0028318A">
              <w:rPr>
                <w:rFonts w:ascii="Verdana" w:hAnsi="Verdana"/>
                <w:b/>
                <w:sz w:val="16"/>
                <w:szCs w:val="16"/>
                <w:lang w:val="en-US"/>
              </w:rPr>
              <w:lastRenderedPageBreak/>
              <w:t xml:space="preserve">Article 6. </w:t>
            </w:r>
            <w:r w:rsidRPr="0028318A">
              <w:rPr>
                <w:rFonts w:ascii="Verdana" w:hAnsi="Verdana"/>
                <w:sz w:val="16"/>
                <w:szCs w:val="16"/>
                <w:lang w:val="en-US"/>
              </w:rPr>
              <w:t xml:space="preserve">Administrative action in the procedures provided for in the Law and in this regulation must be carried out in accordance with the principles of economy, competitiveness, simplicity, speed, </w:t>
            </w:r>
            <w:r w:rsidRPr="0028318A">
              <w:rPr>
                <w:rFonts w:ascii="Verdana" w:hAnsi="Verdana"/>
                <w:sz w:val="16"/>
                <w:szCs w:val="16"/>
                <w:lang w:val="en-US"/>
              </w:rPr>
              <w:lastRenderedPageBreak/>
              <w:t>efficiency, effectiveness, legality, administrative simplification, industry best practices, transparency, impartiality, equality and good faith, and, where appropriate, consider energy justice in accordance with the terms of the Law.</w:t>
            </w:r>
          </w:p>
        </w:tc>
      </w:tr>
      <w:tr w:rsidR="003A38FF" w:rsidRPr="00D83DA2" w14:paraId="2C6D4459" w14:textId="3269A9DA" w:rsidTr="00FB5DAD">
        <w:tc>
          <w:tcPr>
            <w:tcW w:w="4706" w:type="dxa"/>
          </w:tcPr>
          <w:p w14:paraId="224782AF" w14:textId="77777777" w:rsidR="003A38FF" w:rsidRPr="00D0180E" w:rsidRDefault="003A38FF" w:rsidP="003A38FF">
            <w:pPr>
              <w:pStyle w:val="Texto"/>
              <w:spacing w:line="221" w:lineRule="exact"/>
              <w:ind w:firstLine="0"/>
              <w:rPr>
                <w:rFonts w:ascii="Verdana" w:hAnsi="Verdana"/>
                <w:sz w:val="16"/>
                <w:szCs w:val="16"/>
              </w:rPr>
            </w:pPr>
            <w:r w:rsidRPr="00D0180E">
              <w:rPr>
                <w:rFonts w:ascii="Verdana" w:hAnsi="Verdana"/>
                <w:sz w:val="16"/>
                <w:szCs w:val="16"/>
              </w:rPr>
              <w:lastRenderedPageBreak/>
              <w:t>La Secretaría, a través del órgano colegiado competente, las personas titulares de las subsecretarías o las unidades administrativas que la integran, así como la CNE, por medio de su Comité Técnico, la persona titular de la dirección general o las unidades administrativas que la integran, según sea el caso, conforme a sus atribuciones y facultades, deben emitir el pronunciamiento correspondiente en relación con los trámites y procedimientos previstos en la Ley, este reglamento y la demás normatividad aplicable.</w:t>
            </w:r>
          </w:p>
        </w:tc>
        <w:tc>
          <w:tcPr>
            <w:tcW w:w="4644" w:type="dxa"/>
          </w:tcPr>
          <w:p w14:paraId="1AA5D98D" w14:textId="1012D166" w:rsidR="003A38FF" w:rsidRPr="00D0180E" w:rsidRDefault="003A38FF" w:rsidP="003A38FF">
            <w:pPr>
              <w:pStyle w:val="Texto"/>
              <w:spacing w:line="221" w:lineRule="exact"/>
              <w:ind w:firstLine="0"/>
              <w:rPr>
                <w:rFonts w:ascii="Verdana" w:hAnsi="Verdana"/>
                <w:sz w:val="16"/>
                <w:szCs w:val="16"/>
                <w:lang w:val="en-US"/>
              </w:rPr>
            </w:pPr>
            <w:r w:rsidRPr="0028318A">
              <w:rPr>
                <w:rFonts w:ascii="Verdana" w:hAnsi="Verdana"/>
                <w:sz w:val="16"/>
                <w:szCs w:val="16"/>
                <w:lang w:val="en-US"/>
              </w:rPr>
              <w:t xml:space="preserve">The Secretary, through the </w:t>
            </w:r>
            <w:r>
              <w:rPr>
                <w:rFonts w:ascii="Verdana" w:hAnsi="Verdana"/>
                <w:sz w:val="16"/>
                <w:szCs w:val="16"/>
                <w:lang w:val="en-US"/>
              </w:rPr>
              <w:t xml:space="preserve">appropriate </w:t>
            </w:r>
            <w:r w:rsidRPr="0028318A">
              <w:rPr>
                <w:rFonts w:ascii="Verdana" w:hAnsi="Verdana"/>
                <w:sz w:val="16"/>
                <w:szCs w:val="16"/>
                <w:lang w:val="en-US"/>
              </w:rPr>
              <w:t xml:space="preserve">collegiate body, the heads of the </w:t>
            </w:r>
            <w:r>
              <w:rPr>
                <w:rFonts w:ascii="Verdana" w:hAnsi="Verdana"/>
                <w:sz w:val="16"/>
                <w:szCs w:val="16"/>
                <w:lang w:val="en-US"/>
              </w:rPr>
              <w:t>S</w:t>
            </w:r>
            <w:r w:rsidRPr="0028318A">
              <w:rPr>
                <w:rFonts w:ascii="Verdana" w:hAnsi="Verdana"/>
                <w:sz w:val="16"/>
                <w:szCs w:val="16"/>
                <w:lang w:val="en-US"/>
              </w:rPr>
              <w:t>ub-Secretar</w:t>
            </w:r>
            <w:r>
              <w:rPr>
                <w:rFonts w:ascii="Verdana" w:hAnsi="Verdana"/>
                <w:sz w:val="16"/>
                <w:szCs w:val="16"/>
                <w:lang w:val="en-US"/>
              </w:rPr>
              <w:t>ie</w:t>
            </w:r>
            <w:r w:rsidRPr="0028318A">
              <w:rPr>
                <w:rFonts w:ascii="Verdana" w:hAnsi="Verdana"/>
                <w:sz w:val="16"/>
                <w:szCs w:val="16"/>
                <w:lang w:val="en-US"/>
              </w:rPr>
              <w:t xml:space="preserve">s or the administrative units that comprise it, as well as the CNE, through its Technical Committee, the head of the general directorate or the administrative units that comprise it, as the case may be, in accordance with their attributions and powers, must issue the corresponding pronouncement </w:t>
            </w:r>
            <w:r>
              <w:rPr>
                <w:rFonts w:ascii="Verdana" w:hAnsi="Verdana"/>
                <w:sz w:val="16"/>
                <w:szCs w:val="16"/>
                <w:lang w:val="en-US"/>
              </w:rPr>
              <w:t>with regard</w:t>
            </w:r>
            <w:r w:rsidRPr="0028318A">
              <w:rPr>
                <w:rFonts w:ascii="Verdana" w:hAnsi="Verdana"/>
                <w:sz w:val="16"/>
                <w:szCs w:val="16"/>
                <w:lang w:val="en-US"/>
              </w:rPr>
              <w:t xml:space="preserve"> to the procedures and formalities provided for in the Law, this regulation and other </w:t>
            </w:r>
            <w:r>
              <w:rPr>
                <w:rFonts w:ascii="Verdana" w:hAnsi="Verdana"/>
                <w:sz w:val="16"/>
                <w:szCs w:val="16"/>
                <w:lang w:val="en-US"/>
              </w:rPr>
              <w:t>applicable legislation</w:t>
            </w:r>
            <w:r w:rsidRPr="0028318A">
              <w:rPr>
                <w:rFonts w:ascii="Verdana" w:hAnsi="Verdana"/>
                <w:sz w:val="16"/>
                <w:szCs w:val="16"/>
                <w:lang w:val="en-US"/>
              </w:rPr>
              <w:t>.</w:t>
            </w:r>
          </w:p>
        </w:tc>
      </w:tr>
      <w:tr w:rsidR="003A38FF" w:rsidRPr="00D0180E" w14:paraId="1E9B8A55" w14:textId="6797C964" w:rsidTr="00FB5DAD">
        <w:tc>
          <w:tcPr>
            <w:tcW w:w="4706" w:type="dxa"/>
          </w:tcPr>
          <w:p w14:paraId="76E3DCD3" w14:textId="77777777" w:rsidR="003A38FF" w:rsidRPr="00D0180E" w:rsidRDefault="003A38FF" w:rsidP="003A38FF">
            <w:pPr>
              <w:pStyle w:val="Texto"/>
              <w:spacing w:line="221" w:lineRule="exact"/>
              <w:ind w:firstLine="0"/>
              <w:jc w:val="center"/>
              <w:rPr>
                <w:rFonts w:ascii="Verdana" w:hAnsi="Verdana"/>
                <w:b/>
                <w:sz w:val="16"/>
                <w:szCs w:val="16"/>
              </w:rPr>
            </w:pPr>
            <w:r w:rsidRPr="00D0180E">
              <w:rPr>
                <w:rFonts w:ascii="Verdana" w:hAnsi="Verdana"/>
                <w:b/>
                <w:sz w:val="16"/>
                <w:szCs w:val="16"/>
              </w:rPr>
              <w:t>Capítulo II</w:t>
            </w:r>
          </w:p>
        </w:tc>
        <w:tc>
          <w:tcPr>
            <w:tcW w:w="4644" w:type="dxa"/>
          </w:tcPr>
          <w:p w14:paraId="4515F2FF" w14:textId="56FAF232" w:rsidR="003A38FF" w:rsidRPr="00D0180E" w:rsidRDefault="003A38FF" w:rsidP="003A38FF">
            <w:pPr>
              <w:pStyle w:val="Texto"/>
              <w:spacing w:line="221" w:lineRule="exact"/>
              <w:ind w:firstLine="0"/>
              <w:jc w:val="center"/>
              <w:rPr>
                <w:rFonts w:ascii="Verdana" w:hAnsi="Verdana"/>
                <w:b/>
                <w:sz w:val="16"/>
                <w:szCs w:val="16"/>
                <w:lang w:val="en-US"/>
              </w:rPr>
            </w:pPr>
            <w:r w:rsidRPr="00D0180E">
              <w:rPr>
                <w:rFonts w:ascii="Verdana" w:hAnsi="Verdana"/>
                <w:b/>
                <w:sz w:val="16"/>
                <w:szCs w:val="16"/>
              </w:rPr>
              <w:t>Chapter II</w:t>
            </w:r>
          </w:p>
        </w:tc>
      </w:tr>
      <w:tr w:rsidR="003A38FF" w:rsidRPr="00D83DA2" w14:paraId="0FF05C97" w14:textId="7617E92A" w:rsidTr="00FB5DAD">
        <w:tc>
          <w:tcPr>
            <w:tcW w:w="4706" w:type="dxa"/>
          </w:tcPr>
          <w:p w14:paraId="5016A623" w14:textId="77777777" w:rsidR="003A38FF" w:rsidRPr="00D0180E" w:rsidRDefault="003A38FF" w:rsidP="003A38FF">
            <w:pPr>
              <w:pStyle w:val="Texto"/>
              <w:spacing w:line="221" w:lineRule="exact"/>
              <w:ind w:firstLine="0"/>
              <w:jc w:val="center"/>
              <w:rPr>
                <w:rFonts w:ascii="Verdana" w:hAnsi="Verdana"/>
                <w:b/>
                <w:sz w:val="16"/>
                <w:szCs w:val="16"/>
              </w:rPr>
            </w:pPr>
            <w:r w:rsidRPr="00D0180E">
              <w:rPr>
                <w:rFonts w:ascii="Verdana" w:hAnsi="Verdana"/>
                <w:b/>
                <w:sz w:val="16"/>
                <w:szCs w:val="16"/>
              </w:rPr>
              <w:t>De la Planeación Vinculante, Control y Prevalencia del Estado</w:t>
            </w:r>
          </w:p>
        </w:tc>
        <w:tc>
          <w:tcPr>
            <w:tcW w:w="4644" w:type="dxa"/>
          </w:tcPr>
          <w:p w14:paraId="0E58E9DF" w14:textId="3CF7F0A6" w:rsidR="003A38FF" w:rsidRPr="00D0180E" w:rsidRDefault="003A38FF" w:rsidP="003A38FF">
            <w:pPr>
              <w:pStyle w:val="Texto"/>
              <w:spacing w:line="221" w:lineRule="exact"/>
              <w:ind w:firstLine="0"/>
              <w:jc w:val="center"/>
              <w:rPr>
                <w:rFonts w:ascii="Verdana" w:hAnsi="Verdana"/>
                <w:b/>
                <w:sz w:val="16"/>
                <w:szCs w:val="16"/>
                <w:lang w:val="en-US"/>
              </w:rPr>
            </w:pPr>
            <w:r w:rsidRPr="0028318A">
              <w:rPr>
                <w:rFonts w:ascii="Verdana" w:hAnsi="Verdana"/>
                <w:b/>
                <w:sz w:val="16"/>
                <w:szCs w:val="16"/>
                <w:lang w:val="en-US"/>
              </w:rPr>
              <w:t>Binding Planning, Control and Prevalence of the State</w:t>
            </w:r>
          </w:p>
        </w:tc>
      </w:tr>
      <w:tr w:rsidR="003A38FF" w:rsidRPr="00D83DA2" w14:paraId="54A8E4E8" w14:textId="0410BC00" w:rsidTr="00FB5DAD">
        <w:tc>
          <w:tcPr>
            <w:tcW w:w="4706" w:type="dxa"/>
          </w:tcPr>
          <w:p w14:paraId="131CD876" w14:textId="77777777" w:rsidR="003A38FF" w:rsidRPr="00D0180E" w:rsidRDefault="003A38FF" w:rsidP="003A38FF">
            <w:pPr>
              <w:pStyle w:val="Texto"/>
              <w:spacing w:line="221" w:lineRule="exact"/>
              <w:ind w:firstLine="0"/>
              <w:rPr>
                <w:rFonts w:ascii="Verdana" w:hAnsi="Verdana"/>
                <w:sz w:val="16"/>
                <w:szCs w:val="16"/>
              </w:rPr>
            </w:pPr>
            <w:r w:rsidRPr="00D0180E">
              <w:rPr>
                <w:rFonts w:ascii="Verdana" w:hAnsi="Verdana"/>
                <w:b/>
                <w:sz w:val="16"/>
                <w:szCs w:val="16"/>
              </w:rPr>
              <w:t>Artículo 7.</w:t>
            </w:r>
            <w:r w:rsidRPr="00D0180E">
              <w:rPr>
                <w:rFonts w:ascii="Verdana" w:hAnsi="Verdana"/>
                <w:sz w:val="16"/>
                <w:szCs w:val="16"/>
              </w:rPr>
              <w:t xml:space="preserve"> La planeación del sector eléctrico se desarrolla en el Plan de Desarrollo del Sector Eléctrico, en concordancia con la Ley de Planeación y Transición Energética y su reglamento. Los programas vinculantes del sector eléctrico deben considerar las acciones necesarias para que los proyectos incluidos en estos sean realizados en tiempo y forma, estén coordinados integralmente con los demás instrumentos de planeación energética y correspondan a horizontes de mediano y largo plazo.</w:t>
            </w:r>
          </w:p>
        </w:tc>
        <w:tc>
          <w:tcPr>
            <w:tcW w:w="4644" w:type="dxa"/>
          </w:tcPr>
          <w:p w14:paraId="1108F105" w14:textId="5474D989" w:rsidR="003A38FF" w:rsidRPr="00D0180E" w:rsidRDefault="003A38FF" w:rsidP="003A38FF">
            <w:pPr>
              <w:pStyle w:val="Texto"/>
              <w:spacing w:line="221" w:lineRule="exact"/>
              <w:ind w:firstLine="0"/>
              <w:rPr>
                <w:rFonts w:ascii="Verdana" w:hAnsi="Verdana"/>
                <w:b/>
                <w:sz w:val="16"/>
                <w:szCs w:val="16"/>
                <w:lang w:val="en-US"/>
              </w:rPr>
            </w:pPr>
            <w:r w:rsidRPr="00913574">
              <w:rPr>
                <w:rFonts w:ascii="Verdana" w:hAnsi="Verdana"/>
                <w:b/>
                <w:sz w:val="16"/>
                <w:szCs w:val="16"/>
                <w:lang w:val="en-US"/>
              </w:rPr>
              <w:t xml:space="preserve">Article 7. </w:t>
            </w:r>
            <w:r w:rsidRPr="00913574">
              <w:rPr>
                <w:rFonts w:ascii="Verdana" w:hAnsi="Verdana"/>
                <w:sz w:val="16"/>
                <w:szCs w:val="16"/>
                <w:lang w:val="en-US"/>
              </w:rPr>
              <w:t xml:space="preserve">Electricity sector planning is developed in the Electricity Sector Development Plan, in accordance with the </w:t>
            </w:r>
            <w:r>
              <w:rPr>
                <w:rFonts w:ascii="Verdana" w:hAnsi="Verdana"/>
                <w:sz w:val="16"/>
                <w:szCs w:val="16"/>
                <w:lang w:val="en-US"/>
              </w:rPr>
              <w:t>Law of Energy Planning and Transition</w:t>
            </w:r>
            <w:r w:rsidRPr="00913574">
              <w:rPr>
                <w:rFonts w:ascii="Verdana" w:hAnsi="Verdana"/>
                <w:sz w:val="16"/>
                <w:szCs w:val="16"/>
                <w:lang w:val="en-US"/>
              </w:rPr>
              <w:t xml:space="preserve"> and its Regulation. Binding electricity sector programs must consider the actions necessary to ensure that the projects included therein are carried out in a timely manner, are fully coordinated with other energy planning instruments, and correspond to </w:t>
            </w:r>
            <w:proofErr w:type="gramStart"/>
            <w:r w:rsidR="009E2B03">
              <w:rPr>
                <w:rFonts w:ascii="Verdana" w:hAnsi="Verdana"/>
                <w:sz w:val="16"/>
                <w:szCs w:val="16"/>
                <w:lang w:val="en-US"/>
              </w:rPr>
              <w:t>medium</w:t>
            </w:r>
            <w:r w:rsidRPr="00913574">
              <w:rPr>
                <w:rFonts w:ascii="Verdana" w:hAnsi="Verdana"/>
                <w:sz w:val="16"/>
                <w:szCs w:val="16"/>
                <w:lang w:val="en-US"/>
              </w:rPr>
              <w:t xml:space="preserve"> and </w:t>
            </w:r>
            <w:r w:rsidR="009E2B03">
              <w:rPr>
                <w:rFonts w:ascii="Verdana" w:hAnsi="Verdana"/>
                <w:sz w:val="16"/>
                <w:szCs w:val="16"/>
                <w:lang w:val="en-US"/>
              </w:rPr>
              <w:t>long term</w:t>
            </w:r>
            <w:proofErr w:type="gramEnd"/>
            <w:r w:rsidRPr="00913574">
              <w:rPr>
                <w:rFonts w:ascii="Verdana" w:hAnsi="Verdana"/>
                <w:sz w:val="16"/>
                <w:szCs w:val="16"/>
                <w:lang w:val="en-US"/>
              </w:rPr>
              <w:t xml:space="preserve"> horizons.</w:t>
            </w:r>
          </w:p>
        </w:tc>
      </w:tr>
      <w:tr w:rsidR="003A38FF" w:rsidRPr="00D83DA2" w14:paraId="540B468D" w14:textId="1F12F5F4" w:rsidTr="00FB5DAD">
        <w:tc>
          <w:tcPr>
            <w:tcW w:w="4706" w:type="dxa"/>
          </w:tcPr>
          <w:p w14:paraId="6E628167" w14:textId="77777777" w:rsidR="003A38FF" w:rsidRPr="00D0180E" w:rsidRDefault="003A38FF" w:rsidP="003A38FF">
            <w:pPr>
              <w:pStyle w:val="Texto"/>
              <w:spacing w:line="221" w:lineRule="exact"/>
              <w:ind w:firstLine="0"/>
              <w:rPr>
                <w:rFonts w:ascii="Verdana" w:hAnsi="Verdana"/>
                <w:sz w:val="16"/>
                <w:szCs w:val="16"/>
              </w:rPr>
            </w:pPr>
            <w:r w:rsidRPr="00D0180E">
              <w:rPr>
                <w:rFonts w:ascii="Verdana" w:hAnsi="Verdana"/>
                <w:b/>
                <w:sz w:val="16"/>
                <w:szCs w:val="16"/>
              </w:rPr>
              <w:t>Artículo 8.</w:t>
            </w:r>
            <w:r w:rsidRPr="00D0180E">
              <w:rPr>
                <w:rFonts w:ascii="Verdana" w:hAnsi="Verdana"/>
                <w:sz w:val="16"/>
                <w:szCs w:val="16"/>
              </w:rPr>
              <w:t xml:space="preserve"> Para la elaboración del Plan de Desarrollo del Sector Eléctrico, la Secretaría debe considerar al menos:</w:t>
            </w:r>
          </w:p>
        </w:tc>
        <w:tc>
          <w:tcPr>
            <w:tcW w:w="4644" w:type="dxa"/>
          </w:tcPr>
          <w:p w14:paraId="357260C4" w14:textId="17CE8B6B" w:rsidR="003A38FF" w:rsidRPr="00D0180E" w:rsidRDefault="003A38FF" w:rsidP="003A38FF">
            <w:pPr>
              <w:pStyle w:val="Texto"/>
              <w:spacing w:line="221" w:lineRule="exact"/>
              <w:ind w:firstLine="0"/>
              <w:rPr>
                <w:rFonts w:ascii="Verdana" w:hAnsi="Verdana"/>
                <w:b/>
                <w:sz w:val="16"/>
                <w:szCs w:val="16"/>
                <w:lang w:val="en-US"/>
              </w:rPr>
            </w:pPr>
            <w:r w:rsidRPr="00913574">
              <w:rPr>
                <w:rFonts w:ascii="Verdana" w:hAnsi="Verdana"/>
                <w:b/>
                <w:sz w:val="16"/>
                <w:szCs w:val="16"/>
                <w:lang w:val="en-US"/>
              </w:rPr>
              <w:t xml:space="preserve">Article 8. </w:t>
            </w:r>
            <w:r w:rsidRPr="00913574">
              <w:rPr>
                <w:rFonts w:ascii="Verdana" w:hAnsi="Verdana"/>
                <w:sz w:val="16"/>
                <w:szCs w:val="16"/>
                <w:lang w:val="en-US"/>
              </w:rPr>
              <w:t>For the preparation of the Electric Sector Development Plan, the Secretary must consider at least:</w:t>
            </w:r>
          </w:p>
        </w:tc>
      </w:tr>
      <w:tr w:rsidR="003A38FF" w:rsidRPr="00D83DA2" w14:paraId="0BA45751" w14:textId="7FF711D8" w:rsidTr="00FB5DAD">
        <w:tc>
          <w:tcPr>
            <w:tcW w:w="4706" w:type="dxa"/>
          </w:tcPr>
          <w:p w14:paraId="4F9E6C0F" w14:textId="77777777" w:rsidR="003A38FF" w:rsidRPr="00D0180E" w:rsidRDefault="003A38FF" w:rsidP="003A38FF">
            <w:pPr>
              <w:pStyle w:val="Texto"/>
              <w:spacing w:line="221"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Los pronósticos de demanda eléctrica y de precios de insumos primarios del sector eléctrico, los cuales deben ser elaborados por el CENACE en colaboración con las empresas públicas del Estado, coordinados por la Secretaría;</w:t>
            </w:r>
          </w:p>
        </w:tc>
        <w:tc>
          <w:tcPr>
            <w:tcW w:w="4644" w:type="dxa"/>
          </w:tcPr>
          <w:p w14:paraId="44749915" w14:textId="1FA08471" w:rsidR="003A38FF" w:rsidRPr="00D0180E" w:rsidRDefault="003A38FF" w:rsidP="003A38FF">
            <w:pPr>
              <w:pStyle w:val="Texto"/>
              <w:spacing w:line="221" w:lineRule="exact"/>
              <w:ind w:firstLine="0"/>
              <w:rPr>
                <w:rFonts w:ascii="Verdana" w:hAnsi="Verdana"/>
                <w:b/>
                <w:sz w:val="16"/>
                <w:szCs w:val="16"/>
                <w:lang w:val="en-US"/>
              </w:rPr>
            </w:pPr>
            <w:r w:rsidRPr="00913574">
              <w:rPr>
                <w:rFonts w:ascii="Verdana" w:hAnsi="Verdana"/>
                <w:b/>
                <w:sz w:val="16"/>
                <w:szCs w:val="16"/>
                <w:lang w:val="en-US"/>
              </w:rPr>
              <w:t xml:space="preserve">I. </w:t>
            </w:r>
            <w:r w:rsidRPr="00913574">
              <w:rPr>
                <w:rFonts w:ascii="Verdana" w:hAnsi="Verdana"/>
                <w:b/>
                <w:sz w:val="16"/>
                <w:szCs w:val="16"/>
                <w:lang w:val="en-US"/>
              </w:rPr>
              <w:tab/>
            </w:r>
            <w:r w:rsidRPr="00913574">
              <w:rPr>
                <w:rFonts w:ascii="Verdana" w:hAnsi="Verdana"/>
                <w:sz w:val="16"/>
                <w:szCs w:val="16"/>
                <w:lang w:val="en-US"/>
              </w:rPr>
              <w:t>Forecasts of electricity demand and prices of primary inputs of the electricity sector, which must be prepared by CENACE in collaboration with the State's public companies, coordinated by the Secretary;</w:t>
            </w:r>
          </w:p>
        </w:tc>
      </w:tr>
      <w:tr w:rsidR="003A38FF" w:rsidRPr="00D83DA2" w14:paraId="02765107" w14:textId="4821A028" w:rsidTr="00FB5DAD">
        <w:tc>
          <w:tcPr>
            <w:tcW w:w="4706" w:type="dxa"/>
          </w:tcPr>
          <w:p w14:paraId="3AB66610" w14:textId="77777777" w:rsidR="003A38FF" w:rsidRPr="00D0180E" w:rsidRDefault="003A38FF" w:rsidP="003A38FF">
            <w:pPr>
              <w:pStyle w:val="Texto"/>
              <w:spacing w:line="221"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Las estimaciones de crecimiento económico en coordinación con las entidades federativas, incluidos los polos de desarrollo considerados por el Gobierno Federal;</w:t>
            </w:r>
          </w:p>
        </w:tc>
        <w:tc>
          <w:tcPr>
            <w:tcW w:w="4644" w:type="dxa"/>
          </w:tcPr>
          <w:p w14:paraId="4D09FD17" w14:textId="3AAFB818" w:rsidR="003A38FF" w:rsidRPr="00D0180E" w:rsidRDefault="003A38FF" w:rsidP="003A38FF">
            <w:pPr>
              <w:pStyle w:val="Texto"/>
              <w:spacing w:line="221" w:lineRule="exact"/>
              <w:ind w:firstLine="0"/>
              <w:rPr>
                <w:rFonts w:ascii="Verdana" w:hAnsi="Verdana"/>
                <w:b/>
                <w:sz w:val="16"/>
                <w:szCs w:val="16"/>
                <w:lang w:val="en-US"/>
              </w:rPr>
            </w:pPr>
            <w:r w:rsidRPr="00913574">
              <w:rPr>
                <w:rFonts w:ascii="Verdana" w:hAnsi="Verdana"/>
                <w:b/>
                <w:sz w:val="16"/>
                <w:szCs w:val="16"/>
                <w:lang w:val="en-US"/>
              </w:rPr>
              <w:t xml:space="preserve">II. </w:t>
            </w:r>
            <w:r w:rsidRPr="00913574">
              <w:rPr>
                <w:rFonts w:ascii="Verdana" w:hAnsi="Verdana"/>
                <w:b/>
                <w:sz w:val="16"/>
                <w:szCs w:val="16"/>
                <w:lang w:val="en-US"/>
              </w:rPr>
              <w:tab/>
            </w:r>
            <w:r w:rsidRPr="00913574">
              <w:rPr>
                <w:rFonts w:ascii="Verdana" w:hAnsi="Verdana"/>
                <w:sz w:val="16"/>
                <w:szCs w:val="16"/>
                <w:lang w:val="en-US"/>
              </w:rPr>
              <w:t xml:space="preserve">Estimates of economic growth in coordination with the </w:t>
            </w:r>
            <w:r>
              <w:rPr>
                <w:rFonts w:ascii="Verdana" w:hAnsi="Verdana"/>
                <w:sz w:val="16"/>
                <w:szCs w:val="16"/>
                <w:lang w:val="en-US"/>
              </w:rPr>
              <w:t>states and Mexico City</w:t>
            </w:r>
            <w:r w:rsidRPr="00913574">
              <w:rPr>
                <w:rFonts w:ascii="Verdana" w:hAnsi="Verdana"/>
                <w:sz w:val="16"/>
                <w:szCs w:val="16"/>
                <w:lang w:val="en-US"/>
              </w:rPr>
              <w:t>, including the development poles considered by the federal government;</w:t>
            </w:r>
          </w:p>
        </w:tc>
      </w:tr>
      <w:tr w:rsidR="003A38FF" w:rsidRPr="00D83DA2" w14:paraId="31056D14" w14:textId="133F3E0A" w:rsidTr="00FB5DAD">
        <w:tc>
          <w:tcPr>
            <w:tcW w:w="4706" w:type="dxa"/>
          </w:tcPr>
          <w:p w14:paraId="100F2B86" w14:textId="77777777" w:rsidR="003A38FF" w:rsidRPr="00D0180E" w:rsidRDefault="003A38FF" w:rsidP="003A38FF">
            <w:pPr>
              <w:pStyle w:val="Texto"/>
              <w:spacing w:line="221"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Criterios de mínimo costo de generación y suministro de energía eléctrica en el largo plazo, con preferencia a los bienes nacionales bajo las mismas circunstancias, igualdad de precios, calidad y entrega oportuna;</w:t>
            </w:r>
          </w:p>
        </w:tc>
        <w:tc>
          <w:tcPr>
            <w:tcW w:w="4644" w:type="dxa"/>
          </w:tcPr>
          <w:p w14:paraId="7C3BC192" w14:textId="240F2816" w:rsidR="003A38FF" w:rsidRPr="00D0180E" w:rsidRDefault="003A38FF" w:rsidP="003A38FF">
            <w:pPr>
              <w:pStyle w:val="Texto"/>
              <w:spacing w:line="221" w:lineRule="exact"/>
              <w:ind w:firstLine="0"/>
              <w:rPr>
                <w:rFonts w:ascii="Verdana" w:hAnsi="Verdana"/>
                <w:b/>
                <w:sz w:val="16"/>
                <w:szCs w:val="16"/>
                <w:lang w:val="en-US"/>
              </w:rPr>
            </w:pPr>
            <w:r w:rsidRPr="00913574">
              <w:rPr>
                <w:rFonts w:ascii="Verdana" w:hAnsi="Verdana"/>
                <w:b/>
                <w:sz w:val="16"/>
                <w:szCs w:val="16"/>
                <w:lang w:val="en-US"/>
              </w:rPr>
              <w:t>III</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Minimum</w:t>
            </w:r>
            <w:proofErr w:type="gramEnd"/>
            <w:r w:rsidRPr="00913574">
              <w:rPr>
                <w:rFonts w:ascii="Verdana" w:hAnsi="Verdana"/>
                <w:sz w:val="16"/>
                <w:szCs w:val="16"/>
                <w:lang w:val="en-US"/>
              </w:rPr>
              <w:t xml:space="preserve"> cost criteria for the generation and supply of electricity in the long term, with preference given to national goods under the same circumstances, equal prices, quality and timely delivery;</w:t>
            </w:r>
          </w:p>
        </w:tc>
      </w:tr>
      <w:tr w:rsidR="003A38FF" w:rsidRPr="00D83DA2" w14:paraId="1A4038F1" w14:textId="1B7E0A3C" w:rsidTr="00FB5DAD">
        <w:tc>
          <w:tcPr>
            <w:tcW w:w="4706" w:type="dxa"/>
          </w:tcPr>
          <w:p w14:paraId="383667FD" w14:textId="77777777" w:rsidR="003A38FF" w:rsidRPr="00D0180E" w:rsidRDefault="003A38FF" w:rsidP="003A38FF">
            <w:pPr>
              <w:pStyle w:val="Texto"/>
              <w:spacing w:line="234"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Los programas vinculantes para la instalación y retiro de Centrales Eléctricas, así como los de ampliación y modernización de la Red Nacional de Transmisión y las Redes Generales de Distribución;</w:t>
            </w:r>
          </w:p>
        </w:tc>
        <w:tc>
          <w:tcPr>
            <w:tcW w:w="4644" w:type="dxa"/>
          </w:tcPr>
          <w:p w14:paraId="4D5B4D94" w14:textId="7481AB48" w:rsidR="003A38FF" w:rsidRPr="00D0180E" w:rsidRDefault="003A38FF" w:rsidP="003A38FF">
            <w:pPr>
              <w:pStyle w:val="Texto"/>
              <w:spacing w:line="234" w:lineRule="exact"/>
              <w:ind w:firstLine="0"/>
              <w:rPr>
                <w:rFonts w:ascii="Verdana" w:hAnsi="Verdana"/>
                <w:b/>
                <w:sz w:val="16"/>
                <w:szCs w:val="16"/>
                <w:lang w:val="en-US"/>
              </w:rPr>
            </w:pPr>
            <w:r w:rsidRPr="00913574">
              <w:rPr>
                <w:rFonts w:ascii="Verdana" w:hAnsi="Verdana"/>
                <w:b/>
                <w:sz w:val="16"/>
                <w:szCs w:val="16"/>
                <w:lang w:val="en-US"/>
              </w:rPr>
              <w:t>IV</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Binding</w:t>
            </w:r>
            <w:proofErr w:type="gramEnd"/>
            <w:r w:rsidRPr="00913574">
              <w:rPr>
                <w:rFonts w:ascii="Verdana" w:hAnsi="Verdana"/>
                <w:sz w:val="16"/>
                <w:szCs w:val="16"/>
                <w:lang w:val="en-US"/>
              </w:rPr>
              <w:t xml:space="preserve"> programs for the installation and retirement of power plants, as well as those for the expansion and modernization of the National Transmission Network and the General Distribution Networks;</w:t>
            </w:r>
          </w:p>
        </w:tc>
      </w:tr>
      <w:tr w:rsidR="003A38FF" w:rsidRPr="00D83DA2" w14:paraId="0B6542C2" w14:textId="42BBFFEE" w:rsidTr="00FB5DAD">
        <w:tc>
          <w:tcPr>
            <w:tcW w:w="4706" w:type="dxa"/>
          </w:tcPr>
          <w:p w14:paraId="2CD53BD6" w14:textId="77777777" w:rsidR="003A38FF" w:rsidRPr="00D0180E" w:rsidRDefault="003A38FF" w:rsidP="003A38FF">
            <w:pPr>
              <w:pStyle w:val="Texto"/>
              <w:spacing w:line="234"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 xml:space="preserve">La política en materia de Accesibilidad, Calidad, Confiabilidad, Continuidad, Eficiencia, Seguridad y </w:t>
            </w:r>
            <w:r w:rsidRPr="00D0180E">
              <w:rPr>
                <w:rFonts w:ascii="Verdana" w:hAnsi="Verdana"/>
                <w:sz w:val="16"/>
                <w:szCs w:val="16"/>
              </w:rPr>
              <w:lastRenderedPageBreak/>
              <w:t>Sostenibilidad en el Sistema Eléctrico Nacional establecida por la Secretaría;</w:t>
            </w:r>
          </w:p>
        </w:tc>
        <w:tc>
          <w:tcPr>
            <w:tcW w:w="4644" w:type="dxa"/>
          </w:tcPr>
          <w:p w14:paraId="41562D25" w14:textId="0E8B52BA" w:rsidR="003A38FF" w:rsidRPr="00D0180E" w:rsidRDefault="003A38FF" w:rsidP="003A38FF">
            <w:pPr>
              <w:pStyle w:val="Texto"/>
              <w:spacing w:line="234" w:lineRule="exact"/>
              <w:ind w:firstLine="0"/>
              <w:rPr>
                <w:rFonts w:ascii="Verdana" w:hAnsi="Verdana"/>
                <w:b/>
                <w:sz w:val="16"/>
                <w:szCs w:val="16"/>
                <w:lang w:val="en-US"/>
              </w:rPr>
            </w:pPr>
            <w:r w:rsidRPr="00913574">
              <w:rPr>
                <w:rFonts w:ascii="Verdana" w:hAnsi="Verdana"/>
                <w:b/>
                <w:sz w:val="16"/>
                <w:szCs w:val="16"/>
                <w:lang w:val="en-US"/>
              </w:rPr>
              <w:lastRenderedPageBreak/>
              <w:t>V</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The</w:t>
            </w:r>
            <w:proofErr w:type="gramEnd"/>
            <w:r w:rsidRPr="00913574">
              <w:rPr>
                <w:rFonts w:ascii="Verdana" w:hAnsi="Verdana"/>
                <w:sz w:val="16"/>
                <w:szCs w:val="16"/>
                <w:lang w:val="en-US"/>
              </w:rPr>
              <w:t xml:space="preserve"> policy on Accessibility, Quality, Reliability, Continuity, Efficiency, Security and Sustainability in the </w:t>
            </w:r>
            <w:r>
              <w:rPr>
                <w:rFonts w:ascii="Verdana" w:hAnsi="Verdana"/>
                <w:sz w:val="16"/>
                <w:szCs w:val="16"/>
                <w:lang w:val="en-US"/>
              </w:rPr>
              <w:t>National Electric System</w:t>
            </w:r>
            <w:r w:rsidRPr="00913574">
              <w:rPr>
                <w:rFonts w:ascii="Verdana" w:hAnsi="Verdana"/>
                <w:sz w:val="16"/>
                <w:szCs w:val="16"/>
                <w:lang w:val="en-US"/>
              </w:rPr>
              <w:t xml:space="preserve"> established by the Secretary;</w:t>
            </w:r>
          </w:p>
        </w:tc>
      </w:tr>
      <w:tr w:rsidR="003A38FF" w:rsidRPr="00D83DA2" w14:paraId="1EFC23A2" w14:textId="220EBC8F" w:rsidTr="00FB5DAD">
        <w:tc>
          <w:tcPr>
            <w:tcW w:w="4706" w:type="dxa"/>
          </w:tcPr>
          <w:p w14:paraId="46BEC0ED" w14:textId="77777777" w:rsidR="003A38FF" w:rsidRPr="00D0180E" w:rsidRDefault="003A38FF" w:rsidP="003A38FF">
            <w:pPr>
              <w:pStyle w:val="Texto"/>
              <w:spacing w:line="234" w:lineRule="exact"/>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Los proyectos a desarrollar por personas particulares, el Estado o bajo esquemas de desarrollo mixto, incluidos los proyectos bajo la figura de autoconsumo;</w:t>
            </w:r>
          </w:p>
        </w:tc>
        <w:tc>
          <w:tcPr>
            <w:tcW w:w="4644" w:type="dxa"/>
          </w:tcPr>
          <w:p w14:paraId="2A6484CE" w14:textId="428D39D4" w:rsidR="003A38FF" w:rsidRPr="00D0180E" w:rsidRDefault="003A38FF" w:rsidP="003A38FF">
            <w:pPr>
              <w:pStyle w:val="Texto"/>
              <w:spacing w:line="234" w:lineRule="exact"/>
              <w:ind w:firstLine="0"/>
              <w:rPr>
                <w:rFonts w:ascii="Verdana" w:hAnsi="Verdana"/>
                <w:b/>
                <w:sz w:val="16"/>
                <w:szCs w:val="16"/>
                <w:lang w:val="en-US"/>
              </w:rPr>
            </w:pPr>
            <w:r w:rsidRPr="00913574">
              <w:rPr>
                <w:rFonts w:ascii="Verdana" w:hAnsi="Verdana"/>
                <w:b/>
                <w:sz w:val="16"/>
                <w:szCs w:val="16"/>
                <w:lang w:val="en-US"/>
              </w:rPr>
              <w:t>VI</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Projects</w:t>
            </w:r>
            <w:proofErr w:type="gramEnd"/>
            <w:r w:rsidRPr="00913574">
              <w:rPr>
                <w:rFonts w:ascii="Verdana" w:hAnsi="Verdana"/>
                <w:sz w:val="16"/>
                <w:szCs w:val="16"/>
                <w:lang w:val="en-US"/>
              </w:rPr>
              <w:t xml:space="preserve"> to be developed by private individuals, the State or under mixed development schemes, including projects under the self-consumption figure;</w:t>
            </w:r>
          </w:p>
        </w:tc>
      </w:tr>
      <w:tr w:rsidR="003A38FF" w:rsidRPr="00D83DA2" w14:paraId="0ED9AE01" w14:textId="6D4797EB" w:rsidTr="00FB5DAD">
        <w:tc>
          <w:tcPr>
            <w:tcW w:w="4706" w:type="dxa"/>
          </w:tcPr>
          <w:p w14:paraId="49EFC808" w14:textId="77777777" w:rsidR="003A38FF" w:rsidRPr="00D0180E" w:rsidRDefault="003A38FF" w:rsidP="003A38FF">
            <w:pPr>
              <w:pStyle w:val="Texto"/>
              <w:spacing w:line="234" w:lineRule="exact"/>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La coordinación con el programa de expansión de la red nacional de gasoductos;</w:t>
            </w:r>
          </w:p>
        </w:tc>
        <w:tc>
          <w:tcPr>
            <w:tcW w:w="4644" w:type="dxa"/>
          </w:tcPr>
          <w:p w14:paraId="6E9BFE57" w14:textId="3EF061DE" w:rsidR="003A38FF" w:rsidRPr="00D0180E" w:rsidRDefault="003A38FF" w:rsidP="003A38FF">
            <w:pPr>
              <w:pStyle w:val="Texto"/>
              <w:spacing w:line="234" w:lineRule="exact"/>
              <w:ind w:firstLine="0"/>
              <w:rPr>
                <w:rFonts w:ascii="Verdana" w:hAnsi="Verdana"/>
                <w:b/>
                <w:sz w:val="16"/>
                <w:szCs w:val="16"/>
                <w:lang w:val="en-US"/>
              </w:rPr>
            </w:pPr>
            <w:r w:rsidRPr="00913574">
              <w:rPr>
                <w:rFonts w:ascii="Verdana" w:hAnsi="Verdana"/>
                <w:b/>
                <w:sz w:val="16"/>
                <w:szCs w:val="16"/>
                <w:lang w:val="en-US"/>
              </w:rPr>
              <w:t xml:space="preserve">VII. </w:t>
            </w:r>
            <w:r w:rsidRPr="00913574">
              <w:rPr>
                <w:rFonts w:ascii="Verdana" w:hAnsi="Verdana"/>
                <w:b/>
                <w:sz w:val="16"/>
                <w:szCs w:val="16"/>
                <w:lang w:val="en-US"/>
              </w:rPr>
              <w:tab/>
            </w:r>
            <w:r w:rsidRPr="00913574">
              <w:rPr>
                <w:rFonts w:ascii="Verdana" w:hAnsi="Verdana"/>
                <w:sz w:val="16"/>
                <w:szCs w:val="16"/>
                <w:lang w:val="en-US"/>
              </w:rPr>
              <w:t>Coordination with the national gas pipeline network expansion program;</w:t>
            </w:r>
          </w:p>
        </w:tc>
      </w:tr>
      <w:tr w:rsidR="003A38FF" w:rsidRPr="00D83DA2" w14:paraId="09F43FAF" w14:textId="71794610" w:rsidTr="00FB5DAD">
        <w:tc>
          <w:tcPr>
            <w:tcW w:w="4706" w:type="dxa"/>
          </w:tcPr>
          <w:p w14:paraId="4FF520B2" w14:textId="77777777" w:rsidR="003A38FF" w:rsidRPr="00D0180E" w:rsidRDefault="003A38FF" w:rsidP="003A38FF">
            <w:pPr>
              <w:pStyle w:val="Texto"/>
              <w:spacing w:line="234" w:lineRule="exact"/>
              <w:ind w:firstLine="0"/>
              <w:rPr>
                <w:rFonts w:ascii="Verdana" w:hAnsi="Verdana"/>
                <w:sz w:val="16"/>
                <w:szCs w:val="16"/>
              </w:rPr>
            </w:pPr>
            <w:r w:rsidRPr="00D0180E">
              <w:rPr>
                <w:rFonts w:ascii="Verdana" w:hAnsi="Verdana"/>
                <w:b/>
                <w:sz w:val="16"/>
                <w:szCs w:val="16"/>
              </w:rPr>
              <w:t>VIII.</w:t>
            </w:r>
            <w:r w:rsidRPr="00D0180E">
              <w:rPr>
                <w:rFonts w:ascii="Verdana" w:hAnsi="Verdana"/>
                <w:b/>
                <w:sz w:val="16"/>
                <w:szCs w:val="16"/>
              </w:rPr>
              <w:tab/>
            </w:r>
            <w:r w:rsidRPr="00D0180E">
              <w:rPr>
                <w:rFonts w:ascii="Verdana" w:hAnsi="Verdana"/>
                <w:sz w:val="16"/>
                <w:szCs w:val="16"/>
              </w:rPr>
              <w:t>La coordinación con los mecanismos de promoción e incentivos que contribuyan a la descarbonización, así como al desarrollo de las Energías Limpias y aplicación de nuevos combustibles;</w:t>
            </w:r>
          </w:p>
        </w:tc>
        <w:tc>
          <w:tcPr>
            <w:tcW w:w="4644" w:type="dxa"/>
          </w:tcPr>
          <w:p w14:paraId="5481DAC2" w14:textId="26E7520C" w:rsidR="003A38FF" w:rsidRPr="00D0180E" w:rsidRDefault="003A38FF" w:rsidP="003A38FF">
            <w:pPr>
              <w:pStyle w:val="Texto"/>
              <w:spacing w:line="234" w:lineRule="exact"/>
              <w:ind w:firstLine="0"/>
              <w:rPr>
                <w:rFonts w:ascii="Verdana" w:hAnsi="Verdana"/>
                <w:b/>
                <w:sz w:val="16"/>
                <w:szCs w:val="16"/>
                <w:lang w:val="en-US"/>
              </w:rPr>
            </w:pPr>
            <w:r w:rsidRPr="00913574">
              <w:rPr>
                <w:rFonts w:ascii="Verdana" w:hAnsi="Verdana"/>
                <w:b/>
                <w:sz w:val="16"/>
                <w:szCs w:val="16"/>
                <w:lang w:val="en-US"/>
              </w:rPr>
              <w:t>VIII</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Coordination</w:t>
            </w:r>
            <w:proofErr w:type="gramEnd"/>
            <w:r w:rsidRPr="00913574">
              <w:rPr>
                <w:rFonts w:ascii="Verdana" w:hAnsi="Verdana"/>
                <w:sz w:val="16"/>
                <w:szCs w:val="16"/>
                <w:lang w:val="en-US"/>
              </w:rPr>
              <w:t xml:space="preserve"> with promotion and incentive mechanisms that contribute to decarbonization, as well as the development of clean energy and the application of new fuels;</w:t>
            </w:r>
          </w:p>
        </w:tc>
      </w:tr>
      <w:tr w:rsidR="003A38FF" w:rsidRPr="00D83DA2" w14:paraId="629E006C" w14:textId="14B22390" w:rsidTr="00FB5DAD">
        <w:tc>
          <w:tcPr>
            <w:tcW w:w="4706" w:type="dxa"/>
          </w:tcPr>
          <w:p w14:paraId="7A3BC914" w14:textId="77777777" w:rsidR="003A38FF" w:rsidRPr="00D0180E" w:rsidRDefault="003A38FF" w:rsidP="003A38FF">
            <w:pPr>
              <w:pStyle w:val="Texto"/>
              <w:spacing w:line="234" w:lineRule="exact"/>
              <w:ind w:firstLine="0"/>
              <w:rPr>
                <w:rFonts w:ascii="Verdana" w:hAnsi="Verdana"/>
                <w:sz w:val="16"/>
                <w:szCs w:val="16"/>
              </w:rPr>
            </w:pPr>
            <w:r w:rsidRPr="00D0180E">
              <w:rPr>
                <w:rFonts w:ascii="Verdana" w:hAnsi="Verdana"/>
                <w:b/>
                <w:sz w:val="16"/>
                <w:szCs w:val="16"/>
              </w:rPr>
              <w:t>IX.</w:t>
            </w:r>
            <w:r w:rsidRPr="00D0180E">
              <w:rPr>
                <w:rFonts w:ascii="Verdana" w:hAnsi="Verdana"/>
                <w:b/>
                <w:sz w:val="16"/>
                <w:szCs w:val="16"/>
              </w:rPr>
              <w:tab/>
            </w:r>
            <w:r w:rsidRPr="00D0180E">
              <w:rPr>
                <w:rFonts w:ascii="Verdana" w:hAnsi="Verdana"/>
                <w:sz w:val="16"/>
                <w:szCs w:val="16"/>
              </w:rPr>
              <w:t>El análisis costo-beneficio integral de las alternativas de ampliación y modernización de la Red Nacional de Transmisión y las Redes Generales de Distribución, conforme a los criterios definidos por el CENACE o la CNE, según corresponda, en coordinación con la Secretaría;</w:t>
            </w:r>
          </w:p>
        </w:tc>
        <w:tc>
          <w:tcPr>
            <w:tcW w:w="4644" w:type="dxa"/>
          </w:tcPr>
          <w:p w14:paraId="110B120C" w14:textId="1E1452B1" w:rsidR="003A38FF" w:rsidRPr="00D0180E" w:rsidRDefault="003A38FF" w:rsidP="003A38FF">
            <w:pPr>
              <w:pStyle w:val="Texto"/>
              <w:spacing w:line="234" w:lineRule="exact"/>
              <w:ind w:firstLine="0"/>
              <w:rPr>
                <w:rFonts w:ascii="Verdana" w:hAnsi="Verdana"/>
                <w:b/>
                <w:sz w:val="16"/>
                <w:szCs w:val="16"/>
                <w:lang w:val="en-US"/>
              </w:rPr>
            </w:pPr>
            <w:r w:rsidRPr="00913574">
              <w:rPr>
                <w:rFonts w:ascii="Verdana" w:hAnsi="Verdana"/>
                <w:b/>
                <w:sz w:val="16"/>
                <w:szCs w:val="16"/>
                <w:lang w:val="en-US"/>
              </w:rPr>
              <w:t>IX</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The</w:t>
            </w:r>
            <w:proofErr w:type="gramEnd"/>
            <w:r w:rsidRPr="00913574">
              <w:rPr>
                <w:rFonts w:ascii="Verdana" w:hAnsi="Verdana"/>
                <w:sz w:val="16"/>
                <w:szCs w:val="16"/>
                <w:lang w:val="en-US"/>
              </w:rPr>
              <w:t xml:space="preserve"> comprehensive cost-benefit analysis of the expansion and modernization alternatives for the National Transmission Network and the General Distribution Networks, in accordance with the criteria defined by CENACE or CNE, as appropriate, in coordination with the Secretary;</w:t>
            </w:r>
          </w:p>
        </w:tc>
      </w:tr>
      <w:tr w:rsidR="003A38FF" w:rsidRPr="00D83DA2" w14:paraId="57E330DE" w14:textId="70C01BD1" w:rsidTr="00FB5DAD">
        <w:tc>
          <w:tcPr>
            <w:tcW w:w="4706" w:type="dxa"/>
          </w:tcPr>
          <w:p w14:paraId="62830853" w14:textId="77777777" w:rsidR="003A38FF" w:rsidRPr="00D0180E" w:rsidRDefault="003A38FF" w:rsidP="003A38FF">
            <w:pPr>
              <w:pStyle w:val="Texto"/>
              <w:spacing w:line="234" w:lineRule="exact"/>
              <w:ind w:firstLine="0"/>
              <w:rPr>
                <w:rFonts w:ascii="Verdana" w:hAnsi="Verdana"/>
                <w:sz w:val="16"/>
                <w:szCs w:val="16"/>
              </w:rPr>
            </w:pPr>
            <w:r w:rsidRPr="00D0180E">
              <w:rPr>
                <w:rFonts w:ascii="Verdana" w:hAnsi="Verdana"/>
                <w:b/>
                <w:sz w:val="16"/>
                <w:szCs w:val="16"/>
              </w:rPr>
              <w:t>X.</w:t>
            </w:r>
            <w:r w:rsidRPr="00D0180E">
              <w:rPr>
                <w:rFonts w:ascii="Verdana" w:hAnsi="Verdana"/>
                <w:b/>
                <w:sz w:val="16"/>
                <w:szCs w:val="16"/>
              </w:rPr>
              <w:tab/>
            </w:r>
            <w:r w:rsidRPr="00D0180E">
              <w:rPr>
                <w:rFonts w:ascii="Verdana" w:hAnsi="Verdana"/>
                <w:sz w:val="16"/>
                <w:szCs w:val="16"/>
              </w:rPr>
              <w:t>La congruencia con el Plan Nacional de Desarrollo, el Programa Sectorial de Energía, la Estrategia Nacional de Transición Energética y el Plan para la Transición Energética y el Aprovechamiento Sustentable de la Energía;</w:t>
            </w:r>
          </w:p>
        </w:tc>
        <w:tc>
          <w:tcPr>
            <w:tcW w:w="4644" w:type="dxa"/>
          </w:tcPr>
          <w:p w14:paraId="14F80961" w14:textId="1CA18CCC" w:rsidR="003A38FF" w:rsidRPr="00D0180E" w:rsidRDefault="003A38FF" w:rsidP="003A38FF">
            <w:pPr>
              <w:pStyle w:val="Texto"/>
              <w:spacing w:line="234" w:lineRule="exact"/>
              <w:ind w:firstLine="0"/>
              <w:rPr>
                <w:rFonts w:ascii="Verdana" w:hAnsi="Verdana"/>
                <w:b/>
                <w:sz w:val="16"/>
                <w:szCs w:val="16"/>
                <w:lang w:val="en-US"/>
              </w:rPr>
            </w:pPr>
            <w:r w:rsidRPr="00913574">
              <w:rPr>
                <w:rFonts w:ascii="Verdana" w:hAnsi="Verdana"/>
                <w:b/>
                <w:sz w:val="16"/>
                <w:szCs w:val="16"/>
                <w:lang w:val="en-US"/>
              </w:rPr>
              <w:t xml:space="preserve">X. </w:t>
            </w:r>
            <w:r w:rsidRPr="00913574">
              <w:rPr>
                <w:rFonts w:ascii="Verdana" w:hAnsi="Verdana"/>
                <w:b/>
                <w:sz w:val="16"/>
                <w:szCs w:val="16"/>
                <w:lang w:val="en-US"/>
              </w:rPr>
              <w:tab/>
            </w:r>
            <w:r w:rsidRPr="00913574">
              <w:rPr>
                <w:rFonts w:ascii="Verdana" w:hAnsi="Verdana"/>
                <w:sz w:val="16"/>
                <w:szCs w:val="16"/>
                <w:lang w:val="en-US"/>
              </w:rPr>
              <w:t>Consistency with the National Development Plan, the Energy Sector Program, the National Energy Transition Strategy and the Plan for Energy Transition and Sustainable Use of Energy;</w:t>
            </w:r>
          </w:p>
        </w:tc>
      </w:tr>
      <w:tr w:rsidR="003A38FF" w:rsidRPr="00D83DA2" w14:paraId="5F811EF1" w14:textId="0A8C89CF" w:rsidTr="00FB5DAD">
        <w:tc>
          <w:tcPr>
            <w:tcW w:w="4706" w:type="dxa"/>
          </w:tcPr>
          <w:p w14:paraId="41D690E3" w14:textId="77777777" w:rsidR="003A38FF" w:rsidRPr="00D0180E" w:rsidRDefault="003A38FF" w:rsidP="003A38FF">
            <w:pPr>
              <w:pStyle w:val="Texto"/>
              <w:spacing w:line="234" w:lineRule="exact"/>
              <w:ind w:firstLine="0"/>
              <w:rPr>
                <w:rFonts w:ascii="Verdana" w:hAnsi="Verdana"/>
                <w:sz w:val="16"/>
                <w:szCs w:val="16"/>
              </w:rPr>
            </w:pPr>
            <w:r w:rsidRPr="00D0180E">
              <w:rPr>
                <w:rFonts w:ascii="Verdana" w:hAnsi="Verdana"/>
                <w:b/>
                <w:sz w:val="16"/>
                <w:szCs w:val="16"/>
              </w:rPr>
              <w:t>XI.</w:t>
            </w:r>
            <w:r w:rsidRPr="00D0180E">
              <w:rPr>
                <w:rFonts w:ascii="Verdana" w:hAnsi="Verdana"/>
                <w:b/>
                <w:sz w:val="16"/>
                <w:szCs w:val="16"/>
              </w:rPr>
              <w:tab/>
            </w:r>
            <w:r w:rsidRPr="00D0180E">
              <w:rPr>
                <w:rFonts w:ascii="Verdana" w:hAnsi="Verdana"/>
                <w:sz w:val="16"/>
                <w:szCs w:val="16"/>
              </w:rPr>
              <w:t>El fomento al desarrollo tecnológico, implementación de nuevas tecnologías e innovación en el sector eléctrico nacional, y</w:t>
            </w:r>
          </w:p>
        </w:tc>
        <w:tc>
          <w:tcPr>
            <w:tcW w:w="4644" w:type="dxa"/>
          </w:tcPr>
          <w:p w14:paraId="4C8F8D2F" w14:textId="7CA3337D" w:rsidR="003A38FF" w:rsidRPr="00D0180E" w:rsidRDefault="003A38FF" w:rsidP="003A38FF">
            <w:pPr>
              <w:pStyle w:val="Texto"/>
              <w:spacing w:line="234" w:lineRule="exact"/>
              <w:ind w:firstLine="0"/>
              <w:rPr>
                <w:rFonts w:ascii="Verdana" w:hAnsi="Verdana"/>
                <w:b/>
                <w:sz w:val="16"/>
                <w:szCs w:val="16"/>
                <w:lang w:val="en-US"/>
              </w:rPr>
            </w:pPr>
            <w:r w:rsidRPr="00913574">
              <w:rPr>
                <w:rFonts w:ascii="Verdana" w:hAnsi="Verdana"/>
                <w:b/>
                <w:sz w:val="16"/>
                <w:szCs w:val="16"/>
                <w:lang w:val="en-US"/>
              </w:rPr>
              <w:t>XI</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The</w:t>
            </w:r>
            <w:proofErr w:type="gramEnd"/>
            <w:r w:rsidRPr="00913574">
              <w:rPr>
                <w:rFonts w:ascii="Verdana" w:hAnsi="Verdana"/>
                <w:sz w:val="16"/>
                <w:szCs w:val="16"/>
                <w:lang w:val="en-US"/>
              </w:rPr>
              <w:t xml:space="preserve"> promotion of technological development, implementation of new technologies and innovation in the national electricity sector, and</w:t>
            </w:r>
          </w:p>
        </w:tc>
      </w:tr>
      <w:tr w:rsidR="003A38FF" w:rsidRPr="00D83DA2" w14:paraId="7540B287" w14:textId="3A282CC0" w:rsidTr="00FB5DAD">
        <w:tc>
          <w:tcPr>
            <w:tcW w:w="4706" w:type="dxa"/>
          </w:tcPr>
          <w:p w14:paraId="778CF284" w14:textId="77777777" w:rsidR="003A38FF" w:rsidRPr="00D0180E" w:rsidRDefault="003A38FF" w:rsidP="003A38FF">
            <w:pPr>
              <w:pStyle w:val="Texto"/>
              <w:spacing w:line="234" w:lineRule="exact"/>
              <w:ind w:firstLine="0"/>
              <w:rPr>
                <w:rFonts w:ascii="Verdana" w:hAnsi="Verdana"/>
                <w:b/>
                <w:sz w:val="16"/>
                <w:szCs w:val="16"/>
              </w:rPr>
            </w:pPr>
            <w:r w:rsidRPr="00D0180E">
              <w:rPr>
                <w:rFonts w:ascii="Verdana" w:hAnsi="Verdana"/>
                <w:b/>
                <w:sz w:val="16"/>
                <w:szCs w:val="16"/>
              </w:rPr>
              <w:t>XII.</w:t>
            </w:r>
            <w:r w:rsidRPr="00D0180E">
              <w:rPr>
                <w:rFonts w:ascii="Verdana" w:hAnsi="Verdana"/>
                <w:b/>
                <w:sz w:val="16"/>
                <w:szCs w:val="16"/>
              </w:rPr>
              <w:tab/>
            </w:r>
            <w:r w:rsidRPr="00D0180E">
              <w:rPr>
                <w:rFonts w:ascii="Verdana" w:hAnsi="Verdana"/>
                <w:sz w:val="16"/>
                <w:szCs w:val="16"/>
              </w:rPr>
              <w:t>La promoción de la Justicia Energética.</w:t>
            </w:r>
          </w:p>
        </w:tc>
        <w:tc>
          <w:tcPr>
            <w:tcW w:w="4644" w:type="dxa"/>
          </w:tcPr>
          <w:p w14:paraId="32499213" w14:textId="1BFB4A42" w:rsidR="003A38FF" w:rsidRPr="00D0180E" w:rsidRDefault="003A38FF" w:rsidP="003A38FF">
            <w:pPr>
              <w:pStyle w:val="Texto"/>
              <w:spacing w:line="234" w:lineRule="exact"/>
              <w:ind w:firstLine="0"/>
              <w:rPr>
                <w:rFonts w:ascii="Verdana" w:hAnsi="Verdana"/>
                <w:b/>
                <w:sz w:val="16"/>
                <w:szCs w:val="16"/>
                <w:lang w:val="en-US"/>
              </w:rPr>
            </w:pPr>
            <w:r w:rsidRPr="00913574">
              <w:rPr>
                <w:rFonts w:ascii="Verdana" w:hAnsi="Verdana"/>
                <w:b/>
                <w:sz w:val="16"/>
                <w:szCs w:val="16"/>
                <w:lang w:val="en-US"/>
              </w:rPr>
              <w:t>XII</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The</w:t>
            </w:r>
            <w:proofErr w:type="gramEnd"/>
            <w:r w:rsidRPr="00913574">
              <w:rPr>
                <w:rFonts w:ascii="Verdana" w:hAnsi="Verdana"/>
                <w:sz w:val="16"/>
                <w:szCs w:val="16"/>
                <w:lang w:val="en-US"/>
              </w:rPr>
              <w:t xml:space="preserve"> promotion of Energy Justice.</w:t>
            </w:r>
          </w:p>
        </w:tc>
      </w:tr>
      <w:tr w:rsidR="003A38FF" w:rsidRPr="00D83DA2" w14:paraId="046007D0" w14:textId="4B75B1F4" w:rsidTr="00FB5DAD">
        <w:tc>
          <w:tcPr>
            <w:tcW w:w="4706" w:type="dxa"/>
          </w:tcPr>
          <w:p w14:paraId="4E0DD98E" w14:textId="77777777" w:rsidR="003A38FF" w:rsidRPr="00D0180E" w:rsidRDefault="003A38FF" w:rsidP="003A38FF">
            <w:pPr>
              <w:pStyle w:val="Texto"/>
              <w:spacing w:line="234" w:lineRule="exact"/>
              <w:ind w:firstLine="0"/>
              <w:rPr>
                <w:rFonts w:ascii="Verdana" w:hAnsi="Verdana"/>
                <w:sz w:val="16"/>
                <w:szCs w:val="16"/>
              </w:rPr>
            </w:pPr>
            <w:r w:rsidRPr="00D0180E">
              <w:rPr>
                <w:rFonts w:ascii="Verdana" w:hAnsi="Verdana"/>
                <w:b/>
                <w:sz w:val="16"/>
                <w:szCs w:val="16"/>
              </w:rPr>
              <w:t>Artículo 9.</w:t>
            </w:r>
            <w:r w:rsidRPr="00D0180E">
              <w:rPr>
                <w:rFonts w:ascii="Verdana" w:hAnsi="Verdana"/>
                <w:sz w:val="16"/>
                <w:szCs w:val="16"/>
              </w:rPr>
              <w:t xml:space="preserve"> Para evaluar la no prevalencia de las personas particulares en la actividad de generación en el sector eléctrico, la Secretaría, a más tardar el último día hábil del mes de febrero de cada año, debe calcular la participación del Estado en dicha actividad conforme a la metodología que emita la propia Secretaría, la cual debe contener al menos lo previsto en el siguiente párrafo.</w:t>
            </w:r>
          </w:p>
        </w:tc>
        <w:tc>
          <w:tcPr>
            <w:tcW w:w="4644" w:type="dxa"/>
          </w:tcPr>
          <w:p w14:paraId="7D38A951" w14:textId="0D51B7EE" w:rsidR="003A38FF" w:rsidRPr="00D0180E" w:rsidRDefault="003A38FF" w:rsidP="003A38FF">
            <w:pPr>
              <w:pStyle w:val="Texto"/>
              <w:spacing w:line="234" w:lineRule="exact"/>
              <w:ind w:firstLine="0"/>
              <w:rPr>
                <w:rFonts w:ascii="Verdana" w:hAnsi="Verdana"/>
                <w:b/>
                <w:sz w:val="16"/>
                <w:szCs w:val="16"/>
                <w:lang w:val="en-US"/>
              </w:rPr>
            </w:pPr>
            <w:r w:rsidRPr="00913574">
              <w:rPr>
                <w:rFonts w:ascii="Verdana" w:hAnsi="Verdana"/>
                <w:b/>
                <w:sz w:val="16"/>
                <w:szCs w:val="16"/>
                <w:lang w:val="en-US"/>
              </w:rPr>
              <w:t xml:space="preserve">Article 9. </w:t>
            </w:r>
            <w:r w:rsidRPr="00913574">
              <w:rPr>
                <w:rFonts w:ascii="Verdana" w:hAnsi="Verdana"/>
                <w:sz w:val="16"/>
                <w:szCs w:val="16"/>
                <w:lang w:val="en-US"/>
              </w:rPr>
              <w:t>To assess the non-prevalence of private individuals in the generation activity in the electricity sector, the Secretary, no later than the last business day of February of each year, must calculate the State's participation in said activity in accordance with the methodology issued by the Secretary itself, which must contain at least what is provided in the following paragraph.</w:t>
            </w:r>
          </w:p>
        </w:tc>
      </w:tr>
      <w:tr w:rsidR="003A38FF" w:rsidRPr="00D83DA2" w14:paraId="0A3E7818" w14:textId="01C473CD" w:rsidTr="00FB5DAD">
        <w:tc>
          <w:tcPr>
            <w:tcW w:w="4706" w:type="dxa"/>
          </w:tcPr>
          <w:p w14:paraId="73186743" w14:textId="77777777" w:rsidR="003A38FF" w:rsidRPr="00D0180E" w:rsidRDefault="003A38FF" w:rsidP="003A38FF">
            <w:pPr>
              <w:pStyle w:val="Texto"/>
              <w:spacing w:line="234" w:lineRule="exact"/>
              <w:ind w:firstLine="0"/>
              <w:rPr>
                <w:rFonts w:ascii="Verdana" w:hAnsi="Verdana"/>
                <w:sz w:val="16"/>
                <w:szCs w:val="16"/>
              </w:rPr>
            </w:pPr>
            <w:r w:rsidRPr="00D0180E">
              <w:rPr>
                <w:rFonts w:ascii="Verdana" w:hAnsi="Verdana"/>
                <w:sz w:val="16"/>
                <w:szCs w:val="16"/>
              </w:rPr>
              <w:t>La participación del Estado en la generación de energía eléctrica se debe calcular de forma anual como el cociente resultante de dividir la Generación de Electricidad Inyectada por el Estado entre la Generación de Electricidad Inyectada Total, multiplicado por cien. Para las evaluaciones prospectivas se debe realizar el cálculo con la Generación de Electricidad Inyectada Total estimada, para lo cual se deben utilizar los escenarios de demanda del Sistema Eléctrico Nacional y la Generación de Electricidad Inyectada por el Estado estimada, que debe considerar los planes de expansión de generación, redes de transmisión, el avance de los proyectos y un factor de ajuste por riesgo de ejecución y retraso en entrada en operación de los proyectos de generación.</w:t>
            </w:r>
          </w:p>
        </w:tc>
        <w:tc>
          <w:tcPr>
            <w:tcW w:w="4644" w:type="dxa"/>
          </w:tcPr>
          <w:p w14:paraId="689B3E2F" w14:textId="4FD0AD2B" w:rsidR="003A38FF" w:rsidRPr="00D0180E" w:rsidRDefault="003A38FF" w:rsidP="003A38FF">
            <w:pPr>
              <w:pStyle w:val="Texto"/>
              <w:spacing w:line="234" w:lineRule="exact"/>
              <w:ind w:firstLine="0"/>
              <w:rPr>
                <w:rFonts w:ascii="Verdana" w:hAnsi="Verdana"/>
                <w:sz w:val="16"/>
                <w:szCs w:val="16"/>
                <w:lang w:val="en-US"/>
              </w:rPr>
            </w:pPr>
            <w:r w:rsidRPr="00913574">
              <w:rPr>
                <w:rFonts w:ascii="Verdana" w:hAnsi="Verdana"/>
                <w:sz w:val="16"/>
                <w:szCs w:val="16"/>
                <w:lang w:val="en-US"/>
              </w:rPr>
              <w:t>The State's share of electricity generation should be calculated annually as the quotient resulting from dividing the state-injected electricity generation by the total injected electricity generation, multiplied by one hundred. For prospective assessments, the calculation should be performed using the estimated total injected electricity generation, for which the demand scenarios of the national electric system and the estimated state-injected electricity generation should be used. This scenario should consider generation expansion plans, transmission networks, project progress, and an adjustment factor for execution risk and delays in the start-up of generation projects.</w:t>
            </w:r>
          </w:p>
        </w:tc>
      </w:tr>
      <w:tr w:rsidR="003A38FF" w:rsidRPr="00D83DA2" w14:paraId="0CB8662B" w14:textId="26AD928E" w:rsidTr="00FB5DAD">
        <w:tc>
          <w:tcPr>
            <w:tcW w:w="4706" w:type="dxa"/>
          </w:tcPr>
          <w:p w14:paraId="1991E2D9" w14:textId="77777777" w:rsidR="003A38FF" w:rsidRPr="00D0180E" w:rsidRDefault="003A38FF" w:rsidP="003A38FF">
            <w:pPr>
              <w:pStyle w:val="Texto"/>
              <w:spacing w:line="234" w:lineRule="exact"/>
              <w:ind w:firstLine="0"/>
              <w:rPr>
                <w:rFonts w:ascii="Verdana" w:hAnsi="Verdana"/>
                <w:sz w:val="16"/>
                <w:szCs w:val="16"/>
              </w:rPr>
            </w:pPr>
            <w:r w:rsidRPr="00D0180E">
              <w:rPr>
                <w:rFonts w:ascii="Verdana" w:hAnsi="Verdana"/>
                <w:sz w:val="16"/>
                <w:szCs w:val="16"/>
              </w:rPr>
              <w:lastRenderedPageBreak/>
              <w:t>Con base en los resultados, la Secretaría debe identificar necesidades de capacidad adicional de generación, transmisión y demás infraestructura eléctrica a desarrollar por el Estado e incluirlas en el Plan de Desarrollo del Sector Eléctrico, así como llevar a cabo las acciones necesarias para la ejecución de los proyectos contemplados, los cuales no deben afectar el Despacho Económico de Carga, frenar la atención de la demanda o incrementar el costo del sistema.</w:t>
            </w:r>
          </w:p>
        </w:tc>
        <w:tc>
          <w:tcPr>
            <w:tcW w:w="4644" w:type="dxa"/>
          </w:tcPr>
          <w:p w14:paraId="6BDC1744" w14:textId="7A531230" w:rsidR="003A38FF" w:rsidRPr="00D0180E" w:rsidRDefault="003A38FF" w:rsidP="003A38FF">
            <w:pPr>
              <w:pStyle w:val="Texto"/>
              <w:spacing w:line="234" w:lineRule="exact"/>
              <w:ind w:firstLine="0"/>
              <w:rPr>
                <w:rFonts w:ascii="Verdana" w:hAnsi="Verdana"/>
                <w:sz w:val="16"/>
                <w:szCs w:val="16"/>
                <w:lang w:val="en-US"/>
              </w:rPr>
            </w:pPr>
            <w:r w:rsidRPr="00913574">
              <w:rPr>
                <w:rFonts w:ascii="Verdana" w:hAnsi="Verdana"/>
                <w:sz w:val="16"/>
                <w:szCs w:val="16"/>
                <w:lang w:val="en-US"/>
              </w:rPr>
              <w:t>Based on the results, the Secretary must identify additional capacity needs for generation, transmission, and other electrical infrastructure to be developed by the State and include them in the Electric Sector Development Plan. It must also carry out the necessary actions to execute the contemplated projects, which must not affect Economic Load Dispatch, hinder demand response, or increase system costs.</w:t>
            </w:r>
          </w:p>
        </w:tc>
      </w:tr>
      <w:tr w:rsidR="003A38FF" w:rsidRPr="00D83DA2" w14:paraId="02261CEE" w14:textId="7575890E" w:rsidTr="00FB5DAD">
        <w:tc>
          <w:tcPr>
            <w:tcW w:w="4706" w:type="dxa"/>
          </w:tcPr>
          <w:p w14:paraId="1934301A" w14:textId="77777777" w:rsidR="003A38FF" w:rsidRPr="00D0180E" w:rsidRDefault="003A38FF" w:rsidP="003A38FF">
            <w:pPr>
              <w:pStyle w:val="Texto"/>
              <w:spacing w:line="234" w:lineRule="exact"/>
              <w:ind w:firstLine="0"/>
              <w:rPr>
                <w:rFonts w:ascii="Verdana" w:hAnsi="Verdana"/>
                <w:sz w:val="16"/>
                <w:szCs w:val="16"/>
              </w:rPr>
            </w:pPr>
            <w:r w:rsidRPr="00D0180E">
              <w:rPr>
                <w:rFonts w:ascii="Verdana" w:hAnsi="Verdana"/>
                <w:b/>
                <w:sz w:val="16"/>
                <w:szCs w:val="16"/>
              </w:rPr>
              <w:t xml:space="preserve">Artículo 10. </w:t>
            </w:r>
            <w:r w:rsidRPr="00D0180E">
              <w:rPr>
                <w:rFonts w:ascii="Verdana" w:hAnsi="Verdana"/>
                <w:sz w:val="16"/>
                <w:szCs w:val="16"/>
              </w:rPr>
              <w:t>La evaluación de la participación del Estado debe considerar que la Generación de Electricidad Inyectada por el Estado puede ser afectada por condiciones de caso fortuito o fuerza mayor.</w:t>
            </w:r>
          </w:p>
        </w:tc>
        <w:tc>
          <w:tcPr>
            <w:tcW w:w="4644" w:type="dxa"/>
          </w:tcPr>
          <w:p w14:paraId="3917D9F1" w14:textId="11C4FBB8" w:rsidR="003A38FF" w:rsidRPr="00D0180E" w:rsidRDefault="003A38FF" w:rsidP="003A38FF">
            <w:pPr>
              <w:pStyle w:val="Texto"/>
              <w:spacing w:line="234" w:lineRule="exact"/>
              <w:ind w:firstLine="0"/>
              <w:rPr>
                <w:rFonts w:ascii="Verdana" w:hAnsi="Verdana"/>
                <w:b/>
                <w:sz w:val="16"/>
                <w:szCs w:val="16"/>
                <w:lang w:val="en-US"/>
              </w:rPr>
            </w:pPr>
            <w:r w:rsidRPr="00913574">
              <w:rPr>
                <w:rFonts w:ascii="Verdana" w:hAnsi="Verdana"/>
                <w:b/>
                <w:sz w:val="16"/>
                <w:szCs w:val="16"/>
                <w:lang w:val="en-US"/>
              </w:rPr>
              <w:t xml:space="preserve">Article 10. </w:t>
            </w:r>
            <w:r w:rsidRPr="00913574">
              <w:rPr>
                <w:rFonts w:ascii="Verdana" w:hAnsi="Verdana"/>
                <w:sz w:val="16"/>
                <w:szCs w:val="16"/>
                <w:lang w:val="en-US"/>
              </w:rPr>
              <w:t>The evaluation of the State's participation must consider that the Generation of Electricity Injected by the State may be affected by conditions of fortuitous event or force majeure.</w:t>
            </w:r>
          </w:p>
        </w:tc>
      </w:tr>
      <w:tr w:rsidR="003A38FF" w:rsidRPr="00D83DA2" w14:paraId="61CC3AFA" w14:textId="6310D621" w:rsidTr="00FB5DAD">
        <w:tc>
          <w:tcPr>
            <w:tcW w:w="4706" w:type="dxa"/>
          </w:tcPr>
          <w:p w14:paraId="0B3094E1" w14:textId="77777777" w:rsidR="003A38FF" w:rsidRPr="00D0180E" w:rsidRDefault="003A38FF" w:rsidP="003A38FF">
            <w:pPr>
              <w:pStyle w:val="Texto"/>
              <w:spacing w:line="234" w:lineRule="exact"/>
              <w:ind w:firstLine="0"/>
              <w:rPr>
                <w:rFonts w:ascii="Verdana" w:hAnsi="Verdana"/>
                <w:sz w:val="16"/>
                <w:szCs w:val="16"/>
              </w:rPr>
            </w:pPr>
            <w:r w:rsidRPr="00D0180E">
              <w:rPr>
                <w:rFonts w:ascii="Verdana" w:hAnsi="Verdana"/>
                <w:b/>
                <w:sz w:val="16"/>
                <w:szCs w:val="16"/>
              </w:rPr>
              <w:t>Artículo 11.</w:t>
            </w:r>
            <w:r w:rsidRPr="00D0180E">
              <w:rPr>
                <w:rFonts w:ascii="Verdana" w:hAnsi="Verdana"/>
                <w:sz w:val="16"/>
                <w:szCs w:val="16"/>
              </w:rPr>
              <w:t xml:space="preserve"> La Transportista y la Distribuidora están obligadas a entregar a la Secretaría, a la CNE y al CENACE, un informe trimestral pormenorizado sobre el estado y los avances en los proyectos instruidos de ampliación y modernización de la Red Nacional de Transmisión y las Redes Generales de Distribución, que incluya los factores que pueden ocasionar retrasos en la licitación, su desarrollo o fecha de entrada en operación. Lo anterior, a efecto de que la Secretaría o la CNE, en el ámbito de sus facultades, establezcan las acciones pertinentes para el desarrollo apropiado y cumplimiento de la fecha de entrada en operación comercial de dichos proyectos.</w:t>
            </w:r>
          </w:p>
        </w:tc>
        <w:tc>
          <w:tcPr>
            <w:tcW w:w="4644" w:type="dxa"/>
          </w:tcPr>
          <w:p w14:paraId="17F39931" w14:textId="24A96F9F" w:rsidR="003A38FF" w:rsidRPr="00D0180E" w:rsidRDefault="003A38FF" w:rsidP="003A38FF">
            <w:pPr>
              <w:pStyle w:val="Texto"/>
              <w:spacing w:line="234" w:lineRule="exact"/>
              <w:ind w:firstLine="0"/>
              <w:rPr>
                <w:rFonts w:ascii="Verdana" w:hAnsi="Verdana"/>
                <w:b/>
                <w:sz w:val="16"/>
                <w:szCs w:val="16"/>
                <w:lang w:val="en-US"/>
              </w:rPr>
            </w:pPr>
            <w:r w:rsidRPr="00913574">
              <w:rPr>
                <w:rFonts w:ascii="Verdana" w:hAnsi="Verdana"/>
                <w:b/>
                <w:sz w:val="16"/>
                <w:szCs w:val="16"/>
                <w:lang w:val="en-US"/>
              </w:rPr>
              <w:t xml:space="preserve">Article 11. </w:t>
            </w:r>
            <w:r w:rsidRPr="00913574">
              <w:rPr>
                <w:rFonts w:ascii="Verdana" w:hAnsi="Verdana"/>
                <w:sz w:val="16"/>
                <w:szCs w:val="16"/>
                <w:lang w:val="en-US"/>
              </w:rPr>
              <w:t xml:space="preserve">The Transmission Company and the Distributor are required to submit to the Secretary, the CNE, and CENACE a detailed quarterly report on the status and progress of the projects instructed for the expansion and modernization of the National Transmission Grid and the General Distribution Networks, including the factors that may cause delays in the bidding process, its development, or the date of entry into operation. This is so that the Secretary or the CNE, within the scope of their powers, may establish </w:t>
            </w:r>
            <w:proofErr w:type="gramStart"/>
            <w:r w:rsidRPr="00913574">
              <w:rPr>
                <w:rFonts w:ascii="Verdana" w:hAnsi="Verdana"/>
                <w:sz w:val="16"/>
                <w:szCs w:val="16"/>
                <w:lang w:val="en-US"/>
              </w:rPr>
              <w:t>the pertinent</w:t>
            </w:r>
            <w:proofErr w:type="gramEnd"/>
            <w:r w:rsidRPr="00913574">
              <w:rPr>
                <w:rFonts w:ascii="Verdana" w:hAnsi="Verdana"/>
                <w:sz w:val="16"/>
                <w:szCs w:val="16"/>
                <w:lang w:val="en-US"/>
              </w:rPr>
              <w:t xml:space="preserve"> actions for the appropriate development and compliance with the date of entry into commercial operation of said projects.</w:t>
            </w:r>
          </w:p>
        </w:tc>
      </w:tr>
      <w:tr w:rsidR="003A38FF" w:rsidRPr="00D83DA2" w14:paraId="4FAB472D" w14:textId="7748A12C" w:rsidTr="00FB5DAD">
        <w:tc>
          <w:tcPr>
            <w:tcW w:w="4706" w:type="dxa"/>
          </w:tcPr>
          <w:p w14:paraId="72FF8557" w14:textId="77777777" w:rsidR="003A38FF" w:rsidRPr="00D0180E" w:rsidRDefault="003A38FF" w:rsidP="003A38FF">
            <w:pPr>
              <w:pStyle w:val="Texto"/>
              <w:spacing w:line="234" w:lineRule="exact"/>
              <w:ind w:firstLine="0"/>
              <w:rPr>
                <w:rFonts w:ascii="Verdana" w:hAnsi="Verdana"/>
                <w:sz w:val="16"/>
                <w:szCs w:val="16"/>
              </w:rPr>
            </w:pPr>
            <w:r w:rsidRPr="00D0180E">
              <w:rPr>
                <w:rFonts w:ascii="Verdana" w:hAnsi="Verdana"/>
                <w:sz w:val="16"/>
                <w:szCs w:val="16"/>
              </w:rPr>
              <w:t>El informe debe entregarse dentro del plazo de diez días hábiles posteriores al cierre de cada trimestre y la Secretaría debe publicar la versión pública de dicho informe, a más tardar diez días hábiles siguientes a su recepción; además, debe tomar en cuenta el estado que guardan los proyectos contenidos en los programas de ampliación y modernización de la Red Nacional de Transmisión y de las Redes Generales de Distribución instruidos en años previos, así como las obras e inversiones que se encuentren en ejecución.</w:t>
            </w:r>
          </w:p>
        </w:tc>
        <w:tc>
          <w:tcPr>
            <w:tcW w:w="4644" w:type="dxa"/>
          </w:tcPr>
          <w:p w14:paraId="385C13EA" w14:textId="71AE3B87" w:rsidR="003A38FF" w:rsidRPr="00D0180E" w:rsidRDefault="003A38FF" w:rsidP="003A38FF">
            <w:pPr>
              <w:pStyle w:val="Texto"/>
              <w:spacing w:line="234" w:lineRule="exact"/>
              <w:ind w:firstLine="0"/>
              <w:rPr>
                <w:rFonts w:ascii="Verdana" w:hAnsi="Verdana"/>
                <w:sz w:val="16"/>
                <w:szCs w:val="16"/>
                <w:lang w:val="en-US"/>
              </w:rPr>
            </w:pPr>
            <w:r w:rsidRPr="00913574">
              <w:rPr>
                <w:rFonts w:ascii="Verdana" w:hAnsi="Verdana"/>
                <w:sz w:val="16"/>
                <w:szCs w:val="16"/>
                <w:lang w:val="en-US"/>
              </w:rPr>
              <w:t xml:space="preserve">The report must be submitted within ten business days after the close of each quarter, and the Secretary must publish the public version of the report no later than ten business days after its receipt. It must also </w:t>
            </w:r>
            <w:proofErr w:type="gramStart"/>
            <w:r w:rsidRPr="00913574">
              <w:rPr>
                <w:rFonts w:ascii="Verdana" w:hAnsi="Verdana"/>
                <w:sz w:val="16"/>
                <w:szCs w:val="16"/>
                <w:lang w:val="en-US"/>
              </w:rPr>
              <w:t>take into account</w:t>
            </w:r>
            <w:proofErr w:type="gramEnd"/>
            <w:r w:rsidRPr="00913574">
              <w:rPr>
                <w:rFonts w:ascii="Verdana" w:hAnsi="Verdana"/>
                <w:sz w:val="16"/>
                <w:szCs w:val="16"/>
                <w:lang w:val="en-US"/>
              </w:rPr>
              <w:t xml:space="preserve"> the status of the projects included in the expansion and modernization programs for the national transmission grid and the general distribution networks implemented in previous years, as well as the works and investments currently underway.</w:t>
            </w:r>
          </w:p>
        </w:tc>
      </w:tr>
      <w:tr w:rsidR="003A38FF" w:rsidRPr="00D83DA2" w14:paraId="54CD2CEB" w14:textId="3F74C675" w:rsidTr="00FB5DAD">
        <w:tc>
          <w:tcPr>
            <w:tcW w:w="4706" w:type="dxa"/>
          </w:tcPr>
          <w:p w14:paraId="78D66AD4" w14:textId="77777777" w:rsidR="003A38FF" w:rsidRPr="00D0180E" w:rsidRDefault="003A38FF" w:rsidP="003A38FF">
            <w:pPr>
              <w:pStyle w:val="Texto"/>
              <w:spacing w:line="229" w:lineRule="exact"/>
              <w:ind w:firstLine="0"/>
              <w:rPr>
                <w:rFonts w:ascii="Verdana" w:hAnsi="Verdana"/>
                <w:sz w:val="16"/>
                <w:szCs w:val="16"/>
              </w:rPr>
            </w:pPr>
            <w:r w:rsidRPr="00D0180E">
              <w:rPr>
                <w:rFonts w:ascii="Verdana" w:hAnsi="Verdana"/>
                <w:b/>
                <w:sz w:val="16"/>
                <w:szCs w:val="16"/>
              </w:rPr>
              <w:t>Artículo 12.</w:t>
            </w:r>
            <w:r w:rsidRPr="00D0180E">
              <w:rPr>
                <w:rFonts w:ascii="Verdana" w:hAnsi="Verdana"/>
                <w:sz w:val="16"/>
                <w:szCs w:val="16"/>
              </w:rPr>
              <w:t xml:space="preserve"> En la elaboración de los programas de ampliación y modernización de la Red Nacional de Transmisión y de las Redes Generales de Distribución, la Secretaría debe incorporar mecanismos tanto para que el CENACE conozca las propuestas de la Empresa Pública del Estado en sus funciones de Transportista o Distribuidora, como para conocer la opinión y propuestas de las Participantes del Mercado y de las demás personas interesadas en desarrollar proyectos de generación, almacenamiento, industriales, productivos y de infraestructura eléctrica.</w:t>
            </w:r>
          </w:p>
        </w:tc>
        <w:tc>
          <w:tcPr>
            <w:tcW w:w="4644" w:type="dxa"/>
          </w:tcPr>
          <w:p w14:paraId="7DEE5728" w14:textId="3CC0000F" w:rsidR="003A38FF" w:rsidRPr="00D0180E" w:rsidRDefault="003A38FF" w:rsidP="003A38FF">
            <w:pPr>
              <w:pStyle w:val="Texto"/>
              <w:spacing w:line="229" w:lineRule="exact"/>
              <w:ind w:firstLine="0"/>
              <w:rPr>
                <w:rFonts w:ascii="Verdana" w:hAnsi="Verdana"/>
                <w:b/>
                <w:sz w:val="16"/>
                <w:szCs w:val="16"/>
                <w:lang w:val="en-US"/>
              </w:rPr>
            </w:pPr>
            <w:r w:rsidRPr="00913574">
              <w:rPr>
                <w:rFonts w:ascii="Verdana" w:hAnsi="Verdana"/>
                <w:b/>
                <w:sz w:val="16"/>
                <w:szCs w:val="16"/>
                <w:lang w:val="en-US"/>
              </w:rPr>
              <w:t xml:space="preserve">Article 12. </w:t>
            </w:r>
            <w:r w:rsidRPr="00913574">
              <w:rPr>
                <w:rFonts w:ascii="Verdana" w:hAnsi="Verdana"/>
                <w:sz w:val="16"/>
                <w:szCs w:val="16"/>
                <w:lang w:val="en-US"/>
              </w:rPr>
              <w:t>In the development of expansion and modernization programs for the national transmission network and the general distribution networks, the Secretary must incorporate mechanisms so that CENACE is aware of the proposals of the State Public Enterprise in its functions as transmission or distribution, as well as to know the opinions and proposals of market participants and other persons interested in developing generation, storage, industrial, productive and electrical infrastructure projects.</w:t>
            </w:r>
          </w:p>
        </w:tc>
      </w:tr>
      <w:tr w:rsidR="003A38FF" w:rsidRPr="00D83DA2" w14:paraId="00D2A039" w14:textId="3B92A5DF" w:rsidTr="00FB5DAD">
        <w:tc>
          <w:tcPr>
            <w:tcW w:w="4706" w:type="dxa"/>
          </w:tcPr>
          <w:p w14:paraId="5E410E68" w14:textId="77777777" w:rsidR="003A38FF" w:rsidRPr="00D0180E" w:rsidRDefault="003A38FF" w:rsidP="003A38FF">
            <w:pPr>
              <w:pStyle w:val="Texto"/>
              <w:spacing w:line="229" w:lineRule="exact"/>
              <w:ind w:firstLine="0"/>
              <w:rPr>
                <w:rFonts w:ascii="Verdana" w:hAnsi="Verdana"/>
                <w:sz w:val="16"/>
                <w:szCs w:val="16"/>
              </w:rPr>
            </w:pPr>
            <w:r w:rsidRPr="00D0180E">
              <w:rPr>
                <w:rFonts w:ascii="Verdana" w:hAnsi="Verdana"/>
                <w:sz w:val="16"/>
                <w:szCs w:val="16"/>
              </w:rPr>
              <w:t xml:space="preserve">En este proceso se debe tomar en cuenta el estado que guardan los proyectos contenidos en los programas de ampliación y modernización de la Red Nacional de Transmisión y de las Redes Generales de Distribución instruidos para su ejecución en años previos, así como </w:t>
            </w:r>
            <w:r w:rsidRPr="00D0180E">
              <w:rPr>
                <w:rFonts w:ascii="Verdana" w:hAnsi="Verdana"/>
                <w:sz w:val="16"/>
                <w:szCs w:val="16"/>
              </w:rPr>
              <w:lastRenderedPageBreak/>
              <w:t>las obras e inversiones que se encuentren en ejecución y considerar lo siguiente:</w:t>
            </w:r>
          </w:p>
        </w:tc>
        <w:tc>
          <w:tcPr>
            <w:tcW w:w="4644" w:type="dxa"/>
          </w:tcPr>
          <w:p w14:paraId="03F23E19" w14:textId="19763BE4" w:rsidR="003A38FF" w:rsidRPr="00D0180E" w:rsidRDefault="003A38FF" w:rsidP="003A38FF">
            <w:pPr>
              <w:pStyle w:val="Texto"/>
              <w:spacing w:line="229" w:lineRule="exact"/>
              <w:ind w:firstLine="0"/>
              <w:rPr>
                <w:rFonts w:ascii="Verdana" w:hAnsi="Verdana"/>
                <w:sz w:val="16"/>
                <w:szCs w:val="16"/>
                <w:lang w:val="en-US"/>
              </w:rPr>
            </w:pPr>
            <w:r w:rsidRPr="00913574">
              <w:rPr>
                <w:rFonts w:ascii="Verdana" w:hAnsi="Verdana"/>
                <w:sz w:val="16"/>
                <w:szCs w:val="16"/>
                <w:lang w:val="en-US"/>
              </w:rPr>
              <w:lastRenderedPageBreak/>
              <w:t xml:space="preserve">This process must </w:t>
            </w:r>
            <w:proofErr w:type="gramStart"/>
            <w:r w:rsidRPr="00913574">
              <w:rPr>
                <w:rFonts w:ascii="Verdana" w:hAnsi="Verdana"/>
                <w:sz w:val="16"/>
                <w:szCs w:val="16"/>
                <w:lang w:val="en-US"/>
              </w:rPr>
              <w:t>take into account</w:t>
            </w:r>
            <w:proofErr w:type="gramEnd"/>
            <w:r w:rsidRPr="00913574">
              <w:rPr>
                <w:rFonts w:ascii="Verdana" w:hAnsi="Verdana"/>
                <w:sz w:val="16"/>
                <w:szCs w:val="16"/>
                <w:lang w:val="en-US"/>
              </w:rPr>
              <w:t xml:space="preserve"> the status of the projects included in the expansion and modernization programs for the national transmission network and the general distribution networks instructed for execution in previous years, as well as the works and investments </w:t>
            </w:r>
            <w:r w:rsidRPr="00913574">
              <w:rPr>
                <w:rFonts w:ascii="Verdana" w:hAnsi="Verdana"/>
                <w:sz w:val="16"/>
                <w:szCs w:val="16"/>
                <w:lang w:val="en-US"/>
              </w:rPr>
              <w:lastRenderedPageBreak/>
              <w:t>currently underway, and the following must be considered:</w:t>
            </w:r>
          </w:p>
        </w:tc>
      </w:tr>
      <w:tr w:rsidR="003A38FF" w:rsidRPr="00D83DA2" w14:paraId="200BB0E7" w14:textId="7F44EFA3" w:rsidTr="00FB5DAD">
        <w:tc>
          <w:tcPr>
            <w:tcW w:w="4706" w:type="dxa"/>
          </w:tcPr>
          <w:p w14:paraId="2B596886" w14:textId="77777777" w:rsidR="003A38FF" w:rsidRPr="00D0180E" w:rsidRDefault="003A38FF" w:rsidP="003A38FF">
            <w:pPr>
              <w:pStyle w:val="Texto"/>
              <w:spacing w:line="229" w:lineRule="exact"/>
              <w:ind w:firstLine="0"/>
              <w:rPr>
                <w:rFonts w:ascii="Verdana" w:hAnsi="Verdana"/>
                <w:sz w:val="16"/>
                <w:szCs w:val="16"/>
              </w:rPr>
            </w:pPr>
            <w:r w:rsidRPr="00D0180E">
              <w:rPr>
                <w:rFonts w:ascii="Verdana" w:hAnsi="Verdana"/>
                <w:b/>
                <w:sz w:val="16"/>
                <w:szCs w:val="16"/>
              </w:rPr>
              <w:lastRenderedPageBreak/>
              <w:t>I.</w:t>
            </w:r>
            <w:r w:rsidRPr="00D0180E">
              <w:rPr>
                <w:rFonts w:ascii="Verdana" w:hAnsi="Verdana"/>
                <w:b/>
                <w:sz w:val="16"/>
                <w:szCs w:val="16"/>
              </w:rPr>
              <w:tab/>
            </w:r>
            <w:r w:rsidRPr="00D0180E">
              <w:rPr>
                <w:rFonts w:ascii="Verdana" w:hAnsi="Verdana"/>
                <w:sz w:val="16"/>
                <w:szCs w:val="16"/>
              </w:rPr>
              <w:t>Los programas deben ser elaborados anualmente y tener una proyección de al menos quince años;</w:t>
            </w:r>
          </w:p>
        </w:tc>
        <w:tc>
          <w:tcPr>
            <w:tcW w:w="4644" w:type="dxa"/>
          </w:tcPr>
          <w:p w14:paraId="12AA4704" w14:textId="23ACB7E9" w:rsidR="003A38FF" w:rsidRPr="00D0180E" w:rsidRDefault="003A38FF" w:rsidP="003A38FF">
            <w:pPr>
              <w:pStyle w:val="Texto"/>
              <w:spacing w:line="229" w:lineRule="exact"/>
              <w:ind w:firstLine="0"/>
              <w:rPr>
                <w:rFonts w:ascii="Verdana" w:hAnsi="Verdana"/>
                <w:b/>
                <w:sz w:val="16"/>
                <w:szCs w:val="16"/>
                <w:lang w:val="en-US"/>
              </w:rPr>
            </w:pPr>
            <w:r w:rsidRPr="00913574">
              <w:rPr>
                <w:rFonts w:ascii="Verdana" w:hAnsi="Verdana"/>
                <w:b/>
                <w:sz w:val="16"/>
                <w:szCs w:val="16"/>
                <w:lang w:val="en-US"/>
              </w:rPr>
              <w:t xml:space="preserve">I. </w:t>
            </w:r>
            <w:r w:rsidRPr="00913574">
              <w:rPr>
                <w:rFonts w:ascii="Verdana" w:hAnsi="Verdana"/>
                <w:b/>
                <w:sz w:val="16"/>
                <w:szCs w:val="16"/>
                <w:lang w:val="en-US"/>
              </w:rPr>
              <w:tab/>
            </w:r>
            <w:r w:rsidRPr="00913574">
              <w:rPr>
                <w:rFonts w:ascii="Verdana" w:hAnsi="Verdana"/>
                <w:sz w:val="16"/>
                <w:szCs w:val="16"/>
                <w:lang w:val="en-US"/>
              </w:rPr>
              <w:t>Programs must be prepared annually and have a projection of at least fifteen years;</w:t>
            </w:r>
          </w:p>
        </w:tc>
      </w:tr>
      <w:tr w:rsidR="003A38FF" w:rsidRPr="00D83DA2" w14:paraId="1E1A42A7" w14:textId="29730F3D" w:rsidTr="00FB5DAD">
        <w:tc>
          <w:tcPr>
            <w:tcW w:w="4706" w:type="dxa"/>
          </w:tcPr>
          <w:p w14:paraId="7B8E5330" w14:textId="77777777" w:rsidR="003A38FF" w:rsidRPr="00D0180E" w:rsidRDefault="003A38FF" w:rsidP="003A38FF">
            <w:pPr>
              <w:pStyle w:val="Texto"/>
              <w:spacing w:line="229"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El CENACE, en coordinación con la Empresa Pública del Estado, debe proponer a la Secretaría, para su autorización, y a la CNE para su opinión, los programas en términos del artículo 13 de la Ley, dentro del mes de febrero de cada año, sin perjuicio de que pueda presentar programas especiales en otros meses a fin de adelantar el inicio de Proyectos Estratégicos;</w:t>
            </w:r>
          </w:p>
        </w:tc>
        <w:tc>
          <w:tcPr>
            <w:tcW w:w="4644" w:type="dxa"/>
          </w:tcPr>
          <w:p w14:paraId="3E1C6623" w14:textId="50B4D352" w:rsidR="003A38FF" w:rsidRPr="00D0180E" w:rsidRDefault="003A38FF" w:rsidP="003A38FF">
            <w:pPr>
              <w:pStyle w:val="Texto"/>
              <w:spacing w:line="229" w:lineRule="exact"/>
              <w:ind w:firstLine="0"/>
              <w:rPr>
                <w:rFonts w:ascii="Verdana" w:hAnsi="Verdana"/>
                <w:b/>
                <w:sz w:val="16"/>
                <w:szCs w:val="16"/>
                <w:lang w:val="en-US"/>
              </w:rPr>
            </w:pPr>
            <w:r w:rsidRPr="00913574">
              <w:rPr>
                <w:rFonts w:ascii="Verdana" w:hAnsi="Verdana"/>
                <w:b/>
                <w:sz w:val="16"/>
                <w:szCs w:val="16"/>
                <w:lang w:val="en-US"/>
              </w:rPr>
              <w:t xml:space="preserve">II. </w:t>
            </w:r>
            <w:r w:rsidRPr="00913574">
              <w:rPr>
                <w:rFonts w:ascii="Verdana" w:hAnsi="Verdana"/>
                <w:b/>
                <w:sz w:val="16"/>
                <w:szCs w:val="16"/>
                <w:lang w:val="en-US"/>
              </w:rPr>
              <w:tab/>
            </w:r>
            <w:r w:rsidRPr="00913574">
              <w:rPr>
                <w:rFonts w:ascii="Verdana" w:hAnsi="Verdana"/>
                <w:sz w:val="16"/>
                <w:szCs w:val="16"/>
                <w:lang w:val="en-US"/>
              </w:rPr>
              <w:t>CENACE, in coordination with the State Public Enterprise, must propose to the Secretary for its authorization, and to the CNE for its opinion, the programs in terms of article 13 of the Law, within the month of February of each year, without prejudice to the fact that it may present special programs in other months in order to advance the start of Strategic Projects;</w:t>
            </w:r>
          </w:p>
        </w:tc>
      </w:tr>
      <w:tr w:rsidR="003A38FF" w:rsidRPr="00D83DA2" w14:paraId="549842AA" w14:textId="6287116C" w:rsidTr="00FB5DAD">
        <w:tc>
          <w:tcPr>
            <w:tcW w:w="4706" w:type="dxa"/>
          </w:tcPr>
          <w:p w14:paraId="707BB33E" w14:textId="77777777" w:rsidR="003A38FF" w:rsidRPr="00D0180E" w:rsidRDefault="003A38FF" w:rsidP="003A38FF">
            <w:pPr>
              <w:pStyle w:val="Texto"/>
              <w:spacing w:line="229"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La CNE debe emitir su opinión a la Secretaría dentro del plazo de treinta días hábiles contados a partir de la recepción de los programas;</w:t>
            </w:r>
          </w:p>
        </w:tc>
        <w:tc>
          <w:tcPr>
            <w:tcW w:w="4644" w:type="dxa"/>
          </w:tcPr>
          <w:p w14:paraId="72B44BBA" w14:textId="7BC5D6CD" w:rsidR="003A38FF" w:rsidRPr="00D0180E" w:rsidRDefault="003A38FF" w:rsidP="003A38FF">
            <w:pPr>
              <w:pStyle w:val="Texto"/>
              <w:spacing w:line="229" w:lineRule="exact"/>
              <w:ind w:firstLine="0"/>
              <w:rPr>
                <w:rFonts w:ascii="Verdana" w:hAnsi="Verdana"/>
                <w:b/>
                <w:sz w:val="16"/>
                <w:szCs w:val="16"/>
                <w:lang w:val="en-US"/>
              </w:rPr>
            </w:pPr>
            <w:r w:rsidRPr="00913574">
              <w:rPr>
                <w:rFonts w:ascii="Verdana" w:hAnsi="Verdana"/>
                <w:b/>
                <w:sz w:val="16"/>
                <w:szCs w:val="16"/>
                <w:lang w:val="en-US"/>
              </w:rPr>
              <w:t xml:space="preserve">III. </w:t>
            </w:r>
            <w:r w:rsidRPr="00913574">
              <w:rPr>
                <w:rFonts w:ascii="Verdana" w:hAnsi="Verdana"/>
                <w:b/>
                <w:sz w:val="16"/>
                <w:szCs w:val="16"/>
                <w:lang w:val="en-US"/>
              </w:rPr>
              <w:tab/>
            </w:r>
            <w:r w:rsidRPr="00913574">
              <w:rPr>
                <w:rFonts w:ascii="Verdana" w:hAnsi="Verdana"/>
                <w:sz w:val="16"/>
                <w:szCs w:val="16"/>
                <w:lang w:val="en-US"/>
              </w:rPr>
              <w:t>The CNE must issue its opinion to the Secretary within thirty working days from receipt of the programs;</w:t>
            </w:r>
          </w:p>
        </w:tc>
      </w:tr>
      <w:tr w:rsidR="003A38FF" w:rsidRPr="00D83DA2" w14:paraId="3C45A5A2" w14:textId="09CA0334" w:rsidTr="00FB5DAD">
        <w:tc>
          <w:tcPr>
            <w:tcW w:w="4706" w:type="dxa"/>
          </w:tcPr>
          <w:p w14:paraId="70425862" w14:textId="77777777" w:rsidR="003A38FF" w:rsidRPr="00D0180E" w:rsidRDefault="003A38FF" w:rsidP="003A38FF">
            <w:pPr>
              <w:pStyle w:val="Texto"/>
              <w:spacing w:line="229"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La Secretaría debe autorizar los programas dentro del plazo de treinta días hábiles contados a partir de la recepción de estos, y</w:t>
            </w:r>
          </w:p>
        </w:tc>
        <w:tc>
          <w:tcPr>
            <w:tcW w:w="4644" w:type="dxa"/>
          </w:tcPr>
          <w:p w14:paraId="25E99345" w14:textId="5C6416C5" w:rsidR="003A38FF" w:rsidRPr="00D0180E" w:rsidRDefault="003A38FF" w:rsidP="003A38FF">
            <w:pPr>
              <w:pStyle w:val="Texto"/>
              <w:spacing w:line="229" w:lineRule="exact"/>
              <w:ind w:firstLine="0"/>
              <w:rPr>
                <w:rFonts w:ascii="Verdana" w:hAnsi="Verdana"/>
                <w:b/>
                <w:sz w:val="16"/>
                <w:szCs w:val="16"/>
                <w:lang w:val="en-US"/>
              </w:rPr>
            </w:pPr>
            <w:r w:rsidRPr="00913574">
              <w:rPr>
                <w:rFonts w:ascii="Verdana" w:hAnsi="Verdana"/>
                <w:b/>
                <w:sz w:val="16"/>
                <w:szCs w:val="16"/>
                <w:lang w:val="en-US"/>
              </w:rPr>
              <w:t>IV</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The</w:t>
            </w:r>
            <w:proofErr w:type="gramEnd"/>
            <w:r w:rsidRPr="00913574">
              <w:rPr>
                <w:rFonts w:ascii="Verdana" w:hAnsi="Verdana"/>
                <w:sz w:val="16"/>
                <w:szCs w:val="16"/>
                <w:lang w:val="en-US"/>
              </w:rPr>
              <w:t xml:space="preserve"> Secretary must authorize the programs within thirty working days from the date of receipt thereof, and</w:t>
            </w:r>
          </w:p>
        </w:tc>
      </w:tr>
      <w:tr w:rsidR="003A38FF" w:rsidRPr="00D83DA2" w14:paraId="50262487" w14:textId="0CC38C72" w:rsidTr="00FB5DAD">
        <w:tc>
          <w:tcPr>
            <w:tcW w:w="4706" w:type="dxa"/>
          </w:tcPr>
          <w:p w14:paraId="56EFFF68" w14:textId="77777777" w:rsidR="003A38FF" w:rsidRPr="00D0180E" w:rsidRDefault="003A38FF" w:rsidP="003A38FF">
            <w:pPr>
              <w:pStyle w:val="Texto"/>
              <w:spacing w:line="229"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Los programas deben publicarse en el portal electrónico de la Secretaría, la Empresa Pública del Estado y del CENACE y, en su caso, en el Diario Oficial de la Federación a más tardar diez días hábiles después de su autorización.</w:t>
            </w:r>
          </w:p>
        </w:tc>
        <w:tc>
          <w:tcPr>
            <w:tcW w:w="4644" w:type="dxa"/>
          </w:tcPr>
          <w:p w14:paraId="44EFA4BD" w14:textId="5BBAB5D3" w:rsidR="003A38FF" w:rsidRPr="00D0180E" w:rsidRDefault="003A38FF" w:rsidP="003A38FF">
            <w:pPr>
              <w:pStyle w:val="Texto"/>
              <w:spacing w:line="229" w:lineRule="exact"/>
              <w:ind w:firstLine="0"/>
              <w:rPr>
                <w:rFonts w:ascii="Verdana" w:hAnsi="Verdana"/>
                <w:b/>
                <w:sz w:val="16"/>
                <w:szCs w:val="16"/>
                <w:lang w:val="en-US"/>
              </w:rPr>
            </w:pPr>
            <w:r w:rsidRPr="00913574">
              <w:rPr>
                <w:rFonts w:ascii="Verdana" w:hAnsi="Verdana"/>
                <w:b/>
                <w:sz w:val="16"/>
                <w:szCs w:val="16"/>
                <w:lang w:val="en-US"/>
              </w:rPr>
              <w:t>V</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The</w:t>
            </w:r>
            <w:proofErr w:type="gramEnd"/>
            <w:r w:rsidRPr="00913574">
              <w:rPr>
                <w:rFonts w:ascii="Verdana" w:hAnsi="Verdana"/>
                <w:sz w:val="16"/>
                <w:szCs w:val="16"/>
                <w:lang w:val="en-US"/>
              </w:rPr>
              <w:t xml:space="preserve"> programs must be published on the electronic portal of the Secretary, the State Public Enterprise and CENACE and, where applicable, in the Official </w:t>
            </w:r>
            <w:r>
              <w:rPr>
                <w:rFonts w:ascii="Verdana" w:hAnsi="Verdana"/>
                <w:sz w:val="16"/>
                <w:szCs w:val="16"/>
                <w:lang w:val="en-US"/>
              </w:rPr>
              <w:t>Daily</w:t>
            </w:r>
            <w:r w:rsidRPr="00913574">
              <w:rPr>
                <w:rFonts w:ascii="Verdana" w:hAnsi="Verdana"/>
                <w:sz w:val="16"/>
                <w:szCs w:val="16"/>
                <w:lang w:val="en-US"/>
              </w:rPr>
              <w:t xml:space="preserve"> of the Federation no later than ten business days after their authorization.</w:t>
            </w:r>
          </w:p>
        </w:tc>
      </w:tr>
      <w:tr w:rsidR="003A38FF" w:rsidRPr="00D83DA2" w14:paraId="52D66A95" w14:textId="388FD0C2" w:rsidTr="00FB5DAD">
        <w:tc>
          <w:tcPr>
            <w:tcW w:w="4706" w:type="dxa"/>
          </w:tcPr>
          <w:p w14:paraId="62543086" w14:textId="77777777" w:rsidR="003A38FF" w:rsidRPr="00D0180E" w:rsidRDefault="003A38FF" w:rsidP="003A38FF">
            <w:pPr>
              <w:pStyle w:val="Texto"/>
              <w:spacing w:line="229" w:lineRule="exact"/>
              <w:ind w:firstLine="0"/>
              <w:rPr>
                <w:rFonts w:ascii="Verdana" w:hAnsi="Verdana"/>
                <w:sz w:val="16"/>
                <w:szCs w:val="16"/>
              </w:rPr>
            </w:pPr>
            <w:r w:rsidRPr="00D0180E">
              <w:rPr>
                <w:rFonts w:ascii="Verdana" w:hAnsi="Verdana"/>
                <w:sz w:val="16"/>
                <w:szCs w:val="16"/>
              </w:rPr>
              <w:t>La Secretaría debe publicar el Plan de Desarrollo del Sector Eléctrico en el mes de mayo de cada año.</w:t>
            </w:r>
          </w:p>
        </w:tc>
        <w:tc>
          <w:tcPr>
            <w:tcW w:w="4644" w:type="dxa"/>
          </w:tcPr>
          <w:p w14:paraId="0048841D" w14:textId="2F72215D" w:rsidR="003A38FF" w:rsidRPr="00D0180E" w:rsidRDefault="003A38FF" w:rsidP="003A38FF">
            <w:pPr>
              <w:pStyle w:val="Texto"/>
              <w:spacing w:line="229" w:lineRule="exact"/>
              <w:ind w:firstLine="0"/>
              <w:rPr>
                <w:rFonts w:ascii="Verdana" w:hAnsi="Verdana"/>
                <w:sz w:val="16"/>
                <w:szCs w:val="16"/>
                <w:lang w:val="en-US"/>
              </w:rPr>
            </w:pPr>
            <w:r w:rsidRPr="00913574">
              <w:rPr>
                <w:rFonts w:ascii="Verdana" w:hAnsi="Verdana"/>
                <w:sz w:val="16"/>
                <w:szCs w:val="16"/>
                <w:lang w:val="en-US"/>
              </w:rPr>
              <w:t>The Secretary must publish the Electricity Sector Development Plan in May of each year.</w:t>
            </w:r>
          </w:p>
        </w:tc>
      </w:tr>
      <w:tr w:rsidR="003A38FF" w:rsidRPr="00D83DA2" w14:paraId="1C708CB3" w14:textId="7900F3A5" w:rsidTr="00FB5DAD">
        <w:tc>
          <w:tcPr>
            <w:tcW w:w="4706" w:type="dxa"/>
          </w:tcPr>
          <w:p w14:paraId="06C3B12C" w14:textId="77777777" w:rsidR="003A38FF" w:rsidRPr="00D0180E" w:rsidRDefault="003A38FF" w:rsidP="003A38FF">
            <w:pPr>
              <w:pStyle w:val="Texto"/>
              <w:spacing w:line="229" w:lineRule="exact"/>
              <w:ind w:firstLine="0"/>
              <w:rPr>
                <w:rFonts w:ascii="Verdana" w:hAnsi="Verdana"/>
                <w:sz w:val="16"/>
                <w:szCs w:val="16"/>
              </w:rPr>
            </w:pPr>
            <w:r w:rsidRPr="00D0180E">
              <w:rPr>
                <w:rFonts w:ascii="Verdana" w:hAnsi="Verdana"/>
                <w:b/>
                <w:sz w:val="16"/>
                <w:szCs w:val="16"/>
              </w:rPr>
              <w:t>Artículo 13.</w:t>
            </w:r>
            <w:r w:rsidRPr="00D0180E">
              <w:rPr>
                <w:rFonts w:ascii="Verdana" w:hAnsi="Verdana"/>
                <w:sz w:val="16"/>
                <w:szCs w:val="16"/>
              </w:rPr>
              <w:t xml:space="preserve"> La Secretaría puede definir Proyectos Estratégicos para cumplir con la política energética nacional en materia de electricidad, </w:t>
            </w:r>
            <w:r w:rsidRPr="00D0180E">
              <w:rPr>
                <w:rFonts w:ascii="Verdana" w:hAnsi="Verdana"/>
                <w:sz w:val="16"/>
                <w:szCs w:val="16"/>
                <w:lang w:val="es"/>
              </w:rPr>
              <w:t>los cuales deben contar con simplificación administrativa en los trámites necesarios para su ejecución e implementación expedita</w:t>
            </w:r>
            <w:r w:rsidRPr="00D0180E">
              <w:rPr>
                <w:rFonts w:ascii="Verdana" w:hAnsi="Verdana"/>
                <w:sz w:val="16"/>
                <w:szCs w:val="16"/>
              </w:rPr>
              <w:t>.</w:t>
            </w:r>
          </w:p>
        </w:tc>
        <w:tc>
          <w:tcPr>
            <w:tcW w:w="4644" w:type="dxa"/>
          </w:tcPr>
          <w:p w14:paraId="348FFA1A" w14:textId="2DFCE116" w:rsidR="003A38FF" w:rsidRPr="00D0180E" w:rsidRDefault="003A38FF" w:rsidP="003A38FF">
            <w:pPr>
              <w:pStyle w:val="Texto"/>
              <w:spacing w:line="229" w:lineRule="exact"/>
              <w:ind w:firstLine="0"/>
              <w:rPr>
                <w:rFonts w:ascii="Verdana" w:hAnsi="Verdana"/>
                <w:b/>
                <w:sz w:val="16"/>
                <w:szCs w:val="16"/>
                <w:lang w:val="en-US"/>
              </w:rPr>
            </w:pPr>
            <w:r w:rsidRPr="00913574">
              <w:rPr>
                <w:rFonts w:ascii="Verdana" w:hAnsi="Verdana"/>
                <w:b/>
                <w:sz w:val="16"/>
                <w:szCs w:val="16"/>
                <w:lang w:val="en-US"/>
              </w:rPr>
              <w:t xml:space="preserve">Article 13. </w:t>
            </w:r>
            <w:r w:rsidRPr="00913574">
              <w:rPr>
                <w:rFonts w:ascii="Verdana" w:hAnsi="Verdana"/>
                <w:sz w:val="16"/>
                <w:szCs w:val="16"/>
                <w:lang w:val="en-US"/>
              </w:rPr>
              <w:t>The Secretary may define strategic projects to comply with the national energy policy on electricity, which must have administrative simplification in the procedures necessary for their expeditious execution and implementation.</w:t>
            </w:r>
          </w:p>
        </w:tc>
      </w:tr>
      <w:tr w:rsidR="003A38FF" w:rsidRPr="00D83DA2" w14:paraId="37A66EB0" w14:textId="127A94BC" w:rsidTr="00FB5DAD">
        <w:tc>
          <w:tcPr>
            <w:tcW w:w="4706" w:type="dxa"/>
          </w:tcPr>
          <w:p w14:paraId="24D26CD8" w14:textId="77777777" w:rsidR="003A38FF" w:rsidRPr="00D0180E" w:rsidRDefault="003A38FF" w:rsidP="003A38FF">
            <w:pPr>
              <w:pStyle w:val="Texto"/>
              <w:spacing w:line="229" w:lineRule="exact"/>
              <w:ind w:firstLine="0"/>
              <w:rPr>
                <w:rFonts w:ascii="Verdana" w:hAnsi="Verdana"/>
                <w:sz w:val="16"/>
                <w:szCs w:val="16"/>
              </w:rPr>
            </w:pPr>
            <w:r w:rsidRPr="00D0180E">
              <w:rPr>
                <w:rFonts w:ascii="Verdana" w:hAnsi="Verdana"/>
                <w:b/>
                <w:sz w:val="16"/>
                <w:szCs w:val="16"/>
              </w:rPr>
              <w:t>Artículo 14.</w:t>
            </w:r>
            <w:r w:rsidRPr="00D0180E">
              <w:rPr>
                <w:rFonts w:ascii="Verdana" w:hAnsi="Verdana"/>
                <w:sz w:val="16"/>
                <w:szCs w:val="16"/>
              </w:rPr>
              <w:t xml:space="preserve"> La CNE, en coordinación con la Secretaría, debe emitir los criterios que debe observar el CENACE en la aplicación de los mecanismos competitivos para adquirir potencia, energía eléctrica, Servicios Conexos y otros Productos Asociados, así como el protocolo para adquirir energía eléctrica, potencia, Servicios Conexos y otros Productos Asociados, en casos de emergencia, a fin de asegurar la Seguridad y Confiabilidad del Sistema Eléctrico Nacional a los que se refiere el artículo 155 de la Ley, los cuales deben incluir la coordinación con los procesos de planeación operativa del CENACE. Dichos criterios deben ser flexibles respecto a la tecnología que aporte la solución técnica requerida para el Sistema Eléctrico Nacional.</w:t>
            </w:r>
          </w:p>
        </w:tc>
        <w:tc>
          <w:tcPr>
            <w:tcW w:w="4644" w:type="dxa"/>
          </w:tcPr>
          <w:p w14:paraId="03A8A93F" w14:textId="182E19D9" w:rsidR="003A38FF" w:rsidRPr="00D0180E" w:rsidRDefault="003A38FF" w:rsidP="003A38FF">
            <w:pPr>
              <w:pStyle w:val="Texto"/>
              <w:spacing w:line="229" w:lineRule="exact"/>
              <w:ind w:firstLine="0"/>
              <w:rPr>
                <w:rFonts w:ascii="Verdana" w:hAnsi="Verdana"/>
                <w:b/>
                <w:sz w:val="16"/>
                <w:szCs w:val="16"/>
                <w:lang w:val="en-US"/>
              </w:rPr>
            </w:pPr>
            <w:r w:rsidRPr="00913574">
              <w:rPr>
                <w:rFonts w:ascii="Verdana" w:hAnsi="Verdana"/>
                <w:b/>
                <w:sz w:val="16"/>
                <w:szCs w:val="16"/>
                <w:lang w:val="en-US"/>
              </w:rPr>
              <w:t xml:space="preserve">Article 14. </w:t>
            </w:r>
            <w:r w:rsidRPr="00913574">
              <w:rPr>
                <w:rFonts w:ascii="Verdana" w:hAnsi="Verdana"/>
                <w:sz w:val="16"/>
                <w:szCs w:val="16"/>
                <w:lang w:val="en-US"/>
              </w:rPr>
              <w:t>The CNE, in coordination with the Secretary, must issue the criteria that CENACE must observe in the application of competitive mechanisms for acquiring power, electrical energy, related services, and other associated products, as well as the protocol for acquiring electrical energy, power, related services, and other associated products, in cases of emergency, in order to ensure the security and reliability of the national electric system referred to in Article 155 of the Law, which must include coordination with CENACE's operational planning processes. These criteria must be flexible with respect to the technology that provides the technical solution required for the national electric system.</w:t>
            </w:r>
          </w:p>
        </w:tc>
      </w:tr>
      <w:tr w:rsidR="003A38FF" w:rsidRPr="00D83DA2" w14:paraId="6EB42C19" w14:textId="78718B28" w:rsidTr="00FB5DAD">
        <w:tc>
          <w:tcPr>
            <w:tcW w:w="4706" w:type="dxa"/>
          </w:tcPr>
          <w:p w14:paraId="06F13613" w14:textId="77777777" w:rsidR="003A38FF" w:rsidRPr="00D0180E" w:rsidRDefault="003A38FF" w:rsidP="003A38FF">
            <w:pPr>
              <w:pStyle w:val="Texto"/>
              <w:spacing w:line="229" w:lineRule="exact"/>
              <w:ind w:firstLine="0"/>
              <w:rPr>
                <w:rFonts w:ascii="Verdana" w:hAnsi="Verdana"/>
                <w:sz w:val="16"/>
                <w:szCs w:val="16"/>
              </w:rPr>
            </w:pPr>
            <w:r w:rsidRPr="00D0180E">
              <w:rPr>
                <w:rFonts w:ascii="Verdana" w:hAnsi="Verdana"/>
                <w:sz w:val="16"/>
                <w:szCs w:val="16"/>
              </w:rPr>
              <w:t>Corresponde a la CNE, previa autorización de la Secretaría, la expedición del protocolo para que el CENACE realice la contratación y adquisición de potencia, energía eléctrica, Servicios Conexos y otros Productos Asociados, para asegurar la Confiabilidad del Sistema Eléctrico Nacional en caso de emergencia.</w:t>
            </w:r>
          </w:p>
        </w:tc>
        <w:tc>
          <w:tcPr>
            <w:tcW w:w="4644" w:type="dxa"/>
          </w:tcPr>
          <w:p w14:paraId="36F4835B" w14:textId="76378840" w:rsidR="003A38FF" w:rsidRPr="00D0180E" w:rsidRDefault="003A38FF" w:rsidP="003A38FF">
            <w:pPr>
              <w:pStyle w:val="Texto"/>
              <w:spacing w:line="229" w:lineRule="exact"/>
              <w:ind w:firstLine="0"/>
              <w:rPr>
                <w:rFonts w:ascii="Verdana" w:hAnsi="Verdana"/>
                <w:sz w:val="16"/>
                <w:szCs w:val="16"/>
                <w:lang w:val="en-US"/>
              </w:rPr>
            </w:pPr>
            <w:r w:rsidRPr="00913574">
              <w:rPr>
                <w:rFonts w:ascii="Verdana" w:hAnsi="Verdana"/>
                <w:sz w:val="16"/>
                <w:szCs w:val="16"/>
                <w:lang w:val="en-US"/>
              </w:rPr>
              <w:t xml:space="preserve">It is the responsibility of the CNE, with prior authorization from the Secretary, to issue the protocol for CENACE to contract and acquire power, electrical energy, related services, and other associated products to ensure the reliability of the </w:t>
            </w:r>
            <w:r>
              <w:rPr>
                <w:rFonts w:ascii="Verdana" w:hAnsi="Verdana"/>
                <w:sz w:val="16"/>
                <w:szCs w:val="16"/>
                <w:lang w:val="en-US"/>
              </w:rPr>
              <w:t>National Electric System</w:t>
            </w:r>
            <w:r w:rsidRPr="00913574">
              <w:rPr>
                <w:rFonts w:ascii="Verdana" w:hAnsi="Verdana"/>
                <w:sz w:val="16"/>
                <w:szCs w:val="16"/>
                <w:lang w:val="en-US"/>
              </w:rPr>
              <w:t xml:space="preserve"> in the event of an emergency.</w:t>
            </w:r>
          </w:p>
        </w:tc>
      </w:tr>
      <w:tr w:rsidR="003A38FF" w:rsidRPr="00D83DA2" w14:paraId="3045F398" w14:textId="5D5FFD6B" w:rsidTr="00FB5DAD">
        <w:tc>
          <w:tcPr>
            <w:tcW w:w="4706" w:type="dxa"/>
          </w:tcPr>
          <w:p w14:paraId="110CB9F0" w14:textId="77777777" w:rsidR="003A38FF" w:rsidRPr="00AD6106" w:rsidRDefault="003A38FF" w:rsidP="003A38FF">
            <w:pPr>
              <w:pStyle w:val="Texto"/>
              <w:spacing w:line="229" w:lineRule="exact"/>
              <w:ind w:firstLine="0"/>
              <w:rPr>
                <w:rFonts w:ascii="Verdana" w:hAnsi="Verdana"/>
                <w:sz w:val="16"/>
                <w:szCs w:val="16"/>
              </w:rPr>
            </w:pPr>
            <w:r w:rsidRPr="00AD6106">
              <w:rPr>
                <w:rFonts w:ascii="Verdana" w:hAnsi="Verdana"/>
                <w:sz w:val="16"/>
                <w:szCs w:val="16"/>
              </w:rPr>
              <w:lastRenderedPageBreak/>
              <w:t>El CENACE puede celebrar contratos de corto, mediano y largo plazo para el uso de Sistemas de Almacenamiento de Energía Eléctrica, cuando, como resultado del proceso de planeación, se determine que dichos sistemas constituyen una alternativa más eficiente para mantener la Confiabilidad del Sistema Eléctrico Nacional, en comparación con otras obras convencionales. Estos contratos deben celebrarse mediante mecanismos competitivos, regulados con base en criterios técnicos emitidos por la Secretaría o la CNE en el ámbito de sus competencias.</w:t>
            </w:r>
          </w:p>
        </w:tc>
        <w:tc>
          <w:tcPr>
            <w:tcW w:w="4644" w:type="dxa"/>
          </w:tcPr>
          <w:p w14:paraId="4689D706" w14:textId="66B1C3ED" w:rsidR="003A38FF" w:rsidRPr="00AD6106" w:rsidRDefault="003A38FF" w:rsidP="003A38FF">
            <w:pPr>
              <w:pStyle w:val="Texto"/>
              <w:spacing w:line="229" w:lineRule="exact"/>
              <w:ind w:firstLine="0"/>
              <w:rPr>
                <w:rFonts w:ascii="Verdana" w:hAnsi="Verdana"/>
                <w:sz w:val="16"/>
                <w:szCs w:val="16"/>
                <w:lang w:val="en-US"/>
              </w:rPr>
            </w:pPr>
            <w:r w:rsidRPr="00AD6106">
              <w:rPr>
                <w:rFonts w:ascii="Verdana" w:hAnsi="Verdana"/>
                <w:sz w:val="16"/>
                <w:szCs w:val="16"/>
                <w:lang w:val="en-US"/>
              </w:rPr>
              <w:t xml:space="preserve">CENACE may </w:t>
            </w:r>
            <w:proofErr w:type="gramStart"/>
            <w:r w:rsidRPr="00AD6106">
              <w:rPr>
                <w:rFonts w:ascii="Verdana" w:hAnsi="Verdana"/>
                <w:sz w:val="16"/>
                <w:szCs w:val="16"/>
                <w:lang w:val="en-US"/>
              </w:rPr>
              <w:t>enter into</w:t>
            </w:r>
            <w:proofErr w:type="gramEnd"/>
            <w:r w:rsidRPr="00AD6106">
              <w:rPr>
                <w:rFonts w:ascii="Verdana" w:hAnsi="Verdana"/>
                <w:sz w:val="16"/>
                <w:szCs w:val="16"/>
                <w:lang w:val="en-US"/>
              </w:rPr>
              <w:t xml:space="preserve"> </w:t>
            </w:r>
            <w:proofErr w:type="gramStart"/>
            <w:r w:rsidRPr="00AD6106">
              <w:rPr>
                <w:rFonts w:ascii="Verdana" w:hAnsi="Verdana"/>
                <w:sz w:val="16"/>
                <w:szCs w:val="16"/>
                <w:lang w:val="en-US"/>
              </w:rPr>
              <w:t xml:space="preserve">short, medium, and </w:t>
            </w:r>
            <w:r w:rsidR="009E2B03">
              <w:rPr>
                <w:rFonts w:ascii="Verdana" w:hAnsi="Verdana"/>
                <w:sz w:val="16"/>
                <w:szCs w:val="16"/>
                <w:lang w:val="en-US"/>
              </w:rPr>
              <w:t>long term</w:t>
            </w:r>
            <w:proofErr w:type="gramEnd"/>
            <w:r w:rsidRPr="00AD6106">
              <w:rPr>
                <w:rFonts w:ascii="Verdana" w:hAnsi="Verdana"/>
                <w:sz w:val="16"/>
                <w:szCs w:val="16"/>
                <w:lang w:val="en-US"/>
              </w:rPr>
              <w:t xml:space="preserve"> contracts for the use of Electric Energy Storage Systems when, </w:t>
            </w:r>
            <w:proofErr w:type="gramStart"/>
            <w:r w:rsidRPr="00AD6106">
              <w:rPr>
                <w:rFonts w:ascii="Verdana" w:hAnsi="Verdana"/>
                <w:sz w:val="16"/>
                <w:szCs w:val="16"/>
                <w:lang w:val="en-US"/>
              </w:rPr>
              <w:t>as a result of</w:t>
            </w:r>
            <w:proofErr w:type="gramEnd"/>
            <w:r w:rsidRPr="00AD6106">
              <w:rPr>
                <w:rFonts w:ascii="Verdana" w:hAnsi="Verdana"/>
                <w:sz w:val="16"/>
                <w:szCs w:val="16"/>
                <w:lang w:val="en-US"/>
              </w:rPr>
              <w:t xml:space="preserve"> the planning process, it is determined that such systems constitute a more efficient alternative for maintaining the reliability of the national electric system, compared to other conventional projects. These contracts must be entered into through competitive mechanisms, regulated based on technical criteria issued by the Secretary or the CNE within their scope of authority.</w:t>
            </w:r>
          </w:p>
        </w:tc>
      </w:tr>
      <w:tr w:rsidR="003A38FF" w:rsidRPr="00D83DA2" w14:paraId="19D1B245" w14:textId="310AE343" w:rsidTr="00FB5DAD">
        <w:tc>
          <w:tcPr>
            <w:tcW w:w="4706" w:type="dxa"/>
          </w:tcPr>
          <w:p w14:paraId="069EEC08" w14:textId="77777777" w:rsidR="003A38FF" w:rsidRPr="00D0180E" w:rsidRDefault="003A38FF" w:rsidP="003A38FF">
            <w:pPr>
              <w:pStyle w:val="Texto"/>
              <w:spacing w:line="229" w:lineRule="exact"/>
              <w:ind w:firstLine="0"/>
              <w:rPr>
                <w:rFonts w:ascii="Verdana" w:hAnsi="Verdana"/>
                <w:sz w:val="16"/>
                <w:szCs w:val="16"/>
              </w:rPr>
            </w:pPr>
            <w:r w:rsidRPr="00D0180E">
              <w:rPr>
                <w:rFonts w:ascii="Verdana" w:hAnsi="Verdana"/>
                <w:b/>
                <w:sz w:val="16"/>
                <w:szCs w:val="16"/>
              </w:rPr>
              <w:t>Artículo 15.</w:t>
            </w:r>
            <w:r w:rsidRPr="00D0180E">
              <w:rPr>
                <w:rFonts w:ascii="Verdana" w:hAnsi="Verdana"/>
                <w:sz w:val="16"/>
                <w:szCs w:val="16"/>
              </w:rPr>
              <w:t xml:space="preserve"> El diseño, presentación e implementación de proyectos piloto del CENACE, sobre procedimientos, lineamientos, servicios o elementos operativos que no estén desarrollados en la normatividad vigente, así como de propuestas de soluciones técnicas para fortalecer la Eficiencia, Seguridad y Confiabilidad del Sistema Eléctrico Nacional y la toma de decisiones de planeación y control operativo del propio sistema, deben ser acotados y de carácter temporal, así como estar estructurados para brindar la información necesaria para evaluar la mejora en la Accesibilidad, Calidad, Confiabilidad, Continuidad, Eficiencia, Seguridad o Sostenibilidad del Sistema Eléctrico Nacional. Los resultados de estos proyectos piloto deben someterse a la Secretaría para su evaluación y, en su caso, implementación general en el sector eléctrico, conforme a</w:t>
            </w:r>
            <w:r w:rsidRPr="00D0180E">
              <w:rPr>
                <w:rFonts w:ascii="Verdana" w:hAnsi="Verdana"/>
                <w:sz w:val="16"/>
                <w:szCs w:val="16"/>
                <w:lang w:val="es"/>
              </w:rPr>
              <w:t xml:space="preserve"> lo establecido en los lineamientos que emita la Secretaría con opinión de la CNE</w:t>
            </w:r>
            <w:r w:rsidRPr="00D0180E">
              <w:rPr>
                <w:rFonts w:ascii="Verdana" w:hAnsi="Verdana"/>
                <w:sz w:val="16"/>
                <w:szCs w:val="16"/>
              </w:rPr>
              <w:t>.</w:t>
            </w:r>
          </w:p>
        </w:tc>
        <w:tc>
          <w:tcPr>
            <w:tcW w:w="4644" w:type="dxa"/>
          </w:tcPr>
          <w:p w14:paraId="09BD5244" w14:textId="41A486BD" w:rsidR="003A38FF" w:rsidRPr="00D0180E" w:rsidRDefault="003A38FF" w:rsidP="003A38FF">
            <w:pPr>
              <w:pStyle w:val="Texto"/>
              <w:spacing w:line="229" w:lineRule="exact"/>
              <w:ind w:firstLine="0"/>
              <w:rPr>
                <w:rFonts w:ascii="Verdana" w:hAnsi="Verdana"/>
                <w:b/>
                <w:sz w:val="16"/>
                <w:szCs w:val="16"/>
                <w:lang w:val="en-US"/>
              </w:rPr>
            </w:pPr>
            <w:r w:rsidRPr="00913574">
              <w:rPr>
                <w:rFonts w:ascii="Verdana" w:hAnsi="Verdana"/>
                <w:b/>
                <w:sz w:val="16"/>
                <w:szCs w:val="16"/>
                <w:lang w:val="en-US"/>
              </w:rPr>
              <w:t xml:space="preserve">Article 15. </w:t>
            </w:r>
            <w:r w:rsidRPr="00913574">
              <w:rPr>
                <w:rFonts w:ascii="Verdana" w:hAnsi="Verdana"/>
                <w:sz w:val="16"/>
                <w:szCs w:val="16"/>
                <w:lang w:val="en-US"/>
              </w:rPr>
              <w:t>The design, presentation and implementation of CENACE pilot projects on procedures, guidelines, services or operational elements that are not developed in</w:t>
            </w:r>
            <w:r>
              <w:rPr>
                <w:rFonts w:ascii="Verdana" w:hAnsi="Verdana"/>
                <w:sz w:val="16"/>
                <w:szCs w:val="16"/>
                <w:lang w:val="en-US"/>
              </w:rPr>
              <w:t xml:space="preserve"> the</w:t>
            </w:r>
            <w:r w:rsidRPr="00913574">
              <w:rPr>
                <w:rFonts w:ascii="Verdana" w:hAnsi="Verdana"/>
                <w:sz w:val="16"/>
                <w:szCs w:val="16"/>
                <w:lang w:val="en-US"/>
              </w:rPr>
              <w:t xml:space="preserve"> current Regulation, as well as proposals for technical solutions to strengthen the efficiency, safety and reliability of the </w:t>
            </w:r>
            <w:r>
              <w:rPr>
                <w:rFonts w:ascii="Verdana" w:hAnsi="Verdana"/>
                <w:sz w:val="16"/>
                <w:szCs w:val="16"/>
                <w:lang w:val="en-US"/>
              </w:rPr>
              <w:t>National Electric System</w:t>
            </w:r>
            <w:r w:rsidRPr="00913574">
              <w:rPr>
                <w:rFonts w:ascii="Verdana" w:hAnsi="Verdana"/>
                <w:sz w:val="16"/>
                <w:szCs w:val="16"/>
                <w:lang w:val="en-US"/>
              </w:rPr>
              <w:t xml:space="preserve"> and the decision-making process for planning and operational control of the system itself, must be limited and temporary in nature, as well as structured to provide the necessary information to evaluate the improvement in the accessibility, quality, reliability, continuity, efficiency, safety or sustainability of the </w:t>
            </w:r>
            <w:r>
              <w:rPr>
                <w:rFonts w:ascii="Verdana" w:hAnsi="Verdana"/>
                <w:sz w:val="16"/>
                <w:szCs w:val="16"/>
                <w:lang w:val="en-US"/>
              </w:rPr>
              <w:t>National Electric System</w:t>
            </w:r>
            <w:r w:rsidRPr="00913574">
              <w:rPr>
                <w:rFonts w:ascii="Verdana" w:hAnsi="Verdana"/>
                <w:sz w:val="16"/>
                <w:szCs w:val="16"/>
                <w:lang w:val="en-US"/>
              </w:rPr>
              <w:t>. The results of these pilot projects must be submitted to the Secretary for evaluation and, where appropriate, general implementation in the electricity sector, in accordance with the provisions of the guidelines issued by the Secretary with the opinion of the CNE.</w:t>
            </w:r>
          </w:p>
        </w:tc>
      </w:tr>
      <w:tr w:rsidR="003A38FF" w:rsidRPr="00D83DA2" w14:paraId="43BD16A4" w14:textId="3F09B4C6" w:rsidTr="00FB5DAD">
        <w:tc>
          <w:tcPr>
            <w:tcW w:w="4706" w:type="dxa"/>
          </w:tcPr>
          <w:p w14:paraId="1CB0BFDC" w14:textId="77777777" w:rsidR="003A38FF" w:rsidRPr="00D0180E" w:rsidRDefault="003A38FF" w:rsidP="003A38FF">
            <w:pPr>
              <w:pStyle w:val="Texto"/>
              <w:spacing w:after="90"/>
              <w:ind w:firstLine="0"/>
              <w:rPr>
                <w:rFonts w:ascii="Verdana" w:hAnsi="Verdana"/>
                <w:sz w:val="16"/>
                <w:szCs w:val="16"/>
              </w:rPr>
            </w:pPr>
            <w:r w:rsidRPr="00D0180E">
              <w:rPr>
                <w:rFonts w:ascii="Verdana" w:hAnsi="Verdana"/>
                <w:sz w:val="16"/>
                <w:szCs w:val="16"/>
              </w:rPr>
              <w:t>Para la elaboración de propuestas y presentación de los proyectos piloto, el CENACE puede realizarlo a título propio, o bien recibir propuestas de la CNE y de las Integrantes del Sector Eléctrico, no obstante, la recepción de estas propuestas no genera obligación vinculante alguna para su implementación.</w:t>
            </w:r>
          </w:p>
        </w:tc>
        <w:tc>
          <w:tcPr>
            <w:tcW w:w="4644" w:type="dxa"/>
          </w:tcPr>
          <w:p w14:paraId="7268E100" w14:textId="78C6D5B1" w:rsidR="003A38FF" w:rsidRPr="00D0180E" w:rsidRDefault="003A38FF" w:rsidP="003A38FF">
            <w:pPr>
              <w:pStyle w:val="Texto"/>
              <w:spacing w:after="90"/>
              <w:ind w:firstLine="0"/>
              <w:rPr>
                <w:rFonts w:ascii="Verdana" w:hAnsi="Verdana"/>
                <w:sz w:val="16"/>
                <w:szCs w:val="16"/>
                <w:lang w:val="en-US"/>
              </w:rPr>
            </w:pPr>
            <w:r w:rsidRPr="00913574">
              <w:rPr>
                <w:rFonts w:ascii="Verdana" w:hAnsi="Verdana"/>
                <w:sz w:val="16"/>
                <w:szCs w:val="16"/>
                <w:lang w:val="en-US"/>
              </w:rPr>
              <w:t xml:space="preserve">For the preparation of proposals and presentation of pilot projects, CENACE may do so on its own initiative or receive proposals from the CNE and the members of the </w:t>
            </w:r>
            <w:proofErr w:type="gramStart"/>
            <w:r w:rsidRPr="00913574">
              <w:rPr>
                <w:rFonts w:ascii="Verdana" w:hAnsi="Verdana"/>
                <w:sz w:val="16"/>
                <w:szCs w:val="16"/>
                <w:lang w:val="en-US"/>
              </w:rPr>
              <w:t>electric</w:t>
            </w:r>
            <w:proofErr w:type="gramEnd"/>
            <w:r w:rsidRPr="00913574">
              <w:rPr>
                <w:rFonts w:ascii="Verdana" w:hAnsi="Verdana"/>
                <w:sz w:val="16"/>
                <w:szCs w:val="16"/>
                <w:lang w:val="en-US"/>
              </w:rPr>
              <w:t xml:space="preserve"> sector. However, the receipt of these proposals does not create any binding obligation for their implementation.</w:t>
            </w:r>
          </w:p>
        </w:tc>
      </w:tr>
      <w:tr w:rsidR="003A38FF" w:rsidRPr="00D83DA2" w14:paraId="3741A8EF" w14:textId="3C8CAB5F" w:rsidTr="00FB5DAD">
        <w:tc>
          <w:tcPr>
            <w:tcW w:w="4706" w:type="dxa"/>
          </w:tcPr>
          <w:p w14:paraId="481A6280" w14:textId="77777777" w:rsidR="003A38FF" w:rsidRPr="00D0180E" w:rsidRDefault="003A38FF" w:rsidP="003A38FF">
            <w:pPr>
              <w:pStyle w:val="Texto"/>
              <w:spacing w:after="90"/>
              <w:ind w:firstLine="0"/>
              <w:rPr>
                <w:rFonts w:ascii="Verdana" w:hAnsi="Verdana"/>
                <w:sz w:val="16"/>
                <w:szCs w:val="16"/>
              </w:rPr>
            </w:pPr>
            <w:r w:rsidRPr="00D0180E">
              <w:rPr>
                <w:rFonts w:ascii="Verdana" w:hAnsi="Verdana"/>
                <w:sz w:val="16"/>
                <w:szCs w:val="16"/>
              </w:rPr>
              <w:t>La aprobación, el desarrollo y la evaluación de resultados de los proyectos piloto está sujeta a los lineamientos y procedimientos que, para tales efectos, el CENACE establezca con aprobación de la Secretaría.</w:t>
            </w:r>
          </w:p>
        </w:tc>
        <w:tc>
          <w:tcPr>
            <w:tcW w:w="4644" w:type="dxa"/>
          </w:tcPr>
          <w:p w14:paraId="7B97246A" w14:textId="4623525C" w:rsidR="003A38FF" w:rsidRPr="00D0180E" w:rsidRDefault="003A38FF" w:rsidP="003A38FF">
            <w:pPr>
              <w:pStyle w:val="Texto"/>
              <w:spacing w:after="90"/>
              <w:ind w:firstLine="0"/>
              <w:rPr>
                <w:rFonts w:ascii="Verdana" w:hAnsi="Verdana"/>
                <w:sz w:val="16"/>
                <w:szCs w:val="16"/>
                <w:lang w:val="en-US"/>
              </w:rPr>
            </w:pPr>
            <w:r w:rsidRPr="00913574">
              <w:rPr>
                <w:rFonts w:ascii="Verdana" w:hAnsi="Verdana"/>
                <w:sz w:val="16"/>
                <w:szCs w:val="16"/>
                <w:lang w:val="en-US"/>
              </w:rPr>
              <w:t>The approval, development, and evaluation of the results of pilot projects are subject to the guidelines and procedures established for such purposes by CENACE with the approval of the Secretary.</w:t>
            </w:r>
          </w:p>
        </w:tc>
      </w:tr>
      <w:tr w:rsidR="003A38FF" w:rsidRPr="00D83DA2" w14:paraId="6754A48F" w14:textId="705CEC98" w:rsidTr="00FB5DAD">
        <w:tc>
          <w:tcPr>
            <w:tcW w:w="4706" w:type="dxa"/>
          </w:tcPr>
          <w:p w14:paraId="6CFAA9E5" w14:textId="77777777" w:rsidR="003A38FF" w:rsidRPr="00D0180E" w:rsidRDefault="003A38FF" w:rsidP="003A38FF">
            <w:pPr>
              <w:pStyle w:val="Texto"/>
              <w:spacing w:after="90"/>
              <w:ind w:firstLine="0"/>
              <w:rPr>
                <w:rFonts w:ascii="Verdana" w:hAnsi="Verdana"/>
                <w:sz w:val="16"/>
                <w:szCs w:val="16"/>
              </w:rPr>
            </w:pPr>
            <w:r w:rsidRPr="00D0180E">
              <w:rPr>
                <w:rFonts w:ascii="Verdana" w:hAnsi="Verdana"/>
                <w:sz w:val="16"/>
                <w:szCs w:val="16"/>
              </w:rPr>
              <w:t>El CENACE debe presentar, para aprobación de la Secretaría, las propuestas de proyectos piloto cuya implementación considere viables, incluida su justificación técnica. La Secretaría debe emitir un oficio sobre la procedencia o improcedencia de su implementación, en un plazo no mayor a treinta días naturales posteriores a su recepción, y manifestar lo que corresponda.</w:t>
            </w:r>
          </w:p>
        </w:tc>
        <w:tc>
          <w:tcPr>
            <w:tcW w:w="4644" w:type="dxa"/>
          </w:tcPr>
          <w:p w14:paraId="37ED6740" w14:textId="13B945F9" w:rsidR="003A38FF" w:rsidRPr="00D0180E" w:rsidRDefault="003A38FF" w:rsidP="003A38FF">
            <w:pPr>
              <w:pStyle w:val="Texto"/>
              <w:spacing w:after="90"/>
              <w:ind w:firstLine="0"/>
              <w:rPr>
                <w:rFonts w:ascii="Verdana" w:hAnsi="Verdana"/>
                <w:sz w:val="16"/>
                <w:szCs w:val="16"/>
                <w:lang w:val="en-US"/>
              </w:rPr>
            </w:pPr>
            <w:r w:rsidRPr="00913574">
              <w:rPr>
                <w:rFonts w:ascii="Verdana" w:hAnsi="Verdana"/>
                <w:sz w:val="16"/>
                <w:szCs w:val="16"/>
                <w:lang w:val="en-US"/>
              </w:rPr>
              <w:t>CENACE must submit, for approval to the Secretary, pilot project proposals that it deems feasible, including their technical justification. The Secretary must issue a</w:t>
            </w:r>
            <w:r>
              <w:rPr>
                <w:rFonts w:ascii="Verdana" w:hAnsi="Verdana"/>
                <w:sz w:val="16"/>
                <w:szCs w:val="16"/>
                <w:lang w:val="en-US"/>
              </w:rPr>
              <w:t xml:space="preserve">n official document </w:t>
            </w:r>
            <w:r w:rsidRPr="00913574">
              <w:rPr>
                <w:rFonts w:ascii="Verdana" w:hAnsi="Verdana"/>
                <w:sz w:val="16"/>
                <w:szCs w:val="16"/>
                <w:lang w:val="en-US"/>
              </w:rPr>
              <w:t xml:space="preserve">on the admissibility or inadmissibility of their implementation within no more than thirty calendar days of </w:t>
            </w:r>
            <w:proofErr w:type="gramStart"/>
            <w:r w:rsidRPr="00913574">
              <w:rPr>
                <w:rFonts w:ascii="Verdana" w:hAnsi="Verdana"/>
                <w:sz w:val="16"/>
                <w:szCs w:val="16"/>
                <w:lang w:val="en-US"/>
              </w:rPr>
              <w:t>receipt, and</w:t>
            </w:r>
            <w:proofErr w:type="gramEnd"/>
            <w:r w:rsidRPr="00913574">
              <w:rPr>
                <w:rFonts w:ascii="Verdana" w:hAnsi="Verdana"/>
                <w:sz w:val="16"/>
                <w:szCs w:val="16"/>
                <w:lang w:val="en-US"/>
              </w:rPr>
              <w:t xml:space="preserve"> state the appropriate opinion.</w:t>
            </w:r>
          </w:p>
        </w:tc>
      </w:tr>
      <w:tr w:rsidR="003A38FF" w:rsidRPr="00D0180E" w14:paraId="0AE7C112" w14:textId="299EC89C" w:rsidTr="00FB5DAD">
        <w:tc>
          <w:tcPr>
            <w:tcW w:w="4706" w:type="dxa"/>
          </w:tcPr>
          <w:p w14:paraId="3539F138" w14:textId="77777777" w:rsidR="003A38FF" w:rsidRPr="00D0180E" w:rsidRDefault="003A38FF" w:rsidP="003A38FF">
            <w:pPr>
              <w:pStyle w:val="Texto"/>
              <w:spacing w:after="90"/>
              <w:ind w:firstLine="0"/>
              <w:jc w:val="center"/>
              <w:rPr>
                <w:rFonts w:ascii="Verdana" w:hAnsi="Verdana"/>
                <w:b/>
                <w:sz w:val="16"/>
                <w:szCs w:val="16"/>
              </w:rPr>
            </w:pPr>
            <w:r w:rsidRPr="00D0180E">
              <w:rPr>
                <w:rFonts w:ascii="Verdana" w:hAnsi="Verdana"/>
                <w:b/>
                <w:sz w:val="16"/>
                <w:szCs w:val="16"/>
              </w:rPr>
              <w:t>Capítulo III</w:t>
            </w:r>
          </w:p>
        </w:tc>
        <w:tc>
          <w:tcPr>
            <w:tcW w:w="4644" w:type="dxa"/>
          </w:tcPr>
          <w:p w14:paraId="4B82D1A7" w14:textId="370980C1" w:rsidR="003A38FF" w:rsidRPr="00D0180E" w:rsidRDefault="003A38FF" w:rsidP="003A38FF">
            <w:pPr>
              <w:pStyle w:val="Texto"/>
              <w:spacing w:after="90"/>
              <w:ind w:firstLine="0"/>
              <w:jc w:val="center"/>
              <w:rPr>
                <w:rFonts w:ascii="Verdana" w:hAnsi="Verdana"/>
                <w:b/>
                <w:sz w:val="16"/>
                <w:szCs w:val="16"/>
                <w:lang w:val="en-US"/>
              </w:rPr>
            </w:pPr>
            <w:r w:rsidRPr="00D0180E">
              <w:rPr>
                <w:rFonts w:ascii="Verdana" w:hAnsi="Verdana"/>
                <w:b/>
                <w:sz w:val="16"/>
                <w:szCs w:val="16"/>
              </w:rPr>
              <w:t>Chapter III</w:t>
            </w:r>
          </w:p>
        </w:tc>
      </w:tr>
      <w:tr w:rsidR="003A38FF" w:rsidRPr="00D83DA2" w14:paraId="62C3F089" w14:textId="74B1CA5B" w:rsidTr="00FB5DAD">
        <w:tc>
          <w:tcPr>
            <w:tcW w:w="4706" w:type="dxa"/>
          </w:tcPr>
          <w:p w14:paraId="77E68D34" w14:textId="77777777" w:rsidR="003A38FF" w:rsidRPr="00D0180E" w:rsidRDefault="003A38FF" w:rsidP="003A38FF">
            <w:pPr>
              <w:pStyle w:val="Texto"/>
              <w:spacing w:after="90"/>
              <w:ind w:firstLine="0"/>
              <w:jc w:val="center"/>
              <w:rPr>
                <w:rFonts w:ascii="Verdana" w:hAnsi="Verdana"/>
                <w:b/>
                <w:sz w:val="16"/>
                <w:szCs w:val="16"/>
              </w:rPr>
            </w:pPr>
            <w:r w:rsidRPr="00D0180E">
              <w:rPr>
                <w:rFonts w:ascii="Verdana" w:hAnsi="Verdana"/>
                <w:b/>
                <w:sz w:val="16"/>
                <w:szCs w:val="16"/>
              </w:rPr>
              <w:t>De la Normalización, Estandarización y Especificaciones Técnicas</w:t>
            </w:r>
          </w:p>
        </w:tc>
        <w:tc>
          <w:tcPr>
            <w:tcW w:w="4644" w:type="dxa"/>
          </w:tcPr>
          <w:p w14:paraId="63AD0B54" w14:textId="45BE25A4" w:rsidR="003A38FF" w:rsidRPr="00D0180E" w:rsidRDefault="003A38FF" w:rsidP="003A38FF">
            <w:pPr>
              <w:pStyle w:val="Texto"/>
              <w:spacing w:after="90"/>
              <w:ind w:firstLine="0"/>
              <w:jc w:val="center"/>
              <w:rPr>
                <w:rFonts w:ascii="Verdana" w:hAnsi="Verdana"/>
                <w:b/>
                <w:sz w:val="16"/>
                <w:szCs w:val="16"/>
                <w:lang w:val="en-US"/>
              </w:rPr>
            </w:pPr>
            <w:r w:rsidRPr="00913574">
              <w:rPr>
                <w:rFonts w:ascii="Verdana" w:hAnsi="Verdana"/>
                <w:b/>
                <w:sz w:val="16"/>
                <w:szCs w:val="16"/>
                <w:lang w:val="en-US"/>
              </w:rPr>
              <w:t>Normalization, Standardization and Technical Specifications</w:t>
            </w:r>
          </w:p>
        </w:tc>
      </w:tr>
      <w:tr w:rsidR="003A38FF" w:rsidRPr="00D83DA2" w14:paraId="30E545FF" w14:textId="0098828A" w:rsidTr="00FB5DAD">
        <w:tc>
          <w:tcPr>
            <w:tcW w:w="4706" w:type="dxa"/>
          </w:tcPr>
          <w:p w14:paraId="11EFA04C" w14:textId="77777777" w:rsidR="003A38FF" w:rsidRPr="00D0180E" w:rsidRDefault="003A38FF" w:rsidP="003A38FF">
            <w:pPr>
              <w:pStyle w:val="Texto"/>
              <w:spacing w:after="90"/>
              <w:ind w:firstLine="0"/>
              <w:rPr>
                <w:rFonts w:ascii="Verdana" w:hAnsi="Verdana"/>
                <w:sz w:val="16"/>
                <w:szCs w:val="16"/>
              </w:rPr>
            </w:pPr>
            <w:r w:rsidRPr="00D0180E">
              <w:rPr>
                <w:rFonts w:ascii="Verdana" w:hAnsi="Verdana"/>
                <w:b/>
                <w:sz w:val="16"/>
                <w:szCs w:val="16"/>
              </w:rPr>
              <w:t>Artículo 16.</w:t>
            </w:r>
            <w:r w:rsidRPr="00D0180E">
              <w:rPr>
                <w:rFonts w:ascii="Verdana" w:hAnsi="Verdana"/>
                <w:sz w:val="16"/>
                <w:szCs w:val="16"/>
              </w:rPr>
              <w:t xml:space="preserve"> La estandarización y normalización que en términos de la Ley debe llevar a cabo la Secretaría y la CNE, debe tener como finalidad garantizar la Seguridad </w:t>
            </w:r>
            <w:r w:rsidRPr="00D0180E">
              <w:rPr>
                <w:rFonts w:ascii="Verdana" w:hAnsi="Verdana"/>
                <w:sz w:val="16"/>
                <w:szCs w:val="16"/>
              </w:rPr>
              <w:lastRenderedPageBreak/>
              <w:t>y la Continuidad en la generación, almacenamiento, transmisión y distribución de energía eléctrica.</w:t>
            </w:r>
          </w:p>
        </w:tc>
        <w:tc>
          <w:tcPr>
            <w:tcW w:w="4644" w:type="dxa"/>
          </w:tcPr>
          <w:p w14:paraId="75D4A69F" w14:textId="01FFBDA0" w:rsidR="003A38FF" w:rsidRPr="00D0180E" w:rsidRDefault="003A38FF" w:rsidP="003A38FF">
            <w:pPr>
              <w:pStyle w:val="Texto"/>
              <w:spacing w:after="90"/>
              <w:ind w:firstLine="0"/>
              <w:rPr>
                <w:rFonts w:ascii="Verdana" w:hAnsi="Verdana"/>
                <w:b/>
                <w:sz w:val="16"/>
                <w:szCs w:val="16"/>
                <w:lang w:val="en-US"/>
              </w:rPr>
            </w:pPr>
            <w:r w:rsidRPr="00913574">
              <w:rPr>
                <w:rFonts w:ascii="Verdana" w:hAnsi="Verdana"/>
                <w:b/>
                <w:sz w:val="16"/>
                <w:szCs w:val="16"/>
                <w:lang w:val="en-US"/>
              </w:rPr>
              <w:lastRenderedPageBreak/>
              <w:t xml:space="preserve">Article 16. </w:t>
            </w:r>
            <w:r w:rsidRPr="00913574">
              <w:rPr>
                <w:rFonts w:ascii="Verdana" w:hAnsi="Verdana"/>
                <w:sz w:val="16"/>
                <w:szCs w:val="16"/>
                <w:lang w:val="en-US"/>
              </w:rPr>
              <w:t xml:space="preserve">The standardization and normalization that the Secretary and the CNE must carry out </w:t>
            </w:r>
            <w:r>
              <w:rPr>
                <w:rFonts w:ascii="Verdana" w:hAnsi="Verdana"/>
                <w:sz w:val="16"/>
                <w:szCs w:val="16"/>
                <w:lang w:val="en-US"/>
              </w:rPr>
              <w:t>under the</w:t>
            </w:r>
            <w:r w:rsidRPr="00913574">
              <w:rPr>
                <w:rFonts w:ascii="Verdana" w:hAnsi="Verdana"/>
                <w:sz w:val="16"/>
                <w:szCs w:val="16"/>
                <w:lang w:val="en-US"/>
              </w:rPr>
              <w:t xml:space="preserve"> terms of the Law must have the purpose of guaranteeing the security and continuity in the </w:t>
            </w:r>
            <w:r w:rsidRPr="00913574">
              <w:rPr>
                <w:rFonts w:ascii="Verdana" w:hAnsi="Verdana"/>
                <w:sz w:val="16"/>
                <w:szCs w:val="16"/>
                <w:lang w:val="en-US"/>
              </w:rPr>
              <w:lastRenderedPageBreak/>
              <w:t>generation, storage, transmission and distribution of electrical energy.</w:t>
            </w:r>
          </w:p>
        </w:tc>
      </w:tr>
      <w:tr w:rsidR="003A38FF" w:rsidRPr="00D83DA2" w14:paraId="339E5B64" w14:textId="7A090E55" w:rsidTr="00FB5DAD">
        <w:tc>
          <w:tcPr>
            <w:tcW w:w="4706" w:type="dxa"/>
          </w:tcPr>
          <w:p w14:paraId="66BB1EED" w14:textId="77777777" w:rsidR="003A38FF" w:rsidRPr="00D0180E" w:rsidRDefault="003A38FF" w:rsidP="003A38FF">
            <w:pPr>
              <w:pStyle w:val="Texto"/>
              <w:spacing w:after="90"/>
              <w:ind w:firstLine="0"/>
              <w:rPr>
                <w:rFonts w:ascii="Verdana" w:hAnsi="Verdana"/>
                <w:sz w:val="16"/>
                <w:szCs w:val="16"/>
              </w:rPr>
            </w:pPr>
            <w:r w:rsidRPr="00D0180E">
              <w:rPr>
                <w:rFonts w:ascii="Verdana" w:hAnsi="Verdana"/>
                <w:b/>
                <w:sz w:val="16"/>
                <w:szCs w:val="16"/>
              </w:rPr>
              <w:lastRenderedPageBreak/>
              <w:t>Artículo 17.</w:t>
            </w:r>
            <w:r w:rsidRPr="00D0180E">
              <w:rPr>
                <w:rFonts w:ascii="Verdana" w:hAnsi="Verdana"/>
                <w:sz w:val="16"/>
                <w:szCs w:val="16"/>
              </w:rPr>
              <w:t xml:space="preserve"> Las Especificaciones Técnicas a que se refieren el artículo 11, fracción XXIII y el artículo 153, párrafo cuarto de la Ley, deben ser congruentes con los objetivos de la Secretaría en materia de Accesibilidad, Calidad, Confiabilidad, Continuidad, Eficiencia, Seguridad y Sostenibilidad del Sistema Eléctrico Nacional y de fomento del sector eléctrico nacional. La aprobación de dichas especificaciones por parte de la Secretaría se debe realizar en coordinación con la CNE.</w:t>
            </w:r>
          </w:p>
        </w:tc>
        <w:tc>
          <w:tcPr>
            <w:tcW w:w="4644" w:type="dxa"/>
          </w:tcPr>
          <w:p w14:paraId="4877BFE6" w14:textId="0FA71E76" w:rsidR="003A38FF" w:rsidRPr="00D0180E" w:rsidRDefault="003A38FF" w:rsidP="003A38FF">
            <w:pPr>
              <w:pStyle w:val="Texto"/>
              <w:spacing w:after="90"/>
              <w:ind w:firstLine="0"/>
              <w:rPr>
                <w:rFonts w:ascii="Verdana" w:hAnsi="Verdana"/>
                <w:b/>
                <w:sz w:val="16"/>
                <w:szCs w:val="16"/>
                <w:lang w:val="en-US"/>
              </w:rPr>
            </w:pPr>
            <w:r w:rsidRPr="00913574">
              <w:rPr>
                <w:rFonts w:ascii="Verdana" w:hAnsi="Verdana"/>
                <w:b/>
                <w:sz w:val="16"/>
                <w:szCs w:val="16"/>
                <w:lang w:val="en-US"/>
              </w:rPr>
              <w:t xml:space="preserve">Article 17. </w:t>
            </w:r>
            <w:r w:rsidRPr="00913574">
              <w:rPr>
                <w:rFonts w:ascii="Verdana" w:hAnsi="Verdana"/>
                <w:sz w:val="16"/>
                <w:szCs w:val="16"/>
                <w:lang w:val="en-US"/>
              </w:rPr>
              <w:t xml:space="preserve">The Technical Specifications referred to in Article 11, Section XXIII, and Article 153, paragraph four of the Law must be consistent with the Secretary's objectives regarding accessibility, quality, reliability, continuity, efficiency, security, and sustainability of the </w:t>
            </w:r>
            <w:r>
              <w:rPr>
                <w:rFonts w:ascii="Verdana" w:hAnsi="Verdana"/>
                <w:sz w:val="16"/>
                <w:szCs w:val="16"/>
                <w:lang w:val="en-US"/>
              </w:rPr>
              <w:t>National Electric System</w:t>
            </w:r>
            <w:r w:rsidRPr="00913574">
              <w:rPr>
                <w:rFonts w:ascii="Verdana" w:hAnsi="Verdana"/>
                <w:sz w:val="16"/>
                <w:szCs w:val="16"/>
                <w:lang w:val="en-US"/>
              </w:rPr>
              <w:t xml:space="preserve"> and the promotion of the national electricity sector. The Secretary's approval of these specifications must be carried out in coordination with the National Electricity Commission (CNE).</w:t>
            </w:r>
          </w:p>
        </w:tc>
      </w:tr>
      <w:tr w:rsidR="003A38FF" w:rsidRPr="00D0180E" w14:paraId="69678C16" w14:textId="3509BF7C" w:rsidTr="00FB5DAD">
        <w:tc>
          <w:tcPr>
            <w:tcW w:w="4706" w:type="dxa"/>
          </w:tcPr>
          <w:p w14:paraId="5D24D761" w14:textId="77777777" w:rsidR="003A38FF" w:rsidRPr="00D0180E" w:rsidRDefault="003A38FF" w:rsidP="003A38FF">
            <w:pPr>
              <w:pStyle w:val="Texto"/>
              <w:spacing w:after="90"/>
              <w:ind w:firstLine="0"/>
              <w:jc w:val="center"/>
              <w:rPr>
                <w:rFonts w:ascii="Verdana" w:hAnsi="Verdana"/>
                <w:b/>
                <w:sz w:val="16"/>
                <w:szCs w:val="16"/>
              </w:rPr>
            </w:pPr>
            <w:r w:rsidRPr="00D0180E">
              <w:rPr>
                <w:rFonts w:ascii="Verdana" w:hAnsi="Verdana"/>
                <w:b/>
                <w:sz w:val="16"/>
                <w:szCs w:val="16"/>
              </w:rPr>
              <w:t>Capítulo IV</w:t>
            </w:r>
          </w:p>
        </w:tc>
        <w:tc>
          <w:tcPr>
            <w:tcW w:w="4644" w:type="dxa"/>
          </w:tcPr>
          <w:p w14:paraId="5203C539" w14:textId="155FF405" w:rsidR="003A38FF" w:rsidRPr="006369F8" w:rsidRDefault="003A38FF" w:rsidP="003A38FF">
            <w:pPr>
              <w:pStyle w:val="Texto"/>
              <w:spacing w:after="90"/>
              <w:ind w:firstLine="0"/>
              <w:jc w:val="center"/>
              <w:rPr>
                <w:rFonts w:ascii="Verdana" w:hAnsi="Verdana"/>
                <w:b/>
                <w:sz w:val="16"/>
                <w:szCs w:val="16"/>
                <w:lang w:val="en-US"/>
              </w:rPr>
            </w:pPr>
            <w:r w:rsidRPr="006369F8">
              <w:rPr>
                <w:rFonts w:ascii="Verdana" w:hAnsi="Verdana"/>
                <w:b/>
                <w:sz w:val="16"/>
                <w:szCs w:val="16"/>
                <w:lang w:val="en-US"/>
              </w:rPr>
              <w:t>Chapter IV</w:t>
            </w:r>
          </w:p>
        </w:tc>
      </w:tr>
      <w:tr w:rsidR="003A38FF" w:rsidRPr="00D0180E" w14:paraId="0286A823" w14:textId="75B1F8FD" w:rsidTr="00FB5DAD">
        <w:tc>
          <w:tcPr>
            <w:tcW w:w="4706" w:type="dxa"/>
          </w:tcPr>
          <w:p w14:paraId="44761EC1" w14:textId="77777777" w:rsidR="003A38FF" w:rsidRPr="00D0180E" w:rsidRDefault="003A38FF" w:rsidP="003A38FF">
            <w:pPr>
              <w:pStyle w:val="Texto"/>
              <w:spacing w:after="90"/>
              <w:ind w:firstLine="0"/>
              <w:jc w:val="center"/>
              <w:rPr>
                <w:rFonts w:ascii="Verdana" w:hAnsi="Verdana"/>
                <w:b/>
                <w:sz w:val="16"/>
                <w:szCs w:val="16"/>
              </w:rPr>
            </w:pPr>
            <w:r w:rsidRPr="00D0180E">
              <w:rPr>
                <w:rFonts w:ascii="Verdana" w:hAnsi="Verdana"/>
                <w:b/>
                <w:sz w:val="16"/>
                <w:szCs w:val="16"/>
              </w:rPr>
              <w:t>De los Permisos y Autorizaciones</w:t>
            </w:r>
          </w:p>
        </w:tc>
        <w:tc>
          <w:tcPr>
            <w:tcW w:w="4644" w:type="dxa"/>
          </w:tcPr>
          <w:p w14:paraId="47AA0795" w14:textId="41E91C9E" w:rsidR="003A38FF" w:rsidRPr="006369F8" w:rsidRDefault="003A38FF" w:rsidP="003A38FF">
            <w:pPr>
              <w:pStyle w:val="Texto"/>
              <w:spacing w:after="90"/>
              <w:ind w:firstLine="0"/>
              <w:jc w:val="center"/>
              <w:rPr>
                <w:rFonts w:ascii="Verdana" w:hAnsi="Verdana"/>
                <w:b/>
                <w:sz w:val="16"/>
                <w:szCs w:val="16"/>
                <w:lang w:val="en-US"/>
              </w:rPr>
            </w:pPr>
            <w:r w:rsidRPr="006369F8">
              <w:rPr>
                <w:rFonts w:ascii="Verdana" w:hAnsi="Verdana"/>
                <w:b/>
                <w:sz w:val="16"/>
                <w:szCs w:val="16"/>
                <w:lang w:val="en-US"/>
              </w:rPr>
              <w:t>Permits and Authorizations</w:t>
            </w:r>
          </w:p>
        </w:tc>
      </w:tr>
      <w:tr w:rsidR="003A38FF" w:rsidRPr="00D83DA2" w14:paraId="55899B08" w14:textId="60F1BAC4" w:rsidTr="00FB5DAD">
        <w:tc>
          <w:tcPr>
            <w:tcW w:w="4706" w:type="dxa"/>
          </w:tcPr>
          <w:p w14:paraId="02ECE7EA" w14:textId="77777777" w:rsidR="003A38FF" w:rsidRPr="00D0180E" w:rsidRDefault="003A38FF" w:rsidP="003A38FF">
            <w:pPr>
              <w:pStyle w:val="Texto"/>
              <w:spacing w:after="90"/>
              <w:ind w:firstLine="0"/>
              <w:rPr>
                <w:rFonts w:ascii="Verdana" w:hAnsi="Verdana"/>
                <w:sz w:val="16"/>
                <w:szCs w:val="16"/>
              </w:rPr>
            </w:pPr>
            <w:r w:rsidRPr="00D0180E">
              <w:rPr>
                <w:rFonts w:ascii="Verdana" w:hAnsi="Verdana"/>
                <w:b/>
                <w:sz w:val="16"/>
                <w:szCs w:val="16"/>
              </w:rPr>
              <w:t>Artículo 18.</w:t>
            </w:r>
            <w:r w:rsidRPr="00D0180E">
              <w:rPr>
                <w:rFonts w:ascii="Verdana" w:hAnsi="Verdana"/>
                <w:sz w:val="16"/>
                <w:szCs w:val="16"/>
              </w:rPr>
              <w:t xml:space="preserve"> Para efectos de lo previsto en el artículo 19 de la Ley, la capacidad referida corresponde a la Capacidad Instalada de una Central Eléctrica.</w:t>
            </w:r>
          </w:p>
        </w:tc>
        <w:tc>
          <w:tcPr>
            <w:tcW w:w="4644" w:type="dxa"/>
          </w:tcPr>
          <w:p w14:paraId="3496D0AA" w14:textId="0817DF74" w:rsidR="003A38FF" w:rsidRPr="00D0180E" w:rsidRDefault="003A38FF" w:rsidP="003A38FF">
            <w:pPr>
              <w:pStyle w:val="Texto"/>
              <w:spacing w:after="90"/>
              <w:ind w:firstLine="0"/>
              <w:rPr>
                <w:rFonts w:ascii="Verdana" w:hAnsi="Verdana"/>
                <w:b/>
                <w:sz w:val="16"/>
                <w:szCs w:val="16"/>
                <w:lang w:val="en-US"/>
              </w:rPr>
            </w:pPr>
            <w:r w:rsidRPr="00913574">
              <w:rPr>
                <w:rFonts w:ascii="Verdana" w:hAnsi="Verdana"/>
                <w:b/>
                <w:sz w:val="16"/>
                <w:szCs w:val="16"/>
                <w:lang w:val="en-US"/>
              </w:rPr>
              <w:t xml:space="preserve">Article 18. </w:t>
            </w:r>
            <w:r w:rsidRPr="00913574">
              <w:rPr>
                <w:rFonts w:ascii="Verdana" w:hAnsi="Verdana"/>
                <w:sz w:val="16"/>
                <w:szCs w:val="16"/>
                <w:lang w:val="en-US"/>
              </w:rPr>
              <w:t xml:space="preserve">For the purposes of the provisions of Article 19 of the Law, the referred </w:t>
            </w:r>
            <w:r>
              <w:rPr>
                <w:rFonts w:ascii="Verdana" w:hAnsi="Verdana"/>
                <w:sz w:val="16"/>
                <w:szCs w:val="16"/>
                <w:lang w:val="en-US"/>
              </w:rPr>
              <w:t xml:space="preserve">to </w:t>
            </w:r>
            <w:r w:rsidRPr="00913574">
              <w:rPr>
                <w:rFonts w:ascii="Verdana" w:hAnsi="Verdana"/>
                <w:sz w:val="16"/>
                <w:szCs w:val="16"/>
                <w:lang w:val="en-US"/>
              </w:rPr>
              <w:t xml:space="preserve">capacity corresponds to the Installed Capacity of a </w:t>
            </w:r>
            <w:r>
              <w:rPr>
                <w:rFonts w:ascii="Verdana" w:hAnsi="Verdana"/>
                <w:sz w:val="16"/>
                <w:szCs w:val="16"/>
                <w:lang w:val="en-US"/>
              </w:rPr>
              <w:t>power plant</w:t>
            </w:r>
            <w:r w:rsidRPr="00913574">
              <w:rPr>
                <w:rFonts w:ascii="Verdana" w:hAnsi="Verdana"/>
                <w:sz w:val="16"/>
                <w:szCs w:val="16"/>
                <w:lang w:val="en-US"/>
              </w:rPr>
              <w:t>.</w:t>
            </w:r>
          </w:p>
        </w:tc>
      </w:tr>
      <w:tr w:rsidR="003A38FF" w:rsidRPr="00D83DA2" w14:paraId="695D3F5F" w14:textId="18CFCCF9" w:rsidTr="00FB5DAD">
        <w:tc>
          <w:tcPr>
            <w:tcW w:w="4706" w:type="dxa"/>
          </w:tcPr>
          <w:p w14:paraId="1B0D5407" w14:textId="77777777" w:rsidR="003A38FF" w:rsidRPr="00D0180E" w:rsidRDefault="003A38FF" w:rsidP="003A38FF">
            <w:pPr>
              <w:pStyle w:val="Texto"/>
              <w:spacing w:after="90"/>
              <w:ind w:firstLine="0"/>
              <w:rPr>
                <w:rFonts w:ascii="Verdana" w:hAnsi="Verdana"/>
                <w:sz w:val="16"/>
                <w:szCs w:val="16"/>
              </w:rPr>
            </w:pPr>
            <w:r w:rsidRPr="00D0180E">
              <w:rPr>
                <w:rFonts w:ascii="Verdana" w:hAnsi="Verdana"/>
                <w:sz w:val="16"/>
                <w:szCs w:val="16"/>
              </w:rPr>
              <w:t>Para que las Generadoras Exentas puedan vender energía eléctrica en el Mercado Eléctrico Mayorista, sin la intermediación de una Suministradora, deben solicitar permiso de generación a la CNE. La consecuencia inmediata del otorgamiento de dicho permiso es el cambio de naturaleza de Generadora Exenta a Generadora.</w:t>
            </w:r>
          </w:p>
        </w:tc>
        <w:tc>
          <w:tcPr>
            <w:tcW w:w="4644" w:type="dxa"/>
          </w:tcPr>
          <w:p w14:paraId="76F71D4F" w14:textId="4D2ABCC2" w:rsidR="003A38FF" w:rsidRPr="00D0180E" w:rsidRDefault="003A38FF" w:rsidP="003A38FF">
            <w:pPr>
              <w:pStyle w:val="Texto"/>
              <w:spacing w:after="90"/>
              <w:ind w:firstLine="0"/>
              <w:rPr>
                <w:rFonts w:ascii="Verdana" w:hAnsi="Verdana"/>
                <w:sz w:val="16"/>
                <w:szCs w:val="16"/>
                <w:lang w:val="en-US"/>
              </w:rPr>
            </w:pPr>
            <w:r w:rsidRPr="00913574">
              <w:rPr>
                <w:rFonts w:ascii="Verdana" w:hAnsi="Verdana"/>
                <w:sz w:val="16"/>
                <w:szCs w:val="16"/>
                <w:lang w:val="en-US"/>
              </w:rPr>
              <w:t xml:space="preserve">For </w:t>
            </w:r>
            <w:r>
              <w:rPr>
                <w:rFonts w:ascii="Verdana" w:hAnsi="Verdana"/>
                <w:sz w:val="16"/>
                <w:szCs w:val="16"/>
                <w:lang w:val="en-US"/>
              </w:rPr>
              <w:t>e</w:t>
            </w:r>
            <w:r w:rsidRPr="00913574">
              <w:rPr>
                <w:rFonts w:ascii="Verdana" w:hAnsi="Verdana"/>
                <w:sz w:val="16"/>
                <w:szCs w:val="16"/>
                <w:lang w:val="en-US"/>
              </w:rPr>
              <w:t xml:space="preserve">xempt </w:t>
            </w:r>
            <w:r>
              <w:rPr>
                <w:rFonts w:ascii="Verdana" w:hAnsi="Verdana"/>
                <w:sz w:val="16"/>
                <w:szCs w:val="16"/>
                <w:lang w:val="en-US"/>
              </w:rPr>
              <w:t>g</w:t>
            </w:r>
            <w:r w:rsidRPr="00913574">
              <w:rPr>
                <w:rFonts w:ascii="Verdana" w:hAnsi="Verdana"/>
                <w:sz w:val="16"/>
                <w:szCs w:val="16"/>
                <w:lang w:val="en-US"/>
              </w:rPr>
              <w:t>enerators to sell electricity in the wholesale electricity market without the intermediation of a supplier, they must apply for a generation permit from the CNE. The immediate consequence of granting this permit is the change from exempt generator to generator.</w:t>
            </w:r>
          </w:p>
        </w:tc>
      </w:tr>
      <w:tr w:rsidR="003A38FF" w:rsidRPr="00D83DA2" w14:paraId="0EF40095" w14:textId="012C4A07" w:rsidTr="00FB5DAD">
        <w:tc>
          <w:tcPr>
            <w:tcW w:w="4706" w:type="dxa"/>
          </w:tcPr>
          <w:p w14:paraId="39550D82" w14:textId="77777777" w:rsidR="003A38FF" w:rsidRPr="00D0180E" w:rsidRDefault="003A38FF" w:rsidP="003A38FF">
            <w:pPr>
              <w:pStyle w:val="Texto"/>
              <w:spacing w:after="90"/>
              <w:ind w:firstLine="0"/>
              <w:rPr>
                <w:rFonts w:ascii="Verdana" w:hAnsi="Verdana"/>
                <w:sz w:val="16"/>
                <w:szCs w:val="16"/>
              </w:rPr>
            </w:pPr>
            <w:r w:rsidRPr="00D0180E">
              <w:rPr>
                <w:rFonts w:ascii="Verdana" w:hAnsi="Verdana"/>
                <w:sz w:val="16"/>
                <w:szCs w:val="16"/>
              </w:rPr>
              <w:t>Para prestar el Suministro Eléctrico a Usuarias Finales o representar a las Generadoras Exentas en el Mercado Eléctrico Mayorista, es necesario contar con permiso de comercialización en modalidad de Suministradora otorgado por la CNE y con contrato de Participante del Mercado, en modalidad de Suministradora, con el CENACE.</w:t>
            </w:r>
          </w:p>
        </w:tc>
        <w:tc>
          <w:tcPr>
            <w:tcW w:w="4644" w:type="dxa"/>
          </w:tcPr>
          <w:p w14:paraId="1B20986E" w14:textId="6FEEA554" w:rsidR="003A38FF" w:rsidRPr="00D0180E" w:rsidRDefault="003A38FF" w:rsidP="003A38FF">
            <w:pPr>
              <w:pStyle w:val="Texto"/>
              <w:spacing w:after="90"/>
              <w:ind w:firstLine="0"/>
              <w:rPr>
                <w:rFonts w:ascii="Verdana" w:hAnsi="Verdana"/>
                <w:sz w:val="16"/>
                <w:szCs w:val="16"/>
                <w:lang w:val="en-US"/>
              </w:rPr>
            </w:pPr>
            <w:r w:rsidRPr="00913574">
              <w:rPr>
                <w:rFonts w:ascii="Verdana" w:hAnsi="Verdana"/>
                <w:sz w:val="16"/>
                <w:szCs w:val="16"/>
                <w:lang w:val="en-US"/>
              </w:rPr>
              <w:t xml:space="preserve">To provide electricity supply to end users or represent exempt generators in the wholesale electricity market, it is necessary to have a marketing permit in the </w:t>
            </w:r>
            <w:r>
              <w:rPr>
                <w:rFonts w:ascii="Verdana" w:hAnsi="Verdana"/>
                <w:sz w:val="16"/>
                <w:szCs w:val="16"/>
                <w:lang w:val="en-US"/>
              </w:rPr>
              <w:t>s</w:t>
            </w:r>
            <w:r w:rsidRPr="00913574">
              <w:rPr>
                <w:rFonts w:ascii="Verdana" w:hAnsi="Verdana"/>
                <w:sz w:val="16"/>
                <w:szCs w:val="16"/>
                <w:lang w:val="en-US"/>
              </w:rPr>
              <w:t xml:space="preserve">upplier modality granted by the CNE and a Market Participant contract, in the </w:t>
            </w:r>
            <w:r>
              <w:rPr>
                <w:rFonts w:ascii="Verdana" w:hAnsi="Verdana"/>
                <w:sz w:val="16"/>
                <w:szCs w:val="16"/>
                <w:lang w:val="en-US"/>
              </w:rPr>
              <w:t>s</w:t>
            </w:r>
            <w:r w:rsidRPr="00913574">
              <w:rPr>
                <w:rFonts w:ascii="Verdana" w:hAnsi="Verdana"/>
                <w:sz w:val="16"/>
                <w:szCs w:val="16"/>
                <w:lang w:val="en-US"/>
              </w:rPr>
              <w:t>upplier modality, with CENACE.</w:t>
            </w:r>
          </w:p>
        </w:tc>
      </w:tr>
      <w:tr w:rsidR="003A38FF" w:rsidRPr="00D83DA2" w14:paraId="0C02B0E8" w14:textId="4C847C0B" w:rsidTr="00FB5DAD">
        <w:tc>
          <w:tcPr>
            <w:tcW w:w="4706" w:type="dxa"/>
          </w:tcPr>
          <w:p w14:paraId="41C70B20" w14:textId="77777777" w:rsidR="003A38FF" w:rsidRPr="00D0180E" w:rsidRDefault="003A38FF" w:rsidP="003A38FF">
            <w:pPr>
              <w:pStyle w:val="Texto"/>
              <w:spacing w:after="90"/>
              <w:ind w:firstLine="0"/>
              <w:rPr>
                <w:rFonts w:ascii="Verdana" w:hAnsi="Verdana"/>
                <w:sz w:val="16"/>
                <w:szCs w:val="16"/>
              </w:rPr>
            </w:pPr>
            <w:r w:rsidRPr="00D0180E">
              <w:rPr>
                <w:rFonts w:ascii="Verdana" w:hAnsi="Verdana"/>
                <w:sz w:val="16"/>
                <w:szCs w:val="16"/>
              </w:rPr>
              <w:t>En los contratos de Participante del Mercado en modalidad de Comercializadora se debe designar la modalidad de Suministradora o la modalidad de Comercializadora no Suministradora.</w:t>
            </w:r>
          </w:p>
        </w:tc>
        <w:tc>
          <w:tcPr>
            <w:tcW w:w="4644" w:type="dxa"/>
          </w:tcPr>
          <w:p w14:paraId="11978D4D" w14:textId="734FD7BA" w:rsidR="003A38FF" w:rsidRPr="00D0180E" w:rsidRDefault="003A38FF" w:rsidP="003A38FF">
            <w:pPr>
              <w:pStyle w:val="Texto"/>
              <w:spacing w:after="90"/>
              <w:ind w:firstLine="0"/>
              <w:rPr>
                <w:rFonts w:ascii="Verdana" w:hAnsi="Verdana"/>
                <w:sz w:val="16"/>
                <w:szCs w:val="16"/>
                <w:lang w:val="en-US"/>
              </w:rPr>
            </w:pPr>
            <w:r w:rsidRPr="00913574">
              <w:rPr>
                <w:rFonts w:ascii="Verdana" w:hAnsi="Verdana"/>
                <w:sz w:val="16"/>
                <w:szCs w:val="16"/>
                <w:lang w:val="en-US"/>
              </w:rPr>
              <w:t xml:space="preserve">In </w:t>
            </w:r>
            <w:r>
              <w:rPr>
                <w:rFonts w:ascii="Verdana" w:hAnsi="Verdana"/>
                <w:sz w:val="16"/>
                <w:szCs w:val="16"/>
                <w:lang w:val="en-US"/>
              </w:rPr>
              <w:t xml:space="preserve">the </w:t>
            </w:r>
            <w:r w:rsidRPr="00913574">
              <w:rPr>
                <w:rFonts w:ascii="Verdana" w:hAnsi="Verdana"/>
                <w:sz w:val="16"/>
                <w:szCs w:val="16"/>
                <w:lang w:val="en-US"/>
              </w:rPr>
              <w:t xml:space="preserve">market participant contracts in the </w:t>
            </w:r>
            <w:r>
              <w:rPr>
                <w:rFonts w:ascii="Verdana" w:hAnsi="Verdana"/>
                <w:sz w:val="16"/>
                <w:szCs w:val="16"/>
                <w:lang w:val="en-US"/>
              </w:rPr>
              <w:t>m</w:t>
            </w:r>
            <w:r w:rsidRPr="00913574">
              <w:rPr>
                <w:rFonts w:ascii="Verdana" w:hAnsi="Verdana"/>
                <w:sz w:val="16"/>
                <w:szCs w:val="16"/>
                <w:lang w:val="en-US"/>
              </w:rPr>
              <w:t>arketing modality, the supplier modality or the non-supplier marketing modality must be designated.</w:t>
            </w:r>
          </w:p>
        </w:tc>
      </w:tr>
      <w:tr w:rsidR="003A38FF" w:rsidRPr="00D83DA2" w14:paraId="40C53328" w14:textId="7E146FED" w:rsidTr="00FB5DAD">
        <w:tc>
          <w:tcPr>
            <w:tcW w:w="4706" w:type="dxa"/>
          </w:tcPr>
          <w:p w14:paraId="5E49656F" w14:textId="77777777" w:rsidR="003A38FF" w:rsidRPr="00D0180E" w:rsidRDefault="003A38FF" w:rsidP="003A38FF">
            <w:pPr>
              <w:pStyle w:val="Texto"/>
              <w:spacing w:after="90"/>
              <w:ind w:firstLine="0"/>
              <w:rPr>
                <w:rFonts w:ascii="Verdana" w:hAnsi="Verdana"/>
                <w:sz w:val="16"/>
                <w:szCs w:val="16"/>
              </w:rPr>
            </w:pPr>
            <w:r w:rsidRPr="00D0180E">
              <w:rPr>
                <w:rFonts w:ascii="Verdana" w:hAnsi="Verdana"/>
                <w:sz w:val="16"/>
                <w:szCs w:val="16"/>
              </w:rPr>
              <w:t>El cambio de modalidad de Suministro Eléctrico en los permisos de comercialización constituye una actividad distinta, por lo que su realización requiere del otorgamiento de un nuevo permiso por parte de la CNE.</w:t>
            </w:r>
          </w:p>
        </w:tc>
        <w:tc>
          <w:tcPr>
            <w:tcW w:w="4644" w:type="dxa"/>
          </w:tcPr>
          <w:p w14:paraId="7116D6B3" w14:textId="42452CCB" w:rsidR="003A38FF" w:rsidRPr="00D0180E" w:rsidRDefault="003A38FF" w:rsidP="003A38FF">
            <w:pPr>
              <w:pStyle w:val="Texto"/>
              <w:spacing w:after="90"/>
              <w:ind w:firstLine="0"/>
              <w:rPr>
                <w:rFonts w:ascii="Verdana" w:hAnsi="Verdana"/>
                <w:sz w:val="16"/>
                <w:szCs w:val="16"/>
                <w:lang w:val="en-US"/>
              </w:rPr>
            </w:pPr>
            <w:r w:rsidRPr="00913574">
              <w:rPr>
                <w:rFonts w:ascii="Verdana" w:hAnsi="Verdana"/>
                <w:sz w:val="16"/>
                <w:szCs w:val="16"/>
                <w:lang w:val="en-US"/>
              </w:rPr>
              <w:t>Changing the electricity supply modality in marketing permits constitutes a distinct activity, and therefore its implementation requires the granting of a new permit by the CNE.</w:t>
            </w:r>
          </w:p>
        </w:tc>
      </w:tr>
      <w:tr w:rsidR="003A38FF" w:rsidRPr="00D83DA2" w14:paraId="3D541C1B" w14:textId="143777C2" w:rsidTr="00FB5DAD">
        <w:tc>
          <w:tcPr>
            <w:tcW w:w="4706" w:type="dxa"/>
          </w:tcPr>
          <w:p w14:paraId="68486B95" w14:textId="77777777" w:rsidR="003A38FF" w:rsidRPr="00D0180E" w:rsidRDefault="003A38FF" w:rsidP="003A38FF">
            <w:pPr>
              <w:pStyle w:val="Texto"/>
              <w:spacing w:after="90"/>
              <w:ind w:firstLine="0"/>
              <w:rPr>
                <w:rFonts w:ascii="Verdana" w:hAnsi="Verdana"/>
                <w:sz w:val="16"/>
                <w:szCs w:val="16"/>
              </w:rPr>
            </w:pPr>
            <w:r w:rsidRPr="00D0180E">
              <w:rPr>
                <w:rFonts w:ascii="Verdana" w:hAnsi="Verdana"/>
                <w:sz w:val="16"/>
                <w:szCs w:val="16"/>
              </w:rPr>
              <w:t>Las Participantes del Mercado en modalidad de Comercializadora no Suministradora deben incluirse en el registro correspondiente, conforme a los lineamientos que para tal efecto emita la CNE.</w:t>
            </w:r>
          </w:p>
        </w:tc>
        <w:tc>
          <w:tcPr>
            <w:tcW w:w="4644" w:type="dxa"/>
          </w:tcPr>
          <w:p w14:paraId="2EFA0227" w14:textId="6B721765" w:rsidR="003A38FF" w:rsidRPr="00D0180E" w:rsidRDefault="003A38FF" w:rsidP="003A38FF">
            <w:pPr>
              <w:pStyle w:val="Texto"/>
              <w:spacing w:after="90"/>
              <w:ind w:firstLine="0"/>
              <w:rPr>
                <w:rFonts w:ascii="Verdana" w:hAnsi="Verdana"/>
                <w:sz w:val="16"/>
                <w:szCs w:val="16"/>
                <w:lang w:val="en-US"/>
              </w:rPr>
            </w:pPr>
            <w:r>
              <w:rPr>
                <w:rFonts w:ascii="Verdana" w:hAnsi="Verdana"/>
                <w:sz w:val="16"/>
                <w:szCs w:val="16"/>
                <w:lang w:val="en-US"/>
              </w:rPr>
              <w:t>The m</w:t>
            </w:r>
            <w:r w:rsidRPr="00913574">
              <w:rPr>
                <w:rFonts w:ascii="Verdana" w:hAnsi="Verdana"/>
                <w:sz w:val="16"/>
                <w:szCs w:val="16"/>
                <w:lang w:val="en-US"/>
              </w:rPr>
              <w:t xml:space="preserve">arket </w:t>
            </w:r>
            <w:r>
              <w:rPr>
                <w:rFonts w:ascii="Verdana" w:hAnsi="Verdana"/>
                <w:sz w:val="16"/>
                <w:szCs w:val="16"/>
                <w:lang w:val="en-US"/>
              </w:rPr>
              <w:t>p</w:t>
            </w:r>
            <w:r w:rsidRPr="00913574">
              <w:rPr>
                <w:rFonts w:ascii="Verdana" w:hAnsi="Verdana"/>
                <w:sz w:val="16"/>
                <w:szCs w:val="16"/>
                <w:lang w:val="en-US"/>
              </w:rPr>
              <w:t>articipants in the non-supplier marketing category must be included in the corresponding registry, in accordance with the guidelines issued for this purpose by the CNE.</w:t>
            </w:r>
          </w:p>
        </w:tc>
      </w:tr>
      <w:tr w:rsidR="003A38FF" w:rsidRPr="00D83DA2" w14:paraId="12FD6182" w14:textId="4831603E" w:rsidTr="00FB5DAD">
        <w:tc>
          <w:tcPr>
            <w:tcW w:w="4706" w:type="dxa"/>
          </w:tcPr>
          <w:p w14:paraId="5EC6FDA4" w14:textId="77777777" w:rsidR="003A38FF" w:rsidRPr="00D0180E" w:rsidRDefault="003A38FF" w:rsidP="003A38FF">
            <w:pPr>
              <w:pStyle w:val="Texto"/>
              <w:spacing w:after="90"/>
              <w:ind w:firstLine="0"/>
              <w:rPr>
                <w:rFonts w:ascii="Verdana" w:hAnsi="Verdana"/>
                <w:sz w:val="16"/>
                <w:szCs w:val="16"/>
              </w:rPr>
            </w:pPr>
            <w:r w:rsidRPr="00D0180E">
              <w:rPr>
                <w:rFonts w:ascii="Verdana" w:hAnsi="Verdana"/>
                <w:sz w:val="16"/>
                <w:szCs w:val="16"/>
              </w:rPr>
              <w:t>Corresponde a la Secretaría otorgar las autorizaciones de importación y exportación de energía eléctrica.</w:t>
            </w:r>
          </w:p>
        </w:tc>
        <w:tc>
          <w:tcPr>
            <w:tcW w:w="4644" w:type="dxa"/>
          </w:tcPr>
          <w:p w14:paraId="29460EB4" w14:textId="0D4AD98B" w:rsidR="003A38FF" w:rsidRPr="00D0180E" w:rsidRDefault="003A38FF" w:rsidP="003A38FF">
            <w:pPr>
              <w:pStyle w:val="Texto"/>
              <w:spacing w:after="90"/>
              <w:ind w:firstLine="0"/>
              <w:rPr>
                <w:rFonts w:ascii="Verdana" w:hAnsi="Verdana"/>
                <w:sz w:val="16"/>
                <w:szCs w:val="16"/>
                <w:lang w:val="en-US"/>
              </w:rPr>
            </w:pPr>
            <w:r w:rsidRPr="00913574">
              <w:rPr>
                <w:rFonts w:ascii="Verdana" w:hAnsi="Verdana"/>
                <w:sz w:val="16"/>
                <w:szCs w:val="16"/>
                <w:lang w:val="en-US"/>
              </w:rPr>
              <w:t xml:space="preserve">The Secretary is responsible for granting </w:t>
            </w:r>
            <w:proofErr w:type="gramStart"/>
            <w:r w:rsidRPr="00913574">
              <w:rPr>
                <w:rFonts w:ascii="Verdana" w:hAnsi="Verdana"/>
                <w:sz w:val="16"/>
                <w:szCs w:val="16"/>
                <w:lang w:val="en-US"/>
              </w:rPr>
              <w:t>authorizations</w:t>
            </w:r>
            <w:proofErr w:type="gramEnd"/>
            <w:r w:rsidRPr="00913574">
              <w:rPr>
                <w:rFonts w:ascii="Verdana" w:hAnsi="Verdana"/>
                <w:sz w:val="16"/>
                <w:szCs w:val="16"/>
                <w:lang w:val="en-US"/>
              </w:rPr>
              <w:t xml:space="preserve"> for the import and export of electrical energy.</w:t>
            </w:r>
          </w:p>
        </w:tc>
      </w:tr>
      <w:tr w:rsidR="003A38FF" w:rsidRPr="00D83DA2" w14:paraId="19149DB5" w14:textId="7FAEE39B" w:rsidTr="00FB5DAD">
        <w:tc>
          <w:tcPr>
            <w:tcW w:w="4706" w:type="dxa"/>
          </w:tcPr>
          <w:p w14:paraId="1D928568" w14:textId="77777777" w:rsidR="003A38FF" w:rsidRPr="00D0180E" w:rsidRDefault="003A38FF" w:rsidP="003A38FF">
            <w:pPr>
              <w:pStyle w:val="Texto"/>
              <w:spacing w:after="90"/>
              <w:ind w:firstLine="0"/>
              <w:rPr>
                <w:rFonts w:ascii="Verdana" w:hAnsi="Verdana"/>
                <w:sz w:val="16"/>
                <w:szCs w:val="16"/>
              </w:rPr>
            </w:pPr>
            <w:r w:rsidRPr="00D0180E">
              <w:rPr>
                <w:rFonts w:ascii="Verdana" w:hAnsi="Verdana"/>
                <w:b/>
                <w:sz w:val="16"/>
                <w:szCs w:val="16"/>
              </w:rPr>
              <w:t>Artículo 19.</w:t>
            </w:r>
            <w:r w:rsidRPr="00D0180E">
              <w:rPr>
                <w:rFonts w:ascii="Verdana" w:hAnsi="Verdana"/>
                <w:sz w:val="16"/>
                <w:szCs w:val="16"/>
              </w:rPr>
              <w:t xml:space="preserve"> Los permisos y autorizaciones que, conforme a la Ley pueden otorgarse, son los siguientes:</w:t>
            </w:r>
          </w:p>
        </w:tc>
        <w:tc>
          <w:tcPr>
            <w:tcW w:w="4644" w:type="dxa"/>
          </w:tcPr>
          <w:p w14:paraId="735EB7CD" w14:textId="1BD6B3A4" w:rsidR="003A38FF" w:rsidRPr="00D0180E" w:rsidRDefault="003A38FF" w:rsidP="003A38FF">
            <w:pPr>
              <w:pStyle w:val="Texto"/>
              <w:spacing w:after="90"/>
              <w:ind w:firstLine="0"/>
              <w:rPr>
                <w:rFonts w:ascii="Verdana" w:hAnsi="Verdana"/>
                <w:b/>
                <w:sz w:val="16"/>
                <w:szCs w:val="16"/>
                <w:lang w:val="en-US"/>
              </w:rPr>
            </w:pPr>
            <w:r w:rsidRPr="00913574">
              <w:rPr>
                <w:rFonts w:ascii="Verdana" w:hAnsi="Verdana"/>
                <w:b/>
                <w:sz w:val="16"/>
                <w:szCs w:val="16"/>
                <w:lang w:val="en-US"/>
              </w:rPr>
              <w:t xml:space="preserve">Article 19. </w:t>
            </w:r>
            <w:r w:rsidRPr="00913574">
              <w:rPr>
                <w:rFonts w:ascii="Verdana" w:hAnsi="Verdana"/>
                <w:sz w:val="16"/>
                <w:szCs w:val="16"/>
                <w:lang w:val="en-US"/>
              </w:rPr>
              <w:t>The permits and authorizations that may be granted in accordance with the Law are the following:</w:t>
            </w:r>
          </w:p>
        </w:tc>
      </w:tr>
      <w:tr w:rsidR="003A38FF" w:rsidRPr="00D83DA2" w14:paraId="6EC96BAA" w14:textId="13BE357A" w:rsidTr="00FB5DAD">
        <w:tc>
          <w:tcPr>
            <w:tcW w:w="4706" w:type="dxa"/>
          </w:tcPr>
          <w:p w14:paraId="46F2E1B3" w14:textId="77777777" w:rsidR="003A38FF" w:rsidRPr="00D0180E" w:rsidRDefault="003A38FF" w:rsidP="003A38FF">
            <w:pPr>
              <w:pStyle w:val="Texto"/>
              <w:spacing w:after="90"/>
              <w:ind w:firstLine="0"/>
              <w:rPr>
                <w:rFonts w:ascii="Verdana" w:hAnsi="Verdana"/>
                <w:sz w:val="16"/>
                <w:szCs w:val="16"/>
              </w:rPr>
            </w:pPr>
            <w:r w:rsidRPr="00D0180E">
              <w:rPr>
                <w:rFonts w:ascii="Verdana" w:hAnsi="Verdana"/>
                <w:sz w:val="16"/>
                <w:szCs w:val="16"/>
              </w:rPr>
              <w:t>En el caso de la CNE:</w:t>
            </w:r>
          </w:p>
        </w:tc>
        <w:tc>
          <w:tcPr>
            <w:tcW w:w="4644" w:type="dxa"/>
          </w:tcPr>
          <w:p w14:paraId="0316427F" w14:textId="16B66D4D" w:rsidR="003A38FF" w:rsidRPr="00D0180E" w:rsidRDefault="003A38FF" w:rsidP="003A38FF">
            <w:pPr>
              <w:pStyle w:val="Texto"/>
              <w:spacing w:after="90"/>
              <w:ind w:firstLine="0"/>
              <w:rPr>
                <w:rFonts w:ascii="Verdana" w:hAnsi="Verdana"/>
                <w:sz w:val="16"/>
                <w:szCs w:val="16"/>
                <w:lang w:val="en-US"/>
              </w:rPr>
            </w:pPr>
            <w:r w:rsidRPr="00913574">
              <w:rPr>
                <w:rFonts w:ascii="Verdana" w:hAnsi="Verdana"/>
                <w:sz w:val="16"/>
                <w:szCs w:val="16"/>
                <w:lang w:val="en-US"/>
              </w:rPr>
              <w:t>In the case of the CNE:</w:t>
            </w:r>
          </w:p>
        </w:tc>
      </w:tr>
      <w:tr w:rsidR="003A38FF" w:rsidRPr="00D83DA2" w14:paraId="2E5D7FB5" w14:textId="0801A5F5" w:rsidTr="00FB5DAD">
        <w:tc>
          <w:tcPr>
            <w:tcW w:w="4706" w:type="dxa"/>
          </w:tcPr>
          <w:p w14:paraId="40343837" w14:textId="77777777" w:rsidR="003A38FF" w:rsidRPr="00D0180E" w:rsidRDefault="003A38FF" w:rsidP="003A38FF">
            <w:pPr>
              <w:pStyle w:val="Texto"/>
              <w:spacing w:after="90"/>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Permiso de generación de energía eléctrica para:</w:t>
            </w:r>
          </w:p>
        </w:tc>
        <w:tc>
          <w:tcPr>
            <w:tcW w:w="4644" w:type="dxa"/>
          </w:tcPr>
          <w:p w14:paraId="424854BD" w14:textId="6F8BEAD4" w:rsidR="003A38FF" w:rsidRPr="00D0180E" w:rsidRDefault="003A38FF" w:rsidP="003A38FF">
            <w:pPr>
              <w:pStyle w:val="Texto"/>
              <w:spacing w:after="90"/>
              <w:ind w:firstLine="0"/>
              <w:rPr>
                <w:rFonts w:ascii="Verdana" w:hAnsi="Verdana"/>
                <w:b/>
                <w:sz w:val="16"/>
                <w:szCs w:val="16"/>
                <w:lang w:val="en-US"/>
              </w:rPr>
            </w:pPr>
            <w:r w:rsidRPr="00913574">
              <w:rPr>
                <w:rFonts w:ascii="Verdana" w:hAnsi="Verdana"/>
                <w:b/>
                <w:sz w:val="16"/>
                <w:szCs w:val="16"/>
                <w:lang w:val="en-US"/>
              </w:rPr>
              <w:t>I</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Electricity</w:t>
            </w:r>
            <w:proofErr w:type="gramEnd"/>
            <w:r w:rsidRPr="00913574">
              <w:rPr>
                <w:rFonts w:ascii="Verdana" w:hAnsi="Verdana"/>
                <w:sz w:val="16"/>
                <w:szCs w:val="16"/>
                <w:lang w:val="en-US"/>
              </w:rPr>
              <w:t xml:space="preserve"> generation permit for:</w:t>
            </w:r>
          </w:p>
        </w:tc>
      </w:tr>
      <w:tr w:rsidR="003A38FF" w:rsidRPr="00D0180E" w14:paraId="12BD1395" w14:textId="6BE7B1FC" w:rsidTr="00FB5DAD">
        <w:tc>
          <w:tcPr>
            <w:tcW w:w="4706" w:type="dxa"/>
          </w:tcPr>
          <w:p w14:paraId="53F9018B" w14:textId="77777777" w:rsidR="003A38FF" w:rsidRPr="00D0180E" w:rsidRDefault="003A38FF" w:rsidP="003A38FF">
            <w:pPr>
              <w:pStyle w:val="Texto"/>
              <w:spacing w:after="90"/>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Autoconsumo, y</w:t>
            </w:r>
          </w:p>
        </w:tc>
        <w:tc>
          <w:tcPr>
            <w:tcW w:w="4644" w:type="dxa"/>
          </w:tcPr>
          <w:p w14:paraId="32A41193" w14:textId="65BCA845" w:rsidR="003A38FF" w:rsidRPr="0088363C" w:rsidRDefault="003A38FF" w:rsidP="003A38FF">
            <w:pPr>
              <w:pStyle w:val="Texto"/>
              <w:spacing w:after="90"/>
              <w:ind w:firstLine="0"/>
              <w:rPr>
                <w:rFonts w:ascii="Verdana" w:hAnsi="Verdana"/>
                <w:b/>
                <w:sz w:val="16"/>
                <w:szCs w:val="16"/>
                <w:lang w:val="en-US"/>
              </w:rPr>
            </w:pPr>
            <w:r w:rsidRPr="0088363C">
              <w:rPr>
                <w:rFonts w:ascii="Verdana" w:hAnsi="Verdana"/>
                <w:b/>
                <w:sz w:val="16"/>
                <w:szCs w:val="16"/>
                <w:lang w:val="en-US"/>
              </w:rPr>
              <w:t>a</w:t>
            </w:r>
            <w:proofErr w:type="gramStart"/>
            <w:r w:rsidRPr="0088363C">
              <w:rPr>
                <w:rFonts w:ascii="Verdana" w:hAnsi="Verdana"/>
                <w:b/>
                <w:sz w:val="16"/>
                <w:szCs w:val="16"/>
                <w:lang w:val="en-US"/>
              </w:rPr>
              <w:t xml:space="preserve">) </w:t>
            </w:r>
            <w:r w:rsidRPr="0088363C">
              <w:rPr>
                <w:rFonts w:ascii="Verdana" w:hAnsi="Verdana"/>
                <w:b/>
                <w:sz w:val="16"/>
                <w:szCs w:val="16"/>
                <w:lang w:val="en-US"/>
              </w:rPr>
              <w:tab/>
            </w:r>
            <w:r w:rsidRPr="0088363C">
              <w:rPr>
                <w:rFonts w:ascii="Verdana" w:hAnsi="Verdana"/>
                <w:sz w:val="16"/>
                <w:szCs w:val="16"/>
                <w:lang w:val="en-US"/>
              </w:rPr>
              <w:t>Self</w:t>
            </w:r>
            <w:proofErr w:type="gramEnd"/>
            <w:r w:rsidRPr="0088363C">
              <w:rPr>
                <w:rFonts w:ascii="Verdana" w:hAnsi="Verdana"/>
                <w:sz w:val="16"/>
                <w:szCs w:val="16"/>
                <w:lang w:val="en-US"/>
              </w:rPr>
              <w:t>-consumption, and</w:t>
            </w:r>
          </w:p>
        </w:tc>
      </w:tr>
      <w:tr w:rsidR="003A38FF" w:rsidRPr="00D83DA2" w14:paraId="230C715F" w14:textId="5B430626" w:rsidTr="00FB5DAD">
        <w:tc>
          <w:tcPr>
            <w:tcW w:w="4706" w:type="dxa"/>
          </w:tcPr>
          <w:p w14:paraId="7AA4E5AF" w14:textId="77777777" w:rsidR="003A38FF" w:rsidRPr="00D0180E" w:rsidRDefault="003A38FF" w:rsidP="003A38FF">
            <w:pPr>
              <w:pStyle w:val="Texto"/>
              <w:spacing w:after="90"/>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Generación para el Mercado Eléctrico Mayorista.</w:t>
            </w:r>
          </w:p>
        </w:tc>
        <w:tc>
          <w:tcPr>
            <w:tcW w:w="4644" w:type="dxa"/>
          </w:tcPr>
          <w:p w14:paraId="354FC02A" w14:textId="11905695" w:rsidR="003A38FF" w:rsidRPr="0088363C" w:rsidRDefault="003A38FF" w:rsidP="003A38FF">
            <w:pPr>
              <w:pStyle w:val="Texto"/>
              <w:spacing w:after="90"/>
              <w:ind w:firstLine="0"/>
              <w:rPr>
                <w:rFonts w:ascii="Verdana" w:hAnsi="Verdana"/>
                <w:b/>
                <w:sz w:val="16"/>
                <w:szCs w:val="16"/>
                <w:lang w:val="en-US"/>
              </w:rPr>
            </w:pPr>
            <w:r w:rsidRPr="0088363C">
              <w:rPr>
                <w:rFonts w:ascii="Verdana" w:hAnsi="Verdana"/>
                <w:b/>
                <w:sz w:val="16"/>
                <w:szCs w:val="16"/>
                <w:lang w:val="en-US"/>
              </w:rPr>
              <w:t>b</w:t>
            </w:r>
            <w:proofErr w:type="gramStart"/>
            <w:r w:rsidRPr="0088363C">
              <w:rPr>
                <w:rFonts w:ascii="Verdana" w:hAnsi="Verdana"/>
                <w:b/>
                <w:sz w:val="16"/>
                <w:szCs w:val="16"/>
                <w:lang w:val="en-US"/>
              </w:rPr>
              <w:t xml:space="preserve">) </w:t>
            </w:r>
            <w:r w:rsidRPr="0088363C">
              <w:rPr>
                <w:rFonts w:ascii="Verdana" w:hAnsi="Verdana"/>
                <w:b/>
                <w:sz w:val="16"/>
                <w:szCs w:val="16"/>
                <w:lang w:val="en-US"/>
              </w:rPr>
              <w:tab/>
            </w:r>
            <w:r w:rsidRPr="0088363C">
              <w:rPr>
                <w:rFonts w:ascii="Verdana" w:hAnsi="Verdana"/>
                <w:sz w:val="16"/>
                <w:szCs w:val="16"/>
                <w:lang w:val="en-US"/>
              </w:rPr>
              <w:t>Generation</w:t>
            </w:r>
            <w:proofErr w:type="gramEnd"/>
            <w:r w:rsidRPr="0088363C">
              <w:rPr>
                <w:rFonts w:ascii="Verdana" w:hAnsi="Verdana"/>
                <w:sz w:val="16"/>
                <w:szCs w:val="16"/>
                <w:lang w:val="en-US"/>
              </w:rPr>
              <w:t xml:space="preserve"> for the Wholesale Electricity Market.</w:t>
            </w:r>
          </w:p>
        </w:tc>
      </w:tr>
      <w:tr w:rsidR="003A38FF" w:rsidRPr="00D83DA2" w14:paraId="7B19945E" w14:textId="4F8BD55C" w:rsidTr="00FB5DAD">
        <w:tc>
          <w:tcPr>
            <w:tcW w:w="4706" w:type="dxa"/>
          </w:tcPr>
          <w:p w14:paraId="2F661AA9" w14:textId="77777777" w:rsidR="003A38FF" w:rsidRPr="00D0180E" w:rsidRDefault="003A38FF" w:rsidP="003A38FF">
            <w:pPr>
              <w:pStyle w:val="Texto"/>
              <w:spacing w:after="90"/>
              <w:ind w:firstLine="0"/>
              <w:rPr>
                <w:rFonts w:ascii="Verdana" w:hAnsi="Verdana"/>
                <w:sz w:val="16"/>
                <w:szCs w:val="16"/>
              </w:rPr>
            </w:pPr>
            <w:r w:rsidRPr="00D0180E">
              <w:rPr>
                <w:rFonts w:ascii="Verdana" w:hAnsi="Verdana"/>
                <w:sz w:val="16"/>
                <w:szCs w:val="16"/>
              </w:rPr>
              <w:lastRenderedPageBreak/>
              <w:t>Estos permisos pueden comprender la modalidad de cogeneración.</w:t>
            </w:r>
          </w:p>
        </w:tc>
        <w:tc>
          <w:tcPr>
            <w:tcW w:w="4644" w:type="dxa"/>
          </w:tcPr>
          <w:p w14:paraId="42851CEA" w14:textId="69563ABD" w:rsidR="003A38FF" w:rsidRPr="00D0180E" w:rsidRDefault="003A38FF" w:rsidP="003A38FF">
            <w:pPr>
              <w:pStyle w:val="Texto"/>
              <w:spacing w:after="90"/>
              <w:ind w:firstLine="0"/>
              <w:rPr>
                <w:rFonts w:ascii="Verdana" w:hAnsi="Verdana"/>
                <w:sz w:val="16"/>
                <w:szCs w:val="16"/>
                <w:lang w:val="en-US"/>
              </w:rPr>
            </w:pPr>
            <w:r w:rsidRPr="00913574">
              <w:rPr>
                <w:rFonts w:ascii="Verdana" w:hAnsi="Verdana"/>
                <w:sz w:val="16"/>
                <w:szCs w:val="16"/>
                <w:lang w:val="en-US"/>
              </w:rPr>
              <w:t>These permits may include cogeneration.</w:t>
            </w:r>
          </w:p>
        </w:tc>
      </w:tr>
      <w:tr w:rsidR="003A38FF" w:rsidRPr="00D83DA2" w14:paraId="6B63E4E9" w14:textId="07B30578" w:rsidTr="00FB5DAD">
        <w:tc>
          <w:tcPr>
            <w:tcW w:w="4706" w:type="dxa"/>
          </w:tcPr>
          <w:p w14:paraId="1F5DC539" w14:textId="77777777" w:rsidR="003A38FF" w:rsidRPr="00D0180E" w:rsidRDefault="003A38FF" w:rsidP="003A38FF">
            <w:pPr>
              <w:pStyle w:val="Texto"/>
              <w:spacing w:after="90"/>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Permiso de comercialización, en las siguientes modalidades:</w:t>
            </w:r>
          </w:p>
        </w:tc>
        <w:tc>
          <w:tcPr>
            <w:tcW w:w="4644" w:type="dxa"/>
          </w:tcPr>
          <w:p w14:paraId="79E57281" w14:textId="2C184FBC" w:rsidR="003A38FF" w:rsidRPr="00D0180E" w:rsidRDefault="003A38FF" w:rsidP="003A38FF">
            <w:pPr>
              <w:pStyle w:val="Texto"/>
              <w:spacing w:after="90"/>
              <w:ind w:firstLine="0"/>
              <w:rPr>
                <w:rFonts w:ascii="Verdana" w:hAnsi="Verdana"/>
                <w:b/>
                <w:sz w:val="16"/>
                <w:szCs w:val="16"/>
                <w:lang w:val="en-US"/>
              </w:rPr>
            </w:pPr>
            <w:r w:rsidRPr="00913574">
              <w:rPr>
                <w:rFonts w:ascii="Verdana" w:hAnsi="Verdana"/>
                <w:b/>
                <w:sz w:val="16"/>
                <w:szCs w:val="16"/>
                <w:lang w:val="en-US"/>
              </w:rPr>
              <w:t>II</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Marketing</w:t>
            </w:r>
            <w:proofErr w:type="gramEnd"/>
            <w:r w:rsidRPr="00913574">
              <w:rPr>
                <w:rFonts w:ascii="Verdana" w:hAnsi="Verdana"/>
                <w:sz w:val="16"/>
                <w:szCs w:val="16"/>
                <w:lang w:val="en-US"/>
              </w:rPr>
              <w:t xml:space="preserve"> permit, in the following modalities:</w:t>
            </w:r>
          </w:p>
        </w:tc>
      </w:tr>
      <w:tr w:rsidR="003A38FF" w:rsidRPr="00D0180E" w14:paraId="41FCE012" w14:textId="7266BB9E" w:rsidTr="00FB5DAD">
        <w:tc>
          <w:tcPr>
            <w:tcW w:w="4706" w:type="dxa"/>
          </w:tcPr>
          <w:p w14:paraId="7251AA3D" w14:textId="77777777" w:rsidR="003A38FF" w:rsidRPr="00D0180E" w:rsidRDefault="003A38FF" w:rsidP="003A38FF">
            <w:pPr>
              <w:pStyle w:val="Texto"/>
              <w:spacing w:after="90"/>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Suministradora de Servicios Básicos;</w:t>
            </w:r>
          </w:p>
        </w:tc>
        <w:tc>
          <w:tcPr>
            <w:tcW w:w="4644" w:type="dxa"/>
          </w:tcPr>
          <w:p w14:paraId="6A3886DF" w14:textId="3BB7A86D" w:rsidR="003A38FF" w:rsidRPr="0088363C" w:rsidRDefault="003A38FF" w:rsidP="003A38FF">
            <w:pPr>
              <w:pStyle w:val="Texto"/>
              <w:spacing w:after="90"/>
              <w:ind w:firstLine="0"/>
              <w:rPr>
                <w:rFonts w:ascii="Verdana" w:hAnsi="Verdana"/>
                <w:b/>
                <w:sz w:val="16"/>
                <w:szCs w:val="16"/>
                <w:lang w:val="en-US"/>
              </w:rPr>
            </w:pPr>
            <w:r w:rsidRPr="0088363C">
              <w:rPr>
                <w:rFonts w:ascii="Verdana" w:hAnsi="Verdana"/>
                <w:b/>
                <w:sz w:val="16"/>
                <w:szCs w:val="16"/>
                <w:lang w:val="en-US"/>
              </w:rPr>
              <w:t>a</w:t>
            </w:r>
            <w:proofErr w:type="gramStart"/>
            <w:r w:rsidRPr="0088363C">
              <w:rPr>
                <w:rFonts w:ascii="Verdana" w:hAnsi="Verdana"/>
                <w:b/>
                <w:sz w:val="16"/>
                <w:szCs w:val="16"/>
                <w:lang w:val="en-US"/>
              </w:rPr>
              <w:t xml:space="preserve">) </w:t>
            </w:r>
            <w:r w:rsidRPr="0088363C">
              <w:rPr>
                <w:rFonts w:ascii="Verdana" w:hAnsi="Verdana"/>
                <w:b/>
                <w:sz w:val="16"/>
                <w:szCs w:val="16"/>
                <w:lang w:val="en-US"/>
              </w:rPr>
              <w:tab/>
            </w:r>
            <w:r w:rsidRPr="0088363C">
              <w:rPr>
                <w:rFonts w:ascii="Verdana" w:hAnsi="Verdana"/>
                <w:sz w:val="16"/>
                <w:szCs w:val="16"/>
                <w:lang w:val="en-US"/>
              </w:rPr>
              <w:t>Basic</w:t>
            </w:r>
            <w:proofErr w:type="gramEnd"/>
            <w:r w:rsidRPr="0088363C">
              <w:rPr>
                <w:rFonts w:ascii="Verdana" w:hAnsi="Verdana"/>
                <w:sz w:val="16"/>
                <w:szCs w:val="16"/>
                <w:lang w:val="en-US"/>
              </w:rPr>
              <w:t xml:space="preserve"> Services Provider;</w:t>
            </w:r>
          </w:p>
        </w:tc>
      </w:tr>
      <w:tr w:rsidR="003A38FF" w:rsidRPr="00D83DA2" w14:paraId="5CC335F2" w14:textId="159AF733" w:rsidTr="00FB5DAD">
        <w:tc>
          <w:tcPr>
            <w:tcW w:w="4706" w:type="dxa"/>
          </w:tcPr>
          <w:p w14:paraId="1D2CDA66" w14:textId="77777777" w:rsidR="003A38FF" w:rsidRPr="00D0180E" w:rsidRDefault="003A38FF" w:rsidP="003A38FF">
            <w:pPr>
              <w:pStyle w:val="Texto"/>
              <w:spacing w:after="90"/>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Suministradora de Último Recurso;</w:t>
            </w:r>
          </w:p>
        </w:tc>
        <w:tc>
          <w:tcPr>
            <w:tcW w:w="4644" w:type="dxa"/>
          </w:tcPr>
          <w:p w14:paraId="750A1F5D" w14:textId="0FC5423B" w:rsidR="003A38FF" w:rsidRPr="0088363C" w:rsidRDefault="003A38FF" w:rsidP="003A38FF">
            <w:pPr>
              <w:pStyle w:val="Texto"/>
              <w:spacing w:after="90"/>
              <w:ind w:firstLine="0"/>
              <w:rPr>
                <w:rFonts w:ascii="Verdana" w:hAnsi="Verdana"/>
                <w:b/>
                <w:sz w:val="16"/>
                <w:szCs w:val="16"/>
                <w:lang w:val="en-US"/>
              </w:rPr>
            </w:pPr>
            <w:r w:rsidRPr="0088363C">
              <w:rPr>
                <w:rFonts w:ascii="Verdana" w:hAnsi="Verdana"/>
                <w:b/>
                <w:sz w:val="16"/>
                <w:szCs w:val="16"/>
                <w:lang w:val="en-US"/>
              </w:rPr>
              <w:t>b</w:t>
            </w:r>
            <w:proofErr w:type="gramStart"/>
            <w:r w:rsidRPr="0088363C">
              <w:rPr>
                <w:rFonts w:ascii="Verdana" w:hAnsi="Verdana"/>
                <w:b/>
                <w:sz w:val="16"/>
                <w:szCs w:val="16"/>
                <w:lang w:val="en-US"/>
              </w:rPr>
              <w:t xml:space="preserve">) </w:t>
            </w:r>
            <w:r w:rsidRPr="0088363C">
              <w:rPr>
                <w:rFonts w:ascii="Verdana" w:hAnsi="Verdana"/>
                <w:b/>
                <w:sz w:val="16"/>
                <w:szCs w:val="16"/>
                <w:lang w:val="en-US"/>
              </w:rPr>
              <w:tab/>
            </w:r>
            <w:r w:rsidRPr="0088363C">
              <w:rPr>
                <w:rFonts w:ascii="Verdana" w:hAnsi="Verdana"/>
                <w:sz w:val="16"/>
                <w:szCs w:val="16"/>
                <w:lang w:val="en-US"/>
              </w:rPr>
              <w:t>Supplier</w:t>
            </w:r>
            <w:proofErr w:type="gramEnd"/>
            <w:r w:rsidRPr="0088363C">
              <w:rPr>
                <w:rFonts w:ascii="Verdana" w:hAnsi="Verdana"/>
                <w:sz w:val="16"/>
                <w:szCs w:val="16"/>
                <w:lang w:val="en-US"/>
              </w:rPr>
              <w:t xml:space="preserve"> of Last Resort;</w:t>
            </w:r>
          </w:p>
        </w:tc>
      </w:tr>
      <w:tr w:rsidR="003A38FF" w:rsidRPr="00D83DA2" w14:paraId="492170D5" w14:textId="206229B3" w:rsidTr="00FB5DAD">
        <w:tc>
          <w:tcPr>
            <w:tcW w:w="4706" w:type="dxa"/>
          </w:tcPr>
          <w:p w14:paraId="47F97C46" w14:textId="77777777" w:rsidR="003A38FF" w:rsidRPr="00D0180E" w:rsidRDefault="003A38FF" w:rsidP="003A38FF">
            <w:pPr>
              <w:pStyle w:val="Texto"/>
              <w:spacing w:after="90"/>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Suministradora de Servicios Calificados, y</w:t>
            </w:r>
          </w:p>
        </w:tc>
        <w:tc>
          <w:tcPr>
            <w:tcW w:w="4644" w:type="dxa"/>
          </w:tcPr>
          <w:p w14:paraId="70E675B1" w14:textId="1D8A82BD" w:rsidR="003A38FF" w:rsidRPr="0088363C" w:rsidRDefault="003A38FF" w:rsidP="003A38FF">
            <w:pPr>
              <w:pStyle w:val="Texto"/>
              <w:spacing w:after="90"/>
              <w:ind w:firstLine="0"/>
              <w:rPr>
                <w:rFonts w:ascii="Verdana" w:hAnsi="Verdana"/>
                <w:b/>
                <w:sz w:val="16"/>
                <w:szCs w:val="16"/>
                <w:lang w:val="en-US"/>
              </w:rPr>
            </w:pPr>
            <w:r w:rsidRPr="0088363C">
              <w:rPr>
                <w:rFonts w:ascii="Verdana" w:hAnsi="Verdana"/>
                <w:b/>
                <w:sz w:val="16"/>
                <w:szCs w:val="16"/>
                <w:lang w:val="en-US"/>
              </w:rPr>
              <w:t>c</w:t>
            </w:r>
            <w:proofErr w:type="gramStart"/>
            <w:r w:rsidRPr="0088363C">
              <w:rPr>
                <w:rFonts w:ascii="Verdana" w:hAnsi="Verdana"/>
                <w:b/>
                <w:sz w:val="16"/>
                <w:szCs w:val="16"/>
                <w:lang w:val="en-US"/>
              </w:rPr>
              <w:t xml:space="preserve">) </w:t>
            </w:r>
            <w:r w:rsidRPr="0088363C">
              <w:rPr>
                <w:rFonts w:ascii="Verdana" w:hAnsi="Verdana"/>
                <w:b/>
                <w:sz w:val="16"/>
                <w:szCs w:val="16"/>
                <w:lang w:val="en-US"/>
              </w:rPr>
              <w:tab/>
            </w:r>
            <w:r w:rsidRPr="0088363C">
              <w:rPr>
                <w:rFonts w:ascii="Verdana" w:hAnsi="Verdana"/>
                <w:sz w:val="16"/>
                <w:szCs w:val="16"/>
                <w:lang w:val="en-US"/>
              </w:rPr>
              <w:t>Qualified</w:t>
            </w:r>
            <w:proofErr w:type="gramEnd"/>
            <w:r w:rsidRPr="0088363C">
              <w:rPr>
                <w:rFonts w:ascii="Verdana" w:hAnsi="Verdana"/>
                <w:sz w:val="16"/>
                <w:szCs w:val="16"/>
                <w:lang w:val="en-US"/>
              </w:rPr>
              <w:t xml:space="preserve"> Service Provider, and</w:t>
            </w:r>
          </w:p>
        </w:tc>
      </w:tr>
      <w:tr w:rsidR="003A38FF" w:rsidRPr="00D0180E" w14:paraId="48994D42" w14:textId="543DF3F2" w:rsidTr="00FB5DAD">
        <w:tc>
          <w:tcPr>
            <w:tcW w:w="4706" w:type="dxa"/>
          </w:tcPr>
          <w:p w14:paraId="22F26855"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Permiso de almacenamiento de energía eléctrica.</w:t>
            </w:r>
          </w:p>
        </w:tc>
        <w:tc>
          <w:tcPr>
            <w:tcW w:w="4644" w:type="dxa"/>
          </w:tcPr>
          <w:p w14:paraId="67C47370" w14:textId="65C65411" w:rsidR="003A38FF" w:rsidRPr="0088363C" w:rsidRDefault="003A38FF" w:rsidP="003A38FF">
            <w:pPr>
              <w:pStyle w:val="Texto"/>
              <w:ind w:firstLine="0"/>
              <w:rPr>
                <w:rFonts w:ascii="Verdana" w:hAnsi="Verdana"/>
                <w:b/>
                <w:sz w:val="16"/>
                <w:szCs w:val="16"/>
                <w:lang w:val="en-US"/>
              </w:rPr>
            </w:pPr>
            <w:r w:rsidRPr="0088363C">
              <w:rPr>
                <w:rFonts w:ascii="Verdana" w:hAnsi="Verdana"/>
                <w:b/>
                <w:sz w:val="16"/>
                <w:szCs w:val="16"/>
                <w:lang w:val="en-US"/>
              </w:rPr>
              <w:t>III</w:t>
            </w:r>
            <w:proofErr w:type="gramStart"/>
            <w:r w:rsidRPr="0088363C">
              <w:rPr>
                <w:rFonts w:ascii="Verdana" w:hAnsi="Verdana"/>
                <w:b/>
                <w:sz w:val="16"/>
                <w:szCs w:val="16"/>
                <w:lang w:val="en-US"/>
              </w:rPr>
              <w:t xml:space="preserve">. </w:t>
            </w:r>
            <w:r w:rsidRPr="0088363C">
              <w:rPr>
                <w:rFonts w:ascii="Verdana" w:hAnsi="Verdana"/>
                <w:b/>
                <w:sz w:val="16"/>
                <w:szCs w:val="16"/>
                <w:lang w:val="en-US"/>
              </w:rPr>
              <w:tab/>
            </w:r>
            <w:r w:rsidRPr="0088363C">
              <w:rPr>
                <w:rFonts w:ascii="Verdana" w:hAnsi="Verdana"/>
                <w:sz w:val="16"/>
                <w:szCs w:val="16"/>
                <w:lang w:val="en-US"/>
              </w:rPr>
              <w:t>Electricity</w:t>
            </w:r>
            <w:proofErr w:type="gramEnd"/>
            <w:r w:rsidRPr="0088363C">
              <w:rPr>
                <w:rFonts w:ascii="Verdana" w:hAnsi="Verdana"/>
                <w:sz w:val="16"/>
                <w:szCs w:val="16"/>
                <w:lang w:val="en-US"/>
              </w:rPr>
              <w:t xml:space="preserve"> storage permit.</w:t>
            </w:r>
          </w:p>
        </w:tc>
      </w:tr>
      <w:tr w:rsidR="003A38FF" w:rsidRPr="00D83DA2" w14:paraId="765F62D1" w14:textId="768D786F" w:rsidTr="00FB5DAD">
        <w:tc>
          <w:tcPr>
            <w:tcW w:w="4706" w:type="dxa"/>
          </w:tcPr>
          <w:p w14:paraId="3C35C8A6"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sz w:val="16"/>
                <w:szCs w:val="16"/>
              </w:rPr>
              <w:t>En el caso de la Secretaría, son las autorizaciones siguientes:</w:t>
            </w:r>
          </w:p>
        </w:tc>
        <w:tc>
          <w:tcPr>
            <w:tcW w:w="4644" w:type="dxa"/>
          </w:tcPr>
          <w:p w14:paraId="2C5237FB" w14:textId="0B5D775F" w:rsidR="003A38FF" w:rsidRPr="0088363C" w:rsidRDefault="003A38FF" w:rsidP="003A38FF">
            <w:pPr>
              <w:pStyle w:val="Texto"/>
              <w:spacing w:line="220" w:lineRule="exact"/>
              <w:ind w:firstLine="0"/>
              <w:rPr>
                <w:rFonts w:ascii="Verdana" w:hAnsi="Verdana"/>
                <w:sz w:val="16"/>
                <w:szCs w:val="16"/>
                <w:lang w:val="en-US"/>
              </w:rPr>
            </w:pPr>
            <w:r w:rsidRPr="0088363C">
              <w:rPr>
                <w:rFonts w:ascii="Verdana" w:hAnsi="Verdana"/>
                <w:sz w:val="16"/>
                <w:szCs w:val="16"/>
                <w:lang w:val="en-US"/>
              </w:rPr>
              <w:t>In the case of the Secretary, the following authorizations are granted:</w:t>
            </w:r>
          </w:p>
        </w:tc>
      </w:tr>
      <w:tr w:rsidR="003A38FF" w:rsidRPr="00D0180E" w14:paraId="0542A605" w14:textId="693A632F" w:rsidTr="00FB5DAD">
        <w:tc>
          <w:tcPr>
            <w:tcW w:w="4706" w:type="dxa"/>
          </w:tcPr>
          <w:p w14:paraId="445ED5F3"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Importación;</w:t>
            </w:r>
          </w:p>
        </w:tc>
        <w:tc>
          <w:tcPr>
            <w:tcW w:w="4644" w:type="dxa"/>
          </w:tcPr>
          <w:p w14:paraId="7FFBFB74" w14:textId="3A1DC645" w:rsidR="003A38FF" w:rsidRPr="0088363C" w:rsidRDefault="003A38FF" w:rsidP="003A38FF">
            <w:pPr>
              <w:pStyle w:val="Texto"/>
              <w:spacing w:line="220" w:lineRule="exact"/>
              <w:ind w:firstLine="0"/>
              <w:rPr>
                <w:rFonts w:ascii="Verdana" w:hAnsi="Verdana"/>
                <w:b/>
                <w:sz w:val="16"/>
                <w:szCs w:val="16"/>
                <w:lang w:val="en-US"/>
              </w:rPr>
            </w:pPr>
            <w:r w:rsidRPr="0088363C">
              <w:rPr>
                <w:rFonts w:ascii="Verdana" w:hAnsi="Verdana"/>
                <w:b/>
                <w:sz w:val="16"/>
                <w:szCs w:val="16"/>
                <w:lang w:val="en-US"/>
              </w:rPr>
              <w:t xml:space="preserve">I. </w:t>
            </w:r>
            <w:r w:rsidRPr="0088363C">
              <w:rPr>
                <w:rFonts w:ascii="Verdana" w:hAnsi="Verdana"/>
                <w:b/>
                <w:sz w:val="16"/>
                <w:szCs w:val="16"/>
                <w:lang w:val="en-US"/>
              </w:rPr>
              <w:tab/>
            </w:r>
            <w:r w:rsidRPr="0088363C">
              <w:rPr>
                <w:rFonts w:ascii="Verdana" w:hAnsi="Verdana"/>
                <w:sz w:val="16"/>
                <w:szCs w:val="16"/>
                <w:lang w:val="en-US"/>
              </w:rPr>
              <w:t>Importation;</w:t>
            </w:r>
          </w:p>
        </w:tc>
      </w:tr>
      <w:tr w:rsidR="003A38FF" w:rsidRPr="00D0180E" w14:paraId="1DBE4E1E" w14:textId="00EA9B3D" w:rsidTr="00FB5DAD">
        <w:tc>
          <w:tcPr>
            <w:tcW w:w="4706" w:type="dxa"/>
          </w:tcPr>
          <w:p w14:paraId="68E7C004"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Exportación, y</w:t>
            </w:r>
          </w:p>
        </w:tc>
        <w:tc>
          <w:tcPr>
            <w:tcW w:w="4644" w:type="dxa"/>
          </w:tcPr>
          <w:p w14:paraId="43521DA5" w14:textId="234C2A39" w:rsidR="003A38FF" w:rsidRPr="0088363C" w:rsidRDefault="003A38FF" w:rsidP="003A38FF">
            <w:pPr>
              <w:pStyle w:val="Texto"/>
              <w:spacing w:line="220" w:lineRule="exact"/>
              <w:ind w:firstLine="0"/>
              <w:rPr>
                <w:rFonts w:ascii="Verdana" w:hAnsi="Verdana"/>
                <w:b/>
                <w:sz w:val="16"/>
                <w:szCs w:val="16"/>
                <w:lang w:val="en-US"/>
              </w:rPr>
            </w:pPr>
            <w:r w:rsidRPr="0088363C">
              <w:rPr>
                <w:rFonts w:ascii="Verdana" w:hAnsi="Verdana"/>
                <w:b/>
                <w:sz w:val="16"/>
                <w:szCs w:val="16"/>
                <w:lang w:val="en-US"/>
              </w:rPr>
              <w:t>II</w:t>
            </w:r>
            <w:proofErr w:type="gramStart"/>
            <w:r w:rsidRPr="0088363C">
              <w:rPr>
                <w:rFonts w:ascii="Verdana" w:hAnsi="Verdana"/>
                <w:b/>
                <w:sz w:val="16"/>
                <w:szCs w:val="16"/>
                <w:lang w:val="en-US"/>
              </w:rPr>
              <w:t xml:space="preserve">. </w:t>
            </w:r>
            <w:r w:rsidRPr="0088363C">
              <w:rPr>
                <w:rFonts w:ascii="Verdana" w:hAnsi="Verdana"/>
                <w:b/>
                <w:sz w:val="16"/>
                <w:szCs w:val="16"/>
                <w:lang w:val="en-US"/>
              </w:rPr>
              <w:tab/>
            </w:r>
            <w:r w:rsidRPr="0088363C">
              <w:rPr>
                <w:rFonts w:ascii="Verdana" w:hAnsi="Verdana"/>
                <w:sz w:val="16"/>
                <w:szCs w:val="16"/>
                <w:lang w:val="en-US"/>
              </w:rPr>
              <w:t>Export</w:t>
            </w:r>
            <w:proofErr w:type="gramEnd"/>
            <w:r w:rsidRPr="0088363C">
              <w:rPr>
                <w:rFonts w:ascii="Verdana" w:hAnsi="Verdana"/>
                <w:sz w:val="16"/>
                <w:szCs w:val="16"/>
                <w:lang w:val="en-US"/>
              </w:rPr>
              <w:t>, and</w:t>
            </w:r>
          </w:p>
        </w:tc>
      </w:tr>
      <w:tr w:rsidR="003A38FF" w:rsidRPr="00D83DA2" w14:paraId="0E76469F" w14:textId="40481C68" w:rsidTr="00FB5DAD">
        <w:tc>
          <w:tcPr>
            <w:tcW w:w="4706" w:type="dxa"/>
          </w:tcPr>
          <w:p w14:paraId="28C7A79F"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Manifestación de Impacto Social del Sector Energético.</w:t>
            </w:r>
          </w:p>
        </w:tc>
        <w:tc>
          <w:tcPr>
            <w:tcW w:w="4644" w:type="dxa"/>
          </w:tcPr>
          <w:p w14:paraId="2976A271" w14:textId="3BFC886D" w:rsidR="003A38FF" w:rsidRPr="0088363C" w:rsidRDefault="003A38FF" w:rsidP="003A38FF">
            <w:pPr>
              <w:pStyle w:val="Texto"/>
              <w:spacing w:line="220" w:lineRule="exact"/>
              <w:ind w:firstLine="0"/>
              <w:rPr>
                <w:rFonts w:ascii="Verdana" w:hAnsi="Verdana"/>
                <w:b/>
                <w:sz w:val="16"/>
                <w:szCs w:val="16"/>
                <w:lang w:val="en-US"/>
              </w:rPr>
            </w:pPr>
            <w:r w:rsidRPr="0088363C">
              <w:rPr>
                <w:rFonts w:ascii="Verdana" w:hAnsi="Verdana"/>
                <w:b/>
                <w:sz w:val="16"/>
                <w:szCs w:val="16"/>
                <w:lang w:val="en-US"/>
              </w:rPr>
              <w:t>III</w:t>
            </w:r>
            <w:proofErr w:type="gramStart"/>
            <w:r w:rsidRPr="0088363C">
              <w:rPr>
                <w:rFonts w:ascii="Verdana" w:hAnsi="Verdana"/>
                <w:b/>
                <w:sz w:val="16"/>
                <w:szCs w:val="16"/>
                <w:lang w:val="en-US"/>
              </w:rPr>
              <w:t xml:space="preserve">. </w:t>
            </w:r>
            <w:r w:rsidRPr="0088363C">
              <w:rPr>
                <w:rFonts w:ascii="Verdana" w:hAnsi="Verdana"/>
                <w:b/>
                <w:sz w:val="16"/>
                <w:szCs w:val="16"/>
                <w:lang w:val="en-US"/>
              </w:rPr>
              <w:tab/>
            </w:r>
            <w:r w:rsidRPr="0088363C">
              <w:rPr>
                <w:rFonts w:ascii="Verdana" w:hAnsi="Verdana"/>
                <w:sz w:val="16"/>
                <w:szCs w:val="16"/>
                <w:lang w:val="en-US"/>
              </w:rPr>
              <w:t>Social</w:t>
            </w:r>
            <w:proofErr w:type="gramEnd"/>
            <w:r w:rsidRPr="0088363C">
              <w:rPr>
                <w:rFonts w:ascii="Verdana" w:hAnsi="Verdana"/>
                <w:sz w:val="16"/>
                <w:szCs w:val="16"/>
                <w:lang w:val="en-US"/>
              </w:rPr>
              <w:t xml:space="preserve"> Impact Statement of the Energy Sector.</w:t>
            </w:r>
          </w:p>
        </w:tc>
      </w:tr>
      <w:tr w:rsidR="003A38FF" w:rsidRPr="00D83DA2" w14:paraId="4B0C8A07" w14:textId="474288AA" w:rsidTr="00FB5DAD">
        <w:tc>
          <w:tcPr>
            <w:tcW w:w="4706" w:type="dxa"/>
          </w:tcPr>
          <w:p w14:paraId="6A7FFCA7"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sz w:val="16"/>
                <w:szCs w:val="16"/>
              </w:rPr>
              <w:t>El procedimiento, la información y los plazos de vigencia, bajo los cuales se deben otorgar los permisos y autorizaciones, emitidos por la Secretaría o la CNE, en el ámbito de su competencia, deben establecerse en las disposiciones administrativas de carácter general que en materia de permisos o autorizaciones emitan, de conformidad con sus atribuciones, salvo por lo que respecta a las autorizaciones de las Manifestaciones de Impacto Social del Sector Energético, en cuyo caso, se debe estar conforme a lo previsto en las disposiciones administrativas en materia de impacto social.</w:t>
            </w:r>
          </w:p>
        </w:tc>
        <w:tc>
          <w:tcPr>
            <w:tcW w:w="4644" w:type="dxa"/>
          </w:tcPr>
          <w:p w14:paraId="5E81C3C3" w14:textId="62F9D482" w:rsidR="003A38FF" w:rsidRPr="00D0180E" w:rsidRDefault="003A38FF" w:rsidP="003A38FF">
            <w:pPr>
              <w:pStyle w:val="Texto"/>
              <w:spacing w:line="220" w:lineRule="exact"/>
              <w:ind w:firstLine="0"/>
              <w:rPr>
                <w:rFonts w:ascii="Verdana" w:hAnsi="Verdana"/>
                <w:sz w:val="16"/>
                <w:szCs w:val="16"/>
                <w:lang w:val="en-US"/>
              </w:rPr>
            </w:pPr>
            <w:r w:rsidRPr="00913574">
              <w:rPr>
                <w:rFonts w:ascii="Verdana" w:hAnsi="Verdana"/>
                <w:sz w:val="16"/>
                <w:szCs w:val="16"/>
                <w:lang w:val="en-US"/>
              </w:rPr>
              <w:t xml:space="preserve">The procedure, information and validity periods under which permits and authorizations issued by the Secretary or the CNE, within their </w:t>
            </w:r>
            <w:r>
              <w:rPr>
                <w:rFonts w:ascii="Verdana" w:hAnsi="Verdana"/>
                <w:sz w:val="16"/>
                <w:szCs w:val="16"/>
                <w:lang w:val="en-US"/>
              </w:rPr>
              <w:t>scope of authority</w:t>
            </w:r>
            <w:r w:rsidRPr="00913574">
              <w:rPr>
                <w:rFonts w:ascii="Verdana" w:hAnsi="Verdana"/>
                <w:sz w:val="16"/>
                <w:szCs w:val="16"/>
                <w:lang w:val="en-US"/>
              </w:rPr>
              <w:t>, must be granted must be established in the general administrative provisions on permits or authorizations issued, in accordance with their powers, except for authorizations for Social Impact Statements in the energy sector, in which case, they must comply with the provisions of the administrative provisions on social impact.</w:t>
            </w:r>
          </w:p>
        </w:tc>
      </w:tr>
      <w:tr w:rsidR="003A38FF" w:rsidRPr="00D83DA2" w14:paraId="260EB1DE" w14:textId="33400029" w:rsidTr="00FB5DAD">
        <w:tc>
          <w:tcPr>
            <w:tcW w:w="4706" w:type="dxa"/>
          </w:tcPr>
          <w:p w14:paraId="3B1815F2"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Artículo 20.</w:t>
            </w:r>
            <w:r w:rsidRPr="00D0180E">
              <w:rPr>
                <w:rFonts w:ascii="Verdana" w:hAnsi="Verdana"/>
                <w:sz w:val="16"/>
                <w:szCs w:val="16"/>
              </w:rPr>
              <w:t xml:space="preserve"> Las Generadoras asumen, en todo momento, los riesgos derivados de cualquier circunstancia que pueda impedir, retrasar o modificar las condiciones de operación o funcionamiento de la Central Eléctrica y la disponibilidad de energía eléctrica, salvo aquellos que constituyan un evento fortuito o causa de fuerza mayor.</w:t>
            </w:r>
          </w:p>
        </w:tc>
        <w:tc>
          <w:tcPr>
            <w:tcW w:w="4644" w:type="dxa"/>
          </w:tcPr>
          <w:p w14:paraId="3952E316" w14:textId="1611F31C"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 xml:space="preserve">Article 20. </w:t>
            </w:r>
            <w:r w:rsidRPr="00913574">
              <w:rPr>
                <w:rFonts w:ascii="Verdana" w:hAnsi="Verdana"/>
                <w:sz w:val="16"/>
                <w:szCs w:val="16"/>
                <w:lang w:val="en-US"/>
              </w:rPr>
              <w:t xml:space="preserve">The Generators assume, </w:t>
            </w:r>
            <w:proofErr w:type="gramStart"/>
            <w:r w:rsidRPr="00913574">
              <w:rPr>
                <w:rFonts w:ascii="Verdana" w:hAnsi="Verdana"/>
                <w:sz w:val="16"/>
                <w:szCs w:val="16"/>
                <w:lang w:val="en-US"/>
              </w:rPr>
              <w:t>at all times</w:t>
            </w:r>
            <w:proofErr w:type="gramEnd"/>
            <w:r w:rsidRPr="00913574">
              <w:rPr>
                <w:rFonts w:ascii="Verdana" w:hAnsi="Verdana"/>
                <w:sz w:val="16"/>
                <w:szCs w:val="16"/>
                <w:lang w:val="en-US"/>
              </w:rPr>
              <w:t>, the risks arising from any circumstance that may impede, delay or modify the operating conditions or functioning of the power plant and the availability of electrical energy, except for those that constitute a fortuitous event or cause of force majeure.</w:t>
            </w:r>
          </w:p>
        </w:tc>
      </w:tr>
      <w:tr w:rsidR="003A38FF" w:rsidRPr="00D83DA2" w14:paraId="19ECAA38" w14:textId="3BDE93B1" w:rsidTr="00FB5DAD">
        <w:tc>
          <w:tcPr>
            <w:tcW w:w="4706" w:type="dxa"/>
          </w:tcPr>
          <w:p w14:paraId="1CCA5A08"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Artículo 21.</w:t>
            </w:r>
            <w:r w:rsidRPr="00D0180E">
              <w:rPr>
                <w:rFonts w:ascii="Verdana" w:hAnsi="Verdana"/>
                <w:sz w:val="16"/>
                <w:szCs w:val="16"/>
              </w:rPr>
              <w:t xml:space="preserve"> Las disposiciones administrativas de carácter general en las que la Secretaría, en coordinación con la CNE, establece las condiciones generales mediante las cuales se deben desarrollar las actividades del Suministro Eléctrico, deben incluir las modalidades de Suministro Básico, Suministro Calificado y Suministro de Último Recurso, en términos del artículo 65 de la Ley y conforme a lo previsto en el presente reglamento.</w:t>
            </w:r>
          </w:p>
        </w:tc>
        <w:tc>
          <w:tcPr>
            <w:tcW w:w="4644" w:type="dxa"/>
          </w:tcPr>
          <w:p w14:paraId="64D4B8D4" w14:textId="02DA08F5"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 xml:space="preserve">Article 21. </w:t>
            </w:r>
            <w:r w:rsidRPr="00913574">
              <w:rPr>
                <w:rFonts w:ascii="Verdana" w:hAnsi="Verdana"/>
                <w:sz w:val="16"/>
                <w:szCs w:val="16"/>
                <w:lang w:val="en-US"/>
              </w:rPr>
              <w:t>The general administrative provisions in which the Secretary, in coordination with the CNE, establishes the general conditions under which the electricity supply activities must be developed, must include the modalities of basic supply, qualified supply and last resort supply, in terms of article 65 of the Law and in accordance with the provisions of this regulation.</w:t>
            </w:r>
          </w:p>
        </w:tc>
      </w:tr>
      <w:tr w:rsidR="003A38FF" w:rsidRPr="00D83DA2" w14:paraId="7DACFDCB" w14:textId="4FC37A73" w:rsidTr="00FB5DAD">
        <w:tc>
          <w:tcPr>
            <w:tcW w:w="4706" w:type="dxa"/>
          </w:tcPr>
          <w:p w14:paraId="274ADA7F"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Artículo 22.</w:t>
            </w:r>
            <w:r w:rsidRPr="00D0180E">
              <w:rPr>
                <w:rFonts w:ascii="Verdana" w:hAnsi="Verdana"/>
                <w:sz w:val="16"/>
                <w:szCs w:val="16"/>
              </w:rPr>
              <w:t xml:space="preserve"> La importación y exportación de los productos a que se refiere el artículo 112, fracción IV de la Ley, puede llevarse a cabo previa autorización de la Secretaría a las Generadoras que cuenten con permiso de generación, Suministradoras con permiso de comercialización, ya sea modalidad de Servicios Básicos, Calificados o de Último Recurso, así como por las Comercializadoras no Suministradoras y los Usuarios Calificados Participantes del Mercado.</w:t>
            </w:r>
          </w:p>
        </w:tc>
        <w:tc>
          <w:tcPr>
            <w:tcW w:w="4644" w:type="dxa"/>
          </w:tcPr>
          <w:p w14:paraId="193D7B07" w14:textId="478DB336"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 xml:space="preserve">Article 22. </w:t>
            </w:r>
            <w:r w:rsidRPr="00913574">
              <w:rPr>
                <w:rFonts w:ascii="Verdana" w:hAnsi="Verdana"/>
                <w:sz w:val="16"/>
                <w:szCs w:val="16"/>
                <w:lang w:val="en-US"/>
              </w:rPr>
              <w:t xml:space="preserve">The import and export of the products referred to in Article 112, Section IV of the Law, may be carried out with prior authorization from the Secretary to </w:t>
            </w:r>
            <w:r>
              <w:rPr>
                <w:rFonts w:ascii="Verdana" w:hAnsi="Verdana"/>
                <w:sz w:val="16"/>
                <w:szCs w:val="16"/>
                <w:lang w:val="en-US"/>
              </w:rPr>
              <w:t>g</w:t>
            </w:r>
            <w:r w:rsidRPr="00913574">
              <w:rPr>
                <w:rFonts w:ascii="Verdana" w:hAnsi="Verdana"/>
                <w:sz w:val="16"/>
                <w:szCs w:val="16"/>
                <w:lang w:val="en-US"/>
              </w:rPr>
              <w:t xml:space="preserve">enerators that have a generation permit, </w:t>
            </w:r>
            <w:r>
              <w:rPr>
                <w:rFonts w:ascii="Verdana" w:hAnsi="Verdana"/>
                <w:sz w:val="16"/>
                <w:szCs w:val="16"/>
                <w:lang w:val="en-US"/>
              </w:rPr>
              <w:t>s</w:t>
            </w:r>
            <w:r w:rsidRPr="00913574">
              <w:rPr>
                <w:rFonts w:ascii="Verdana" w:hAnsi="Verdana"/>
                <w:sz w:val="16"/>
                <w:szCs w:val="16"/>
                <w:lang w:val="en-US"/>
              </w:rPr>
              <w:t>uppliers with a marketing permit, whether in the basic, qualified or last resort services modality, as well as by non-supplier marketing companies and qualified users participating in the market.</w:t>
            </w:r>
          </w:p>
        </w:tc>
      </w:tr>
      <w:tr w:rsidR="003A38FF" w:rsidRPr="00D83DA2" w14:paraId="12945EAE" w14:textId="66A56893" w:rsidTr="00FB5DAD">
        <w:tc>
          <w:tcPr>
            <w:tcW w:w="4706" w:type="dxa"/>
          </w:tcPr>
          <w:p w14:paraId="709155C5"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sz w:val="16"/>
                <w:szCs w:val="16"/>
              </w:rPr>
              <w:lastRenderedPageBreak/>
              <w:t>La Secretaría debe establecer en las disposiciones administrativas de carácter general en materia de autorizaciones, los requisitos y las condiciones generales para la importación y exportación, las cuales deben considerar al menos lo siguiente:</w:t>
            </w:r>
          </w:p>
        </w:tc>
        <w:tc>
          <w:tcPr>
            <w:tcW w:w="4644" w:type="dxa"/>
          </w:tcPr>
          <w:p w14:paraId="72A9AF9C" w14:textId="187725EF" w:rsidR="003A38FF" w:rsidRPr="00D0180E" w:rsidRDefault="003A38FF" w:rsidP="003A38FF">
            <w:pPr>
              <w:pStyle w:val="Texto"/>
              <w:spacing w:line="220" w:lineRule="exact"/>
              <w:ind w:firstLine="0"/>
              <w:rPr>
                <w:rFonts w:ascii="Verdana" w:hAnsi="Verdana"/>
                <w:sz w:val="16"/>
                <w:szCs w:val="16"/>
                <w:lang w:val="en-US"/>
              </w:rPr>
            </w:pPr>
            <w:r w:rsidRPr="00913574">
              <w:rPr>
                <w:rFonts w:ascii="Verdana" w:hAnsi="Verdana"/>
                <w:sz w:val="16"/>
                <w:szCs w:val="16"/>
                <w:lang w:val="en-US"/>
              </w:rPr>
              <w:t>The Secretary must establish, in the general administrative provisions on authorizations, the requirements and general conditions for import and export, which must consider at least the following:</w:t>
            </w:r>
          </w:p>
        </w:tc>
      </w:tr>
      <w:tr w:rsidR="003A38FF" w:rsidRPr="00D83DA2" w14:paraId="7C81E23A" w14:textId="72C2D633" w:rsidTr="00FB5DAD">
        <w:tc>
          <w:tcPr>
            <w:tcW w:w="4706" w:type="dxa"/>
          </w:tcPr>
          <w:p w14:paraId="6100F347"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Mediante una Central Eléctrica ubicada en el extranjero conectada exclusivamente al Sistema Eléctrico Nacional por un periodo determinado, autorizado por la Secretaría;</w:t>
            </w:r>
          </w:p>
        </w:tc>
        <w:tc>
          <w:tcPr>
            <w:tcW w:w="4644" w:type="dxa"/>
          </w:tcPr>
          <w:p w14:paraId="37A05D56" w14:textId="0628BCD7"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I</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Through</w:t>
            </w:r>
            <w:proofErr w:type="gramEnd"/>
            <w:r w:rsidRPr="00913574">
              <w:rPr>
                <w:rFonts w:ascii="Verdana" w:hAnsi="Verdana"/>
                <w:sz w:val="16"/>
                <w:szCs w:val="16"/>
                <w:lang w:val="en-US"/>
              </w:rPr>
              <w:t xml:space="preserve"> a power plant located abroad connected exclusively to the </w:t>
            </w:r>
            <w:r>
              <w:rPr>
                <w:rFonts w:ascii="Verdana" w:hAnsi="Verdana"/>
                <w:sz w:val="16"/>
                <w:szCs w:val="16"/>
                <w:lang w:val="en-US"/>
              </w:rPr>
              <w:t>National Electric System</w:t>
            </w:r>
            <w:r w:rsidRPr="00913574">
              <w:rPr>
                <w:rFonts w:ascii="Verdana" w:hAnsi="Verdana"/>
                <w:sz w:val="16"/>
                <w:szCs w:val="16"/>
                <w:lang w:val="en-US"/>
              </w:rPr>
              <w:t xml:space="preserve"> for a specific period, authorized by the Secretary;</w:t>
            </w:r>
          </w:p>
        </w:tc>
      </w:tr>
      <w:tr w:rsidR="003A38FF" w:rsidRPr="00D83DA2" w14:paraId="6B66ECF4" w14:textId="1E297AFF" w:rsidTr="00FB5DAD">
        <w:tc>
          <w:tcPr>
            <w:tcW w:w="4706" w:type="dxa"/>
          </w:tcPr>
          <w:p w14:paraId="1DD0B971"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Mediante una Central Eléctrica ubicada en territorio nacional conectada exclusivamente a un sistema eléctrico en el extranjero por un periodo determinado autorizado por la Secretaría, y</w:t>
            </w:r>
          </w:p>
        </w:tc>
        <w:tc>
          <w:tcPr>
            <w:tcW w:w="4644" w:type="dxa"/>
          </w:tcPr>
          <w:p w14:paraId="38603871" w14:textId="4FC029AF"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II</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Through</w:t>
            </w:r>
            <w:proofErr w:type="gramEnd"/>
            <w:r w:rsidRPr="00913574">
              <w:rPr>
                <w:rFonts w:ascii="Verdana" w:hAnsi="Verdana"/>
                <w:sz w:val="16"/>
                <w:szCs w:val="16"/>
                <w:lang w:val="en-US"/>
              </w:rPr>
              <w:t xml:space="preserve"> a power plant located in national territory connected exclusively to an electrical system abroad for a specific period authorized by the Secretary, and</w:t>
            </w:r>
          </w:p>
        </w:tc>
      </w:tr>
      <w:tr w:rsidR="003A38FF" w:rsidRPr="00D83DA2" w14:paraId="3A15BD9A" w14:textId="5E621C8B" w:rsidTr="00FB5DAD">
        <w:tc>
          <w:tcPr>
            <w:tcW w:w="4706" w:type="dxa"/>
          </w:tcPr>
          <w:p w14:paraId="669D42BA"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Las actividades de importación y exportación que se sujetan a lo establecido en las Reglas del Mercado.</w:t>
            </w:r>
          </w:p>
        </w:tc>
        <w:tc>
          <w:tcPr>
            <w:tcW w:w="4644" w:type="dxa"/>
          </w:tcPr>
          <w:p w14:paraId="74EDE3FF" w14:textId="5726591C"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III</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Import</w:t>
            </w:r>
            <w:proofErr w:type="gramEnd"/>
            <w:r w:rsidRPr="00913574">
              <w:rPr>
                <w:rFonts w:ascii="Verdana" w:hAnsi="Verdana"/>
                <w:sz w:val="16"/>
                <w:szCs w:val="16"/>
                <w:lang w:val="en-US"/>
              </w:rPr>
              <w:t xml:space="preserve"> and export activities that are subject to the provisions of the market rules.</w:t>
            </w:r>
          </w:p>
        </w:tc>
      </w:tr>
      <w:tr w:rsidR="003A38FF" w:rsidRPr="00D83DA2" w14:paraId="74123071" w14:textId="6550B63B" w:rsidTr="00FB5DAD">
        <w:tc>
          <w:tcPr>
            <w:tcW w:w="4706" w:type="dxa"/>
          </w:tcPr>
          <w:p w14:paraId="6F17833A" w14:textId="77777777" w:rsidR="003A38FF" w:rsidRPr="00D0180E" w:rsidRDefault="003A38FF" w:rsidP="003A38FF">
            <w:pPr>
              <w:pStyle w:val="Texto"/>
              <w:spacing w:line="220" w:lineRule="exact"/>
              <w:ind w:firstLine="0"/>
              <w:rPr>
                <w:rFonts w:ascii="Verdana" w:hAnsi="Verdana"/>
                <w:sz w:val="16"/>
                <w:szCs w:val="16"/>
              </w:rPr>
            </w:pPr>
            <w:bookmarkStart w:id="0" w:name="OLE_LINK11"/>
            <w:r w:rsidRPr="00D0180E">
              <w:rPr>
                <w:rFonts w:ascii="Verdana" w:hAnsi="Verdana"/>
                <w:b/>
                <w:sz w:val="16"/>
                <w:szCs w:val="16"/>
              </w:rPr>
              <w:t>Artículo 23.</w:t>
            </w:r>
            <w:r w:rsidRPr="00D0180E">
              <w:rPr>
                <w:rFonts w:ascii="Verdana" w:hAnsi="Verdana"/>
                <w:sz w:val="16"/>
                <w:szCs w:val="16"/>
              </w:rPr>
              <w:t xml:space="preserve"> Las solicitudes de permisos y autorizaciones, así como sus modificaciones se deben presentar en los formatos autorizados por la Secretaría o la CNE, de acuerdo con sus atribuciones, los cuales deben detallar además de los requisitos establecidos en el artículo 151 de la Ley, lo siguiente:</w:t>
            </w:r>
            <w:bookmarkEnd w:id="0"/>
          </w:p>
        </w:tc>
        <w:tc>
          <w:tcPr>
            <w:tcW w:w="4644" w:type="dxa"/>
          </w:tcPr>
          <w:p w14:paraId="646BD45E" w14:textId="31839A51"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 xml:space="preserve">Article 23. </w:t>
            </w:r>
            <w:r w:rsidRPr="00913574">
              <w:rPr>
                <w:rFonts w:ascii="Verdana" w:hAnsi="Verdana"/>
                <w:sz w:val="16"/>
                <w:szCs w:val="16"/>
                <w:lang w:val="en-US"/>
              </w:rPr>
              <w:t>Applications for permits and authorizations, as well as their modifications, must be submitted in the formats authorized by the Secretary or the CNE, in accordance with their powers, which must detail, in addition to the requirements established in Article 151 of the Law, the following:</w:t>
            </w:r>
          </w:p>
        </w:tc>
      </w:tr>
      <w:tr w:rsidR="003A38FF" w:rsidRPr="00D83DA2" w14:paraId="4650508D" w14:textId="17BEF94F" w:rsidTr="00FB5DAD">
        <w:tc>
          <w:tcPr>
            <w:tcW w:w="4706" w:type="dxa"/>
          </w:tcPr>
          <w:p w14:paraId="78D9604D"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Formato debidamente requisitado y firmado por la promovente, con lo siguiente:</w:t>
            </w:r>
          </w:p>
        </w:tc>
        <w:tc>
          <w:tcPr>
            <w:tcW w:w="4644" w:type="dxa"/>
          </w:tcPr>
          <w:p w14:paraId="146F1967" w14:textId="35250A11"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I</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Form</w:t>
            </w:r>
            <w:proofErr w:type="gramEnd"/>
            <w:r w:rsidRPr="00913574">
              <w:rPr>
                <w:rFonts w:ascii="Verdana" w:hAnsi="Verdana"/>
                <w:sz w:val="16"/>
                <w:szCs w:val="16"/>
                <w:lang w:val="en-US"/>
              </w:rPr>
              <w:t xml:space="preserve"> duly completed and signed by the promoter, with the following:</w:t>
            </w:r>
          </w:p>
        </w:tc>
      </w:tr>
      <w:tr w:rsidR="003A38FF" w:rsidRPr="00D83DA2" w14:paraId="2FDF8C79" w14:textId="052E45C2" w:rsidTr="00FB5DAD">
        <w:tc>
          <w:tcPr>
            <w:tcW w:w="4706" w:type="dxa"/>
          </w:tcPr>
          <w:p w14:paraId="122EFE54"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Nombre, denominación o razón social de la persona solicitante;</w:t>
            </w:r>
          </w:p>
        </w:tc>
        <w:tc>
          <w:tcPr>
            <w:tcW w:w="4644" w:type="dxa"/>
          </w:tcPr>
          <w:p w14:paraId="5B36E5F0" w14:textId="69000F48"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a</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Name</w:t>
            </w:r>
            <w:proofErr w:type="gramEnd"/>
            <w:r w:rsidRPr="00913574">
              <w:rPr>
                <w:rFonts w:ascii="Verdana" w:hAnsi="Verdana"/>
                <w:sz w:val="16"/>
                <w:szCs w:val="16"/>
                <w:lang w:val="en-US"/>
              </w:rPr>
              <w:t>, denomination or business name of the applicant;</w:t>
            </w:r>
          </w:p>
        </w:tc>
      </w:tr>
      <w:tr w:rsidR="003A38FF" w:rsidRPr="00D83DA2" w14:paraId="1F3FB072" w14:textId="64200672" w:rsidTr="00FB5DAD">
        <w:tc>
          <w:tcPr>
            <w:tcW w:w="4706" w:type="dxa"/>
          </w:tcPr>
          <w:p w14:paraId="2E1CBB06"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Domicilio para oír y recibir notificaciones, incluida una dirección de correo electrónico;</w:t>
            </w:r>
          </w:p>
        </w:tc>
        <w:tc>
          <w:tcPr>
            <w:tcW w:w="4644" w:type="dxa"/>
          </w:tcPr>
          <w:p w14:paraId="3BA43096" w14:textId="42572695"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b</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Address</w:t>
            </w:r>
            <w:proofErr w:type="gramEnd"/>
            <w:r w:rsidRPr="00913574">
              <w:rPr>
                <w:rFonts w:ascii="Verdana" w:hAnsi="Verdana"/>
                <w:sz w:val="16"/>
                <w:szCs w:val="16"/>
                <w:lang w:val="en-US"/>
              </w:rPr>
              <w:t xml:space="preserve"> for hearing and receiving notifications, including an email address;</w:t>
            </w:r>
          </w:p>
        </w:tc>
      </w:tr>
      <w:tr w:rsidR="003A38FF" w:rsidRPr="00D83DA2" w14:paraId="400084B9" w14:textId="24E8B6EC" w:rsidTr="00FB5DAD">
        <w:tc>
          <w:tcPr>
            <w:tcW w:w="4706" w:type="dxa"/>
          </w:tcPr>
          <w:p w14:paraId="6960C207"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Nombre, domicilio y dirección de correo electrónico de las personas autorizadas para recibir notificaciones;</w:t>
            </w:r>
          </w:p>
        </w:tc>
        <w:tc>
          <w:tcPr>
            <w:tcW w:w="4644" w:type="dxa"/>
          </w:tcPr>
          <w:p w14:paraId="0EBE39B4" w14:textId="246FEB69"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c</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Name</w:t>
            </w:r>
            <w:proofErr w:type="gramEnd"/>
            <w:r w:rsidRPr="00913574">
              <w:rPr>
                <w:rFonts w:ascii="Verdana" w:hAnsi="Verdana"/>
                <w:sz w:val="16"/>
                <w:szCs w:val="16"/>
                <w:lang w:val="en-US"/>
              </w:rPr>
              <w:t>, address and email address of the persons authorized to receive notifications;</w:t>
            </w:r>
          </w:p>
        </w:tc>
      </w:tr>
      <w:tr w:rsidR="003A38FF" w:rsidRPr="00067E05" w14:paraId="1BCD30CB" w14:textId="32B86A2F" w:rsidTr="00FB5DAD">
        <w:tc>
          <w:tcPr>
            <w:tcW w:w="4706" w:type="dxa"/>
          </w:tcPr>
          <w:p w14:paraId="6EF0828C"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Manifestación bajo protesta de decir verdad, respecto a que:</w:t>
            </w:r>
          </w:p>
        </w:tc>
        <w:tc>
          <w:tcPr>
            <w:tcW w:w="4644" w:type="dxa"/>
          </w:tcPr>
          <w:p w14:paraId="67CE64F7" w14:textId="443DED5B"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d</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BD27C4">
              <w:rPr>
                <w:rFonts w:ascii="Verdana" w:hAnsi="Verdana"/>
                <w:bCs/>
                <w:sz w:val="16"/>
                <w:szCs w:val="16"/>
                <w:lang w:val="en-US"/>
              </w:rPr>
              <w:t>Sworn</w:t>
            </w:r>
            <w:proofErr w:type="gramEnd"/>
            <w:r>
              <w:rPr>
                <w:rFonts w:ascii="Verdana" w:hAnsi="Verdana"/>
                <w:b/>
                <w:sz w:val="16"/>
                <w:szCs w:val="16"/>
                <w:lang w:val="en-US"/>
              </w:rPr>
              <w:t xml:space="preserve"> </w:t>
            </w:r>
            <w:r w:rsidRPr="00913574">
              <w:rPr>
                <w:rFonts w:ascii="Verdana" w:hAnsi="Verdana"/>
                <w:sz w:val="16"/>
                <w:szCs w:val="16"/>
                <w:lang w:val="en-US"/>
              </w:rPr>
              <w:t>Statement that:</w:t>
            </w:r>
          </w:p>
        </w:tc>
      </w:tr>
      <w:tr w:rsidR="003A38FF" w:rsidRPr="00D83DA2" w14:paraId="0368326A" w14:textId="7404340A" w:rsidTr="00FB5DAD">
        <w:tc>
          <w:tcPr>
            <w:tcW w:w="4706" w:type="dxa"/>
          </w:tcPr>
          <w:p w14:paraId="29D5A002"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1.</w:t>
            </w:r>
            <w:r w:rsidRPr="00D0180E">
              <w:rPr>
                <w:rFonts w:ascii="Verdana" w:hAnsi="Verdana"/>
                <w:b/>
                <w:sz w:val="16"/>
                <w:szCs w:val="16"/>
              </w:rPr>
              <w:tab/>
            </w:r>
            <w:r w:rsidRPr="00D0180E">
              <w:rPr>
                <w:rFonts w:ascii="Verdana" w:hAnsi="Verdana"/>
                <w:sz w:val="16"/>
                <w:szCs w:val="16"/>
              </w:rPr>
              <w:t>No se encuentra en el directorio de licitantes, proveedores o contratistas sancionados por autoridad competente;</w:t>
            </w:r>
          </w:p>
        </w:tc>
        <w:tc>
          <w:tcPr>
            <w:tcW w:w="4644" w:type="dxa"/>
          </w:tcPr>
          <w:p w14:paraId="604D5B71" w14:textId="76100354"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 xml:space="preserve">1. </w:t>
            </w:r>
            <w:r w:rsidRPr="00913574">
              <w:rPr>
                <w:rFonts w:ascii="Verdana" w:hAnsi="Verdana"/>
                <w:b/>
                <w:sz w:val="16"/>
                <w:szCs w:val="16"/>
                <w:lang w:val="en-US"/>
              </w:rPr>
              <w:tab/>
            </w:r>
            <w:r w:rsidRPr="00913574">
              <w:rPr>
                <w:rFonts w:ascii="Verdana" w:hAnsi="Verdana"/>
                <w:sz w:val="16"/>
                <w:szCs w:val="16"/>
                <w:lang w:val="en-US"/>
              </w:rPr>
              <w:t xml:space="preserve">Is not listed in the directory of bidders, suppliers or contractors sanctioned by the </w:t>
            </w:r>
            <w:r>
              <w:rPr>
                <w:rFonts w:ascii="Verdana" w:hAnsi="Verdana"/>
                <w:sz w:val="16"/>
                <w:szCs w:val="16"/>
                <w:lang w:val="en-US"/>
              </w:rPr>
              <w:t>appropriate authority</w:t>
            </w:r>
            <w:r w:rsidRPr="00913574">
              <w:rPr>
                <w:rFonts w:ascii="Verdana" w:hAnsi="Verdana"/>
                <w:sz w:val="16"/>
                <w:szCs w:val="16"/>
                <w:lang w:val="en-US"/>
              </w:rPr>
              <w:t>;</w:t>
            </w:r>
          </w:p>
        </w:tc>
      </w:tr>
      <w:tr w:rsidR="003A38FF" w:rsidRPr="00D83DA2" w14:paraId="19FEBD23" w14:textId="12B9E8FA" w:rsidTr="00FB5DAD">
        <w:tc>
          <w:tcPr>
            <w:tcW w:w="4706" w:type="dxa"/>
          </w:tcPr>
          <w:p w14:paraId="4F62BD23"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2.</w:t>
            </w:r>
            <w:r w:rsidRPr="00D0180E">
              <w:rPr>
                <w:rFonts w:ascii="Verdana" w:hAnsi="Verdana"/>
                <w:b/>
                <w:sz w:val="16"/>
                <w:szCs w:val="16"/>
              </w:rPr>
              <w:tab/>
            </w:r>
            <w:r w:rsidRPr="00D0180E">
              <w:rPr>
                <w:rFonts w:ascii="Verdana" w:hAnsi="Verdana"/>
                <w:sz w:val="16"/>
                <w:szCs w:val="16"/>
              </w:rPr>
              <w:t>No se encuentra incluida en la relación de contribuyentes con operaciones presuntamente inexistentes al que se refiere el artículo 69-B del Código Fiscal de la Federación;</w:t>
            </w:r>
          </w:p>
        </w:tc>
        <w:tc>
          <w:tcPr>
            <w:tcW w:w="4644" w:type="dxa"/>
          </w:tcPr>
          <w:p w14:paraId="012B7A05" w14:textId="7DBDAAA1"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2</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It</w:t>
            </w:r>
            <w:proofErr w:type="gramEnd"/>
            <w:r w:rsidRPr="00913574">
              <w:rPr>
                <w:rFonts w:ascii="Verdana" w:hAnsi="Verdana"/>
                <w:sz w:val="16"/>
                <w:szCs w:val="16"/>
                <w:lang w:val="en-US"/>
              </w:rPr>
              <w:t xml:space="preserve"> is not included in the list of taxpayers with presumably non-existent operations referred to in Article 69-B of the Federal Tax Code;</w:t>
            </w:r>
          </w:p>
        </w:tc>
      </w:tr>
      <w:tr w:rsidR="003A38FF" w:rsidRPr="00D83DA2" w14:paraId="1877F3D2" w14:textId="7BF4B1F5" w:rsidTr="00FB5DAD">
        <w:tc>
          <w:tcPr>
            <w:tcW w:w="4706" w:type="dxa"/>
          </w:tcPr>
          <w:p w14:paraId="5CAA9DE3"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3.</w:t>
            </w:r>
            <w:r w:rsidRPr="00D0180E">
              <w:rPr>
                <w:rFonts w:ascii="Verdana" w:hAnsi="Verdana"/>
                <w:b/>
                <w:sz w:val="16"/>
                <w:szCs w:val="16"/>
              </w:rPr>
              <w:tab/>
            </w:r>
            <w:r w:rsidRPr="00D0180E">
              <w:rPr>
                <w:rFonts w:ascii="Verdana" w:hAnsi="Verdana"/>
                <w:sz w:val="16"/>
                <w:szCs w:val="16"/>
              </w:rPr>
              <w:t>No participa ni ejerce actividades ilícitas, y que no realiza ni ha sido sancionada por actos de corrupción;</w:t>
            </w:r>
          </w:p>
        </w:tc>
        <w:tc>
          <w:tcPr>
            <w:tcW w:w="4644" w:type="dxa"/>
          </w:tcPr>
          <w:p w14:paraId="755C0148" w14:textId="7047DF9E"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3</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Does</w:t>
            </w:r>
            <w:proofErr w:type="gramEnd"/>
            <w:r w:rsidRPr="00913574">
              <w:rPr>
                <w:rFonts w:ascii="Verdana" w:hAnsi="Verdana"/>
                <w:sz w:val="16"/>
                <w:szCs w:val="16"/>
                <w:lang w:val="en-US"/>
              </w:rPr>
              <w:t xml:space="preserve"> not participate in or carry out illegal activities, and </w:t>
            </w:r>
            <w:proofErr w:type="gramStart"/>
            <w:r w:rsidRPr="00913574">
              <w:rPr>
                <w:rFonts w:ascii="Verdana" w:hAnsi="Verdana"/>
                <w:sz w:val="16"/>
                <w:szCs w:val="16"/>
                <w:lang w:val="en-US"/>
              </w:rPr>
              <w:t>does</w:t>
            </w:r>
            <w:proofErr w:type="gramEnd"/>
            <w:r w:rsidRPr="00913574">
              <w:rPr>
                <w:rFonts w:ascii="Verdana" w:hAnsi="Verdana"/>
                <w:sz w:val="16"/>
                <w:szCs w:val="16"/>
                <w:lang w:val="en-US"/>
              </w:rPr>
              <w:t xml:space="preserve"> not carry out or have been sanctioned for acts of corruption;</w:t>
            </w:r>
          </w:p>
        </w:tc>
      </w:tr>
      <w:tr w:rsidR="003A38FF" w:rsidRPr="00D83DA2" w14:paraId="1ADED2DC" w14:textId="65AA2782" w:rsidTr="00FB5DAD">
        <w:tc>
          <w:tcPr>
            <w:tcW w:w="4706" w:type="dxa"/>
          </w:tcPr>
          <w:p w14:paraId="4CD17769"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4.</w:t>
            </w:r>
            <w:r w:rsidRPr="00D0180E">
              <w:rPr>
                <w:rFonts w:ascii="Verdana" w:hAnsi="Verdana"/>
                <w:b/>
                <w:sz w:val="16"/>
                <w:szCs w:val="16"/>
              </w:rPr>
              <w:tab/>
            </w:r>
            <w:r w:rsidRPr="00D0180E">
              <w:rPr>
                <w:rFonts w:ascii="Verdana" w:hAnsi="Verdana"/>
                <w:sz w:val="16"/>
                <w:szCs w:val="16"/>
              </w:rPr>
              <w:t>Tiene conocimiento del marco regulatorio aplicable a la actividad a desarrollar, y se compromete a cumplirlo;</w:t>
            </w:r>
          </w:p>
        </w:tc>
        <w:tc>
          <w:tcPr>
            <w:tcW w:w="4644" w:type="dxa"/>
          </w:tcPr>
          <w:p w14:paraId="4BBA85E9" w14:textId="105A976E"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4</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Has</w:t>
            </w:r>
            <w:proofErr w:type="gramEnd"/>
            <w:r w:rsidRPr="00913574">
              <w:rPr>
                <w:rFonts w:ascii="Verdana" w:hAnsi="Verdana"/>
                <w:sz w:val="16"/>
                <w:szCs w:val="16"/>
                <w:lang w:val="en-US"/>
              </w:rPr>
              <w:t xml:space="preserve"> knowledge of the regulatory framework applicable to the activity to be carried out, and undertakes to comply with it;</w:t>
            </w:r>
          </w:p>
        </w:tc>
      </w:tr>
      <w:tr w:rsidR="003A38FF" w:rsidRPr="00D83DA2" w14:paraId="0BF50601" w14:textId="4DB013C2" w:rsidTr="00FB5DAD">
        <w:tc>
          <w:tcPr>
            <w:tcW w:w="4706" w:type="dxa"/>
          </w:tcPr>
          <w:p w14:paraId="714C01FC"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5.</w:t>
            </w:r>
            <w:r w:rsidRPr="00D0180E">
              <w:rPr>
                <w:rFonts w:ascii="Verdana" w:hAnsi="Verdana"/>
                <w:b/>
                <w:sz w:val="16"/>
                <w:szCs w:val="16"/>
              </w:rPr>
              <w:tab/>
            </w:r>
            <w:r w:rsidRPr="00D0180E">
              <w:rPr>
                <w:rFonts w:ascii="Verdana" w:hAnsi="Verdana"/>
                <w:sz w:val="16"/>
                <w:szCs w:val="16"/>
              </w:rPr>
              <w:t>Otorga su consentimiento para recibir notificaciones, requerimientos y las comunicaciones derivadas del trámite por medios electrónicos, y</w:t>
            </w:r>
          </w:p>
        </w:tc>
        <w:tc>
          <w:tcPr>
            <w:tcW w:w="4644" w:type="dxa"/>
          </w:tcPr>
          <w:p w14:paraId="76F2EAB1" w14:textId="295876A7"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5</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Pr>
                <w:rFonts w:ascii="Verdana" w:hAnsi="Verdana"/>
                <w:sz w:val="16"/>
                <w:szCs w:val="16"/>
                <w:lang w:val="en-US"/>
              </w:rPr>
              <w:t>Grants</w:t>
            </w:r>
            <w:proofErr w:type="gramEnd"/>
            <w:r w:rsidRPr="00913574">
              <w:rPr>
                <w:rFonts w:ascii="Verdana" w:hAnsi="Verdana"/>
                <w:sz w:val="16"/>
                <w:szCs w:val="16"/>
                <w:lang w:val="en-US"/>
              </w:rPr>
              <w:t xml:space="preserve"> consent to receive notifications, requests and communications arising from the procedure by electronic means, and</w:t>
            </w:r>
          </w:p>
        </w:tc>
      </w:tr>
      <w:tr w:rsidR="003A38FF" w:rsidRPr="00D83DA2" w14:paraId="198D1867" w14:textId="602273BF" w:rsidTr="00FB5DAD">
        <w:tc>
          <w:tcPr>
            <w:tcW w:w="4706" w:type="dxa"/>
          </w:tcPr>
          <w:p w14:paraId="51F405BE"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6.</w:t>
            </w:r>
            <w:r w:rsidRPr="00D0180E">
              <w:rPr>
                <w:rFonts w:ascii="Verdana" w:hAnsi="Verdana"/>
                <w:b/>
                <w:sz w:val="16"/>
                <w:szCs w:val="16"/>
              </w:rPr>
              <w:tab/>
            </w:r>
            <w:r w:rsidRPr="00D0180E">
              <w:rPr>
                <w:rFonts w:ascii="Verdana" w:hAnsi="Verdana"/>
                <w:sz w:val="16"/>
                <w:szCs w:val="16"/>
              </w:rPr>
              <w:t xml:space="preserve">Para el caso de la solicitud del permiso de generación de energía eléctrica, en la modalidad de autoconsumo ligado a un Grupo de Autoconsumo, debe </w:t>
            </w:r>
            <w:r w:rsidRPr="00D0180E">
              <w:rPr>
                <w:rFonts w:ascii="Verdana" w:hAnsi="Verdana"/>
                <w:sz w:val="16"/>
                <w:szCs w:val="16"/>
              </w:rPr>
              <w:lastRenderedPageBreak/>
              <w:t>señalar que las Usuarias de Autoconsumo van a satisfacer sus necesidades de energía eléctrica a través de una Red Particular;</w:t>
            </w:r>
          </w:p>
        </w:tc>
        <w:tc>
          <w:tcPr>
            <w:tcW w:w="4644" w:type="dxa"/>
          </w:tcPr>
          <w:p w14:paraId="24BF5283" w14:textId="4D39754B"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lastRenderedPageBreak/>
              <w:t xml:space="preserve">6. </w:t>
            </w:r>
            <w:r w:rsidRPr="00913574">
              <w:rPr>
                <w:rFonts w:ascii="Verdana" w:hAnsi="Verdana"/>
                <w:b/>
                <w:sz w:val="16"/>
                <w:szCs w:val="16"/>
                <w:lang w:val="en-US"/>
              </w:rPr>
              <w:tab/>
            </w:r>
            <w:r w:rsidRPr="00913574">
              <w:rPr>
                <w:rFonts w:ascii="Verdana" w:hAnsi="Verdana"/>
                <w:sz w:val="16"/>
                <w:szCs w:val="16"/>
                <w:lang w:val="en-US"/>
              </w:rPr>
              <w:t xml:space="preserve">In the case of the application for a permit for the generation of electric energy, in the self-consumption modality linked to a Self-Consumption </w:t>
            </w:r>
            <w:r w:rsidRPr="00913574">
              <w:rPr>
                <w:rFonts w:ascii="Verdana" w:hAnsi="Verdana"/>
                <w:sz w:val="16"/>
                <w:szCs w:val="16"/>
                <w:lang w:val="en-US"/>
              </w:rPr>
              <w:lastRenderedPageBreak/>
              <w:t xml:space="preserve">Group, it must be indicated that the Self-Consumption </w:t>
            </w:r>
            <w:r>
              <w:rPr>
                <w:rFonts w:ascii="Verdana" w:hAnsi="Verdana"/>
                <w:sz w:val="16"/>
                <w:szCs w:val="16"/>
                <w:lang w:val="en-US"/>
              </w:rPr>
              <w:t>u</w:t>
            </w:r>
            <w:r w:rsidRPr="00913574">
              <w:rPr>
                <w:rFonts w:ascii="Verdana" w:hAnsi="Verdana"/>
                <w:sz w:val="16"/>
                <w:szCs w:val="16"/>
                <w:lang w:val="en-US"/>
              </w:rPr>
              <w:t>sers will satisfy their electric energy needs through a private network;</w:t>
            </w:r>
          </w:p>
        </w:tc>
      </w:tr>
      <w:tr w:rsidR="003A38FF" w:rsidRPr="00D83DA2" w14:paraId="43ED951F" w14:textId="5ACD232F" w:rsidTr="00FB5DAD">
        <w:tc>
          <w:tcPr>
            <w:tcW w:w="4706" w:type="dxa"/>
          </w:tcPr>
          <w:p w14:paraId="54EDDABE"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lastRenderedPageBreak/>
              <w:t>e)</w:t>
            </w:r>
            <w:r w:rsidRPr="00D0180E">
              <w:rPr>
                <w:rFonts w:ascii="Verdana" w:hAnsi="Verdana"/>
                <w:b/>
                <w:sz w:val="16"/>
                <w:szCs w:val="16"/>
              </w:rPr>
              <w:tab/>
            </w:r>
            <w:r w:rsidRPr="00D0180E">
              <w:rPr>
                <w:rFonts w:ascii="Verdana" w:hAnsi="Verdana"/>
                <w:sz w:val="16"/>
                <w:szCs w:val="16"/>
              </w:rPr>
              <w:t>La información técnica y operativa del proyecto:</w:t>
            </w:r>
          </w:p>
        </w:tc>
        <w:tc>
          <w:tcPr>
            <w:tcW w:w="4644" w:type="dxa"/>
          </w:tcPr>
          <w:p w14:paraId="0ACBB9BD" w14:textId="62F62484"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e</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The</w:t>
            </w:r>
            <w:proofErr w:type="gramEnd"/>
            <w:r w:rsidRPr="00913574">
              <w:rPr>
                <w:rFonts w:ascii="Verdana" w:hAnsi="Verdana"/>
                <w:sz w:val="16"/>
                <w:szCs w:val="16"/>
                <w:lang w:val="en-US"/>
              </w:rPr>
              <w:t xml:space="preserve"> technical and operational information of the project:</w:t>
            </w:r>
          </w:p>
        </w:tc>
      </w:tr>
      <w:tr w:rsidR="003A38FF" w:rsidRPr="00D83DA2" w14:paraId="71FBC9AA" w14:textId="44A13E35" w:rsidTr="00FB5DAD">
        <w:tc>
          <w:tcPr>
            <w:tcW w:w="4706" w:type="dxa"/>
          </w:tcPr>
          <w:p w14:paraId="0C7EA7E6" w14:textId="77777777" w:rsidR="003A38FF" w:rsidRPr="00D0180E" w:rsidRDefault="003A38FF" w:rsidP="003A38FF">
            <w:pPr>
              <w:pStyle w:val="Texto"/>
              <w:spacing w:line="220" w:lineRule="exact"/>
              <w:ind w:firstLine="0"/>
              <w:rPr>
                <w:rFonts w:ascii="Verdana" w:hAnsi="Verdana"/>
                <w:sz w:val="16"/>
                <w:szCs w:val="16"/>
              </w:rPr>
            </w:pPr>
            <w:bookmarkStart w:id="1" w:name="OLE_LINK3"/>
            <w:r w:rsidRPr="00D0180E">
              <w:rPr>
                <w:rFonts w:ascii="Verdana" w:hAnsi="Verdana"/>
                <w:b/>
                <w:sz w:val="16"/>
                <w:szCs w:val="16"/>
              </w:rPr>
              <w:t>1.</w:t>
            </w:r>
            <w:r w:rsidRPr="00D0180E">
              <w:rPr>
                <w:rFonts w:ascii="Verdana" w:hAnsi="Verdana"/>
                <w:b/>
                <w:sz w:val="16"/>
                <w:szCs w:val="16"/>
              </w:rPr>
              <w:tab/>
            </w:r>
            <w:r w:rsidRPr="00D0180E">
              <w:rPr>
                <w:rFonts w:ascii="Verdana" w:hAnsi="Verdana"/>
                <w:sz w:val="16"/>
                <w:szCs w:val="16"/>
              </w:rPr>
              <w:t>Domicilio del proyecto, instalación o infraestructura, así como las coordenadas geodésicas en un plano georreferenciado;</w:t>
            </w:r>
            <w:bookmarkEnd w:id="1"/>
          </w:p>
        </w:tc>
        <w:tc>
          <w:tcPr>
            <w:tcW w:w="4644" w:type="dxa"/>
          </w:tcPr>
          <w:p w14:paraId="78DC5A15" w14:textId="17E3D664" w:rsidR="003A38FF" w:rsidRPr="00945379" w:rsidRDefault="003A38FF" w:rsidP="003A38FF">
            <w:pPr>
              <w:pStyle w:val="Texto"/>
              <w:spacing w:line="220" w:lineRule="exact"/>
              <w:ind w:firstLine="0"/>
              <w:rPr>
                <w:rFonts w:ascii="Verdana" w:hAnsi="Verdana"/>
                <w:b/>
                <w:sz w:val="16"/>
                <w:szCs w:val="16"/>
                <w:lang w:val="en-US"/>
              </w:rPr>
            </w:pPr>
            <w:r w:rsidRPr="00945379">
              <w:rPr>
                <w:rFonts w:ascii="Verdana" w:hAnsi="Verdana"/>
                <w:b/>
                <w:sz w:val="16"/>
                <w:szCs w:val="16"/>
                <w:lang w:val="en-US"/>
              </w:rPr>
              <w:t>1</w:t>
            </w:r>
            <w:proofErr w:type="gramStart"/>
            <w:r w:rsidRPr="00945379">
              <w:rPr>
                <w:rFonts w:ascii="Verdana" w:hAnsi="Verdana"/>
                <w:b/>
                <w:sz w:val="16"/>
                <w:szCs w:val="16"/>
                <w:lang w:val="en-US"/>
              </w:rPr>
              <w:t xml:space="preserve">. </w:t>
            </w:r>
            <w:r w:rsidRPr="00945379">
              <w:rPr>
                <w:rFonts w:ascii="Verdana" w:hAnsi="Verdana"/>
                <w:b/>
                <w:sz w:val="16"/>
                <w:szCs w:val="16"/>
                <w:lang w:val="en-US"/>
              </w:rPr>
              <w:tab/>
            </w:r>
            <w:r w:rsidRPr="00945379">
              <w:rPr>
                <w:rFonts w:ascii="Verdana" w:hAnsi="Verdana"/>
                <w:sz w:val="16"/>
                <w:szCs w:val="16"/>
                <w:lang w:val="en-US"/>
              </w:rPr>
              <w:t>Address</w:t>
            </w:r>
            <w:proofErr w:type="gramEnd"/>
            <w:r w:rsidRPr="00945379">
              <w:rPr>
                <w:rFonts w:ascii="Verdana" w:hAnsi="Verdana"/>
                <w:sz w:val="16"/>
                <w:szCs w:val="16"/>
                <w:lang w:val="en-US"/>
              </w:rPr>
              <w:t xml:space="preserve"> of the project, facility or infrastructure, as well as the geodetic coordinates on a georeferenced plane;</w:t>
            </w:r>
          </w:p>
        </w:tc>
      </w:tr>
      <w:tr w:rsidR="003A38FF" w:rsidRPr="00D0180E" w14:paraId="06294146" w14:textId="3878C7DF" w:rsidTr="00FB5DAD">
        <w:tc>
          <w:tcPr>
            <w:tcW w:w="4706" w:type="dxa"/>
          </w:tcPr>
          <w:p w14:paraId="637477EA"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2.</w:t>
            </w:r>
            <w:r w:rsidRPr="00D0180E">
              <w:rPr>
                <w:rFonts w:ascii="Verdana" w:hAnsi="Verdana"/>
                <w:b/>
                <w:sz w:val="16"/>
                <w:szCs w:val="16"/>
              </w:rPr>
              <w:tab/>
            </w:r>
            <w:r w:rsidRPr="00D0180E">
              <w:rPr>
                <w:rFonts w:ascii="Verdana" w:hAnsi="Verdana"/>
                <w:sz w:val="16"/>
                <w:szCs w:val="16"/>
              </w:rPr>
              <w:t>Monto estimado de inversión;</w:t>
            </w:r>
          </w:p>
        </w:tc>
        <w:tc>
          <w:tcPr>
            <w:tcW w:w="4644" w:type="dxa"/>
          </w:tcPr>
          <w:p w14:paraId="0C9893C0" w14:textId="1AA4662A" w:rsidR="003A38FF" w:rsidRPr="00945379" w:rsidRDefault="003A38FF" w:rsidP="003A38FF">
            <w:pPr>
              <w:pStyle w:val="Texto"/>
              <w:spacing w:line="220" w:lineRule="exact"/>
              <w:ind w:firstLine="0"/>
              <w:rPr>
                <w:rFonts w:ascii="Verdana" w:hAnsi="Verdana"/>
                <w:b/>
                <w:sz w:val="16"/>
                <w:szCs w:val="16"/>
                <w:lang w:val="en-US"/>
              </w:rPr>
            </w:pPr>
            <w:r w:rsidRPr="00945379">
              <w:rPr>
                <w:rFonts w:ascii="Verdana" w:hAnsi="Verdana"/>
                <w:b/>
                <w:sz w:val="16"/>
                <w:szCs w:val="16"/>
                <w:lang w:val="en-US"/>
              </w:rPr>
              <w:t>2</w:t>
            </w:r>
            <w:proofErr w:type="gramStart"/>
            <w:r w:rsidRPr="00945379">
              <w:rPr>
                <w:rFonts w:ascii="Verdana" w:hAnsi="Verdana"/>
                <w:b/>
                <w:sz w:val="16"/>
                <w:szCs w:val="16"/>
                <w:lang w:val="en-US"/>
              </w:rPr>
              <w:t xml:space="preserve">. </w:t>
            </w:r>
            <w:r w:rsidRPr="00945379">
              <w:rPr>
                <w:rFonts w:ascii="Verdana" w:hAnsi="Verdana"/>
                <w:b/>
                <w:sz w:val="16"/>
                <w:szCs w:val="16"/>
                <w:lang w:val="en-US"/>
              </w:rPr>
              <w:tab/>
            </w:r>
            <w:r w:rsidRPr="00945379">
              <w:rPr>
                <w:rFonts w:ascii="Verdana" w:hAnsi="Verdana"/>
                <w:sz w:val="16"/>
                <w:szCs w:val="16"/>
                <w:lang w:val="en-US"/>
              </w:rPr>
              <w:t>Estimated</w:t>
            </w:r>
            <w:proofErr w:type="gramEnd"/>
            <w:r w:rsidRPr="00945379">
              <w:rPr>
                <w:rFonts w:ascii="Verdana" w:hAnsi="Verdana"/>
                <w:sz w:val="16"/>
                <w:szCs w:val="16"/>
                <w:lang w:val="en-US"/>
              </w:rPr>
              <w:t xml:space="preserve"> investment amount;</w:t>
            </w:r>
          </w:p>
        </w:tc>
      </w:tr>
      <w:tr w:rsidR="003A38FF" w:rsidRPr="00D83DA2" w14:paraId="2FA6DD3D" w14:textId="5468E924" w:rsidTr="00FB5DAD">
        <w:tc>
          <w:tcPr>
            <w:tcW w:w="4706" w:type="dxa"/>
          </w:tcPr>
          <w:p w14:paraId="77B9D82B"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3.</w:t>
            </w:r>
            <w:r w:rsidRPr="00D0180E">
              <w:rPr>
                <w:rFonts w:ascii="Verdana" w:hAnsi="Verdana"/>
                <w:b/>
                <w:sz w:val="16"/>
                <w:szCs w:val="16"/>
              </w:rPr>
              <w:tab/>
            </w:r>
            <w:r w:rsidRPr="00D0180E">
              <w:rPr>
                <w:rFonts w:ascii="Verdana" w:hAnsi="Verdana"/>
                <w:sz w:val="16"/>
                <w:szCs w:val="16"/>
              </w:rPr>
              <w:t>Uso, aplicaciones y destino de la energía eléctrica o Productos Asociados o al Suministro Eléctrico, en su caso;</w:t>
            </w:r>
          </w:p>
        </w:tc>
        <w:tc>
          <w:tcPr>
            <w:tcW w:w="4644" w:type="dxa"/>
          </w:tcPr>
          <w:p w14:paraId="57C4F35A" w14:textId="2FF016B3" w:rsidR="003A38FF" w:rsidRPr="00945379" w:rsidRDefault="003A38FF" w:rsidP="003A38FF">
            <w:pPr>
              <w:pStyle w:val="Texto"/>
              <w:spacing w:line="220" w:lineRule="exact"/>
              <w:ind w:firstLine="0"/>
              <w:rPr>
                <w:rFonts w:ascii="Verdana" w:hAnsi="Verdana"/>
                <w:b/>
                <w:sz w:val="16"/>
                <w:szCs w:val="16"/>
                <w:lang w:val="en-US"/>
              </w:rPr>
            </w:pPr>
            <w:r w:rsidRPr="00945379">
              <w:rPr>
                <w:rFonts w:ascii="Verdana" w:hAnsi="Verdana"/>
                <w:b/>
                <w:sz w:val="16"/>
                <w:szCs w:val="16"/>
                <w:lang w:val="en-US"/>
              </w:rPr>
              <w:t>3</w:t>
            </w:r>
            <w:proofErr w:type="gramStart"/>
            <w:r w:rsidRPr="00945379">
              <w:rPr>
                <w:rFonts w:ascii="Verdana" w:hAnsi="Verdana"/>
                <w:b/>
                <w:sz w:val="16"/>
                <w:szCs w:val="16"/>
                <w:lang w:val="en-US"/>
              </w:rPr>
              <w:t xml:space="preserve">. </w:t>
            </w:r>
            <w:r w:rsidRPr="00945379">
              <w:rPr>
                <w:rFonts w:ascii="Verdana" w:hAnsi="Verdana"/>
                <w:b/>
                <w:sz w:val="16"/>
                <w:szCs w:val="16"/>
                <w:lang w:val="en-US"/>
              </w:rPr>
              <w:tab/>
            </w:r>
            <w:r w:rsidRPr="00945379">
              <w:rPr>
                <w:rFonts w:ascii="Verdana" w:hAnsi="Verdana"/>
                <w:sz w:val="16"/>
                <w:szCs w:val="16"/>
                <w:lang w:val="en-US"/>
              </w:rPr>
              <w:t>Use,</w:t>
            </w:r>
            <w:proofErr w:type="gramEnd"/>
            <w:r w:rsidRPr="00945379">
              <w:rPr>
                <w:rFonts w:ascii="Verdana" w:hAnsi="Verdana"/>
                <w:sz w:val="16"/>
                <w:szCs w:val="16"/>
                <w:lang w:val="en-US"/>
              </w:rPr>
              <w:t xml:space="preserve"> applications and destination of electrical energy or Associated Products or the Electrical Supply, as applicable;</w:t>
            </w:r>
          </w:p>
        </w:tc>
      </w:tr>
      <w:tr w:rsidR="003A38FF" w:rsidRPr="00D83DA2" w14:paraId="2FBD4CC8" w14:textId="39B8A567" w:rsidTr="00FB5DAD">
        <w:tc>
          <w:tcPr>
            <w:tcW w:w="4706" w:type="dxa"/>
          </w:tcPr>
          <w:p w14:paraId="2F822B21"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4.</w:t>
            </w:r>
            <w:r w:rsidRPr="00D0180E">
              <w:rPr>
                <w:rFonts w:ascii="Verdana" w:hAnsi="Verdana"/>
                <w:b/>
                <w:sz w:val="16"/>
                <w:szCs w:val="16"/>
              </w:rPr>
              <w:tab/>
            </w:r>
            <w:r w:rsidRPr="00D0180E">
              <w:rPr>
                <w:rFonts w:ascii="Verdana" w:hAnsi="Verdana"/>
                <w:sz w:val="16"/>
                <w:szCs w:val="16"/>
              </w:rPr>
              <w:t>Procesos y fases operativas de desarrollo del proyecto o la actividad sujeta a permiso o autorización, según corresponda;</w:t>
            </w:r>
          </w:p>
        </w:tc>
        <w:tc>
          <w:tcPr>
            <w:tcW w:w="4644" w:type="dxa"/>
          </w:tcPr>
          <w:p w14:paraId="7BAE34DC" w14:textId="28A3A8C5"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4</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Processes</w:t>
            </w:r>
            <w:proofErr w:type="gramEnd"/>
            <w:r w:rsidRPr="00913574">
              <w:rPr>
                <w:rFonts w:ascii="Verdana" w:hAnsi="Verdana"/>
                <w:sz w:val="16"/>
                <w:szCs w:val="16"/>
                <w:lang w:val="en-US"/>
              </w:rPr>
              <w:t xml:space="preserve"> and operational phases of development of the project or activity subject to permit or authorization, as appropriate;</w:t>
            </w:r>
          </w:p>
        </w:tc>
      </w:tr>
      <w:tr w:rsidR="003A38FF" w:rsidRPr="00D83DA2" w14:paraId="454C132C" w14:textId="652ED0F5" w:rsidTr="00FB5DAD">
        <w:tc>
          <w:tcPr>
            <w:tcW w:w="4706" w:type="dxa"/>
          </w:tcPr>
          <w:p w14:paraId="0C376C8D"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5.</w:t>
            </w:r>
            <w:r w:rsidRPr="00D0180E">
              <w:rPr>
                <w:rFonts w:ascii="Verdana" w:hAnsi="Verdana"/>
                <w:b/>
                <w:sz w:val="16"/>
                <w:szCs w:val="16"/>
              </w:rPr>
              <w:tab/>
            </w:r>
            <w:r w:rsidRPr="00D0180E">
              <w:rPr>
                <w:rFonts w:ascii="Verdana" w:hAnsi="Verdana"/>
                <w:sz w:val="16"/>
                <w:szCs w:val="16"/>
              </w:rPr>
              <w:t>Tipo de tecnología, Capacidad Instalada y recurso energético asociado a emplear, así como combustibles, flujos térmicos, biomasa u otras fuentes de energía que sean aplicables;</w:t>
            </w:r>
          </w:p>
        </w:tc>
        <w:tc>
          <w:tcPr>
            <w:tcW w:w="4644" w:type="dxa"/>
          </w:tcPr>
          <w:p w14:paraId="50133CB7" w14:textId="298E5BF1"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5</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Type</w:t>
            </w:r>
            <w:proofErr w:type="gramEnd"/>
            <w:r w:rsidRPr="00913574">
              <w:rPr>
                <w:rFonts w:ascii="Verdana" w:hAnsi="Verdana"/>
                <w:sz w:val="16"/>
                <w:szCs w:val="16"/>
                <w:lang w:val="en-US"/>
              </w:rPr>
              <w:t xml:space="preserve"> of technology, installed capacity and associated energy </w:t>
            </w:r>
            <w:proofErr w:type="gramStart"/>
            <w:r w:rsidRPr="00913574">
              <w:rPr>
                <w:rFonts w:ascii="Verdana" w:hAnsi="Verdana"/>
                <w:sz w:val="16"/>
                <w:szCs w:val="16"/>
                <w:lang w:val="en-US"/>
              </w:rPr>
              <w:t>resource</w:t>
            </w:r>
            <w:proofErr w:type="gramEnd"/>
            <w:r w:rsidRPr="00913574">
              <w:rPr>
                <w:rFonts w:ascii="Verdana" w:hAnsi="Verdana"/>
                <w:sz w:val="16"/>
                <w:szCs w:val="16"/>
                <w:lang w:val="en-US"/>
              </w:rPr>
              <w:t xml:space="preserve"> to be used, as well as fuels, thermal flows, biomass or other energy sources that are applicable;</w:t>
            </w:r>
          </w:p>
        </w:tc>
      </w:tr>
      <w:tr w:rsidR="003A38FF" w:rsidRPr="00D83DA2" w14:paraId="128276D0" w14:textId="0D0D2009" w:rsidTr="00FB5DAD">
        <w:tc>
          <w:tcPr>
            <w:tcW w:w="4706" w:type="dxa"/>
          </w:tcPr>
          <w:p w14:paraId="1288506F"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6.</w:t>
            </w:r>
            <w:r w:rsidRPr="00D0180E">
              <w:rPr>
                <w:rFonts w:ascii="Verdana" w:hAnsi="Verdana"/>
                <w:b/>
                <w:sz w:val="16"/>
                <w:szCs w:val="16"/>
              </w:rPr>
              <w:tab/>
            </w:r>
            <w:r w:rsidRPr="00D0180E">
              <w:rPr>
                <w:rFonts w:ascii="Verdana" w:hAnsi="Verdana"/>
                <w:sz w:val="16"/>
                <w:szCs w:val="16"/>
              </w:rPr>
              <w:t>Proyección técnica y operativa del proyecto, que debe incluir, según el tipo de actividad regulada, la potencia, capacidad, transacciones u operación anual estimada;</w:t>
            </w:r>
          </w:p>
        </w:tc>
        <w:tc>
          <w:tcPr>
            <w:tcW w:w="4644" w:type="dxa"/>
          </w:tcPr>
          <w:p w14:paraId="4B92ADCB" w14:textId="556A063D"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6</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Technical</w:t>
            </w:r>
            <w:proofErr w:type="gramEnd"/>
            <w:r w:rsidRPr="00913574">
              <w:rPr>
                <w:rFonts w:ascii="Verdana" w:hAnsi="Verdana"/>
                <w:sz w:val="16"/>
                <w:szCs w:val="16"/>
                <w:lang w:val="en-US"/>
              </w:rPr>
              <w:t xml:space="preserve"> and operational projection of the project, which must include, depending on the type of regulated activity, the estimated annual power, capacity, transactions or operation;</w:t>
            </w:r>
          </w:p>
        </w:tc>
      </w:tr>
      <w:tr w:rsidR="003A38FF" w:rsidRPr="00D83DA2" w14:paraId="60C1B902" w14:textId="55222B3F" w:rsidTr="00FB5DAD">
        <w:tc>
          <w:tcPr>
            <w:tcW w:w="4706" w:type="dxa"/>
          </w:tcPr>
          <w:p w14:paraId="3214BDCA"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7.</w:t>
            </w:r>
            <w:r w:rsidRPr="00D0180E">
              <w:rPr>
                <w:rFonts w:ascii="Verdana" w:hAnsi="Verdana"/>
                <w:b/>
                <w:sz w:val="16"/>
                <w:szCs w:val="16"/>
              </w:rPr>
              <w:tab/>
            </w:r>
            <w:r w:rsidRPr="00D0180E">
              <w:rPr>
                <w:rFonts w:ascii="Verdana" w:hAnsi="Verdana"/>
                <w:sz w:val="16"/>
                <w:szCs w:val="16"/>
              </w:rPr>
              <w:t>Número de acuse de recepción, o en su caso, de la autorización definitiva en materia de Manifestación de Impacto Social del Sector Energético, y</w:t>
            </w:r>
          </w:p>
        </w:tc>
        <w:tc>
          <w:tcPr>
            <w:tcW w:w="4644" w:type="dxa"/>
          </w:tcPr>
          <w:p w14:paraId="1AE1FC4F" w14:textId="552A171D"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7</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Number</w:t>
            </w:r>
            <w:proofErr w:type="gramEnd"/>
            <w:r w:rsidRPr="00913574">
              <w:rPr>
                <w:rFonts w:ascii="Verdana" w:hAnsi="Verdana"/>
                <w:sz w:val="16"/>
                <w:szCs w:val="16"/>
                <w:lang w:val="en-US"/>
              </w:rPr>
              <w:t xml:space="preserve"> of the acknowledgment of receipt, or where applicable, of the final authorization regarding the Social Impact Statement of the energy sector, and</w:t>
            </w:r>
          </w:p>
        </w:tc>
      </w:tr>
      <w:tr w:rsidR="003A38FF" w:rsidRPr="00D83DA2" w14:paraId="6C7DDED2" w14:textId="6A99362B" w:rsidTr="00FB5DAD">
        <w:tc>
          <w:tcPr>
            <w:tcW w:w="4706" w:type="dxa"/>
          </w:tcPr>
          <w:p w14:paraId="02E37EA3"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8.</w:t>
            </w:r>
            <w:r w:rsidRPr="00D0180E">
              <w:rPr>
                <w:rFonts w:ascii="Verdana" w:hAnsi="Verdana"/>
                <w:b/>
                <w:sz w:val="16"/>
                <w:szCs w:val="16"/>
              </w:rPr>
              <w:tab/>
            </w:r>
            <w:r w:rsidRPr="00D0180E">
              <w:rPr>
                <w:rFonts w:ascii="Verdana" w:hAnsi="Verdana"/>
                <w:sz w:val="16"/>
                <w:szCs w:val="16"/>
              </w:rPr>
              <w:t>Cronograma calendarizado del desarrollo técnico y financiero del proyecto;</w:t>
            </w:r>
          </w:p>
        </w:tc>
        <w:tc>
          <w:tcPr>
            <w:tcW w:w="4644" w:type="dxa"/>
          </w:tcPr>
          <w:p w14:paraId="12BFF6CD" w14:textId="08DA919D"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8</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Scheduled</w:t>
            </w:r>
            <w:proofErr w:type="gramEnd"/>
            <w:r w:rsidRPr="00913574">
              <w:rPr>
                <w:rFonts w:ascii="Verdana" w:hAnsi="Verdana"/>
                <w:sz w:val="16"/>
                <w:szCs w:val="16"/>
                <w:lang w:val="en-US"/>
              </w:rPr>
              <w:t xml:space="preserve"> timeline for the technical and financial development of the project;</w:t>
            </w:r>
          </w:p>
        </w:tc>
      </w:tr>
      <w:tr w:rsidR="003A38FF" w:rsidRPr="00067E05" w14:paraId="502D0354" w14:textId="696BCE84" w:rsidTr="00FB5DAD">
        <w:tc>
          <w:tcPr>
            <w:tcW w:w="4706" w:type="dxa"/>
          </w:tcPr>
          <w:p w14:paraId="33DA138E"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Acreditar su capacidad jurídica:</w:t>
            </w:r>
          </w:p>
        </w:tc>
        <w:tc>
          <w:tcPr>
            <w:tcW w:w="4644" w:type="dxa"/>
          </w:tcPr>
          <w:p w14:paraId="67DE990F" w14:textId="129DC91A"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II</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Pr>
                <w:rFonts w:ascii="Verdana" w:hAnsi="Verdana"/>
                <w:sz w:val="16"/>
                <w:szCs w:val="16"/>
                <w:lang w:val="en-US"/>
              </w:rPr>
              <w:t>Verify</w:t>
            </w:r>
            <w:proofErr w:type="gramEnd"/>
            <w:r>
              <w:rPr>
                <w:rFonts w:ascii="Verdana" w:hAnsi="Verdana"/>
                <w:sz w:val="16"/>
                <w:szCs w:val="16"/>
                <w:lang w:val="en-US"/>
              </w:rPr>
              <w:t xml:space="preserve"> legal standing</w:t>
            </w:r>
            <w:r w:rsidRPr="00913574">
              <w:rPr>
                <w:rFonts w:ascii="Verdana" w:hAnsi="Verdana"/>
                <w:sz w:val="16"/>
                <w:szCs w:val="16"/>
                <w:lang w:val="en-US"/>
              </w:rPr>
              <w:t>:</w:t>
            </w:r>
          </w:p>
        </w:tc>
      </w:tr>
      <w:tr w:rsidR="003A38FF" w:rsidRPr="00D0180E" w14:paraId="280782E4" w14:textId="61A2BEFF" w:rsidTr="00FB5DAD">
        <w:tc>
          <w:tcPr>
            <w:tcW w:w="4706" w:type="dxa"/>
          </w:tcPr>
          <w:p w14:paraId="69E59810"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Para personas morales:</w:t>
            </w:r>
          </w:p>
        </w:tc>
        <w:tc>
          <w:tcPr>
            <w:tcW w:w="4644" w:type="dxa"/>
          </w:tcPr>
          <w:p w14:paraId="3B8621B7" w14:textId="55B41399" w:rsidR="003A38FF" w:rsidRPr="00D0180E" w:rsidRDefault="003A38FF" w:rsidP="003A38FF">
            <w:pPr>
              <w:pStyle w:val="Texto"/>
              <w:spacing w:line="220" w:lineRule="exact"/>
              <w:ind w:firstLine="0"/>
              <w:rPr>
                <w:rFonts w:ascii="Verdana" w:hAnsi="Verdana"/>
                <w:b/>
                <w:sz w:val="16"/>
                <w:szCs w:val="16"/>
                <w:lang w:val="en-US"/>
              </w:rPr>
            </w:pPr>
            <w:r w:rsidRPr="00D0180E">
              <w:rPr>
                <w:rFonts w:ascii="Verdana" w:hAnsi="Verdana"/>
                <w:b/>
                <w:sz w:val="16"/>
                <w:szCs w:val="16"/>
              </w:rPr>
              <w:t xml:space="preserve">a) </w:t>
            </w:r>
            <w:r w:rsidRPr="00D0180E">
              <w:rPr>
                <w:rFonts w:ascii="Verdana" w:hAnsi="Verdana"/>
                <w:b/>
                <w:sz w:val="16"/>
                <w:szCs w:val="16"/>
              </w:rPr>
              <w:tab/>
            </w:r>
            <w:r w:rsidRPr="00D0180E">
              <w:rPr>
                <w:rFonts w:ascii="Verdana" w:hAnsi="Verdana"/>
                <w:sz w:val="16"/>
                <w:szCs w:val="16"/>
              </w:rPr>
              <w:t>For legal entities:</w:t>
            </w:r>
          </w:p>
        </w:tc>
      </w:tr>
      <w:tr w:rsidR="003A38FF" w:rsidRPr="00D83DA2" w14:paraId="6CE2D598" w14:textId="23C84498" w:rsidTr="00FB5DAD">
        <w:tc>
          <w:tcPr>
            <w:tcW w:w="4706" w:type="dxa"/>
          </w:tcPr>
          <w:p w14:paraId="43353FF1"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1.</w:t>
            </w:r>
            <w:r w:rsidRPr="00D0180E">
              <w:rPr>
                <w:rFonts w:ascii="Verdana" w:hAnsi="Verdana"/>
                <w:b/>
                <w:sz w:val="16"/>
                <w:szCs w:val="16"/>
              </w:rPr>
              <w:tab/>
            </w:r>
            <w:r w:rsidRPr="00D0180E">
              <w:rPr>
                <w:rFonts w:ascii="Verdana" w:hAnsi="Verdana"/>
                <w:sz w:val="16"/>
                <w:szCs w:val="16"/>
              </w:rPr>
              <w:t>Acta constitutiva y, en su caso, las modificaciones inscritas en el registro público de comercio correspondiente, con las que acredite su existencia legal y que, para permisos de generación bajo la figura de generación para el Mercado Eléctrico Mayorista o de Comercialización, su objeto social se encuentra directamente vinculado con la actividad regulada a desarrollar, y</w:t>
            </w:r>
          </w:p>
        </w:tc>
        <w:tc>
          <w:tcPr>
            <w:tcW w:w="4644" w:type="dxa"/>
          </w:tcPr>
          <w:p w14:paraId="54FC5043" w14:textId="2D75EE40"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1</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Articles</w:t>
            </w:r>
            <w:proofErr w:type="gramEnd"/>
            <w:r w:rsidRPr="00913574">
              <w:rPr>
                <w:rFonts w:ascii="Verdana" w:hAnsi="Verdana"/>
                <w:sz w:val="16"/>
                <w:szCs w:val="16"/>
                <w:lang w:val="en-US"/>
              </w:rPr>
              <w:t xml:space="preserve"> of incorporation and, where applicable, the modifications registered in the corresponding public commercial registry, which </w:t>
            </w:r>
            <w:r>
              <w:rPr>
                <w:rFonts w:ascii="Verdana" w:hAnsi="Verdana"/>
                <w:sz w:val="16"/>
                <w:szCs w:val="16"/>
                <w:lang w:val="en-US"/>
              </w:rPr>
              <w:t>verifies</w:t>
            </w:r>
            <w:r w:rsidRPr="00913574">
              <w:rPr>
                <w:rFonts w:ascii="Verdana" w:hAnsi="Verdana"/>
                <w:sz w:val="16"/>
                <w:szCs w:val="16"/>
                <w:lang w:val="en-US"/>
              </w:rPr>
              <w:t xml:space="preserve"> its legal existence and that, for generation permits under the figure of generation for the wholesale or marketing electricity market, its corporate purpose is directly linked to the regulated activity to be developed, and</w:t>
            </w:r>
          </w:p>
        </w:tc>
      </w:tr>
      <w:tr w:rsidR="003A38FF" w:rsidRPr="00D83DA2" w14:paraId="222F608A" w14:textId="6E9FFA65" w:rsidTr="00FB5DAD">
        <w:tc>
          <w:tcPr>
            <w:tcW w:w="4706" w:type="dxa"/>
          </w:tcPr>
          <w:p w14:paraId="55290847"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2.</w:t>
            </w:r>
            <w:r w:rsidRPr="00D0180E">
              <w:rPr>
                <w:rFonts w:ascii="Verdana" w:hAnsi="Verdana"/>
                <w:b/>
                <w:sz w:val="16"/>
                <w:szCs w:val="16"/>
              </w:rPr>
              <w:tab/>
            </w:r>
            <w:r w:rsidRPr="00D0180E">
              <w:rPr>
                <w:rFonts w:ascii="Verdana" w:hAnsi="Verdana"/>
                <w:sz w:val="16"/>
                <w:szCs w:val="16"/>
              </w:rPr>
              <w:t>Diagrama de la estructura accionaria y corporativa que incluya los porcentajes de participación en el capital social y la identificación de las personas físicas o morales que ejerzan control directo o indirecto sobre la sociedad;</w:t>
            </w:r>
          </w:p>
        </w:tc>
        <w:tc>
          <w:tcPr>
            <w:tcW w:w="4644" w:type="dxa"/>
          </w:tcPr>
          <w:p w14:paraId="0A55EFA7" w14:textId="540F6089"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 xml:space="preserve">2. </w:t>
            </w:r>
            <w:r w:rsidRPr="00913574">
              <w:rPr>
                <w:rFonts w:ascii="Verdana" w:hAnsi="Verdana"/>
                <w:b/>
                <w:sz w:val="16"/>
                <w:szCs w:val="16"/>
                <w:lang w:val="en-US"/>
              </w:rPr>
              <w:tab/>
            </w:r>
            <w:r w:rsidRPr="00913574">
              <w:rPr>
                <w:rFonts w:ascii="Verdana" w:hAnsi="Verdana"/>
                <w:sz w:val="16"/>
                <w:szCs w:val="16"/>
                <w:lang w:val="en-US"/>
              </w:rPr>
              <w:t xml:space="preserve">Diagram of the shareholding and corporate structure that includes the percentages of participation in the share capital and the identification of the </w:t>
            </w:r>
            <w:r>
              <w:rPr>
                <w:rFonts w:ascii="Verdana" w:hAnsi="Verdana"/>
                <w:sz w:val="16"/>
                <w:szCs w:val="16"/>
                <w:lang w:val="en-US"/>
              </w:rPr>
              <w:t>Individual or legal entitie</w:t>
            </w:r>
            <w:r w:rsidRPr="00913574">
              <w:rPr>
                <w:rFonts w:ascii="Verdana" w:hAnsi="Verdana"/>
                <w:sz w:val="16"/>
                <w:szCs w:val="16"/>
                <w:lang w:val="en-US"/>
              </w:rPr>
              <w:t>s that exercise direct or indirect control over the company;</w:t>
            </w:r>
          </w:p>
        </w:tc>
      </w:tr>
      <w:tr w:rsidR="003A38FF" w:rsidRPr="00D0180E" w14:paraId="5E3DD281" w14:textId="1DD78FFE" w:rsidTr="00FB5DAD">
        <w:tc>
          <w:tcPr>
            <w:tcW w:w="4706" w:type="dxa"/>
          </w:tcPr>
          <w:p w14:paraId="0E975252"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Para personas físicas:</w:t>
            </w:r>
          </w:p>
        </w:tc>
        <w:tc>
          <w:tcPr>
            <w:tcW w:w="4644" w:type="dxa"/>
          </w:tcPr>
          <w:p w14:paraId="71BBD132" w14:textId="337C35D7" w:rsidR="003A38FF" w:rsidRPr="00897F4B" w:rsidRDefault="003A38FF" w:rsidP="003A38FF">
            <w:pPr>
              <w:pStyle w:val="Texto"/>
              <w:spacing w:line="220" w:lineRule="exact"/>
              <w:ind w:firstLine="0"/>
              <w:rPr>
                <w:rFonts w:ascii="Verdana" w:hAnsi="Verdana"/>
                <w:b/>
                <w:sz w:val="16"/>
                <w:szCs w:val="16"/>
                <w:lang w:val="en-US"/>
              </w:rPr>
            </w:pPr>
            <w:r w:rsidRPr="00897F4B">
              <w:rPr>
                <w:rFonts w:ascii="Verdana" w:hAnsi="Verdana"/>
                <w:b/>
                <w:sz w:val="16"/>
                <w:szCs w:val="16"/>
                <w:lang w:val="en-US"/>
              </w:rPr>
              <w:t>b</w:t>
            </w:r>
            <w:proofErr w:type="gramStart"/>
            <w:r w:rsidRPr="00897F4B">
              <w:rPr>
                <w:rFonts w:ascii="Verdana" w:hAnsi="Verdana"/>
                <w:b/>
                <w:sz w:val="16"/>
                <w:szCs w:val="16"/>
                <w:lang w:val="en-US"/>
              </w:rPr>
              <w:t xml:space="preserve">) </w:t>
            </w:r>
            <w:r w:rsidRPr="00897F4B">
              <w:rPr>
                <w:rFonts w:ascii="Verdana" w:hAnsi="Verdana"/>
                <w:b/>
                <w:sz w:val="16"/>
                <w:szCs w:val="16"/>
                <w:lang w:val="en-US"/>
              </w:rPr>
              <w:tab/>
            </w:r>
            <w:r w:rsidRPr="00897F4B">
              <w:rPr>
                <w:rFonts w:ascii="Verdana" w:hAnsi="Verdana"/>
                <w:sz w:val="16"/>
                <w:szCs w:val="16"/>
                <w:lang w:val="en-US"/>
              </w:rPr>
              <w:t>For</w:t>
            </w:r>
            <w:proofErr w:type="gramEnd"/>
            <w:r w:rsidRPr="00897F4B">
              <w:rPr>
                <w:rFonts w:ascii="Verdana" w:hAnsi="Verdana"/>
                <w:sz w:val="16"/>
                <w:szCs w:val="16"/>
                <w:lang w:val="en-US"/>
              </w:rPr>
              <w:t xml:space="preserve"> individuals:</w:t>
            </w:r>
          </w:p>
        </w:tc>
      </w:tr>
      <w:tr w:rsidR="003A38FF" w:rsidRPr="00D0180E" w14:paraId="0D7140DE" w14:textId="4D5567C5" w:rsidTr="00FB5DAD">
        <w:tc>
          <w:tcPr>
            <w:tcW w:w="4706" w:type="dxa"/>
          </w:tcPr>
          <w:p w14:paraId="04C179FB"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1.</w:t>
            </w:r>
            <w:r w:rsidRPr="00D0180E">
              <w:rPr>
                <w:rFonts w:ascii="Verdana" w:hAnsi="Verdana"/>
                <w:b/>
                <w:sz w:val="16"/>
                <w:szCs w:val="16"/>
              </w:rPr>
              <w:tab/>
            </w:r>
            <w:r w:rsidRPr="00D0180E">
              <w:rPr>
                <w:rFonts w:ascii="Verdana" w:hAnsi="Verdana"/>
                <w:sz w:val="16"/>
                <w:szCs w:val="16"/>
              </w:rPr>
              <w:t>Identificación oficial vigente, y</w:t>
            </w:r>
          </w:p>
        </w:tc>
        <w:tc>
          <w:tcPr>
            <w:tcW w:w="4644" w:type="dxa"/>
          </w:tcPr>
          <w:p w14:paraId="607ACD1A" w14:textId="3F2A3D97" w:rsidR="003A38FF" w:rsidRPr="00897F4B" w:rsidRDefault="003A38FF" w:rsidP="003A38FF">
            <w:pPr>
              <w:pStyle w:val="Texto"/>
              <w:spacing w:line="220" w:lineRule="exact"/>
              <w:ind w:firstLine="0"/>
              <w:rPr>
                <w:rFonts w:ascii="Verdana" w:hAnsi="Verdana"/>
                <w:b/>
                <w:sz w:val="16"/>
                <w:szCs w:val="16"/>
                <w:lang w:val="en-US"/>
              </w:rPr>
            </w:pPr>
            <w:r w:rsidRPr="00897F4B">
              <w:rPr>
                <w:rFonts w:ascii="Verdana" w:hAnsi="Verdana"/>
                <w:b/>
                <w:sz w:val="16"/>
                <w:szCs w:val="16"/>
                <w:lang w:val="en-US"/>
              </w:rPr>
              <w:t>1</w:t>
            </w:r>
            <w:proofErr w:type="gramStart"/>
            <w:r w:rsidRPr="00897F4B">
              <w:rPr>
                <w:rFonts w:ascii="Verdana" w:hAnsi="Verdana"/>
                <w:b/>
                <w:sz w:val="16"/>
                <w:szCs w:val="16"/>
                <w:lang w:val="en-US"/>
              </w:rPr>
              <w:t xml:space="preserve">. </w:t>
            </w:r>
            <w:r w:rsidRPr="00897F4B">
              <w:rPr>
                <w:rFonts w:ascii="Verdana" w:hAnsi="Verdana"/>
                <w:b/>
                <w:sz w:val="16"/>
                <w:szCs w:val="16"/>
                <w:lang w:val="en-US"/>
              </w:rPr>
              <w:tab/>
            </w:r>
            <w:r w:rsidRPr="00897F4B">
              <w:rPr>
                <w:rFonts w:ascii="Verdana" w:hAnsi="Verdana"/>
                <w:sz w:val="16"/>
                <w:szCs w:val="16"/>
                <w:lang w:val="en-US"/>
              </w:rPr>
              <w:t>Valid</w:t>
            </w:r>
            <w:proofErr w:type="gramEnd"/>
            <w:r w:rsidRPr="00897F4B">
              <w:rPr>
                <w:rFonts w:ascii="Verdana" w:hAnsi="Verdana"/>
                <w:sz w:val="16"/>
                <w:szCs w:val="16"/>
                <w:lang w:val="en-US"/>
              </w:rPr>
              <w:t xml:space="preserve"> official identification, and</w:t>
            </w:r>
          </w:p>
        </w:tc>
      </w:tr>
      <w:tr w:rsidR="003A38FF" w:rsidRPr="00D83DA2" w14:paraId="38AE8A90" w14:textId="621B44CC" w:rsidTr="00FB5DAD">
        <w:tc>
          <w:tcPr>
            <w:tcW w:w="4706" w:type="dxa"/>
          </w:tcPr>
          <w:p w14:paraId="4CD23E58"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2.</w:t>
            </w:r>
            <w:r w:rsidRPr="00D0180E">
              <w:rPr>
                <w:rFonts w:ascii="Verdana" w:hAnsi="Verdana"/>
                <w:b/>
                <w:sz w:val="16"/>
                <w:szCs w:val="16"/>
              </w:rPr>
              <w:tab/>
            </w:r>
            <w:r w:rsidRPr="00D0180E">
              <w:rPr>
                <w:rFonts w:ascii="Verdana" w:hAnsi="Verdana"/>
                <w:sz w:val="16"/>
                <w:szCs w:val="16"/>
              </w:rPr>
              <w:t>Acreditar que la actividad regulada a desarrollar se encuentre directamente vinculada con la actividad económica de la persona solicitante conforme a su constancia de situación fiscal;</w:t>
            </w:r>
          </w:p>
        </w:tc>
        <w:tc>
          <w:tcPr>
            <w:tcW w:w="4644" w:type="dxa"/>
          </w:tcPr>
          <w:p w14:paraId="4B2B2498" w14:textId="3D0D0813"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2</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Pr>
                <w:rFonts w:ascii="Verdana" w:hAnsi="Verdana"/>
                <w:sz w:val="16"/>
                <w:szCs w:val="16"/>
                <w:lang w:val="en-US"/>
              </w:rPr>
              <w:t>Verify</w:t>
            </w:r>
            <w:proofErr w:type="gramEnd"/>
            <w:r w:rsidRPr="00913574">
              <w:rPr>
                <w:rFonts w:ascii="Verdana" w:hAnsi="Verdana"/>
                <w:sz w:val="16"/>
                <w:szCs w:val="16"/>
                <w:lang w:val="en-US"/>
              </w:rPr>
              <w:t xml:space="preserve"> that the regulated activity to be </w:t>
            </w:r>
            <w:r>
              <w:rPr>
                <w:rFonts w:ascii="Verdana" w:hAnsi="Verdana"/>
                <w:sz w:val="16"/>
                <w:szCs w:val="16"/>
                <w:lang w:val="en-US"/>
              </w:rPr>
              <w:t>carried out</w:t>
            </w:r>
            <w:r w:rsidRPr="00913574">
              <w:rPr>
                <w:rFonts w:ascii="Verdana" w:hAnsi="Verdana"/>
                <w:sz w:val="16"/>
                <w:szCs w:val="16"/>
                <w:lang w:val="en-US"/>
              </w:rPr>
              <w:t xml:space="preserve"> is directly linked to the economic activity of the applicant according to their tax status certificate;</w:t>
            </w:r>
          </w:p>
        </w:tc>
      </w:tr>
      <w:tr w:rsidR="003A38FF" w:rsidRPr="00D83DA2" w14:paraId="663F550E" w14:textId="5127B6EE" w:rsidTr="00FB5DAD">
        <w:tc>
          <w:tcPr>
            <w:tcW w:w="4706" w:type="dxa"/>
          </w:tcPr>
          <w:p w14:paraId="1B0692ED"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lastRenderedPageBreak/>
              <w:t>c)</w:t>
            </w:r>
            <w:r w:rsidRPr="00D0180E">
              <w:rPr>
                <w:rFonts w:ascii="Verdana" w:hAnsi="Verdana"/>
                <w:b/>
                <w:sz w:val="16"/>
                <w:szCs w:val="16"/>
              </w:rPr>
              <w:tab/>
            </w:r>
            <w:r w:rsidRPr="00D0180E">
              <w:rPr>
                <w:rFonts w:ascii="Verdana" w:hAnsi="Verdana"/>
                <w:sz w:val="16"/>
                <w:szCs w:val="16"/>
              </w:rPr>
              <w:t>Para el representante legal o apoderado de la persona solicitante, la identificación oficial e instrumento notarial vigente para acreditar su personalidad, así como sus facultades;</w:t>
            </w:r>
          </w:p>
        </w:tc>
        <w:tc>
          <w:tcPr>
            <w:tcW w:w="4644" w:type="dxa"/>
          </w:tcPr>
          <w:p w14:paraId="7BA1AEE2" w14:textId="79240DCC"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c</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For</w:t>
            </w:r>
            <w:proofErr w:type="gramEnd"/>
            <w:r w:rsidRPr="00913574">
              <w:rPr>
                <w:rFonts w:ascii="Verdana" w:hAnsi="Verdana"/>
                <w:sz w:val="16"/>
                <w:szCs w:val="16"/>
                <w:lang w:val="en-US"/>
              </w:rPr>
              <w:t xml:space="preserve"> the legal representative or attorney of the applicant, official identification and a valid notarial instrument to prove </w:t>
            </w:r>
            <w:r>
              <w:rPr>
                <w:rFonts w:ascii="Verdana" w:hAnsi="Verdana"/>
                <w:sz w:val="16"/>
                <w:szCs w:val="16"/>
                <w:lang w:val="en-US"/>
              </w:rPr>
              <w:t>his or her</w:t>
            </w:r>
            <w:r w:rsidRPr="00913574">
              <w:rPr>
                <w:rFonts w:ascii="Verdana" w:hAnsi="Verdana"/>
                <w:sz w:val="16"/>
                <w:szCs w:val="16"/>
                <w:lang w:val="en-US"/>
              </w:rPr>
              <w:t xml:space="preserve"> identity and powers;</w:t>
            </w:r>
          </w:p>
        </w:tc>
      </w:tr>
      <w:tr w:rsidR="003A38FF" w:rsidRPr="00D83DA2" w14:paraId="1C191BDE" w14:textId="04BF1FEC" w:rsidTr="00FB5DAD">
        <w:tc>
          <w:tcPr>
            <w:tcW w:w="4706" w:type="dxa"/>
          </w:tcPr>
          <w:p w14:paraId="26AED474"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Constancia de situación fiscal que acredite la inscripción de la persona solicitante y del representante legal en el Registro Federal de Contribuyentes, su domicilio fiscal, así como las actividades económicas vinculadas a la actividad regulada con la opinión del cumplimiento de obligaciones fiscales en sentido positivo;</w:t>
            </w:r>
          </w:p>
        </w:tc>
        <w:tc>
          <w:tcPr>
            <w:tcW w:w="4644" w:type="dxa"/>
          </w:tcPr>
          <w:p w14:paraId="3338521D" w14:textId="2C4EA08A"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III</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Proof</w:t>
            </w:r>
            <w:proofErr w:type="gramEnd"/>
            <w:r w:rsidRPr="00913574">
              <w:rPr>
                <w:rFonts w:ascii="Verdana" w:hAnsi="Verdana"/>
                <w:sz w:val="16"/>
                <w:szCs w:val="16"/>
                <w:lang w:val="en-US"/>
              </w:rPr>
              <w:t xml:space="preserve"> of tax status that accredits the registration of the applicant and the legal representative in the Federal Registry of Taxpayers, their tax domicile, as well as the economic activities linked to the regulated activity with the opinion of compliance with tax obligations in a positive sense;</w:t>
            </w:r>
          </w:p>
        </w:tc>
      </w:tr>
      <w:tr w:rsidR="003A38FF" w:rsidRPr="00D83DA2" w14:paraId="0C95B8A7" w14:textId="12B2F0EA" w:rsidTr="00FB5DAD">
        <w:tc>
          <w:tcPr>
            <w:tcW w:w="4706" w:type="dxa"/>
          </w:tcPr>
          <w:p w14:paraId="0A4ED032"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Acreditar la propiedad, posesión legítima, uso o goce del predio;</w:t>
            </w:r>
          </w:p>
        </w:tc>
        <w:tc>
          <w:tcPr>
            <w:tcW w:w="4644" w:type="dxa"/>
          </w:tcPr>
          <w:p w14:paraId="75D0F455" w14:textId="36BF6282"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IV</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Pr>
                <w:rFonts w:ascii="Verdana" w:hAnsi="Verdana"/>
                <w:sz w:val="16"/>
                <w:szCs w:val="16"/>
                <w:lang w:val="en-US"/>
              </w:rPr>
              <w:t>Verify</w:t>
            </w:r>
            <w:proofErr w:type="gramEnd"/>
            <w:r w:rsidRPr="00913574">
              <w:rPr>
                <w:rFonts w:ascii="Verdana" w:hAnsi="Verdana"/>
                <w:sz w:val="16"/>
                <w:szCs w:val="16"/>
                <w:lang w:val="en-US"/>
              </w:rPr>
              <w:t xml:space="preserve"> ownership, legitimate possession, use or enjoyment of the property;</w:t>
            </w:r>
          </w:p>
        </w:tc>
      </w:tr>
      <w:tr w:rsidR="003A38FF" w:rsidRPr="00D83DA2" w14:paraId="43BA07C3" w14:textId="6C3A4AFA" w:rsidTr="00FB5DAD">
        <w:tc>
          <w:tcPr>
            <w:tcW w:w="4706" w:type="dxa"/>
          </w:tcPr>
          <w:p w14:paraId="66D991C4"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Acreditar el pago de derechos o aprovechamientos correspondientes,</w:t>
            </w:r>
          </w:p>
        </w:tc>
        <w:tc>
          <w:tcPr>
            <w:tcW w:w="4644" w:type="dxa"/>
          </w:tcPr>
          <w:p w14:paraId="135B3A74" w14:textId="5970E958"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V</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Pr>
                <w:rFonts w:ascii="Verdana" w:hAnsi="Verdana"/>
                <w:sz w:val="16"/>
                <w:szCs w:val="16"/>
                <w:lang w:val="en-US"/>
              </w:rPr>
              <w:t>Verify</w:t>
            </w:r>
            <w:proofErr w:type="gramEnd"/>
            <w:r w:rsidRPr="00913574">
              <w:rPr>
                <w:rFonts w:ascii="Verdana" w:hAnsi="Verdana"/>
                <w:sz w:val="16"/>
                <w:szCs w:val="16"/>
                <w:lang w:val="en-US"/>
              </w:rPr>
              <w:t xml:space="preserve"> payment of the corresponding rights or benefits,</w:t>
            </w:r>
          </w:p>
        </w:tc>
      </w:tr>
      <w:tr w:rsidR="003A38FF" w:rsidRPr="00D83DA2" w14:paraId="729B6D4E" w14:textId="2DDE41B1" w:rsidTr="00FB5DAD">
        <w:tc>
          <w:tcPr>
            <w:tcW w:w="4706" w:type="dxa"/>
          </w:tcPr>
          <w:p w14:paraId="52C88B78"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Acuse de recepción o en su caso, autorización en materia de impacto ambiental emitida por la autoridad competente, así como cualquier documento que lo modifique o sustituya, y</w:t>
            </w:r>
          </w:p>
        </w:tc>
        <w:tc>
          <w:tcPr>
            <w:tcW w:w="4644" w:type="dxa"/>
          </w:tcPr>
          <w:p w14:paraId="428AFD11" w14:textId="7DF206A9"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VI</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Acknowledgment</w:t>
            </w:r>
            <w:proofErr w:type="gramEnd"/>
            <w:r w:rsidRPr="00913574">
              <w:rPr>
                <w:rFonts w:ascii="Verdana" w:hAnsi="Verdana"/>
                <w:sz w:val="16"/>
                <w:szCs w:val="16"/>
                <w:lang w:val="en-US"/>
              </w:rPr>
              <w:t xml:space="preserve"> of receipt or, where applicable, authorization regarding environmental impact issued by the </w:t>
            </w:r>
            <w:r>
              <w:rPr>
                <w:rFonts w:ascii="Verdana" w:hAnsi="Verdana"/>
                <w:sz w:val="16"/>
                <w:szCs w:val="16"/>
                <w:lang w:val="en-US"/>
              </w:rPr>
              <w:t>appropriate authority</w:t>
            </w:r>
            <w:r w:rsidRPr="00913574">
              <w:rPr>
                <w:rFonts w:ascii="Verdana" w:hAnsi="Verdana"/>
                <w:sz w:val="16"/>
                <w:szCs w:val="16"/>
                <w:lang w:val="en-US"/>
              </w:rPr>
              <w:t>, as well as any document that modifies or replaces it, and</w:t>
            </w:r>
          </w:p>
        </w:tc>
      </w:tr>
      <w:tr w:rsidR="003A38FF" w:rsidRPr="00D83DA2" w14:paraId="2C421EE1" w14:textId="691B3FE1" w:rsidTr="00FB5DAD">
        <w:tc>
          <w:tcPr>
            <w:tcW w:w="4706" w:type="dxa"/>
          </w:tcPr>
          <w:p w14:paraId="4FBD4D0F"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La demás información y documentación que se determine en las disposiciones normativas que para tal efecto se emitan.</w:t>
            </w:r>
          </w:p>
        </w:tc>
        <w:tc>
          <w:tcPr>
            <w:tcW w:w="4644" w:type="dxa"/>
          </w:tcPr>
          <w:p w14:paraId="556E783F" w14:textId="428E262C"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VII</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Other</w:t>
            </w:r>
            <w:proofErr w:type="gramEnd"/>
            <w:r w:rsidRPr="00913574">
              <w:rPr>
                <w:rFonts w:ascii="Verdana" w:hAnsi="Verdana"/>
                <w:sz w:val="16"/>
                <w:szCs w:val="16"/>
                <w:lang w:val="en-US"/>
              </w:rPr>
              <w:t xml:space="preserve"> information and documentation determined in the regulatory provisions issued for such purpose.</w:t>
            </w:r>
          </w:p>
        </w:tc>
      </w:tr>
      <w:tr w:rsidR="003A38FF" w:rsidRPr="00D83DA2" w14:paraId="52A1089B" w14:textId="0A07FD1B" w:rsidTr="00FB5DAD">
        <w:tc>
          <w:tcPr>
            <w:tcW w:w="4706" w:type="dxa"/>
          </w:tcPr>
          <w:p w14:paraId="7FA75CD3"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sz w:val="16"/>
                <w:szCs w:val="16"/>
              </w:rPr>
              <w:t>Los permisos o autorizaciones se deben otorgar a todas aquellas personas físicas o morales que cumplan con los requisitos establecidos en este reglamento y en las disposiciones administrativas de carácter general que para tal efecto expida la Secretaría o la CNE, según corresponda.</w:t>
            </w:r>
          </w:p>
        </w:tc>
        <w:tc>
          <w:tcPr>
            <w:tcW w:w="4644" w:type="dxa"/>
          </w:tcPr>
          <w:p w14:paraId="6F859DB8" w14:textId="16350718" w:rsidR="003A38FF" w:rsidRPr="00D0180E" w:rsidRDefault="003A38FF" w:rsidP="003A38FF">
            <w:pPr>
              <w:pStyle w:val="Texto"/>
              <w:spacing w:line="230" w:lineRule="exact"/>
              <w:ind w:firstLine="0"/>
              <w:rPr>
                <w:rFonts w:ascii="Verdana" w:hAnsi="Verdana"/>
                <w:sz w:val="16"/>
                <w:szCs w:val="16"/>
                <w:lang w:val="en-US"/>
              </w:rPr>
            </w:pPr>
            <w:r w:rsidRPr="00913574">
              <w:rPr>
                <w:rFonts w:ascii="Verdana" w:hAnsi="Verdana"/>
                <w:sz w:val="16"/>
                <w:szCs w:val="16"/>
                <w:lang w:val="en-US"/>
              </w:rPr>
              <w:t xml:space="preserve">Permits or </w:t>
            </w:r>
            <w:proofErr w:type="gramStart"/>
            <w:r w:rsidRPr="00913574">
              <w:rPr>
                <w:rFonts w:ascii="Verdana" w:hAnsi="Verdana"/>
                <w:sz w:val="16"/>
                <w:szCs w:val="16"/>
                <w:lang w:val="en-US"/>
              </w:rPr>
              <w:t>authorizations</w:t>
            </w:r>
            <w:proofErr w:type="gramEnd"/>
            <w:r w:rsidRPr="00913574">
              <w:rPr>
                <w:rFonts w:ascii="Verdana" w:hAnsi="Verdana"/>
                <w:sz w:val="16"/>
                <w:szCs w:val="16"/>
                <w:lang w:val="en-US"/>
              </w:rPr>
              <w:t xml:space="preserve"> must be granted to all individuals or legal entities that meet the requirements established in this regulation and in the general administrative provisions issued for this purpose by the Secretary or the CNE, as appropriate.</w:t>
            </w:r>
          </w:p>
        </w:tc>
      </w:tr>
      <w:tr w:rsidR="003A38FF" w:rsidRPr="00D83DA2" w14:paraId="0F7138FA" w14:textId="74007C6C" w:rsidTr="00FB5DAD">
        <w:tc>
          <w:tcPr>
            <w:tcW w:w="4706" w:type="dxa"/>
          </w:tcPr>
          <w:p w14:paraId="06D40930"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sz w:val="16"/>
                <w:szCs w:val="16"/>
              </w:rPr>
              <w:t>Para el caso de las autorizaciones de las Manifestaciones de Impacto Social del Sector Energético, se debe estar a lo previsto en el Capítulo I del Título Sexto del presente reglamento y en las disposiciones administrativas de carácter general en materia de impacto social.</w:t>
            </w:r>
          </w:p>
        </w:tc>
        <w:tc>
          <w:tcPr>
            <w:tcW w:w="4644" w:type="dxa"/>
          </w:tcPr>
          <w:p w14:paraId="51B240AE" w14:textId="77E265B1" w:rsidR="003A38FF" w:rsidRPr="00D0180E" w:rsidRDefault="003A38FF" w:rsidP="003A38FF">
            <w:pPr>
              <w:pStyle w:val="Texto"/>
              <w:spacing w:line="230" w:lineRule="exact"/>
              <w:ind w:firstLine="0"/>
              <w:rPr>
                <w:rFonts w:ascii="Verdana" w:hAnsi="Verdana"/>
                <w:sz w:val="16"/>
                <w:szCs w:val="16"/>
                <w:lang w:val="en-US"/>
              </w:rPr>
            </w:pPr>
            <w:r w:rsidRPr="00913574">
              <w:rPr>
                <w:rFonts w:ascii="Verdana" w:hAnsi="Verdana"/>
                <w:sz w:val="16"/>
                <w:szCs w:val="16"/>
                <w:lang w:val="en-US"/>
              </w:rPr>
              <w:t>In the case of authorizations for Social Impact Statements in the energy sector, the provisions of Chapter I of</w:t>
            </w:r>
            <w:r>
              <w:rPr>
                <w:rFonts w:ascii="Verdana" w:hAnsi="Verdana"/>
                <w:sz w:val="16"/>
                <w:szCs w:val="16"/>
                <w:lang w:val="en-US"/>
              </w:rPr>
              <w:t xml:space="preserve"> Sixth</w:t>
            </w:r>
            <w:r w:rsidRPr="00913574">
              <w:rPr>
                <w:rFonts w:ascii="Verdana" w:hAnsi="Verdana"/>
                <w:sz w:val="16"/>
                <w:szCs w:val="16"/>
                <w:lang w:val="en-US"/>
              </w:rPr>
              <w:t xml:space="preserve"> Title of this regulation and the general administrative provisions on social impact must be followed.</w:t>
            </w:r>
          </w:p>
        </w:tc>
      </w:tr>
      <w:tr w:rsidR="003A38FF" w:rsidRPr="00D83DA2" w14:paraId="6E7F5B9F" w14:textId="3E684062" w:rsidTr="00FB5DAD">
        <w:tc>
          <w:tcPr>
            <w:tcW w:w="4706" w:type="dxa"/>
          </w:tcPr>
          <w:p w14:paraId="05A38DB0"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sz w:val="16"/>
                <w:szCs w:val="16"/>
                <w:lang w:val="es"/>
              </w:rPr>
              <w:t xml:space="preserve">La acreditación de la propiedad, posesión legítima, uso o goce del predio a que se refiere </w:t>
            </w:r>
            <w:r w:rsidRPr="00D0180E">
              <w:rPr>
                <w:rFonts w:ascii="Verdana" w:hAnsi="Verdana"/>
                <w:sz w:val="16"/>
                <w:szCs w:val="16"/>
              </w:rPr>
              <w:t>la fracción IV del presente artículo, no resulta aplicable al permiso de generación de energía eléctrica de Centrales Eléctricas que pretendan realizar el aprovechamiento de un yacimiento geotérmico o del recurso hidráulico, toda vez que dichas actividades están sujetas al cumplimiento de las disposiciones en materia de uso y ocupación superficial.</w:t>
            </w:r>
          </w:p>
        </w:tc>
        <w:tc>
          <w:tcPr>
            <w:tcW w:w="4644" w:type="dxa"/>
          </w:tcPr>
          <w:p w14:paraId="407ABC07" w14:textId="7D5ACFDC" w:rsidR="003A38FF" w:rsidRPr="00D0180E" w:rsidRDefault="003A38FF" w:rsidP="003A38FF">
            <w:pPr>
              <w:pStyle w:val="Texto"/>
              <w:spacing w:line="230" w:lineRule="exact"/>
              <w:ind w:firstLine="0"/>
              <w:rPr>
                <w:rFonts w:ascii="Verdana" w:hAnsi="Verdana"/>
                <w:sz w:val="16"/>
                <w:szCs w:val="16"/>
                <w:lang w:val="en-US"/>
              </w:rPr>
            </w:pPr>
            <w:r w:rsidRPr="00913574">
              <w:rPr>
                <w:rFonts w:ascii="Verdana" w:hAnsi="Verdana"/>
                <w:sz w:val="16"/>
                <w:szCs w:val="16"/>
                <w:lang w:val="en-US"/>
              </w:rPr>
              <w:t>The accreditation of ownership, legitimate possession, use or enjoyment of the property referred to in Section IV of this article is not applicable to the permit for the generation of electric energy by power plants that intend to exploit a geothermal deposit or hydraulic resource, since such activities are subject to compliance with the provisions regarding surface use and occupation.</w:t>
            </w:r>
          </w:p>
        </w:tc>
      </w:tr>
      <w:tr w:rsidR="003A38FF" w:rsidRPr="00D83DA2" w14:paraId="1A1DC5FC" w14:textId="3F8C3CDF" w:rsidTr="00FB5DAD">
        <w:tc>
          <w:tcPr>
            <w:tcW w:w="4706" w:type="dxa"/>
          </w:tcPr>
          <w:p w14:paraId="26EAD5EE"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sz w:val="16"/>
                <w:szCs w:val="16"/>
              </w:rPr>
              <w:t>En ningún caso se debe iniciar la construcción, el desarrollo o la ejecución de la infraestructura asociada al permiso o autorización, hasta contar con la autorización definitiva en materia de impacto social correspondiente, emitida por la autoridad competente, y se haya notificado formalmente su obtención a la Secretaría o a la CNE, según corresponda.</w:t>
            </w:r>
          </w:p>
        </w:tc>
        <w:tc>
          <w:tcPr>
            <w:tcW w:w="4644" w:type="dxa"/>
          </w:tcPr>
          <w:p w14:paraId="0208192C" w14:textId="2C57D7E2" w:rsidR="003A38FF" w:rsidRPr="00D0180E" w:rsidRDefault="003A38FF" w:rsidP="003A38FF">
            <w:pPr>
              <w:pStyle w:val="Texto"/>
              <w:spacing w:line="230" w:lineRule="exact"/>
              <w:ind w:firstLine="0"/>
              <w:rPr>
                <w:rFonts w:ascii="Verdana" w:hAnsi="Verdana"/>
                <w:sz w:val="16"/>
                <w:szCs w:val="16"/>
                <w:lang w:val="en-US"/>
              </w:rPr>
            </w:pPr>
            <w:r w:rsidRPr="00913574">
              <w:rPr>
                <w:rFonts w:ascii="Verdana" w:hAnsi="Verdana"/>
                <w:sz w:val="16"/>
                <w:szCs w:val="16"/>
                <w:lang w:val="en-US"/>
              </w:rPr>
              <w:t>In no case should the construction, development or execution of the infrastructure associated with the permit or authorization begin until the final authorization in terms of</w:t>
            </w:r>
            <w:r>
              <w:rPr>
                <w:rFonts w:ascii="Verdana" w:hAnsi="Verdana"/>
                <w:sz w:val="16"/>
                <w:szCs w:val="16"/>
                <w:lang w:val="en-US"/>
              </w:rPr>
              <w:t xml:space="preserve"> the</w:t>
            </w:r>
            <w:r w:rsidRPr="00913574">
              <w:rPr>
                <w:rFonts w:ascii="Verdana" w:hAnsi="Verdana"/>
                <w:sz w:val="16"/>
                <w:szCs w:val="16"/>
                <w:lang w:val="en-US"/>
              </w:rPr>
              <w:t xml:space="preserve"> corresponding social impact has been issued by the </w:t>
            </w:r>
            <w:r>
              <w:rPr>
                <w:rFonts w:ascii="Verdana" w:hAnsi="Verdana"/>
                <w:sz w:val="16"/>
                <w:szCs w:val="16"/>
                <w:lang w:val="en-US"/>
              </w:rPr>
              <w:t>appropriate authority</w:t>
            </w:r>
            <w:r w:rsidRPr="00913574">
              <w:rPr>
                <w:rFonts w:ascii="Verdana" w:hAnsi="Verdana"/>
                <w:sz w:val="16"/>
                <w:szCs w:val="16"/>
                <w:lang w:val="en-US"/>
              </w:rPr>
              <w:t>, and its obtaining has been formally notified to the Secretary or the CNE, as appropriate.</w:t>
            </w:r>
          </w:p>
        </w:tc>
      </w:tr>
      <w:tr w:rsidR="003A38FF" w:rsidRPr="00D83DA2" w14:paraId="70118908" w14:textId="0BBA5E84" w:rsidTr="00FB5DAD">
        <w:tc>
          <w:tcPr>
            <w:tcW w:w="4706" w:type="dxa"/>
          </w:tcPr>
          <w:p w14:paraId="034102B5"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b/>
                <w:sz w:val="16"/>
                <w:szCs w:val="16"/>
              </w:rPr>
              <w:t>Artículo 24.</w:t>
            </w:r>
            <w:r w:rsidRPr="00D0180E">
              <w:rPr>
                <w:rFonts w:ascii="Verdana" w:hAnsi="Verdana"/>
                <w:sz w:val="16"/>
                <w:szCs w:val="16"/>
              </w:rPr>
              <w:t xml:space="preserve"> Las solicitudes de permisos y autorizaciones, así como de sus modificaciones, deben </w:t>
            </w:r>
            <w:r w:rsidRPr="00D0180E">
              <w:rPr>
                <w:rFonts w:ascii="Verdana" w:hAnsi="Verdana"/>
                <w:sz w:val="16"/>
                <w:szCs w:val="16"/>
              </w:rPr>
              <w:lastRenderedPageBreak/>
              <w:t>contener, además de los requisitos establecidos en el artículo anterior, los siguientes datos mínimos de conformidad con la actividad regulada:</w:t>
            </w:r>
          </w:p>
        </w:tc>
        <w:tc>
          <w:tcPr>
            <w:tcW w:w="4644" w:type="dxa"/>
          </w:tcPr>
          <w:p w14:paraId="07C8A3E8" w14:textId="32044011" w:rsidR="003A38FF" w:rsidRPr="00D0180E" w:rsidRDefault="003A38FF" w:rsidP="003A38FF">
            <w:pPr>
              <w:pStyle w:val="Texto"/>
              <w:spacing w:line="230" w:lineRule="exact"/>
              <w:ind w:firstLine="0"/>
              <w:rPr>
                <w:rFonts w:ascii="Verdana" w:hAnsi="Verdana"/>
                <w:b/>
                <w:sz w:val="16"/>
                <w:szCs w:val="16"/>
                <w:lang w:val="en-US"/>
              </w:rPr>
            </w:pPr>
            <w:r w:rsidRPr="00913574">
              <w:rPr>
                <w:rFonts w:ascii="Verdana" w:hAnsi="Verdana"/>
                <w:b/>
                <w:sz w:val="16"/>
                <w:szCs w:val="16"/>
                <w:lang w:val="en-US"/>
              </w:rPr>
              <w:lastRenderedPageBreak/>
              <w:t xml:space="preserve">Article 24. </w:t>
            </w:r>
            <w:r w:rsidRPr="00913574">
              <w:rPr>
                <w:rFonts w:ascii="Verdana" w:hAnsi="Verdana"/>
                <w:sz w:val="16"/>
                <w:szCs w:val="16"/>
                <w:lang w:val="en-US"/>
              </w:rPr>
              <w:t xml:space="preserve">Applications for permits and authorizations, as well as their modifications, must contain, in addition </w:t>
            </w:r>
            <w:r w:rsidRPr="00913574">
              <w:rPr>
                <w:rFonts w:ascii="Verdana" w:hAnsi="Verdana"/>
                <w:sz w:val="16"/>
                <w:szCs w:val="16"/>
                <w:lang w:val="en-US"/>
              </w:rPr>
              <w:lastRenderedPageBreak/>
              <w:t xml:space="preserve">to the requirements established in the </w:t>
            </w:r>
            <w:r>
              <w:rPr>
                <w:rFonts w:ascii="Verdana" w:hAnsi="Verdana"/>
                <w:sz w:val="16"/>
                <w:szCs w:val="16"/>
                <w:lang w:val="en-US"/>
              </w:rPr>
              <w:t>preceding article</w:t>
            </w:r>
            <w:r w:rsidRPr="00913574">
              <w:rPr>
                <w:rFonts w:ascii="Verdana" w:hAnsi="Verdana"/>
                <w:sz w:val="16"/>
                <w:szCs w:val="16"/>
                <w:lang w:val="en-US"/>
              </w:rPr>
              <w:t>, the following minimum data in accordance with the regulated activity:</w:t>
            </w:r>
          </w:p>
        </w:tc>
      </w:tr>
      <w:tr w:rsidR="003A38FF" w:rsidRPr="00D83DA2" w14:paraId="2F7EEC66" w14:textId="3744BD5C" w:rsidTr="00FB5DAD">
        <w:tc>
          <w:tcPr>
            <w:tcW w:w="4706" w:type="dxa"/>
          </w:tcPr>
          <w:p w14:paraId="6BC2E959"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b/>
                <w:sz w:val="16"/>
                <w:szCs w:val="16"/>
              </w:rPr>
              <w:lastRenderedPageBreak/>
              <w:t>I.</w:t>
            </w:r>
            <w:r w:rsidRPr="00D0180E">
              <w:rPr>
                <w:rFonts w:ascii="Verdana" w:hAnsi="Verdana"/>
                <w:b/>
                <w:sz w:val="16"/>
                <w:szCs w:val="16"/>
              </w:rPr>
              <w:tab/>
            </w:r>
            <w:r w:rsidRPr="00D0180E">
              <w:rPr>
                <w:rFonts w:ascii="Verdana" w:hAnsi="Verdana"/>
                <w:sz w:val="16"/>
                <w:szCs w:val="16"/>
              </w:rPr>
              <w:t>Para los permisos de generación de energía eléctrica:</w:t>
            </w:r>
          </w:p>
        </w:tc>
        <w:tc>
          <w:tcPr>
            <w:tcW w:w="4644" w:type="dxa"/>
          </w:tcPr>
          <w:p w14:paraId="632144F2" w14:textId="32A55357" w:rsidR="003A38FF" w:rsidRPr="00D0180E" w:rsidRDefault="003A38FF" w:rsidP="003A38FF">
            <w:pPr>
              <w:pStyle w:val="Texto"/>
              <w:spacing w:line="230" w:lineRule="exact"/>
              <w:ind w:firstLine="0"/>
              <w:rPr>
                <w:rFonts w:ascii="Verdana" w:hAnsi="Verdana"/>
                <w:b/>
                <w:sz w:val="16"/>
                <w:szCs w:val="16"/>
                <w:lang w:val="en-US"/>
              </w:rPr>
            </w:pPr>
            <w:r w:rsidRPr="00913574">
              <w:rPr>
                <w:rFonts w:ascii="Verdana" w:hAnsi="Verdana"/>
                <w:b/>
                <w:sz w:val="16"/>
                <w:szCs w:val="16"/>
                <w:lang w:val="en-US"/>
              </w:rPr>
              <w:t>I</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For</w:t>
            </w:r>
            <w:proofErr w:type="gramEnd"/>
            <w:r w:rsidRPr="00913574">
              <w:rPr>
                <w:rFonts w:ascii="Verdana" w:hAnsi="Verdana"/>
                <w:sz w:val="16"/>
                <w:szCs w:val="16"/>
                <w:lang w:val="en-US"/>
              </w:rPr>
              <w:t xml:space="preserve"> electricity generation permits:</w:t>
            </w:r>
          </w:p>
        </w:tc>
      </w:tr>
      <w:tr w:rsidR="003A38FF" w:rsidRPr="00D83DA2" w14:paraId="34E68266" w14:textId="0E5ED8A6" w:rsidTr="00FB5DAD">
        <w:tc>
          <w:tcPr>
            <w:tcW w:w="4706" w:type="dxa"/>
          </w:tcPr>
          <w:p w14:paraId="333FE2A4"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Capacidad Instalada y perfil de generación anual estimada de la Central Eléctrica;</w:t>
            </w:r>
          </w:p>
        </w:tc>
        <w:tc>
          <w:tcPr>
            <w:tcW w:w="4644" w:type="dxa"/>
          </w:tcPr>
          <w:p w14:paraId="67AA1EE3" w14:textId="47A2764B" w:rsidR="003A38FF" w:rsidRPr="00D0180E" w:rsidRDefault="003A38FF" w:rsidP="003A38FF">
            <w:pPr>
              <w:pStyle w:val="Texto"/>
              <w:spacing w:line="230" w:lineRule="exact"/>
              <w:ind w:firstLine="0"/>
              <w:rPr>
                <w:rFonts w:ascii="Verdana" w:hAnsi="Verdana"/>
                <w:b/>
                <w:sz w:val="16"/>
                <w:szCs w:val="16"/>
                <w:lang w:val="en-US"/>
              </w:rPr>
            </w:pPr>
            <w:r w:rsidRPr="00913574">
              <w:rPr>
                <w:rFonts w:ascii="Verdana" w:hAnsi="Verdana"/>
                <w:b/>
                <w:sz w:val="16"/>
                <w:szCs w:val="16"/>
                <w:lang w:val="en-US"/>
              </w:rPr>
              <w:t>a</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Installed</w:t>
            </w:r>
            <w:proofErr w:type="gramEnd"/>
            <w:r w:rsidRPr="00913574">
              <w:rPr>
                <w:rFonts w:ascii="Verdana" w:hAnsi="Verdana"/>
                <w:sz w:val="16"/>
                <w:szCs w:val="16"/>
                <w:lang w:val="en-US"/>
              </w:rPr>
              <w:t xml:space="preserve"> capacity and estimated annual generation profile of the </w:t>
            </w:r>
            <w:r>
              <w:rPr>
                <w:rFonts w:ascii="Verdana" w:hAnsi="Verdana"/>
                <w:sz w:val="16"/>
                <w:szCs w:val="16"/>
                <w:lang w:val="en-US"/>
              </w:rPr>
              <w:t>power plant</w:t>
            </w:r>
            <w:r w:rsidRPr="00913574">
              <w:rPr>
                <w:rFonts w:ascii="Verdana" w:hAnsi="Verdana"/>
                <w:sz w:val="16"/>
                <w:szCs w:val="16"/>
                <w:lang w:val="en-US"/>
              </w:rPr>
              <w:t>;</w:t>
            </w:r>
          </w:p>
        </w:tc>
      </w:tr>
      <w:tr w:rsidR="003A38FF" w:rsidRPr="00D83DA2" w14:paraId="54362836" w14:textId="046FC85B" w:rsidTr="00FB5DAD">
        <w:tc>
          <w:tcPr>
            <w:tcW w:w="4706" w:type="dxa"/>
          </w:tcPr>
          <w:p w14:paraId="0A254E36"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Figura y esquema de permiso o autorización;</w:t>
            </w:r>
          </w:p>
        </w:tc>
        <w:tc>
          <w:tcPr>
            <w:tcW w:w="4644" w:type="dxa"/>
          </w:tcPr>
          <w:p w14:paraId="4F65EF06" w14:textId="0A216B08" w:rsidR="003A38FF" w:rsidRPr="00D0180E" w:rsidRDefault="003A38FF" w:rsidP="003A38FF">
            <w:pPr>
              <w:pStyle w:val="Texto"/>
              <w:spacing w:line="230" w:lineRule="exact"/>
              <w:ind w:firstLine="0"/>
              <w:rPr>
                <w:rFonts w:ascii="Verdana" w:hAnsi="Verdana"/>
                <w:b/>
                <w:sz w:val="16"/>
                <w:szCs w:val="16"/>
                <w:lang w:val="en-US"/>
              </w:rPr>
            </w:pPr>
            <w:r w:rsidRPr="00913574">
              <w:rPr>
                <w:rFonts w:ascii="Verdana" w:hAnsi="Verdana"/>
                <w:b/>
                <w:sz w:val="16"/>
                <w:szCs w:val="16"/>
                <w:lang w:val="en-US"/>
              </w:rPr>
              <w:t>b</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Figure</w:t>
            </w:r>
            <w:proofErr w:type="gramEnd"/>
            <w:r w:rsidRPr="00913574">
              <w:rPr>
                <w:rFonts w:ascii="Verdana" w:hAnsi="Verdana"/>
                <w:sz w:val="16"/>
                <w:szCs w:val="16"/>
                <w:lang w:val="en-US"/>
              </w:rPr>
              <w:t xml:space="preserve"> and scheme of permission or authorization;</w:t>
            </w:r>
          </w:p>
        </w:tc>
      </w:tr>
      <w:tr w:rsidR="003A38FF" w:rsidRPr="00D83DA2" w14:paraId="7FCC8C54" w14:textId="148F9A37" w:rsidTr="00FB5DAD">
        <w:tc>
          <w:tcPr>
            <w:tcW w:w="4706" w:type="dxa"/>
          </w:tcPr>
          <w:p w14:paraId="3CB17B1B"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En la modalidad de autoconsumo, cuando aplique, se debe informar las Usuarias de Autoconsumo que pertenecen o van a formar parte del Grupo de Autoconsumo, para lo cual deben informar al menos la razón social de cada una de las Usuarias de Autoconsumo, así como presentar un diagrama de la Red Particular, la capacidad de inyección a la red en caso de existir y, cualquier otra que, en su caso, establezcan las disposiciones administrativas de carácter general en materia de autoconsumo, y</w:t>
            </w:r>
          </w:p>
        </w:tc>
        <w:tc>
          <w:tcPr>
            <w:tcW w:w="4644" w:type="dxa"/>
          </w:tcPr>
          <w:p w14:paraId="641BEC12" w14:textId="3F13B606" w:rsidR="003A38FF" w:rsidRPr="00D0180E" w:rsidRDefault="003A38FF" w:rsidP="003A38FF">
            <w:pPr>
              <w:pStyle w:val="Texto"/>
              <w:spacing w:line="230" w:lineRule="exact"/>
              <w:ind w:firstLine="0"/>
              <w:rPr>
                <w:rFonts w:ascii="Verdana" w:hAnsi="Verdana"/>
                <w:b/>
                <w:sz w:val="16"/>
                <w:szCs w:val="16"/>
                <w:lang w:val="en-US"/>
              </w:rPr>
            </w:pPr>
            <w:r w:rsidRPr="00913574">
              <w:rPr>
                <w:rFonts w:ascii="Verdana" w:hAnsi="Verdana"/>
                <w:b/>
                <w:sz w:val="16"/>
                <w:szCs w:val="16"/>
                <w:lang w:val="en-US"/>
              </w:rPr>
              <w:t xml:space="preserve">c) </w:t>
            </w:r>
            <w:r w:rsidRPr="00913574">
              <w:rPr>
                <w:rFonts w:ascii="Verdana" w:hAnsi="Verdana"/>
                <w:b/>
                <w:sz w:val="16"/>
                <w:szCs w:val="16"/>
                <w:lang w:val="en-US"/>
              </w:rPr>
              <w:tab/>
            </w:r>
            <w:r w:rsidRPr="00913574">
              <w:rPr>
                <w:rFonts w:ascii="Verdana" w:hAnsi="Verdana"/>
                <w:sz w:val="16"/>
                <w:szCs w:val="16"/>
                <w:lang w:val="en-US"/>
              </w:rPr>
              <w:t>In the self-consumption modality, when applicable, the Self-Consumption Users who belong to or will form part of the Self-Consumption Group must be informed, for which they must inform at least the corporate name of each of the Self-Consumption Users, as well as present a diagram of the Private Network, the injection capacity to the network if it exists and, any other that, where applicable, is established by the general administrative provisions on self-consumption, and</w:t>
            </w:r>
          </w:p>
        </w:tc>
      </w:tr>
      <w:tr w:rsidR="003A38FF" w:rsidRPr="00D83DA2" w14:paraId="0C85E76D" w14:textId="1E3C624E" w:rsidTr="00FB5DAD">
        <w:tc>
          <w:tcPr>
            <w:tcW w:w="4706" w:type="dxa"/>
          </w:tcPr>
          <w:p w14:paraId="65306454"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Cuando se trate de Centrales Eléctricas que operen en pequeños sistemas eléctricos, debe informarse la demanda a suministrar a las personas usuarias y acreditarse la carga a suministrar;</w:t>
            </w:r>
          </w:p>
        </w:tc>
        <w:tc>
          <w:tcPr>
            <w:tcW w:w="4644" w:type="dxa"/>
          </w:tcPr>
          <w:p w14:paraId="0D94162B" w14:textId="41E107E7" w:rsidR="003A38FF" w:rsidRPr="00D0180E" w:rsidRDefault="003A38FF" w:rsidP="003A38FF">
            <w:pPr>
              <w:pStyle w:val="Texto"/>
              <w:spacing w:line="230" w:lineRule="exact"/>
              <w:ind w:firstLine="0"/>
              <w:rPr>
                <w:rFonts w:ascii="Verdana" w:hAnsi="Verdana"/>
                <w:b/>
                <w:sz w:val="16"/>
                <w:szCs w:val="16"/>
                <w:lang w:val="en-US"/>
              </w:rPr>
            </w:pPr>
            <w:r w:rsidRPr="00913574">
              <w:rPr>
                <w:rFonts w:ascii="Verdana" w:hAnsi="Verdana"/>
                <w:b/>
                <w:sz w:val="16"/>
                <w:szCs w:val="16"/>
                <w:lang w:val="en-US"/>
              </w:rPr>
              <w:t>d</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In</w:t>
            </w:r>
            <w:proofErr w:type="gramEnd"/>
            <w:r w:rsidRPr="00913574">
              <w:rPr>
                <w:rFonts w:ascii="Verdana" w:hAnsi="Verdana"/>
                <w:sz w:val="16"/>
                <w:szCs w:val="16"/>
                <w:lang w:val="en-US"/>
              </w:rPr>
              <w:t xml:space="preserve"> the case of </w:t>
            </w:r>
            <w:r>
              <w:rPr>
                <w:rFonts w:ascii="Verdana" w:hAnsi="Verdana"/>
                <w:sz w:val="16"/>
                <w:szCs w:val="16"/>
                <w:lang w:val="en-US"/>
              </w:rPr>
              <w:t>power plant</w:t>
            </w:r>
            <w:r w:rsidRPr="00913574">
              <w:rPr>
                <w:rFonts w:ascii="Verdana" w:hAnsi="Verdana"/>
                <w:sz w:val="16"/>
                <w:szCs w:val="16"/>
                <w:lang w:val="en-US"/>
              </w:rPr>
              <w:t>s operating in small electrical systems, the demand to be supplied to the users must be reported and the load to be supplied must be accredited;</w:t>
            </w:r>
          </w:p>
        </w:tc>
      </w:tr>
      <w:tr w:rsidR="003A38FF" w:rsidRPr="00D83DA2" w14:paraId="4C717C27" w14:textId="05231C35" w:rsidTr="00FB5DAD">
        <w:tc>
          <w:tcPr>
            <w:tcW w:w="4706" w:type="dxa"/>
          </w:tcPr>
          <w:p w14:paraId="080BEC36"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Para los permisos de comercialización, según corresponda:</w:t>
            </w:r>
          </w:p>
        </w:tc>
        <w:tc>
          <w:tcPr>
            <w:tcW w:w="4644" w:type="dxa"/>
          </w:tcPr>
          <w:p w14:paraId="2EFDD3A7" w14:textId="54CF153B" w:rsidR="003A38FF" w:rsidRPr="00D0180E" w:rsidRDefault="003A38FF" w:rsidP="003A38FF">
            <w:pPr>
              <w:pStyle w:val="Texto"/>
              <w:spacing w:line="230" w:lineRule="exact"/>
              <w:ind w:firstLine="0"/>
              <w:rPr>
                <w:rFonts w:ascii="Verdana" w:hAnsi="Verdana"/>
                <w:b/>
                <w:sz w:val="16"/>
                <w:szCs w:val="16"/>
                <w:lang w:val="en-US"/>
              </w:rPr>
            </w:pPr>
            <w:r w:rsidRPr="00913574">
              <w:rPr>
                <w:rFonts w:ascii="Verdana" w:hAnsi="Verdana"/>
                <w:b/>
                <w:sz w:val="16"/>
                <w:szCs w:val="16"/>
                <w:lang w:val="en-US"/>
              </w:rPr>
              <w:t>II</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For</w:t>
            </w:r>
            <w:proofErr w:type="gramEnd"/>
            <w:r w:rsidRPr="00913574">
              <w:rPr>
                <w:rFonts w:ascii="Verdana" w:hAnsi="Verdana"/>
                <w:sz w:val="16"/>
                <w:szCs w:val="16"/>
                <w:lang w:val="en-US"/>
              </w:rPr>
              <w:t xml:space="preserve"> marketing permits, as applicable:</w:t>
            </w:r>
          </w:p>
        </w:tc>
      </w:tr>
      <w:tr w:rsidR="003A38FF" w:rsidRPr="00D0180E" w14:paraId="0A73F2AF" w14:textId="5AAD828F" w:rsidTr="00FB5DAD">
        <w:tc>
          <w:tcPr>
            <w:tcW w:w="4706" w:type="dxa"/>
          </w:tcPr>
          <w:p w14:paraId="38B4C846"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Modalidad de suministro;</w:t>
            </w:r>
          </w:p>
        </w:tc>
        <w:tc>
          <w:tcPr>
            <w:tcW w:w="4644" w:type="dxa"/>
          </w:tcPr>
          <w:p w14:paraId="4D76A06F" w14:textId="276E6CF3" w:rsidR="003A38FF" w:rsidRPr="00D0180E" w:rsidRDefault="003A38FF" w:rsidP="003A38FF">
            <w:pPr>
              <w:pStyle w:val="Texto"/>
              <w:spacing w:line="230" w:lineRule="exact"/>
              <w:ind w:firstLine="0"/>
              <w:rPr>
                <w:rFonts w:ascii="Verdana" w:hAnsi="Verdana"/>
                <w:b/>
                <w:sz w:val="16"/>
                <w:szCs w:val="16"/>
                <w:lang w:val="en-US"/>
              </w:rPr>
            </w:pPr>
            <w:r w:rsidRPr="00D0180E">
              <w:rPr>
                <w:rFonts w:ascii="Verdana" w:hAnsi="Verdana"/>
                <w:b/>
                <w:sz w:val="16"/>
                <w:szCs w:val="16"/>
              </w:rPr>
              <w:t xml:space="preserve">a) </w:t>
            </w:r>
            <w:r w:rsidRPr="00D0180E">
              <w:rPr>
                <w:rFonts w:ascii="Verdana" w:hAnsi="Verdana"/>
                <w:b/>
                <w:sz w:val="16"/>
                <w:szCs w:val="16"/>
              </w:rPr>
              <w:tab/>
            </w:r>
            <w:r w:rsidRPr="00D0180E">
              <w:rPr>
                <w:rFonts w:ascii="Verdana" w:hAnsi="Verdana"/>
                <w:sz w:val="16"/>
                <w:szCs w:val="16"/>
              </w:rPr>
              <w:t>Supply method;</w:t>
            </w:r>
          </w:p>
        </w:tc>
      </w:tr>
      <w:tr w:rsidR="003A38FF" w:rsidRPr="00D83DA2" w14:paraId="1DA36D6C" w14:textId="5AF59F29" w:rsidTr="00FB5DAD">
        <w:tc>
          <w:tcPr>
            <w:tcW w:w="4706" w:type="dxa"/>
          </w:tcPr>
          <w:p w14:paraId="1D31E178"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Demanda, personas usuarias y ventas de energía eléctrica máximas estimadas, y</w:t>
            </w:r>
          </w:p>
        </w:tc>
        <w:tc>
          <w:tcPr>
            <w:tcW w:w="4644" w:type="dxa"/>
          </w:tcPr>
          <w:p w14:paraId="1BE7C3C2" w14:textId="52566B10" w:rsidR="003A38FF" w:rsidRPr="00D0180E" w:rsidRDefault="003A38FF" w:rsidP="003A38FF">
            <w:pPr>
              <w:pStyle w:val="Texto"/>
              <w:spacing w:line="230" w:lineRule="exact"/>
              <w:ind w:firstLine="0"/>
              <w:rPr>
                <w:rFonts w:ascii="Verdana" w:hAnsi="Verdana"/>
                <w:b/>
                <w:sz w:val="16"/>
                <w:szCs w:val="16"/>
                <w:lang w:val="en-US"/>
              </w:rPr>
            </w:pPr>
            <w:r w:rsidRPr="00913574">
              <w:rPr>
                <w:rFonts w:ascii="Verdana" w:hAnsi="Verdana"/>
                <w:b/>
                <w:sz w:val="16"/>
                <w:szCs w:val="16"/>
                <w:lang w:val="en-US"/>
              </w:rPr>
              <w:t>b</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Demand</w:t>
            </w:r>
            <w:proofErr w:type="gramEnd"/>
            <w:r w:rsidRPr="00913574">
              <w:rPr>
                <w:rFonts w:ascii="Verdana" w:hAnsi="Verdana"/>
                <w:sz w:val="16"/>
                <w:szCs w:val="16"/>
                <w:lang w:val="en-US"/>
              </w:rPr>
              <w:t>, users and estimated maximum sales of electrical energy, and</w:t>
            </w:r>
          </w:p>
        </w:tc>
      </w:tr>
      <w:tr w:rsidR="003A38FF" w:rsidRPr="00D83DA2" w14:paraId="7E4F2309" w14:textId="254DB77B" w:rsidTr="00FB5DAD">
        <w:tc>
          <w:tcPr>
            <w:tcW w:w="4706" w:type="dxa"/>
          </w:tcPr>
          <w:p w14:paraId="21A97DE3"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Región en la que se pretende ofrecer el servicio de Suministro Eléctrico;</w:t>
            </w:r>
          </w:p>
        </w:tc>
        <w:tc>
          <w:tcPr>
            <w:tcW w:w="4644" w:type="dxa"/>
          </w:tcPr>
          <w:p w14:paraId="3184A088" w14:textId="585614E9" w:rsidR="003A38FF" w:rsidRPr="00D0180E" w:rsidRDefault="003A38FF" w:rsidP="003A38FF">
            <w:pPr>
              <w:pStyle w:val="Texto"/>
              <w:spacing w:line="230" w:lineRule="exact"/>
              <w:ind w:firstLine="0"/>
              <w:rPr>
                <w:rFonts w:ascii="Verdana" w:hAnsi="Verdana"/>
                <w:b/>
                <w:sz w:val="16"/>
                <w:szCs w:val="16"/>
                <w:lang w:val="en-US"/>
              </w:rPr>
            </w:pPr>
            <w:r w:rsidRPr="00913574">
              <w:rPr>
                <w:rFonts w:ascii="Verdana" w:hAnsi="Verdana"/>
                <w:b/>
                <w:sz w:val="16"/>
                <w:szCs w:val="16"/>
                <w:lang w:val="en-US"/>
              </w:rPr>
              <w:t>c</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Region</w:t>
            </w:r>
            <w:proofErr w:type="gramEnd"/>
            <w:r w:rsidRPr="00913574">
              <w:rPr>
                <w:rFonts w:ascii="Verdana" w:hAnsi="Verdana"/>
                <w:sz w:val="16"/>
                <w:szCs w:val="16"/>
                <w:lang w:val="en-US"/>
              </w:rPr>
              <w:t xml:space="preserve"> in which the Electricity Supply service is intended to be offered;</w:t>
            </w:r>
          </w:p>
        </w:tc>
      </w:tr>
      <w:tr w:rsidR="003A38FF" w:rsidRPr="00D83DA2" w14:paraId="45C9EC2F" w14:textId="480F59BF" w:rsidTr="00FB5DAD">
        <w:tc>
          <w:tcPr>
            <w:tcW w:w="4706" w:type="dxa"/>
          </w:tcPr>
          <w:p w14:paraId="3D000B9A"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Para los permisos de almacenamiento de energía eléctrica:</w:t>
            </w:r>
          </w:p>
        </w:tc>
        <w:tc>
          <w:tcPr>
            <w:tcW w:w="4644" w:type="dxa"/>
          </w:tcPr>
          <w:p w14:paraId="0FF2D426" w14:textId="796D0F26" w:rsidR="003A38FF" w:rsidRPr="00D0180E" w:rsidRDefault="003A38FF" w:rsidP="003A38FF">
            <w:pPr>
              <w:pStyle w:val="Texto"/>
              <w:spacing w:line="230" w:lineRule="exact"/>
              <w:ind w:firstLine="0"/>
              <w:rPr>
                <w:rFonts w:ascii="Verdana" w:hAnsi="Verdana"/>
                <w:b/>
                <w:sz w:val="16"/>
                <w:szCs w:val="16"/>
                <w:lang w:val="en-US"/>
              </w:rPr>
            </w:pPr>
            <w:r w:rsidRPr="00913574">
              <w:rPr>
                <w:rFonts w:ascii="Verdana" w:hAnsi="Verdana"/>
                <w:b/>
                <w:sz w:val="16"/>
                <w:szCs w:val="16"/>
                <w:lang w:val="en-US"/>
              </w:rPr>
              <w:t>III</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For</w:t>
            </w:r>
            <w:proofErr w:type="gramEnd"/>
            <w:r w:rsidRPr="00913574">
              <w:rPr>
                <w:rFonts w:ascii="Verdana" w:hAnsi="Verdana"/>
                <w:sz w:val="16"/>
                <w:szCs w:val="16"/>
                <w:lang w:val="en-US"/>
              </w:rPr>
              <w:t xml:space="preserve"> electrical energy storage permits:</w:t>
            </w:r>
          </w:p>
        </w:tc>
      </w:tr>
      <w:tr w:rsidR="003A38FF" w:rsidRPr="00D83DA2" w14:paraId="59F38C90" w14:textId="71C16E86" w:rsidTr="00FB5DAD">
        <w:tc>
          <w:tcPr>
            <w:tcW w:w="4706" w:type="dxa"/>
          </w:tcPr>
          <w:p w14:paraId="6E76ADB9"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Ubicación del Sistema de Almacenamiento de Energía Eléctrica;</w:t>
            </w:r>
          </w:p>
        </w:tc>
        <w:tc>
          <w:tcPr>
            <w:tcW w:w="4644" w:type="dxa"/>
          </w:tcPr>
          <w:p w14:paraId="24B9F7C7" w14:textId="67EB2335" w:rsidR="003A38FF" w:rsidRPr="00D0180E" w:rsidRDefault="003A38FF" w:rsidP="003A38FF">
            <w:pPr>
              <w:pStyle w:val="Texto"/>
              <w:spacing w:line="230" w:lineRule="exact"/>
              <w:ind w:firstLine="0"/>
              <w:rPr>
                <w:rFonts w:ascii="Verdana" w:hAnsi="Verdana"/>
                <w:b/>
                <w:sz w:val="16"/>
                <w:szCs w:val="16"/>
                <w:lang w:val="en-US"/>
              </w:rPr>
            </w:pPr>
            <w:r w:rsidRPr="00913574">
              <w:rPr>
                <w:rFonts w:ascii="Verdana" w:hAnsi="Verdana"/>
                <w:b/>
                <w:sz w:val="16"/>
                <w:szCs w:val="16"/>
                <w:lang w:val="en-US"/>
              </w:rPr>
              <w:t>a</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Location</w:t>
            </w:r>
            <w:proofErr w:type="gramEnd"/>
            <w:r w:rsidRPr="00913574">
              <w:rPr>
                <w:rFonts w:ascii="Verdana" w:hAnsi="Verdana"/>
                <w:sz w:val="16"/>
                <w:szCs w:val="16"/>
                <w:lang w:val="en-US"/>
              </w:rPr>
              <w:t xml:space="preserve"> of the Electric Energy Storage System;</w:t>
            </w:r>
          </w:p>
        </w:tc>
      </w:tr>
      <w:tr w:rsidR="003A38FF" w:rsidRPr="00D83DA2" w14:paraId="790FA2B6" w14:textId="0D6352C1" w:rsidTr="00FB5DAD">
        <w:tc>
          <w:tcPr>
            <w:tcW w:w="4706" w:type="dxa"/>
          </w:tcPr>
          <w:p w14:paraId="6F6461FA"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Capacidad de almacenamiento, tiempo de descarga y operación anual estimada del Sistema de Almacenamiento de Energía Eléctrica, y</w:t>
            </w:r>
          </w:p>
        </w:tc>
        <w:tc>
          <w:tcPr>
            <w:tcW w:w="4644" w:type="dxa"/>
          </w:tcPr>
          <w:p w14:paraId="366A7833" w14:textId="42B29294" w:rsidR="003A38FF" w:rsidRPr="00D0180E" w:rsidRDefault="003A38FF" w:rsidP="003A38FF">
            <w:pPr>
              <w:pStyle w:val="Texto"/>
              <w:spacing w:line="230" w:lineRule="exact"/>
              <w:ind w:firstLine="0"/>
              <w:rPr>
                <w:rFonts w:ascii="Verdana" w:hAnsi="Verdana"/>
                <w:b/>
                <w:sz w:val="16"/>
                <w:szCs w:val="16"/>
                <w:lang w:val="en-US"/>
              </w:rPr>
            </w:pPr>
            <w:r w:rsidRPr="00913574">
              <w:rPr>
                <w:rFonts w:ascii="Verdana" w:hAnsi="Verdana"/>
                <w:b/>
                <w:sz w:val="16"/>
                <w:szCs w:val="16"/>
                <w:lang w:val="en-US"/>
              </w:rPr>
              <w:t>b</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Storage</w:t>
            </w:r>
            <w:proofErr w:type="gramEnd"/>
            <w:r w:rsidRPr="00913574">
              <w:rPr>
                <w:rFonts w:ascii="Verdana" w:hAnsi="Verdana"/>
                <w:sz w:val="16"/>
                <w:szCs w:val="16"/>
                <w:lang w:val="en-US"/>
              </w:rPr>
              <w:t xml:space="preserve"> capacity, discharge time and estimated annual operation of the Electric Energy Storage System, and</w:t>
            </w:r>
          </w:p>
        </w:tc>
      </w:tr>
      <w:tr w:rsidR="003A38FF" w:rsidRPr="00D83DA2" w14:paraId="6801C6EA" w14:textId="2D921E4F" w:rsidTr="00FB5DAD">
        <w:tc>
          <w:tcPr>
            <w:tcW w:w="4706" w:type="dxa"/>
          </w:tcPr>
          <w:p w14:paraId="67E219B9"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Modalidades de participación y servicios a otorgar;</w:t>
            </w:r>
          </w:p>
        </w:tc>
        <w:tc>
          <w:tcPr>
            <w:tcW w:w="4644" w:type="dxa"/>
          </w:tcPr>
          <w:p w14:paraId="59A1981C" w14:textId="57AE07F0" w:rsidR="003A38FF" w:rsidRPr="00D0180E" w:rsidRDefault="003A38FF" w:rsidP="003A38FF">
            <w:pPr>
              <w:pStyle w:val="Texto"/>
              <w:spacing w:line="230" w:lineRule="exact"/>
              <w:ind w:firstLine="0"/>
              <w:rPr>
                <w:rFonts w:ascii="Verdana" w:hAnsi="Verdana"/>
                <w:b/>
                <w:sz w:val="16"/>
                <w:szCs w:val="16"/>
                <w:lang w:val="en-US"/>
              </w:rPr>
            </w:pPr>
            <w:r w:rsidRPr="00913574">
              <w:rPr>
                <w:rFonts w:ascii="Verdana" w:hAnsi="Verdana"/>
                <w:b/>
                <w:sz w:val="16"/>
                <w:szCs w:val="16"/>
                <w:lang w:val="en-US"/>
              </w:rPr>
              <w:t>c</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Participation</w:t>
            </w:r>
            <w:proofErr w:type="gramEnd"/>
            <w:r w:rsidRPr="00913574">
              <w:rPr>
                <w:rFonts w:ascii="Verdana" w:hAnsi="Verdana"/>
                <w:sz w:val="16"/>
                <w:szCs w:val="16"/>
                <w:lang w:val="en-US"/>
              </w:rPr>
              <w:t xml:space="preserve"> modalities and services to be provided;</w:t>
            </w:r>
          </w:p>
        </w:tc>
      </w:tr>
      <w:tr w:rsidR="003A38FF" w:rsidRPr="00D83DA2" w14:paraId="4E78C540" w14:textId="27555B17" w:rsidTr="00FB5DAD">
        <w:tc>
          <w:tcPr>
            <w:tcW w:w="4706" w:type="dxa"/>
          </w:tcPr>
          <w:p w14:paraId="2738F0C0"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Para las autorizaciones de importación y exportación, según corresponda:</w:t>
            </w:r>
          </w:p>
        </w:tc>
        <w:tc>
          <w:tcPr>
            <w:tcW w:w="4644" w:type="dxa"/>
          </w:tcPr>
          <w:p w14:paraId="109450EF" w14:textId="4A7369AA" w:rsidR="003A38FF" w:rsidRPr="00D0180E" w:rsidRDefault="003A38FF" w:rsidP="003A38FF">
            <w:pPr>
              <w:pStyle w:val="Texto"/>
              <w:spacing w:line="230" w:lineRule="exact"/>
              <w:ind w:firstLine="0"/>
              <w:rPr>
                <w:rFonts w:ascii="Verdana" w:hAnsi="Verdana"/>
                <w:b/>
                <w:sz w:val="16"/>
                <w:szCs w:val="16"/>
                <w:lang w:val="en-US"/>
              </w:rPr>
            </w:pPr>
            <w:r w:rsidRPr="00913574">
              <w:rPr>
                <w:rFonts w:ascii="Verdana" w:hAnsi="Verdana"/>
                <w:b/>
                <w:sz w:val="16"/>
                <w:szCs w:val="16"/>
                <w:lang w:val="en-US"/>
              </w:rPr>
              <w:t>IV</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For</w:t>
            </w:r>
            <w:proofErr w:type="gramEnd"/>
            <w:r w:rsidRPr="00913574">
              <w:rPr>
                <w:rFonts w:ascii="Verdana" w:hAnsi="Verdana"/>
                <w:sz w:val="16"/>
                <w:szCs w:val="16"/>
                <w:lang w:val="en-US"/>
              </w:rPr>
              <w:t xml:space="preserve"> import and export authorizations, as applicable:</w:t>
            </w:r>
          </w:p>
        </w:tc>
      </w:tr>
      <w:tr w:rsidR="003A38FF" w:rsidRPr="00D83DA2" w14:paraId="06A5F086" w14:textId="24F1908E" w:rsidTr="00FB5DAD">
        <w:tc>
          <w:tcPr>
            <w:tcW w:w="4706" w:type="dxa"/>
          </w:tcPr>
          <w:p w14:paraId="0A33F761"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Modalidad de importación o exportación, en términos del artículo 23 del presente reglamento;</w:t>
            </w:r>
          </w:p>
        </w:tc>
        <w:tc>
          <w:tcPr>
            <w:tcW w:w="4644" w:type="dxa"/>
          </w:tcPr>
          <w:p w14:paraId="6243661C" w14:textId="48A972AD" w:rsidR="003A38FF" w:rsidRPr="00D0180E" w:rsidRDefault="003A38FF" w:rsidP="003A38FF">
            <w:pPr>
              <w:pStyle w:val="Texto"/>
              <w:spacing w:line="230" w:lineRule="exact"/>
              <w:ind w:firstLine="0"/>
              <w:rPr>
                <w:rFonts w:ascii="Verdana" w:hAnsi="Verdana"/>
                <w:b/>
                <w:sz w:val="16"/>
                <w:szCs w:val="16"/>
                <w:lang w:val="en-US"/>
              </w:rPr>
            </w:pPr>
            <w:r w:rsidRPr="00913574">
              <w:rPr>
                <w:rFonts w:ascii="Verdana" w:hAnsi="Verdana"/>
                <w:b/>
                <w:sz w:val="16"/>
                <w:szCs w:val="16"/>
                <w:lang w:val="en-US"/>
              </w:rPr>
              <w:t>a</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Import</w:t>
            </w:r>
            <w:proofErr w:type="gramEnd"/>
            <w:r w:rsidRPr="00913574">
              <w:rPr>
                <w:rFonts w:ascii="Verdana" w:hAnsi="Verdana"/>
                <w:sz w:val="16"/>
                <w:szCs w:val="16"/>
                <w:lang w:val="en-US"/>
              </w:rPr>
              <w:t xml:space="preserve"> or export modality, in terms of article 23 of this regulation;</w:t>
            </w:r>
          </w:p>
        </w:tc>
      </w:tr>
      <w:tr w:rsidR="003A38FF" w:rsidRPr="00D83DA2" w14:paraId="2027710E" w14:textId="4EB127CC" w:rsidTr="00FB5DAD">
        <w:tc>
          <w:tcPr>
            <w:tcW w:w="4706" w:type="dxa"/>
          </w:tcPr>
          <w:p w14:paraId="27090592"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Cantidad estimada de potencia o energía eléctrica a importar o exportar, y</w:t>
            </w:r>
          </w:p>
        </w:tc>
        <w:tc>
          <w:tcPr>
            <w:tcW w:w="4644" w:type="dxa"/>
          </w:tcPr>
          <w:p w14:paraId="7D509EF6" w14:textId="3D91980C" w:rsidR="003A38FF" w:rsidRPr="00D0180E" w:rsidRDefault="003A38FF" w:rsidP="003A38FF">
            <w:pPr>
              <w:pStyle w:val="Texto"/>
              <w:spacing w:line="230" w:lineRule="exact"/>
              <w:ind w:firstLine="0"/>
              <w:rPr>
                <w:rFonts w:ascii="Verdana" w:hAnsi="Verdana"/>
                <w:b/>
                <w:sz w:val="16"/>
                <w:szCs w:val="16"/>
                <w:lang w:val="en-US"/>
              </w:rPr>
            </w:pPr>
            <w:r w:rsidRPr="00913574">
              <w:rPr>
                <w:rFonts w:ascii="Verdana" w:hAnsi="Verdana"/>
                <w:b/>
                <w:sz w:val="16"/>
                <w:szCs w:val="16"/>
                <w:lang w:val="en-US"/>
              </w:rPr>
              <w:t xml:space="preserve">b) </w:t>
            </w:r>
            <w:r>
              <w:rPr>
                <w:rFonts w:ascii="Verdana" w:hAnsi="Verdana"/>
                <w:b/>
                <w:sz w:val="16"/>
                <w:szCs w:val="16"/>
                <w:lang w:val="en-US"/>
              </w:rPr>
              <w:t xml:space="preserve">      </w:t>
            </w:r>
            <w:r w:rsidRPr="00C3762E">
              <w:rPr>
                <w:rFonts w:ascii="Verdana" w:hAnsi="Verdana"/>
                <w:bCs/>
                <w:sz w:val="16"/>
                <w:szCs w:val="16"/>
                <w:lang w:val="en-US"/>
              </w:rPr>
              <w:t>Estimated</w:t>
            </w:r>
            <w:r w:rsidRPr="00913574">
              <w:rPr>
                <w:rFonts w:ascii="Verdana" w:hAnsi="Verdana"/>
                <w:sz w:val="16"/>
                <w:szCs w:val="16"/>
                <w:lang w:val="en-US"/>
              </w:rPr>
              <w:t xml:space="preserve"> amount of power or electrical energy to be imported or exported, and</w:t>
            </w:r>
          </w:p>
        </w:tc>
      </w:tr>
      <w:tr w:rsidR="003A38FF" w:rsidRPr="00D83DA2" w14:paraId="528D68AD" w14:textId="18EF4C1D" w:rsidTr="00FB5DAD">
        <w:tc>
          <w:tcPr>
            <w:tcW w:w="4706" w:type="dxa"/>
          </w:tcPr>
          <w:p w14:paraId="2428F6B6"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Punto de interconexión en el cual pretende importar o exportar, y</w:t>
            </w:r>
          </w:p>
        </w:tc>
        <w:tc>
          <w:tcPr>
            <w:tcW w:w="4644" w:type="dxa"/>
          </w:tcPr>
          <w:p w14:paraId="2F47BB0B" w14:textId="3219FCB8" w:rsidR="003A38FF" w:rsidRPr="00D0180E" w:rsidRDefault="003A38FF" w:rsidP="003A38FF">
            <w:pPr>
              <w:pStyle w:val="Texto"/>
              <w:spacing w:line="230" w:lineRule="exact"/>
              <w:ind w:firstLine="0"/>
              <w:rPr>
                <w:rFonts w:ascii="Verdana" w:hAnsi="Verdana"/>
                <w:b/>
                <w:sz w:val="16"/>
                <w:szCs w:val="16"/>
                <w:lang w:val="en-US"/>
              </w:rPr>
            </w:pPr>
            <w:r w:rsidRPr="00913574">
              <w:rPr>
                <w:rFonts w:ascii="Verdana" w:hAnsi="Verdana"/>
                <w:b/>
                <w:sz w:val="16"/>
                <w:szCs w:val="16"/>
                <w:lang w:val="en-US"/>
              </w:rPr>
              <w:t>c</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Interconnection</w:t>
            </w:r>
            <w:proofErr w:type="gramEnd"/>
            <w:r w:rsidRPr="00913574">
              <w:rPr>
                <w:rFonts w:ascii="Verdana" w:hAnsi="Verdana"/>
                <w:sz w:val="16"/>
                <w:szCs w:val="16"/>
                <w:lang w:val="en-US"/>
              </w:rPr>
              <w:t xml:space="preserve"> point </w:t>
            </w:r>
            <w:r>
              <w:rPr>
                <w:rFonts w:ascii="Verdana" w:hAnsi="Verdana"/>
                <w:sz w:val="16"/>
                <w:szCs w:val="16"/>
                <w:lang w:val="en-US"/>
              </w:rPr>
              <w:t>in</w:t>
            </w:r>
            <w:r w:rsidRPr="00913574">
              <w:rPr>
                <w:rFonts w:ascii="Verdana" w:hAnsi="Verdana"/>
                <w:sz w:val="16"/>
                <w:szCs w:val="16"/>
                <w:lang w:val="en-US"/>
              </w:rPr>
              <w:t xml:space="preserve"> which </w:t>
            </w:r>
            <w:r>
              <w:rPr>
                <w:rFonts w:ascii="Verdana" w:hAnsi="Verdana"/>
                <w:sz w:val="16"/>
                <w:szCs w:val="16"/>
                <w:lang w:val="en-US"/>
              </w:rPr>
              <w:t>the intent is</w:t>
            </w:r>
            <w:r w:rsidRPr="00913574">
              <w:rPr>
                <w:rFonts w:ascii="Verdana" w:hAnsi="Verdana"/>
                <w:sz w:val="16"/>
                <w:szCs w:val="16"/>
                <w:lang w:val="en-US"/>
              </w:rPr>
              <w:t xml:space="preserve"> to import or export, and</w:t>
            </w:r>
          </w:p>
        </w:tc>
      </w:tr>
      <w:tr w:rsidR="003A38FF" w:rsidRPr="00D83DA2" w14:paraId="0997DA4B" w14:textId="6DDF6BE9" w:rsidTr="00FB5DAD">
        <w:tc>
          <w:tcPr>
            <w:tcW w:w="4706" w:type="dxa"/>
          </w:tcPr>
          <w:p w14:paraId="15F59668"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b/>
                <w:sz w:val="16"/>
                <w:szCs w:val="16"/>
              </w:rPr>
              <w:lastRenderedPageBreak/>
              <w:t>V.</w:t>
            </w:r>
            <w:r w:rsidRPr="00D0180E">
              <w:rPr>
                <w:rFonts w:ascii="Verdana" w:hAnsi="Verdana"/>
                <w:b/>
                <w:sz w:val="16"/>
                <w:szCs w:val="16"/>
              </w:rPr>
              <w:tab/>
            </w:r>
            <w:r w:rsidRPr="00D0180E">
              <w:rPr>
                <w:rFonts w:ascii="Verdana" w:hAnsi="Verdana"/>
                <w:sz w:val="16"/>
                <w:szCs w:val="16"/>
              </w:rPr>
              <w:t>La demás información o documentación que se prevea en las disposiciones administrativas de carácter general en materia de permisos o autorizaciones, según corresponda.</w:t>
            </w:r>
          </w:p>
        </w:tc>
        <w:tc>
          <w:tcPr>
            <w:tcW w:w="4644" w:type="dxa"/>
          </w:tcPr>
          <w:p w14:paraId="2F3BBE76" w14:textId="35425E92" w:rsidR="003A38FF" w:rsidRPr="00D0180E" w:rsidRDefault="003A38FF" w:rsidP="003A38FF">
            <w:pPr>
              <w:pStyle w:val="Texto"/>
              <w:spacing w:line="230" w:lineRule="exact"/>
              <w:ind w:firstLine="0"/>
              <w:rPr>
                <w:rFonts w:ascii="Verdana" w:hAnsi="Verdana"/>
                <w:b/>
                <w:sz w:val="16"/>
                <w:szCs w:val="16"/>
                <w:lang w:val="en-US"/>
              </w:rPr>
            </w:pPr>
            <w:r w:rsidRPr="00913574">
              <w:rPr>
                <w:rFonts w:ascii="Verdana" w:hAnsi="Verdana"/>
                <w:b/>
                <w:sz w:val="16"/>
                <w:szCs w:val="16"/>
                <w:lang w:val="en-US"/>
              </w:rPr>
              <w:t>V</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Other</w:t>
            </w:r>
            <w:proofErr w:type="gramEnd"/>
            <w:r w:rsidRPr="00913574">
              <w:rPr>
                <w:rFonts w:ascii="Verdana" w:hAnsi="Verdana"/>
                <w:sz w:val="16"/>
                <w:szCs w:val="16"/>
                <w:lang w:val="en-US"/>
              </w:rPr>
              <w:t xml:space="preserve"> information or documentation provided for in the general administrative provisions regarding permits or authorizations, as appropriate.</w:t>
            </w:r>
          </w:p>
        </w:tc>
      </w:tr>
      <w:tr w:rsidR="003A38FF" w:rsidRPr="00D83DA2" w14:paraId="4A36C9EC" w14:textId="22066F3D" w:rsidTr="00FB5DAD">
        <w:tc>
          <w:tcPr>
            <w:tcW w:w="4706" w:type="dxa"/>
          </w:tcPr>
          <w:p w14:paraId="219E1FCD" w14:textId="77777777" w:rsidR="003A38FF" w:rsidRPr="00D0180E" w:rsidRDefault="003A38FF" w:rsidP="003A38FF">
            <w:pPr>
              <w:pStyle w:val="Texto"/>
              <w:spacing w:line="230" w:lineRule="exact"/>
              <w:ind w:firstLine="0"/>
              <w:rPr>
                <w:rFonts w:ascii="Verdana" w:hAnsi="Verdana"/>
                <w:sz w:val="16"/>
                <w:szCs w:val="16"/>
              </w:rPr>
            </w:pPr>
            <w:bookmarkStart w:id="2" w:name="OLE_LINK19"/>
            <w:r w:rsidRPr="00D0180E">
              <w:rPr>
                <w:rFonts w:ascii="Verdana" w:hAnsi="Verdana"/>
                <w:sz w:val="16"/>
                <w:szCs w:val="16"/>
              </w:rPr>
              <w:t>Cuando se trate de Centrales Eléctricas cuya producción de energía eléctrica se destine a la exportación, además de la autorización correspondiente, requieren del permiso de generación.</w:t>
            </w:r>
            <w:bookmarkEnd w:id="2"/>
          </w:p>
        </w:tc>
        <w:tc>
          <w:tcPr>
            <w:tcW w:w="4644" w:type="dxa"/>
          </w:tcPr>
          <w:p w14:paraId="6BE63DBE" w14:textId="4E32DC88" w:rsidR="003A38FF" w:rsidRPr="00D0180E" w:rsidRDefault="003A38FF" w:rsidP="003A38FF">
            <w:pPr>
              <w:pStyle w:val="Texto"/>
              <w:spacing w:line="230" w:lineRule="exact"/>
              <w:ind w:firstLine="0"/>
              <w:rPr>
                <w:rFonts w:ascii="Verdana" w:hAnsi="Verdana"/>
                <w:sz w:val="16"/>
                <w:szCs w:val="16"/>
                <w:lang w:val="en-US"/>
              </w:rPr>
            </w:pPr>
            <w:r w:rsidRPr="00913574">
              <w:rPr>
                <w:rFonts w:ascii="Verdana" w:hAnsi="Verdana"/>
                <w:sz w:val="16"/>
                <w:szCs w:val="16"/>
                <w:lang w:val="en-US"/>
              </w:rPr>
              <w:t>In the case of power plants whose electricity production is intended for export, in addition to the corresponding authorization, they require a generation permit.</w:t>
            </w:r>
          </w:p>
        </w:tc>
      </w:tr>
      <w:tr w:rsidR="003A38FF" w:rsidRPr="00D83DA2" w14:paraId="533F394E" w14:textId="7ADB7FE8" w:rsidTr="00FB5DAD">
        <w:tc>
          <w:tcPr>
            <w:tcW w:w="4706" w:type="dxa"/>
          </w:tcPr>
          <w:p w14:paraId="32ED4365"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Artículo 25.</w:t>
            </w:r>
            <w:r w:rsidRPr="00D0180E">
              <w:rPr>
                <w:rFonts w:ascii="Verdana" w:hAnsi="Verdana"/>
                <w:sz w:val="16"/>
                <w:szCs w:val="16"/>
              </w:rPr>
              <w:t xml:space="preserve"> El procedimiento de evaluación de las solicitudes presentadas ante la Secretaría o la CNE y, en su caso, el otorgamiento tanto de los permisos y autorizaciones, como de sus </w:t>
            </w:r>
            <w:proofErr w:type="gramStart"/>
            <w:r w:rsidRPr="00D0180E">
              <w:rPr>
                <w:rFonts w:ascii="Verdana" w:hAnsi="Verdana"/>
                <w:sz w:val="16"/>
                <w:szCs w:val="16"/>
              </w:rPr>
              <w:t>modificaciones,</w:t>
            </w:r>
            <w:proofErr w:type="gramEnd"/>
            <w:r w:rsidRPr="00D0180E">
              <w:rPr>
                <w:rFonts w:ascii="Verdana" w:hAnsi="Verdana"/>
                <w:sz w:val="16"/>
                <w:szCs w:val="16"/>
              </w:rPr>
              <w:t xml:space="preserve"> se debe resolver en un plazo máximo de sesenta días hábiles contados a partir de su recepción, conforme al procedimiento previsto en las disposiciones administrativas de carácter general en materia de permisos o autorizaciones.</w:t>
            </w:r>
          </w:p>
        </w:tc>
        <w:tc>
          <w:tcPr>
            <w:tcW w:w="4644" w:type="dxa"/>
          </w:tcPr>
          <w:p w14:paraId="51C6D80C" w14:textId="3BF498C7"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 xml:space="preserve">Article 25. </w:t>
            </w:r>
            <w:r w:rsidRPr="00913574">
              <w:rPr>
                <w:rFonts w:ascii="Verdana" w:hAnsi="Verdana"/>
                <w:sz w:val="16"/>
                <w:szCs w:val="16"/>
                <w:lang w:val="en-US"/>
              </w:rPr>
              <w:t>The evaluation procedure for applications submitted to the Secretary or the CNE and, where applicable, the granting of both permits and authorizations, as well as their modifications, must be resolved within a maximum period of sixty business days from their receipt, in accordance with the procedure provided for in the general administrative provisions regarding permits or authorizations.</w:t>
            </w:r>
          </w:p>
        </w:tc>
      </w:tr>
      <w:tr w:rsidR="003A38FF" w:rsidRPr="00D83DA2" w14:paraId="296BC4ED" w14:textId="545B2C6F" w:rsidTr="00FB5DAD">
        <w:tc>
          <w:tcPr>
            <w:tcW w:w="4706" w:type="dxa"/>
          </w:tcPr>
          <w:p w14:paraId="3B864758"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sz w:val="16"/>
                <w:szCs w:val="16"/>
              </w:rPr>
              <w:t>Una vez evaluada la solicitud, de manera fundada y motivada, la Secretaría o la CNE, pueden:</w:t>
            </w:r>
          </w:p>
        </w:tc>
        <w:tc>
          <w:tcPr>
            <w:tcW w:w="4644" w:type="dxa"/>
          </w:tcPr>
          <w:p w14:paraId="48C483A1" w14:textId="5B753F84" w:rsidR="003A38FF" w:rsidRPr="00D0180E" w:rsidRDefault="003A38FF" w:rsidP="003A38FF">
            <w:pPr>
              <w:pStyle w:val="Texto"/>
              <w:spacing w:line="220" w:lineRule="exact"/>
              <w:ind w:firstLine="0"/>
              <w:rPr>
                <w:rFonts w:ascii="Verdana" w:hAnsi="Verdana"/>
                <w:sz w:val="16"/>
                <w:szCs w:val="16"/>
                <w:lang w:val="en-US"/>
              </w:rPr>
            </w:pPr>
            <w:r w:rsidRPr="00913574">
              <w:rPr>
                <w:rFonts w:ascii="Verdana" w:hAnsi="Verdana"/>
                <w:sz w:val="16"/>
                <w:szCs w:val="16"/>
                <w:lang w:val="en-US"/>
              </w:rPr>
              <w:t>Once the application has been evaluated, in a reasoned and justified manner, the Secretary or the CNE may:</w:t>
            </w:r>
          </w:p>
        </w:tc>
      </w:tr>
      <w:tr w:rsidR="003A38FF" w:rsidRPr="00D83DA2" w14:paraId="76BCC594" w14:textId="35FA8125" w:rsidTr="00FB5DAD">
        <w:tc>
          <w:tcPr>
            <w:tcW w:w="4706" w:type="dxa"/>
          </w:tcPr>
          <w:p w14:paraId="266E764A"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Autorizar la actividad o modificación solicitada, en cuyo caso se pueden establecer condicionantes;</w:t>
            </w:r>
          </w:p>
        </w:tc>
        <w:tc>
          <w:tcPr>
            <w:tcW w:w="4644" w:type="dxa"/>
          </w:tcPr>
          <w:p w14:paraId="6639311F" w14:textId="43043C3C"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I</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Authorize</w:t>
            </w:r>
            <w:proofErr w:type="gramEnd"/>
            <w:r w:rsidRPr="00913574">
              <w:rPr>
                <w:rFonts w:ascii="Verdana" w:hAnsi="Verdana"/>
                <w:sz w:val="16"/>
                <w:szCs w:val="16"/>
                <w:lang w:val="en-US"/>
              </w:rPr>
              <w:t xml:space="preserve"> the requested activity or modification, in which case conditions may be established;</w:t>
            </w:r>
          </w:p>
        </w:tc>
      </w:tr>
      <w:tr w:rsidR="003A38FF" w:rsidRPr="00D83DA2" w14:paraId="4029FA78" w14:textId="3B1E5372" w:rsidTr="00FB5DAD">
        <w:tc>
          <w:tcPr>
            <w:tcW w:w="4706" w:type="dxa"/>
          </w:tcPr>
          <w:p w14:paraId="42F4B0A8"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Negar el permiso o la autorización de la actividad solicitada, o sus modificaciones en los siguientes casos:</w:t>
            </w:r>
          </w:p>
        </w:tc>
        <w:tc>
          <w:tcPr>
            <w:tcW w:w="4644" w:type="dxa"/>
          </w:tcPr>
          <w:p w14:paraId="15740672" w14:textId="1487A224"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II</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Deny</w:t>
            </w:r>
            <w:proofErr w:type="gramEnd"/>
            <w:r w:rsidRPr="00913574">
              <w:rPr>
                <w:rFonts w:ascii="Verdana" w:hAnsi="Verdana"/>
                <w:sz w:val="16"/>
                <w:szCs w:val="16"/>
                <w:lang w:val="en-US"/>
              </w:rPr>
              <w:t xml:space="preserve"> the permit or authorization for the requested activity, or its modifications in the following cases:</w:t>
            </w:r>
          </w:p>
        </w:tc>
      </w:tr>
      <w:tr w:rsidR="003A38FF" w:rsidRPr="00D83DA2" w14:paraId="6A9EDFB7" w14:textId="1F280893" w:rsidTr="00FB5DAD">
        <w:tc>
          <w:tcPr>
            <w:tcW w:w="4706" w:type="dxa"/>
          </w:tcPr>
          <w:p w14:paraId="257A947A"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Se contravenga lo establecido en la Ley, el presente reglamento, las normas oficiales mexicanas o las demás disposiciones aplicables;</w:t>
            </w:r>
          </w:p>
        </w:tc>
        <w:tc>
          <w:tcPr>
            <w:tcW w:w="4644" w:type="dxa"/>
          </w:tcPr>
          <w:p w14:paraId="5DDDBBFA" w14:textId="0E8359AE"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 xml:space="preserve">a) </w:t>
            </w:r>
            <w:r w:rsidRPr="00913574">
              <w:rPr>
                <w:rFonts w:ascii="Verdana" w:hAnsi="Verdana"/>
                <w:b/>
                <w:sz w:val="16"/>
                <w:szCs w:val="16"/>
                <w:lang w:val="en-US"/>
              </w:rPr>
              <w:tab/>
            </w:r>
            <w:r w:rsidRPr="00913574">
              <w:rPr>
                <w:rFonts w:ascii="Verdana" w:hAnsi="Verdana"/>
                <w:sz w:val="16"/>
                <w:szCs w:val="16"/>
                <w:lang w:val="en-US"/>
              </w:rPr>
              <w:t>It contravenes the provisions of the Law, this regulation, Official Mexican Standards or other applicable provisions;</w:t>
            </w:r>
          </w:p>
        </w:tc>
      </w:tr>
      <w:tr w:rsidR="003A38FF" w:rsidRPr="00D83DA2" w14:paraId="5672F578" w14:textId="1E815817" w:rsidTr="00FB5DAD">
        <w:tc>
          <w:tcPr>
            <w:tcW w:w="4706" w:type="dxa"/>
          </w:tcPr>
          <w:p w14:paraId="6BF94FB0"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Se determine, con la opinión del CENACE, que la actividad o su modificación representa un riesgo a la Accesibilidad, Calidad, Confiabilidad, Continuidad, Eficiencia, Seguridad y Sostenibilidad del Sistema Eléctrico Nacional o comprometa el Suministro Eléctrico, y</w:t>
            </w:r>
          </w:p>
        </w:tc>
        <w:tc>
          <w:tcPr>
            <w:tcW w:w="4644" w:type="dxa"/>
          </w:tcPr>
          <w:p w14:paraId="631D1DE8" w14:textId="54266964"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b</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It</w:t>
            </w:r>
            <w:proofErr w:type="gramEnd"/>
            <w:r w:rsidRPr="00913574">
              <w:rPr>
                <w:rFonts w:ascii="Verdana" w:hAnsi="Verdana"/>
                <w:sz w:val="16"/>
                <w:szCs w:val="16"/>
                <w:lang w:val="en-US"/>
              </w:rPr>
              <w:t xml:space="preserve"> is determined, </w:t>
            </w:r>
            <w:proofErr w:type="gramStart"/>
            <w:r w:rsidRPr="00913574">
              <w:rPr>
                <w:rFonts w:ascii="Verdana" w:hAnsi="Verdana"/>
                <w:sz w:val="16"/>
                <w:szCs w:val="16"/>
                <w:lang w:val="en-US"/>
              </w:rPr>
              <w:t>with</w:t>
            </w:r>
            <w:proofErr w:type="gramEnd"/>
            <w:r w:rsidRPr="00913574">
              <w:rPr>
                <w:rFonts w:ascii="Verdana" w:hAnsi="Verdana"/>
                <w:sz w:val="16"/>
                <w:szCs w:val="16"/>
                <w:lang w:val="en-US"/>
              </w:rPr>
              <w:t xml:space="preserve"> the opinion of CENACE, that the activity or its modification represents a risk to the accessibility, quality, reliability, continuity, efficiency, security and sustainability of the </w:t>
            </w:r>
            <w:r>
              <w:rPr>
                <w:rFonts w:ascii="Verdana" w:hAnsi="Verdana"/>
                <w:sz w:val="16"/>
                <w:szCs w:val="16"/>
                <w:lang w:val="en-US"/>
              </w:rPr>
              <w:t>National Electric System</w:t>
            </w:r>
            <w:r w:rsidRPr="00913574">
              <w:rPr>
                <w:rFonts w:ascii="Verdana" w:hAnsi="Verdana"/>
                <w:sz w:val="16"/>
                <w:szCs w:val="16"/>
                <w:lang w:val="en-US"/>
              </w:rPr>
              <w:t xml:space="preserve"> or compromises the </w:t>
            </w:r>
            <w:r>
              <w:rPr>
                <w:rFonts w:ascii="Verdana" w:hAnsi="Verdana"/>
                <w:sz w:val="16"/>
                <w:szCs w:val="16"/>
                <w:lang w:val="en-US"/>
              </w:rPr>
              <w:t>e</w:t>
            </w:r>
            <w:r w:rsidRPr="00913574">
              <w:rPr>
                <w:rFonts w:ascii="Verdana" w:hAnsi="Verdana"/>
                <w:sz w:val="16"/>
                <w:szCs w:val="16"/>
                <w:lang w:val="en-US"/>
              </w:rPr>
              <w:t xml:space="preserve">lectric </w:t>
            </w:r>
            <w:r>
              <w:rPr>
                <w:rFonts w:ascii="Verdana" w:hAnsi="Verdana"/>
                <w:sz w:val="16"/>
                <w:szCs w:val="16"/>
                <w:lang w:val="en-US"/>
              </w:rPr>
              <w:t>s</w:t>
            </w:r>
            <w:r w:rsidRPr="00913574">
              <w:rPr>
                <w:rFonts w:ascii="Verdana" w:hAnsi="Verdana"/>
                <w:sz w:val="16"/>
                <w:szCs w:val="16"/>
                <w:lang w:val="en-US"/>
              </w:rPr>
              <w:t>upply, and</w:t>
            </w:r>
          </w:p>
        </w:tc>
      </w:tr>
      <w:tr w:rsidR="003A38FF" w:rsidRPr="00D83DA2" w14:paraId="12433B50" w14:textId="6F1125EB" w:rsidTr="00FB5DAD">
        <w:tc>
          <w:tcPr>
            <w:tcW w:w="4706" w:type="dxa"/>
          </w:tcPr>
          <w:p w14:paraId="133FD10A"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Exista falsedad en la información proporcionada por el promovente.</w:t>
            </w:r>
          </w:p>
        </w:tc>
        <w:tc>
          <w:tcPr>
            <w:tcW w:w="4644" w:type="dxa"/>
          </w:tcPr>
          <w:p w14:paraId="7FE8A400" w14:textId="760D81BA"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c</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There</w:t>
            </w:r>
            <w:proofErr w:type="gramEnd"/>
            <w:r w:rsidRPr="00913574">
              <w:rPr>
                <w:rFonts w:ascii="Verdana" w:hAnsi="Verdana"/>
                <w:sz w:val="16"/>
                <w:szCs w:val="16"/>
                <w:lang w:val="en-US"/>
              </w:rPr>
              <w:t xml:space="preserve"> is falsehood in the information provided by the promoter.</w:t>
            </w:r>
          </w:p>
        </w:tc>
      </w:tr>
      <w:tr w:rsidR="003A38FF" w:rsidRPr="00D83DA2" w14:paraId="19F9952C" w14:textId="1AE8891E" w:rsidTr="00FB5DAD">
        <w:tc>
          <w:tcPr>
            <w:tcW w:w="4706" w:type="dxa"/>
          </w:tcPr>
          <w:p w14:paraId="384714E6"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Artículo 26.</w:t>
            </w:r>
            <w:r w:rsidRPr="00D0180E">
              <w:rPr>
                <w:rFonts w:ascii="Verdana" w:hAnsi="Verdana"/>
                <w:sz w:val="16"/>
                <w:szCs w:val="16"/>
              </w:rPr>
              <w:t xml:space="preserve"> Cuando el interesado presente información adicional que tenga por objeto modificar la solicitud del permiso o la autorización, de la cual se desprenda una modificación sustancial que implique un nuevo proceso de evaluación por parte de la Secretaría o la CNE, es necesario el desistimiento de la solicitud original, la presentación de una nueva solicitud, así como el pago de los derechos o aprovechamientos que correspondan.</w:t>
            </w:r>
          </w:p>
        </w:tc>
        <w:tc>
          <w:tcPr>
            <w:tcW w:w="4644" w:type="dxa"/>
          </w:tcPr>
          <w:p w14:paraId="65E0F3C7" w14:textId="73B85650"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 xml:space="preserve">Article 26. </w:t>
            </w:r>
            <w:r w:rsidRPr="00913574">
              <w:rPr>
                <w:rFonts w:ascii="Verdana" w:hAnsi="Verdana"/>
                <w:sz w:val="16"/>
                <w:szCs w:val="16"/>
                <w:lang w:val="en-US"/>
              </w:rPr>
              <w:t xml:space="preserve">When the interested party submits additional information intended to modify the permit or authorization application, which results in a substantial modification that implies a new evaluation process by the Secretary or the CNE, it is necessary to withdraw the original application, submit a new application, as well as pay the corresponding </w:t>
            </w:r>
            <w:r>
              <w:rPr>
                <w:rFonts w:ascii="Verdana" w:hAnsi="Verdana"/>
                <w:sz w:val="16"/>
                <w:szCs w:val="16"/>
                <w:lang w:val="en-US"/>
              </w:rPr>
              <w:t>fee</w:t>
            </w:r>
            <w:r w:rsidRPr="00913574">
              <w:rPr>
                <w:rFonts w:ascii="Verdana" w:hAnsi="Verdana"/>
                <w:sz w:val="16"/>
                <w:szCs w:val="16"/>
                <w:lang w:val="en-US"/>
              </w:rPr>
              <w:t>s or benefits.</w:t>
            </w:r>
          </w:p>
        </w:tc>
      </w:tr>
      <w:tr w:rsidR="003A38FF" w:rsidRPr="00D83DA2" w14:paraId="229E2C81" w14:textId="01F4F5C2" w:rsidTr="00FB5DAD">
        <w:tc>
          <w:tcPr>
            <w:tcW w:w="4706" w:type="dxa"/>
          </w:tcPr>
          <w:p w14:paraId="16DC75C1"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sz w:val="16"/>
                <w:szCs w:val="16"/>
              </w:rPr>
              <w:t>En el caso de que la persona interesada no se desista de su solicitud, se debe continuar con la evaluación de esta, en los términos propuestos originalmente.</w:t>
            </w:r>
          </w:p>
        </w:tc>
        <w:tc>
          <w:tcPr>
            <w:tcW w:w="4644" w:type="dxa"/>
          </w:tcPr>
          <w:p w14:paraId="2D84CC80" w14:textId="6EE6ECDA" w:rsidR="003A38FF" w:rsidRPr="00D0180E" w:rsidRDefault="003A38FF" w:rsidP="003A38FF">
            <w:pPr>
              <w:pStyle w:val="Texto"/>
              <w:spacing w:line="220" w:lineRule="exact"/>
              <w:ind w:firstLine="0"/>
              <w:rPr>
                <w:rFonts w:ascii="Verdana" w:hAnsi="Verdana"/>
                <w:sz w:val="16"/>
                <w:szCs w:val="16"/>
                <w:lang w:val="en-US"/>
              </w:rPr>
            </w:pPr>
            <w:r w:rsidRPr="00913574">
              <w:rPr>
                <w:rFonts w:ascii="Verdana" w:hAnsi="Verdana"/>
                <w:sz w:val="16"/>
                <w:szCs w:val="16"/>
                <w:lang w:val="en-US"/>
              </w:rPr>
              <w:t>If the interested party does not withdraw their request, the evaluation must continue under the terms originally proposed.</w:t>
            </w:r>
          </w:p>
        </w:tc>
      </w:tr>
      <w:tr w:rsidR="003A38FF" w:rsidRPr="00D83DA2" w14:paraId="0370630D" w14:textId="5AA606BE" w:rsidTr="00FB5DAD">
        <w:tc>
          <w:tcPr>
            <w:tcW w:w="4706" w:type="dxa"/>
          </w:tcPr>
          <w:p w14:paraId="291E1DF7"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Artículo 27.</w:t>
            </w:r>
            <w:r w:rsidRPr="00D0180E">
              <w:rPr>
                <w:rFonts w:ascii="Verdana" w:hAnsi="Verdana"/>
                <w:sz w:val="16"/>
                <w:szCs w:val="16"/>
              </w:rPr>
              <w:t xml:space="preserve"> El otorgamiento o modificación de un permiso o autorización no implica aprobación alguna para la interconexión o conexión al Sistema Eléctrico Nacional o ampliaciones de los anteriores.</w:t>
            </w:r>
          </w:p>
        </w:tc>
        <w:tc>
          <w:tcPr>
            <w:tcW w:w="4644" w:type="dxa"/>
          </w:tcPr>
          <w:p w14:paraId="2E5D995E" w14:textId="5DC36E36"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 xml:space="preserve">Article 27. </w:t>
            </w:r>
            <w:r w:rsidRPr="00913574">
              <w:rPr>
                <w:rFonts w:ascii="Verdana" w:hAnsi="Verdana"/>
                <w:sz w:val="16"/>
                <w:szCs w:val="16"/>
                <w:lang w:val="en-US"/>
              </w:rPr>
              <w:t xml:space="preserve">The granting or modification of a permit or authorization does not imply any approval for interconnection or connection to the </w:t>
            </w:r>
            <w:r>
              <w:rPr>
                <w:rFonts w:ascii="Verdana" w:hAnsi="Verdana"/>
                <w:sz w:val="16"/>
                <w:szCs w:val="16"/>
                <w:lang w:val="en-US"/>
              </w:rPr>
              <w:t>National Electric System</w:t>
            </w:r>
            <w:r w:rsidRPr="00913574">
              <w:rPr>
                <w:rFonts w:ascii="Verdana" w:hAnsi="Verdana"/>
                <w:sz w:val="16"/>
                <w:szCs w:val="16"/>
                <w:lang w:val="en-US"/>
              </w:rPr>
              <w:t xml:space="preserve"> or extensions of the above.</w:t>
            </w:r>
          </w:p>
        </w:tc>
      </w:tr>
      <w:tr w:rsidR="003A38FF" w:rsidRPr="00D83DA2" w14:paraId="26CF6EA6" w14:textId="57D165AB" w:rsidTr="00FB5DAD">
        <w:tc>
          <w:tcPr>
            <w:tcW w:w="4706" w:type="dxa"/>
          </w:tcPr>
          <w:p w14:paraId="0994A6CB"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 xml:space="preserve">Artículo 28. </w:t>
            </w:r>
            <w:r w:rsidRPr="00D0180E">
              <w:rPr>
                <w:rFonts w:ascii="Verdana" w:hAnsi="Verdana"/>
                <w:sz w:val="16"/>
                <w:szCs w:val="16"/>
              </w:rPr>
              <w:t xml:space="preserve">La Secretaría y la CNE pueden implementar procedimientos simplificados para el </w:t>
            </w:r>
            <w:r w:rsidRPr="00D0180E">
              <w:rPr>
                <w:rFonts w:ascii="Verdana" w:hAnsi="Verdana"/>
                <w:sz w:val="16"/>
                <w:szCs w:val="16"/>
              </w:rPr>
              <w:lastRenderedPageBreak/>
              <w:t>otorgamiento de permisos de generación o almacenamiento de energía eléctrica para Proyectos Estratégicos y aquellos necesarios para salvaguardar la integridad del Sistema Eléctrico Nacional y del Mercado Eléctrico Mayorista.</w:t>
            </w:r>
          </w:p>
        </w:tc>
        <w:tc>
          <w:tcPr>
            <w:tcW w:w="4644" w:type="dxa"/>
          </w:tcPr>
          <w:p w14:paraId="173625A5" w14:textId="06412404"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lastRenderedPageBreak/>
              <w:t xml:space="preserve">Article 28. </w:t>
            </w:r>
            <w:r w:rsidRPr="00913574">
              <w:rPr>
                <w:rFonts w:ascii="Verdana" w:hAnsi="Verdana"/>
                <w:sz w:val="16"/>
                <w:szCs w:val="16"/>
                <w:lang w:val="en-US"/>
              </w:rPr>
              <w:t xml:space="preserve">The Secretary and the CNE may implement simplified procedures for granting permits for the </w:t>
            </w:r>
            <w:r w:rsidRPr="00913574">
              <w:rPr>
                <w:rFonts w:ascii="Verdana" w:hAnsi="Verdana"/>
                <w:sz w:val="16"/>
                <w:szCs w:val="16"/>
                <w:lang w:val="en-US"/>
              </w:rPr>
              <w:lastRenderedPageBreak/>
              <w:t xml:space="preserve">generation or storage of electrical energy for strategic projects and those necessary to safeguard the integrity of the </w:t>
            </w:r>
            <w:r>
              <w:rPr>
                <w:rFonts w:ascii="Verdana" w:hAnsi="Verdana"/>
                <w:sz w:val="16"/>
                <w:szCs w:val="16"/>
                <w:lang w:val="en-US"/>
              </w:rPr>
              <w:t>National Electric System</w:t>
            </w:r>
            <w:r w:rsidRPr="00913574">
              <w:rPr>
                <w:rFonts w:ascii="Verdana" w:hAnsi="Verdana"/>
                <w:sz w:val="16"/>
                <w:szCs w:val="16"/>
                <w:lang w:val="en-US"/>
              </w:rPr>
              <w:t xml:space="preserve"> and the Wholesale Electricity Market.</w:t>
            </w:r>
          </w:p>
        </w:tc>
      </w:tr>
      <w:tr w:rsidR="003A38FF" w:rsidRPr="00D83DA2" w14:paraId="3C153F8D" w14:textId="134EDA39" w:rsidTr="00FB5DAD">
        <w:tc>
          <w:tcPr>
            <w:tcW w:w="4706" w:type="dxa"/>
          </w:tcPr>
          <w:p w14:paraId="7ED492EB"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lastRenderedPageBreak/>
              <w:t>Artículo 29.</w:t>
            </w:r>
            <w:r w:rsidRPr="00D0180E">
              <w:rPr>
                <w:rFonts w:ascii="Verdana" w:hAnsi="Verdana"/>
                <w:sz w:val="16"/>
                <w:szCs w:val="16"/>
              </w:rPr>
              <w:t xml:space="preserve"> El permiso de almacenamiento de energía eléctrica otorgado por la </w:t>
            </w:r>
            <w:proofErr w:type="gramStart"/>
            <w:r w:rsidRPr="00D0180E">
              <w:rPr>
                <w:rFonts w:ascii="Verdana" w:hAnsi="Verdana"/>
                <w:sz w:val="16"/>
                <w:szCs w:val="16"/>
              </w:rPr>
              <w:t>CNE,</w:t>
            </w:r>
            <w:proofErr w:type="gramEnd"/>
            <w:r w:rsidRPr="00D0180E">
              <w:rPr>
                <w:rFonts w:ascii="Verdana" w:hAnsi="Verdana"/>
                <w:sz w:val="16"/>
                <w:szCs w:val="16"/>
              </w:rPr>
              <w:t xml:space="preserve"> debe indicar los servicios que el Sistema de Almacenamiento de Energía Eléctrica puede proveer en los términos previstos en las disposiciones administrativas de carácter general a que se refiere el artículo 193 del presente reglamento.</w:t>
            </w:r>
          </w:p>
        </w:tc>
        <w:tc>
          <w:tcPr>
            <w:tcW w:w="4644" w:type="dxa"/>
          </w:tcPr>
          <w:p w14:paraId="531687C9" w14:textId="7468DBF1"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 xml:space="preserve">Article 29. </w:t>
            </w:r>
            <w:r w:rsidRPr="00913574">
              <w:rPr>
                <w:rFonts w:ascii="Verdana" w:hAnsi="Verdana"/>
                <w:sz w:val="16"/>
                <w:szCs w:val="16"/>
                <w:lang w:val="en-US"/>
              </w:rPr>
              <w:t>The electrical energy storage permit granted by the CNE must indicate the services that the Electrical Energy Storage System can provide under the terms established in the general administrative provisions referred to in Article 193 of this regulation.</w:t>
            </w:r>
          </w:p>
        </w:tc>
      </w:tr>
      <w:tr w:rsidR="003A38FF" w:rsidRPr="00D83DA2" w14:paraId="5E2E653E" w14:textId="22640403" w:rsidTr="00FB5DAD">
        <w:tc>
          <w:tcPr>
            <w:tcW w:w="4706" w:type="dxa"/>
          </w:tcPr>
          <w:p w14:paraId="1633D992"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sz w:val="16"/>
                <w:szCs w:val="16"/>
              </w:rPr>
              <w:t>El permiso de almacenamiento de energía eléctrica puede especificar que el Sistema de Almacenamiento de Energía Eléctrica opera bajo contrato con el CENACE, en cuyo caso, los servicios deben ser establecidos en el propio contrato. Dichos servicios pueden incluir: la regulación, el respaldo, Servicios Conexos requeridos para la confiabilidad o cualquier otro que determine la CNE, con autorización de la Secretaría.</w:t>
            </w:r>
          </w:p>
        </w:tc>
        <w:tc>
          <w:tcPr>
            <w:tcW w:w="4644" w:type="dxa"/>
          </w:tcPr>
          <w:p w14:paraId="71FAA055" w14:textId="41622085" w:rsidR="003A38FF" w:rsidRPr="00D0180E" w:rsidRDefault="003A38FF" w:rsidP="003A38FF">
            <w:pPr>
              <w:pStyle w:val="Texto"/>
              <w:spacing w:line="220" w:lineRule="exact"/>
              <w:ind w:firstLine="0"/>
              <w:rPr>
                <w:rFonts w:ascii="Verdana" w:hAnsi="Verdana"/>
                <w:sz w:val="16"/>
                <w:szCs w:val="16"/>
                <w:lang w:val="en-US"/>
              </w:rPr>
            </w:pPr>
            <w:r w:rsidRPr="00913574">
              <w:rPr>
                <w:rFonts w:ascii="Verdana" w:hAnsi="Verdana"/>
                <w:sz w:val="16"/>
                <w:szCs w:val="16"/>
                <w:lang w:val="en-US"/>
              </w:rPr>
              <w:t xml:space="preserve">The electric energy storage permit may specify that the electric energy storage system operates under contract with CENACE, in which case, the services must be established in the contract itself. These services may </w:t>
            </w:r>
            <w:proofErr w:type="gramStart"/>
            <w:r w:rsidRPr="00913574">
              <w:rPr>
                <w:rFonts w:ascii="Verdana" w:hAnsi="Verdana"/>
                <w:sz w:val="16"/>
                <w:szCs w:val="16"/>
                <w:lang w:val="en-US"/>
              </w:rPr>
              <w:t>include:</w:t>
            </w:r>
            <w:proofErr w:type="gramEnd"/>
            <w:r w:rsidRPr="00913574">
              <w:rPr>
                <w:rFonts w:ascii="Verdana" w:hAnsi="Verdana"/>
                <w:sz w:val="16"/>
                <w:szCs w:val="16"/>
                <w:lang w:val="en-US"/>
              </w:rPr>
              <w:t xml:space="preserve"> regulation, backup, ancillary services required for reliability, or any other services determined by the CNE, with authorization from the Secretary.</w:t>
            </w:r>
          </w:p>
        </w:tc>
      </w:tr>
      <w:tr w:rsidR="003A38FF" w:rsidRPr="00D83DA2" w14:paraId="4BFA45BF" w14:textId="36E5D464" w:rsidTr="00FB5DAD">
        <w:tc>
          <w:tcPr>
            <w:tcW w:w="4706" w:type="dxa"/>
          </w:tcPr>
          <w:p w14:paraId="34EEE5FF"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 xml:space="preserve">Artículo 30. </w:t>
            </w:r>
            <w:r w:rsidRPr="00D0180E">
              <w:rPr>
                <w:rFonts w:ascii="Verdana" w:hAnsi="Verdana"/>
                <w:sz w:val="16"/>
                <w:szCs w:val="16"/>
              </w:rPr>
              <w:t>La Secretaría y la CNE, para el otorgamiento de permisos y autorizaciones, en el ámbito de sus competencias, deben considerar lo establecido en los instrumentos de planeación del sector energético aplicables y el cumplimiento de las disposiciones administrativas de carácter general para la planeación vinculante que expida la Secretaría.</w:t>
            </w:r>
          </w:p>
        </w:tc>
        <w:tc>
          <w:tcPr>
            <w:tcW w:w="4644" w:type="dxa"/>
          </w:tcPr>
          <w:p w14:paraId="2A11CF61" w14:textId="6BB16FFF"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 xml:space="preserve">Article 30. </w:t>
            </w:r>
            <w:r w:rsidRPr="00913574">
              <w:rPr>
                <w:rFonts w:ascii="Verdana" w:hAnsi="Verdana"/>
                <w:sz w:val="16"/>
                <w:szCs w:val="16"/>
                <w:lang w:val="en-US"/>
              </w:rPr>
              <w:t>The Secretary and the CNE, in granting permits and authorizations, within the scope of their powers, must consider the provisions established in the applicable energy sector planning instruments and compliance with the general administrative provisions for binding planning issued by the Secretary.</w:t>
            </w:r>
          </w:p>
        </w:tc>
      </w:tr>
      <w:tr w:rsidR="003A38FF" w:rsidRPr="00D83DA2" w14:paraId="095C9B6F" w14:textId="084D87EB" w:rsidTr="00FB5DAD">
        <w:tc>
          <w:tcPr>
            <w:tcW w:w="4706" w:type="dxa"/>
          </w:tcPr>
          <w:p w14:paraId="5B528F9F"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Artículo 31.</w:t>
            </w:r>
            <w:r w:rsidRPr="00D0180E">
              <w:rPr>
                <w:rFonts w:ascii="Verdana" w:hAnsi="Verdana"/>
                <w:sz w:val="16"/>
                <w:szCs w:val="16"/>
              </w:rPr>
              <w:t xml:space="preserve"> Las disposiciones administrativas de carácter general referidas en el artículo anterior deben establecer, al menos, los criterios que la Secretaría y la CNE deben considerar al evaluar el cumplimiento de la planeación vinculante, para el otorgamiento de permisos y autorizaciones del sector eléctrico.</w:t>
            </w:r>
          </w:p>
        </w:tc>
        <w:tc>
          <w:tcPr>
            <w:tcW w:w="4644" w:type="dxa"/>
          </w:tcPr>
          <w:p w14:paraId="21640762" w14:textId="6209517E"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 xml:space="preserve">Article 31. </w:t>
            </w:r>
            <w:r w:rsidRPr="00913574">
              <w:rPr>
                <w:rFonts w:ascii="Verdana" w:hAnsi="Verdana"/>
                <w:sz w:val="16"/>
                <w:szCs w:val="16"/>
                <w:lang w:val="en-US"/>
              </w:rPr>
              <w:t xml:space="preserve">The general administrative provisions referred to in the </w:t>
            </w:r>
            <w:r>
              <w:rPr>
                <w:rFonts w:ascii="Verdana" w:hAnsi="Verdana"/>
                <w:sz w:val="16"/>
                <w:szCs w:val="16"/>
                <w:lang w:val="en-US"/>
              </w:rPr>
              <w:t>preceding article</w:t>
            </w:r>
            <w:r w:rsidRPr="00913574">
              <w:rPr>
                <w:rFonts w:ascii="Verdana" w:hAnsi="Verdana"/>
                <w:sz w:val="16"/>
                <w:szCs w:val="16"/>
                <w:lang w:val="en-US"/>
              </w:rPr>
              <w:t xml:space="preserve"> must establish, at least, the criteria that the Secretary and the CNE must consider when evaluating compliance with binding planning for the granting of permits and authorizations in the electricity sector.</w:t>
            </w:r>
          </w:p>
        </w:tc>
      </w:tr>
      <w:tr w:rsidR="003A38FF" w:rsidRPr="00D83DA2" w14:paraId="2E0BCD55" w14:textId="157BF93F" w:rsidTr="00FB5DAD">
        <w:tc>
          <w:tcPr>
            <w:tcW w:w="4706" w:type="dxa"/>
          </w:tcPr>
          <w:p w14:paraId="40C3AE8A"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sz w:val="16"/>
                <w:szCs w:val="16"/>
              </w:rPr>
              <w:t>Estas disposiciones deben ser consistentes con lo establecido en los artículos 2 de la Ley de Planeación y Transición Energética y 12 de la Ley del Sector Eléctrico, así como en los instrumentos de planeación del sector energético aplicables.</w:t>
            </w:r>
          </w:p>
        </w:tc>
        <w:tc>
          <w:tcPr>
            <w:tcW w:w="4644" w:type="dxa"/>
          </w:tcPr>
          <w:p w14:paraId="501593AB" w14:textId="1F1B414A" w:rsidR="003A38FF" w:rsidRPr="00D0180E" w:rsidRDefault="003A38FF" w:rsidP="003A38FF">
            <w:pPr>
              <w:pStyle w:val="Texto"/>
              <w:spacing w:line="220" w:lineRule="exact"/>
              <w:ind w:firstLine="0"/>
              <w:rPr>
                <w:rFonts w:ascii="Verdana" w:hAnsi="Verdana"/>
                <w:sz w:val="16"/>
                <w:szCs w:val="16"/>
                <w:lang w:val="en-US"/>
              </w:rPr>
            </w:pPr>
            <w:r w:rsidRPr="00913574">
              <w:rPr>
                <w:rFonts w:ascii="Verdana" w:hAnsi="Verdana"/>
                <w:sz w:val="16"/>
                <w:szCs w:val="16"/>
                <w:lang w:val="en-US"/>
              </w:rPr>
              <w:t xml:space="preserve">These provisions must be consistent with the provisions of Articles 2 of the </w:t>
            </w:r>
            <w:r>
              <w:rPr>
                <w:rFonts w:ascii="Verdana" w:hAnsi="Verdana"/>
                <w:sz w:val="16"/>
                <w:szCs w:val="16"/>
                <w:lang w:val="en-US"/>
              </w:rPr>
              <w:t>Law of Energy Planning and Transition</w:t>
            </w:r>
            <w:r w:rsidRPr="00913574">
              <w:rPr>
                <w:rFonts w:ascii="Verdana" w:hAnsi="Verdana"/>
                <w:sz w:val="16"/>
                <w:szCs w:val="16"/>
                <w:lang w:val="en-US"/>
              </w:rPr>
              <w:t xml:space="preserve"> and 12 of the </w:t>
            </w:r>
            <w:r>
              <w:rPr>
                <w:rFonts w:ascii="Verdana" w:hAnsi="Verdana"/>
                <w:sz w:val="16"/>
                <w:szCs w:val="16"/>
                <w:lang w:val="en-US"/>
              </w:rPr>
              <w:t>Law of the Electricity Sector</w:t>
            </w:r>
            <w:r w:rsidRPr="00913574">
              <w:rPr>
                <w:rFonts w:ascii="Verdana" w:hAnsi="Verdana"/>
                <w:sz w:val="16"/>
                <w:szCs w:val="16"/>
                <w:lang w:val="en-US"/>
              </w:rPr>
              <w:t>, as well as applicable energy sector planning instruments.</w:t>
            </w:r>
          </w:p>
        </w:tc>
      </w:tr>
      <w:tr w:rsidR="003A38FF" w:rsidRPr="00D83DA2" w14:paraId="107755F8" w14:textId="66CEE049" w:rsidTr="00FB5DAD">
        <w:tc>
          <w:tcPr>
            <w:tcW w:w="4706" w:type="dxa"/>
          </w:tcPr>
          <w:p w14:paraId="15D1109F"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Artículo 32.</w:t>
            </w:r>
            <w:r w:rsidRPr="00D0180E">
              <w:rPr>
                <w:rFonts w:ascii="Verdana" w:hAnsi="Verdana"/>
                <w:sz w:val="16"/>
                <w:szCs w:val="16"/>
              </w:rPr>
              <w:t xml:space="preserve"> La revocación de un permiso o autorización no exime a la persona permisionaria o autorizada de las responsabilidades y obligaciones contraídas durante su vigencia, ni de la obligación de resarcir aquellos daños o perjuicios que correspondan en términos de las disposiciones jurídicas aplicables.</w:t>
            </w:r>
          </w:p>
        </w:tc>
        <w:tc>
          <w:tcPr>
            <w:tcW w:w="4644" w:type="dxa"/>
          </w:tcPr>
          <w:p w14:paraId="297F3034" w14:textId="6F078B34" w:rsidR="003A38FF" w:rsidRPr="00D0180E" w:rsidRDefault="003A38FF" w:rsidP="003A38FF">
            <w:pPr>
              <w:pStyle w:val="Texto"/>
              <w:spacing w:line="220" w:lineRule="exact"/>
              <w:ind w:firstLine="0"/>
              <w:rPr>
                <w:rFonts w:ascii="Verdana" w:hAnsi="Verdana"/>
                <w:b/>
                <w:sz w:val="16"/>
                <w:szCs w:val="16"/>
                <w:lang w:val="en-US"/>
              </w:rPr>
            </w:pPr>
            <w:r w:rsidRPr="00913574">
              <w:rPr>
                <w:rFonts w:ascii="Verdana" w:hAnsi="Verdana"/>
                <w:b/>
                <w:sz w:val="16"/>
                <w:szCs w:val="16"/>
                <w:lang w:val="en-US"/>
              </w:rPr>
              <w:t xml:space="preserve">Article 32. </w:t>
            </w:r>
            <w:r w:rsidRPr="00913574">
              <w:rPr>
                <w:rFonts w:ascii="Verdana" w:hAnsi="Verdana"/>
                <w:sz w:val="16"/>
                <w:szCs w:val="16"/>
                <w:lang w:val="en-US"/>
              </w:rPr>
              <w:t>The revocation of a permit or authorization does not exempt the permit holder or authorized person from the responsibilities and obligations incurred during its validity, nor from the obligation to compensate for any damage or losses that may be caused in terms of the applicable legal provisions.</w:t>
            </w:r>
          </w:p>
        </w:tc>
      </w:tr>
      <w:tr w:rsidR="003A38FF" w:rsidRPr="00D83DA2" w14:paraId="53C60CA0" w14:textId="0F691302" w:rsidTr="00FB5DAD">
        <w:tc>
          <w:tcPr>
            <w:tcW w:w="4706" w:type="dxa"/>
          </w:tcPr>
          <w:p w14:paraId="4D29B308"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sz w:val="16"/>
                <w:szCs w:val="16"/>
              </w:rPr>
              <w:t>La persona titular de un permiso o autorización que haya sido revocada, así como las personas que ejerzan control sobre dicho titular, están imposibilitados para obtener otro permiso o autorización para la misma actividad durante un plazo de cinco años, contado a partir de que se encuentre firme la resolución respectiva.</w:t>
            </w:r>
          </w:p>
        </w:tc>
        <w:tc>
          <w:tcPr>
            <w:tcW w:w="4644" w:type="dxa"/>
          </w:tcPr>
          <w:p w14:paraId="4D0AFE94" w14:textId="77C40908" w:rsidR="003A38FF" w:rsidRPr="00D0180E" w:rsidRDefault="003A38FF" w:rsidP="003A38FF">
            <w:pPr>
              <w:pStyle w:val="Texto"/>
              <w:spacing w:line="220" w:lineRule="exact"/>
              <w:ind w:firstLine="0"/>
              <w:rPr>
                <w:rFonts w:ascii="Verdana" w:hAnsi="Verdana"/>
                <w:sz w:val="16"/>
                <w:szCs w:val="16"/>
                <w:lang w:val="en-US"/>
              </w:rPr>
            </w:pPr>
            <w:r w:rsidRPr="00913574">
              <w:rPr>
                <w:rFonts w:ascii="Verdana" w:hAnsi="Verdana"/>
                <w:sz w:val="16"/>
                <w:szCs w:val="16"/>
                <w:lang w:val="en-US"/>
              </w:rPr>
              <w:t>The holder of a revoked permit or authorization, as well as any person exercising control over said holder, is prohibited from obtaining another permit or authorization for the same activity for a period of five years, counting from the date the respective resolution becomes final.</w:t>
            </w:r>
          </w:p>
        </w:tc>
      </w:tr>
      <w:tr w:rsidR="003A38FF" w:rsidRPr="00D0180E" w14:paraId="634DC539" w14:textId="39D55F37" w:rsidTr="00FB5DAD">
        <w:tc>
          <w:tcPr>
            <w:tcW w:w="4706" w:type="dxa"/>
          </w:tcPr>
          <w:p w14:paraId="6FDF4458" w14:textId="77777777" w:rsidR="003A38FF" w:rsidRPr="00D0180E" w:rsidRDefault="003A38FF" w:rsidP="003A38FF">
            <w:pPr>
              <w:pStyle w:val="Texto"/>
              <w:spacing w:line="238" w:lineRule="exact"/>
              <w:ind w:firstLine="0"/>
              <w:jc w:val="center"/>
              <w:rPr>
                <w:rFonts w:ascii="Verdana" w:hAnsi="Verdana"/>
                <w:b/>
                <w:sz w:val="16"/>
                <w:szCs w:val="16"/>
              </w:rPr>
            </w:pPr>
            <w:r w:rsidRPr="00D0180E">
              <w:rPr>
                <w:rFonts w:ascii="Verdana" w:hAnsi="Verdana"/>
                <w:b/>
                <w:sz w:val="16"/>
                <w:szCs w:val="16"/>
              </w:rPr>
              <w:t>TÍTULO SEGUNDO</w:t>
            </w:r>
          </w:p>
        </w:tc>
        <w:tc>
          <w:tcPr>
            <w:tcW w:w="4644" w:type="dxa"/>
          </w:tcPr>
          <w:p w14:paraId="49B28697" w14:textId="369B7D6E" w:rsidR="003A38FF" w:rsidRPr="00695D57" w:rsidRDefault="003A38FF" w:rsidP="003A38FF">
            <w:pPr>
              <w:pStyle w:val="Texto"/>
              <w:spacing w:line="238" w:lineRule="exact"/>
              <w:ind w:firstLine="0"/>
              <w:jc w:val="center"/>
              <w:rPr>
                <w:rFonts w:ascii="Verdana" w:hAnsi="Verdana"/>
                <w:b/>
                <w:sz w:val="16"/>
                <w:szCs w:val="16"/>
                <w:lang w:val="en-US"/>
              </w:rPr>
            </w:pPr>
            <w:r w:rsidRPr="00695D57">
              <w:rPr>
                <w:rFonts w:ascii="Verdana" w:hAnsi="Verdana"/>
                <w:b/>
                <w:sz w:val="16"/>
                <w:szCs w:val="16"/>
                <w:lang w:val="en-US"/>
              </w:rPr>
              <w:t>SECOND TITLE</w:t>
            </w:r>
          </w:p>
        </w:tc>
      </w:tr>
      <w:tr w:rsidR="003A38FF" w:rsidRPr="00D0180E" w14:paraId="00B21A53" w14:textId="60E21EE1" w:rsidTr="00FB5DAD">
        <w:tc>
          <w:tcPr>
            <w:tcW w:w="4706" w:type="dxa"/>
          </w:tcPr>
          <w:p w14:paraId="39941338" w14:textId="77777777" w:rsidR="003A38FF" w:rsidRPr="00D0180E" w:rsidRDefault="003A38FF" w:rsidP="003A38FF">
            <w:pPr>
              <w:pStyle w:val="Texto"/>
              <w:spacing w:line="238" w:lineRule="exact"/>
              <w:ind w:firstLine="0"/>
              <w:jc w:val="center"/>
              <w:rPr>
                <w:rFonts w:ascii="Verdana" w:hAnsi="Verdana"/>
                <w:b/>
                <w:sz w:val="16"/>
                <w:szCs w:val="16"/>
              </w:rPr>
            </w:pPr>
            <w:r w:rsidRPr="00D0180E">
              <w:rPr>
                <w:rFonts w:ascii="Verdana" w:hAnsi="Verdana"/>
                <w:b/>
                <w:sz w:val="16"/>
                <w:szCs w:val="16"/>
              </w:rPr>
              <w:t>DE LA JUSTICIA ENERGÉTICA</w:t>
            </w:r>
          </w:p>
        </w:tc>
        <w:tc>
          <w:tcPr>
            <w:tcW w:w="4644" w:type="dxa"/>
          </w:tcPr>
          <w:p w14:paraId="5DC77747" w14:textId="10FE2F0E" w:rsidR="003A38FF" w:rsidRPr="00695D57" w:rsidRDefault="003A38FF" w:rsidP="003A38FF">
            <w:pPr>
              <w:pStyle w:val="Texto"/>
              <w:spacing w:line="238" w:lineRule="exact"/>
              <w:ind w:firstLine="0"/>
              <w:jc w:val="center"/>
              <w:rPr>
                <w:rFonts w:ascii="Verdana" w:hAnsi="Verdana"/>
                <w:b/>
                <w:sz w:val="16"/>
                <w:szCs w:val="16"/>
                <w:lang w:val="en-US"/>
              </w:rPr>
            </w:pPr>
            <w:r w:rsidRPr="00695D57">
              <w:rPr>
                <w:rFonts w:ascii="Verdana" w:hAnsi="Verdana"/>
                <w:b/>
                <w:sz w:val="16"/>
                <w:szCs w:val="16"/>
                <w:lang w:val="en-US"/>
              </w:rPr>
              <w:t>ENERGY JUSTICE</w:t>
            </w:r>
          </w:p>
        </w:tc>
      </w:tr>
      <w:tr w:rsidR="003A38FF" w:rsidRPr="00D0180E" w14:paraId="1A5677A2" w14:textId="4837BAF4" w:rsidTr="00FB5DAD">
        <w:tc>
          <w:tcPr>
            <w:tcW w:w="4706" w:type="dxa"/>
          </w:tcPr>
          <w:p w14:paraId="4BA8807F" w14:textId="77777777" w:rsidR="003A38FF" w:rsidRPr="00D0180E" w:rsidRDefault="003A38FF" w:rsidP="003A38FF">
            <w:pPr>
              <w:pStyle w:val="Texto"/>
              <w:spacing w:line="238" w:lineRule="exact"/>
              <w:ind w:firstLine="0"/>
              <w:jc w:val="center"/>
              <w:rPr>
                <w:rFonts w:ascii="Verdana" w:hAnsi="Verdana"/>
                <w:b/>
                <w:sz w:val="16"/>
                <w:szCs w:val="16"/>
              </w:rPr>
            </w:pPr>
            <w:r w:rsidRPr="00D0180E">
              <w:rPr>
                <w:rFonts w:ascii="Verdana" w:hAnsi="Verdana"/>
                <w:b/>
                <w:sz w:val="16"/>
                <w:szCs w:val="16"/>
              </w:rPr>
              <w:t>Capítulo I</w:t>
            </w:r>
          </w:p>
        </w:tc>
        <w:tc>
          <w:tcPr>
            <w:tcW w:w="4644" w:type="dxa"/>
          </w:tcPr>
          <w:p w14:paraId="1D0C0C84" w14:textId="3C03A4D6" w:rsidR="003A38FF" w:rsidRPr="00695D57" w:rsidRDefault="003A38FF" w:rsidP="003A38FF">
            <w:pPr>
              <w:pStyle w:val="Texto"/>
              <w:spacing w:line="238" w:lineRule="exact"/>
              <w:ind w:firstLine="0"/>
              <w:jc w:val="center"/>
              <w:rPr>
                <w:rFonts w:ascii="Verdana" w:hAnsi="Verdana"/>
                <w:b/>
                <w:sz w:val="16"/>
                <w:szCs w:val="16"/>
                <w:lang w:val="en-US"/>
              </w:rPr>
            </w:pPr>
            <w:r w:rsidRPr="00695D57">
              <w:rPr>
                <w:rFonts w:ascii="Verdana" w:hAnsi="Verdana"/>
                <w:b/>
                <w:sz w:val="16"/>
                <w:szCs w:val="16"/>
                <w:lang w:val="en-US"/>
              </w:rPr>
              <w:t>Chapter I</w:t>
            </w:r>
          </w:p>
        </w:tc>
      </w:tr>
      <w:tr w:rsidR="003A38FF" w:rsidRPr="00D0180E" w14:paraId="44B862C7" w14:textId="7248F0AD" w:rsidTr="00FB5DAD">
        <w:tc>
          <w:tcPr>
            <w:tcW w:w="4706" w:type="dxa"/>
          </w:tcPr>
          <w:p w14:paraId="02384B96" w14:textId="77777777" w:rsidR="003A38FF" w:rsidRPr="00D0180E" w:rsidRDefault="003A38FF" w:rsidP="003A38FF">
            <w:pPr>
              <w:pStyle w:val="Texto"/>
              <w:spacing w:line="238" w:lineRule="exact"/>
              <w:ind w:firstLine="0"/>
              <w:jc w:val="center"/>
              <w:rPr>
                <w:rFonts w:ascii="Verdana" w:hAnsi="Verdana"/>
                <w:b/>
                <w:sz w:val="16"/>
                <w:szCs w:val="16"/>
              </w:rPr>
            </w:pPr>
            <w:r w:rsidRPr="00D0180E">
              <w:rPr>
                <w:rFonts w:ascii="Verdana" w:hAnsi="Verdana"/>
                <w:b/>
                <w:sz w:val="16"/>
                <w:szCs w:val="16"/>
              </w:rPr>
              <w:lastRenderedPageBreak/>
              <w:t>De la Justicia Energética</w:t>
            </w:r>
          </w:p>
        </w:tc>
        <w:tc>
          <w:tcPr>
            <w:tcW w:w="4644" w:type="dxa"/>
          </w:tcPr>
          <w:p w14:paraId="73461D0C" w14:textId="025FF12D" w:rsidR="003A38FF" w:rsidRPr="00695D57" w:rsidRDefault="003A38FF" w:rsidP="003A38FF">
            <w:pPr>
              <w:pStyle w:val="Texto"/>
              <w:spacing w:line="238" w:lineRule="exact"/>
              <w:ind w:firstLine="0"/>
              <w:jc w:val="center"/>
              <w:rPr>
                <w:rFonts w:ascii="Verdana" w:hAnsi="Verdana"/>
                <w:b/>
                <w:sz w:val="16"/>
                <w:szCs w:val="16"/>
                <w:lang w:val="en-US"/>
              </w:rPr>
            </w:pPr>
            <w:r w:rsidRPr="00695D57">
              <w:rPr>
                <w:rFonts w:ascii="Verdana" w:hAnsi="Verdana"/>
                <w:b/>
                <w:sz w:val="16"/>
                <w:szCs w:val="16"/>
                <w:lang w:val="en-US"/>
              </w:rPr>
              <w:t>Energy Justice</w:t>
            </w:r>
          </w:p>
        </w:tc>
      </w:tr>
      <w:tr w:rsidR="003A38FF" w:rsidRPr="00D83DA2" w14:paraId="02B50978" w14:textId="63D54D78" w:rsidTr="00FB5DAD">
        <w:tc>
          <w:tcPr>
            <w:tcW w:w="4706" w:type="dxa"/>
          </w:tcPr>
          <w:p w14:paraId="70B2495B"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b/>
                <w:sz w:val="16"/>
                <w:szCs w:val="16"/>
              </w:rPr>
              <w:t xml:space="preserve">Artículo 33. </w:t>
            </w:r>
            <w:r w:rsidRPr="00D0180E">
              <w:rPr>
                <w:rFonts w:ascii="Verdana" w:hAnsi="Verdana"/>
                <w:sz w:val="16"/>
                <w:szCs w:val="16"/>
              </w:rPr>
              <w:t>La Justicia Energética debe ser considerada por las Integrantes del Sector Eléctrico, como principio fundamental en toda actividad relacionada con esta, desde la planeación hasta la operación y, en su caso, desmantelamiento y disposición final de proyectos, independientemente de su carácter público o privado.</w:t>
            </w:r>
          </w:p>
        </w:tc>
        <w:tc>
          <w:tcPr>
            <w:tcW w:w="4644" w:type="dxa"/>
          </w:tcPr>
          <w:p w14:paraId="0909D508" w14:textId="76A4EF45" w:rsidR="003A38FF" w:rsidRPr="00D0180E" w:rsidRDefault="003A38FF" w:rsidP="003A38FF">
            <w:pPr>
              <w:pStyle w:val="Texto"/>
              <w:spacing w:line="238" w:lineRule="exact"/>
              <w:ind w:firstLine="0"/>
              <w:rPr>
                <w:rFonts w:ascii="Verdana" w:hAnsi="Verdana"/>
                <w:b/>
                <w:sz w:val="16"/>
                <w:szCs w:val="16"/>
                <w:lang w:val="en-US"/>
              </w:rPr>
            </w:pPr>
            <w:r w:rsidRPr="00913574">
              <w:rPr>
                <w:rFonts w:ascii="Verdana" w:hAnsi="Verdana"/>
                <w:b/>
                <w:sz w:val="16"/>
                <w:szCs w:val="16"/>
                <w:lang w:val="en-US"/>
              </w:rPr>
              <w:t xml:space="preserve">Article 33. </w:t>
            </w:r>
            <w:r w:rsidRPr="00913574">
              <w:rPr>
                <w:rFonts w:ascii="Verdana" w:hAnsi="Verdana"/>
                <w:sz w:val="16"/>
                <w:szCs w:val="16"/>
                <w:lang w:val="en-US"/>
              </w:rPr>
              <w:t xml:space="preserve">Energy </w:t>
            </w:r>
            <w:r>
              <w:rPr>
                <w:rFonts w:ascii="Verdana" w:hAnsi="Verdana"/>
                <w:sz w:val="16"/>
                <w:szCs w:val="16"/>
                <w:lang w:val="en-US"/>
              </w:rPr>
              <w:t>j</w:t>
            </w:r>
            <w:r w:rsidRPr="00913574">
              <w:rPr>
                <w:rFonts w:ascii="Verdana" w:hAnsi="Verdana"/>
                <w:sz w:val="16"/>
                <w:szCs w:val="16"/>
                <w:lang w:val="en-US"/>
              </w:rPr>
              <w:t>ustice must be considered by the members of the electric sector as a fundamental principle in all activities related to this, from planning to operation and, where appropriate, decommissioning and final disposal of projects, regardless of their public or private nature.</w:t>
            </w:r>
          </w:p>
        </w:tc>
      </w:tr>
      <w:tr w:rsidR="003A38FF" w:rsidRPr="00D83DA2" w14:paraId="02BB9F6C" w14:textId="593E3E9D" w:rsidTr="00FB5DAD">
        <w:tc>
          <w:tcPr>
            <w:tcW w:w="4706" w:type="dxa"/>
          </w:tcPr>
          <w:p w14:paraId="7638F929"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b/>
                <w:sz w:val="16"/>
                <w:szCs w:val="16"/>
              </w:rPr>
              <w:t xml:space="preserve">Artículo 34. </w:t>
            </w:r>
            <w:r w:rsidRPr="00D0180E">
              <w:rPr>
                <w:rFonts w:ascii="Verdana" w:hAnsi="Verdana"/>
                <w:sz w:val="16"/>
                <w:szCs w:val="16"/>
              </w:rPr>
              <w:t>A efecto de dar cumplimiento a los objetivos en materia de Justicia Energética que establece la Ley, la Secretaría debe promover mecanismos para facilitar el acceso a la infraestructura y a la energía eléctrica en condiciones confiables, asequibles, seguras y limpias para la atención de necesidades básicas, para lo cual debe considerar la reducción de sus impactos negativos en la salud y el medio ambiente, a través de las siguientes estrategias:</w:t>
            </w:r>
          </w:p>
        </w:tc>
        <w:tc>
          <w:tcPr>
            <w:tcW w:w="4644" w:type="dxa"/>
          </w:tcPr>
          <w:p w14:paraId="43F4FB68" w14:textId="29F10CC1" w:rsidR="003A38FF" w:rsidRPr="00D0180E" w:rsidRDefault="003A38FF" w:rsidP="003A38FF">
            <w:pPr>
              <w:pStyle w:val="Texto"/>
              <w:spacing w:line="238" w:lineRule="exact"/>
              <w:ind w:firstLine="0"/>
              <w:rPr>
                <w:rFonts w:ascii="Verdana" w:hAnsi="Verdana"/>
                <w:b/>
                <w:sz w:val="16"/>
                <w:szCs w:val="16"/>
                <w:lang w:val="en-US"/>
              </w:rPr>
            </w:pPr>
            <w:r w:rsidRPr="00913574">
              <w:rPr>
                <w:rFonts w:ascii="Verdana" w:hAnsi="Verdana"/>
                <w:b/>
                <w:sz w:val="16"/>
                <w:szCs w:val="16"/>
                <w:lang w:val="en-US"/>
              </w:rPr>
              <w:t xml:space="preserve">Article 34. </w:t>
            </w:r>
            <w:proofErr w:type="gramStart"/>
            <w:r w:rsidRPr="00913574">
              <w:rPr>
                <w:rFonts w:ascii="Verdana" w:hAnsi="Verdana"/>
                <w:sz w:val="16"/>
                <w:szCs w:val="16"/>
                <w:lang w:val="en-US"/>
              </w:rPr>
              <w:t>In order to</w:t>
            </w:r>
            <w:proofErr w:type="gramEnd"/>
            <w:r w:rsidRPr="00913574">
              <w:rPr>
                <w:rFonts w:ascii="Verdana" w:hAnsi="Verdana"/>
                <w:sz w:val="16"/>
                <w:szCs w:val="16"/>
                <w:lang w:val="en-US"/>
              </w:rPr>
              <w:t xml:space="preserve"> comply with the objectives of </w:t>
            </w:r>
            <w:r>
              <w:rPr>
                <w:rFonts w:ascii="Verdana" w:hAnsi="Verdana"/>
                <w:sz w:val="16"/>
                <w:szCs w:val="16"/>
                <w:lang w:val="en-US"/>
              </w:rPr>
              <w:t>e</w:t>
            </w:r>
            <w:r w:rsidRPr="00913574">
              <w:rPr>
                <w:rFonts w:ascii="Verdana" w:hAnsi="Verdana"/>
                <w:sz w:val="16"/>
                <w:szCs w:val="16"/>
                <w:lang w:val="en-US"/>
              </w:rPr>
              <w:t xml:space="preserve">nergy </w:t>
            </w:r>
            <w:r>
              <w:rPr>
                <w:rFonts w:ascii="Verdana" w:hAnsi="Verdana"/>
                <w:sz w:val="16"/>
                <w:szCs w:val="16"/>
                <w:lang w:val="en-US"/>
              </w:rPr>
              <w:t>j</w:t>
            </w:r>
            <w:r w:rsidRPr="00913574">
              <w:rPr>
                <w:rFonts w:ascii="Verdana" w:hAnsi="Verdana"/>
                <w:sz w:val="16"/>
                <w:szCs w:val="16"/>
                <w:lang w:val="en-US"/>
              </w:rPr>
              <w:t>ustice established by the Law, the Secretary must promote mechanisms to facilitate access to infrastructure and electrical energy in reliable, affordable, safe and clean conditions for the attention of basic needs, for which it must consider the reduction of its negative impacts on health and the environment, through the following strategies:</w:t>
            </w:r>
          </w:p>
        </w:tc>
      </w:tr>
      <w:tr w:rsidR="003A38FF" w:rsidRPr="00D83DA2" w14:paraId="0A88B5EA" w14:textId="285D8D9D" w:rsidTr="00FB5DAD">
        <w:tc>
          <w:tcPr>
            <w:tcW w:w="4706" w:type="dxa"/>
          </w:tcPr>
          <w:p w14:paraId="72DFB0A6"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Provisión de infraestructura, acciones y políticas para dotar de acceso a la electricidad a personas usuarias domésticas que aún no cuenten con servicio eléctrico y, en particular, aquellas que se encuentren en comunidades rurales y zonas urbanas marginadas;</w:t>
            </w:r>
          </w:p>
        </w:tc>
        <w:tc>
          <w:tcPr>
            <w:tcW w:w="4644" w:type="dxa"/>
          </w:tcPr>
          <w:p w14:paraId="280E88CB" w14:textId="3CB253C3" w:rsidR="003A38FF" w:rsidRPr="00D0180E" w:rsidRDefault="003A38FF" w:rsidP="003A38FF">
            <w:pPr>
              <w:pStyle w:val="Texto"/>
              <w:spacing w:line="238" w:lineRule="exact"/>
              <w:ind w:firstLine="0"/>
              <w:rPr>
                <w:rFonts w:ascii="Verdana" w:hAnsi="Verdana"/>
                <w:b/>
                <w:sz w:val="16"/>
                <w:szCs w:val="16"/>
                <w:lang w:val="en-US"/>
              </w:rPr>
            </w:pPr>
            <w:r w:rsidRPr="00913574">
              <w:rPr>
                <w:rFonts w:ascii="Verdana" w:hAnsi="Verdana"/>
                <w:b/>
                <w:sz w:val="16"/>
                <w:szCs w:val="16"/>
                <w:lang w:val="en-US"/>
              </w:rPr>
              <w:t>I</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Provision</w:t>
            </w:r>
            <w:proofErr w:type="gramEnd"/>
            <w:r w:rsidRPr="00913574">
              <w:rPr>
                <w:rFonts w:ascii="Verdana" w:hAnsi="Verdana"/>
                <w:sz w:val="16"/>
                <w:szCs w:val="16"/>
                <w:lang w:val="en-US"/>
              </w:rPr>
              <w:t xml:space="preserve"> of infrastructure, actions and policies to provide access to electricity to domestic users who do not yet have electricity </w:t>
            </w:r>
            <w:proofErr w:type="gramStart"/>
            <w:r w:rsidRPr="00913574">
              <w:rPr>
                <w:rFonts w:ascii="Verdana" w:hAnsi="Verdana"/>
                <w:sz w:val="16"/>
                <w:szCs w:val="16"/>
                <w:lang w:val="en-US"/>
              </w:rPr>
              <w:t>service and, in particular,</w:t>
            </w:r>
            <w:proofErr w:type="gramEnd"/>
            <w:r w:rsidRPr="00913574">
              <w:rPr>
                <w:rFonts w:ascii="Verdana" w:hAnsi="Verdana"/>
                <w:sz w:val="16"/>
                <w:szCs w:val="16"/>
                <w:lang w:val="en-US"/>
              </w:rPr>
              <w:t xml:space="preserve"> those located in rural communities and marginalized urban areas;</w:t>
            </w:r>
          </w:p>
        </w:tc>
      </w:tr>
      <w:tr w:rsidR="003A38FF" w:rsidRPr="00D83DA2" w14:paraId="4FFEBDED" w14:textId="50A29588" w:rsidTr="00FB5DAD">
        <w:tc>
          <w:tcPr>
            <w:tcW w:w="4706" w:type="dxa"/>
          </w:tcPr>
          <w:p w14:paraId="39B781E3"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Fomento a la descarbonización y eficiencia energética para el uso racional y sostenible de la energía eléctrica por parte de las Usuarias Finales;</w:t>
            </w:r>
          </w:p>
        </w:tc>
        <w:tc>
          <w:tcPr>
            <w:tcW w:w="4644" w:type="dxa"/>
          </w:tcPr>
          <w:p w14:paraId="084F6EAE" w14:textId="204421B4" w:rsidR="003A38FF" w:rsidRPr="00D0180E" w:rsidRDefault="003A38FF" w:rsidP="003A38FF">
            <w:pPr>
              <w:pStyle w:val="Texto"/>
              <w:spacing w:line="238" w:lineRule="exact"/>
              <w:ind w:firstLine="0"/>
              <w:rPr>
                <w:rFonts w:ascii="Verdana" w:hAnsi="Verdana"/>
                <w:b/>
                <w:sz w:val="16"/>
                <w:szCs w:val="16"/>
                <w:lang w:val="en-US"/>
              </w:rPr>
            </w:pPr>
            <w:r w:rsidRPr="00913574">
              <w:rPr>
                <w:rFonts w:ascii="Verdana" w:hAnsi="Verdana"/>
                <w:b/>
                <w:sz w:val="16"/>
                <w:szCs w:val="16"/>
                <w:lang w:val="en-US"/>
              </w:rPr>
              <w:t>II</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Promotion</w:t>
            </w:r>
            <w:proofErr w:type="gramEnd"/>
            <w:r w:rsidRPr="00913574">
              <w:rPr>
                <w:rFonts w:ascii="Verdana" w:hAnsi="Verdana"/>
                <w:sz w:val="16"/>
                <w:szCs w:val="16"/>
                <w:lang w:val="en-US"/>
              </w:rPr>
              <w:t xml:space="preserve"> of decarbonization and energy efficiency for the rational and sustainable use of electrical energy by end users;</w:t>
            </w:r>
          </w:p>
        </w:tc>
      </w:tr>
      <w:tr w:rsidR="003A38FF" w:rsidRPr="00D83DA2" w14:paraId="0DF0AD4B" w14:textId="6A55CEBE" w:rsidTr="00FB5DAD">
        <w:tc>
          <w:tcPr>
            <w:tcW w:w="4706" w:type="dxa"/>
          </w:tcPr>
          <w:p w14:paraId="7AC90C7A"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Reducción de riesgos y mitigación de pérdida de vidas humanas, lesiones, daños al medio ambiente y de bienes materiales asociados con actividades de generación, transmisión, distribución y suministro de energía eléctrica, y con el desarrollo de nueva infraestructura para el sector eléctrico;</w:t>
            </w:r>
          </w:p>
        </w:tc>
        <w:tc>
          <w:tcPr>
            <w:tcW w:w="4644" w:type="dxa"/>
          </w:tcPr>
          <w:p w14:paraId="78E93E70" w14:textId="70CDC344" w:rsidR="003A38FF" w:rsidRPr="00D0180E" w:rsidRDefault="003A38FF" w:rsidP="003A38FF">
            <w:pPr>
              <w:pStyle w:val="Texto"/>
              <w:spacing w:line="238" w:lineRule="exact"/>
              <w:ind w:firstLine="0"/>
              <w:rPr>
                <w:rFonts w:ascii="Verdana" w:hAnsi="Verdana"/>
                <w:b/>
                <w:sz w:val="16"/>
                <w:szCs w:val="16"/>
                <w:lang w:val="en-US"/>
              </w:rPr>
            </w:pPr>
            <w:r w:rsidRPr="00913574">
              <w:rPr>
                <w:rFonts w:ascii="Verdana" w:hAnsi="Verdana"/>
                <w:b/>
                <w:sz w:val="16"/>
                <w:szCs w:val="16"/>
                <w:lang w:val="en-US"/>
              </w:rPr>
              <w:t>III</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Risk</w:t>
            </w:r>
            <w:proofErr w:type="gramEnd"/>
            <w:r w:rsidRPr="00913574">
              <w:rPr>
                <w:rFonts w:ascii="Verdana" w:hAnsi="Verdana"/>
                <w:sz w:val="16"/>
                <w:szCs w:val="16"/>
                <w:lang w:val="en-US"/>
              </w:rPr>
              <w:t xml:space="preserve"> reduction and mitigation of loss of human life, injuries, damage to the environment and material property associated with electricity generation, transmission, distribution and supply activities, and with the development of new infrastructure for the electricity sector;</w:t>
            </w:r>
          </w:p>
        </w:tc>
      </w:tr>
      <w:tr w:rsidR="003A38FF" w:rsidRPr="00D83DA2" w14:paraId="35650D4B" w14:textId="270D52B7" w:rsidTr="00FB5DAD">
        <w:tc>
          <w:tcPr>
            <w:tcW w:w="4706" w:type="dxa"/>
          </w:tcPr>
          <w:p w14:paraId="6534CB38"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Prevención y resarcimiento de las afectaciones causadas por Proyectos de Infraestructura del sector eléctrico durante su construcción, operación, desmantelamiento y disposición final, para las comunidades impactadas, con énfasis en los pueblos y comunidades indígenas y afromexicanas;</w:t>
            </w:r>
          </w:p>
        </w:tc>
        <w:tc>
          <w:tcPr>
            <w:tcW w:w="4644" w:type="dxa"/>
          </w:tcPr>
          <w:p w14:paraId="452AEC0E" w14:textId="20C8EF7B" w:rsidR="003A38FF" w:rsidRPr="00D0180E" w:rsidRDefault="003A38FF" w:rsidP="003A38FF">
            <w:pPr>
              <w:pStyle w:val="Texto"/>
              <w:spacing w:line="238" w:lineRule="exact"/>
              <w:ind w:firstLine="0"/>
              <w:rPr>
                <w:rFonts w:ascii="Verdana" w:hAnsi="Verdana"/>
                <w:b/>
                <w:sz w:val="16"/>
                <w:szCs w:val="16"/>
                <w:lang w:val="en-US"/>
              </w:rPr>
            </w:pPr>
            <w:r w:rsidRPr="00913574">
              <w:rPr>
                <w:rFonts w:ascii="Verdana" w:hAnsi="Verdana"/>
                <w:b/>
                <w:sz w:val="16"/>
                <w:szCs w:val="16"/>
                <w:lang w:val="en-US"/>
              </w:rPr>
              <w:t xml:space="preserve">IV. </w:t>
            </w:r>
            <w:r w:rsidRPr="00913574">
              <w:rPr>
                <w:rFonts w:ascii="Verdana" w:hAnsi="Verdana"/>
                <w:b/>
                <w:sz w:val="16"/>
                <w:szCs w:val="16"/>
                <w:lang w:val="en-US"/>
              </w:rPr>
              <w:tab/>
            </w:r>
            <w:r w:rsidRPr="00913574">
              <w:rPr>
                <w:rFonts w:ascii="Verdana" w:hAnsi="Verdana"/>
                <w:sz w:val="16"/>
                <w:szCs w:val="16"/>
                <w:lang w:val="en-US"/>
              </w:rPr>
              <w:t>Prevention and compensation for damages caused by infrastructure projects in the electricity sector during their construction, operation, decommissioning and final disposal, for the impacted communities, with emphasis on indigenous and Afro-Mexican peoples and communities;</w:t>
            </w:r>
          </w:p>
        </w:tc>
      </w:tr>
      <w:tr w:rsidR="003A38FF" w:rsidRPr="00D83DA2" w14:paraId="3F3EF845" w14:textId="1AAEAA0F" w:rsidTr="00FB5DAD">
        <w:tc>
          <w:tcPr>
            <w:tcW w:w="4706" w:type="dxa"/>
          </w:tcPr>
          <w:p w14:paraId="00BBC9F2"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Provisión confiable, asequible y segura de energía eléctrica a Personas en Situación de Vulnerabilidad;</w:t>
            </w:r>
          </w:p>
        </w:tc>
        <w:tc>
          <w:tcPr>
            <w:tcW w:w="4644" w:type="dxa"/>
          </w:tcPr>
          <w:p w14:paraId="39BEB42D" w14:textId="57980B30" w:rsidR="003A38FF" w:rsidRPr="00D0180E" w:rsidRDefault="003A38FF" w:rsidP="003A38FF">
            <w:pPr>
              <w:pStyle w:val="Texto"/>
              <w:spacing w:line="238" w:lineRule="exact"/>
              <w:ind w:firstLine="0"/>
              <w:rPr>
                <w:rFonts w:ascii="Verdana" w:hAnsi="Verdana"/>
                <w:b/>
                <w:sz w:val="16"/>
                <w:szCs w:val="16"/>
                <w:lang w:val="en-US"/>
              </w:rPr>
            </w:pPr>
            <w:r w:rsidRPr="00913574">
              <w:rPr>
                <w:rFonts w:ascii="Verdana" w:hAnsi="Verdana"/>
                <w:b/>
                <w:sz w:val="16"/>
                <w:szCs w:val="16"/>
                <w:lang w:val="en-US"/>
              </w:rPr>
              <w:t>V</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Provision</w:t>
            </w:r>
            <w:proofErr w:type="gramEnd"/>
            <w:r w:rsidRPr="00913574">
              <w:rPr>
                <w:rFonts w:ascii="Verdana" w:hAnsi="Verdana"/>
                <w:sz w:val="16"/>
                <w:szCs w:val="16"/>
                <w:lang w:val="en-US"/>
              </w:rPr>
              <w:t xml:space="preserve"> of reliable, affordable and safe electricity to people in vulnerable situations;</w:t>
            </w:r>
          </w:p>
        </w:tc>
      </w:tr>
      <w:tr w:rsidR="003A38FF" w:rsidRPr="00D83DA2" w14:paraId="1019D6DF" w14:textId="6412FB10" w:rsidTr="00FB5DAD">
        <w:tc>
          <w:tcPr>
            <w:tcW w:w="4706" w:type="dxa"/>
          </w:tcPr>
          <w:p w14:paraId="6DC7411D"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Promoción de mecanismos, acciones e instrumentos para el establecimiento de precios y tarifas finales de Suministro Básico, en atención a condiciones económicas particulares;</w:t>
            </w:r>
          </w:p>
        </w:tc>
        <w:tc>
          <w:tcPr>
            <w:tcW w:w="4644" w:type="dxa"/>
          </w:tcPr>
          <w:p w14:paraId="4736710D" w14:textId="7F98294F" w:rsidR="003A38FF" w:rsidRPr="00D0180E" w:rsidRDefault="003A38FF" w:rsidP="003A38FF">
            <w:pPr>
              <w:pStyle w:val="Texto"/>
              <w:spacing w:line="238" w:lineRule="exact"/>
              <w:ind w:firstLine="0"/>
              <w:rPr>
                <w:rFonts w:ascii="Verdana" w:hAnsi="Verdana"/>
                <w:b/>
                <w:sz w:val="16"/>
                <w:szCs w:val="16"/>
                <w:lang w:val="en-US"/>
              </w:rPr>
            </w:pPr>
            <w:r w:rsidRPr="00913574">
              <w:rPr>
                <w:rFonts w:ascii="Verdana" w:hAnsi="Verdana"/>
                <w:b/>
                <w:sz w:val="16"/>
                <w:szCs w:val="16"/>
                <w:lang w:val="en-US"/>
              </w:rPr>
              <w:t>VI</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Promotion</w:t>
            </w:r>
            <w:proofErr w:type="gramEnd"/>
            <w:r w:rsidRPr="00913574">
              <w:rPr>
                <w:rFonts w:ascii="Verdana" w:hAnsi="Verdana"/>
                <w:sz w:val="16"/>
                <w:szCs w:val="16"/>
                <w:lang w:val="en-US"/>
              </w:rPr>
              <w:t xml:space="preserve"> of mechanisms, actions and instruments for establishing final prices and rates for </w:t>
            </w:r>
            <w:r>
              <w:rPr>
                <w:rFonts w:ascii="Verdana" w:hAnsi="Verdana"/>
                <w:sz w:val="16"/>
                <w:szCs w:val="16"/>
                <w:lang w:val="en-US"/>
              </w:rPr>
              <w:t>b</w:t>
            </w:r>
            <w:r w:rsidRPr="00913574">
              <w:rPr>
                <w:rFonts w:ascii="Verdana" w:hAnsi="Verdana"/>
                <w:sz w:val="16"/>
                <w:szCs w:val="16"/>
                <w:lang w:val="en-US"/>
              </w:rPr>
              <w:t xml:space="preserve">asic </w:t>
            </w:r>
            <w:r>
              <w:rPr>
                <w:rFonts w:ascii="Verdana" w:hAnsi="Verdana"/>
                <w:sz w:val="16"/>
                <w:szCs w:val="16"/>
                <w:lang w:val="en-US"/>
              </w:rPr>
              <w:t>s</w:t>
            </w:r>
            <w:r w:rsidRPr="00913574">
              <w:rPr>
                <w:rFonts w:ascii="Verdana" w:hAnsi="Verdana"/>
                <w:sz w:val="16"/>
                <w:szCs w:val="16"/>
                <w:lang w:val="en-US"/>
              </w:rPr>
              <w:t xml:space="preserve">upply, </w:t>
            </w:r>
            <w:proofErr w:type="gramStart"/>
            <w:r w:rsidRPr="00913574">
              <w:rPr>
                <w:rFonts w:ascii="Verdana" w:hAnsi="Verdana"/>
                <w:sz w:val="16"/>
                <w:szCs w:val="16"/>
                <w:lang w:val="en-US"/>
              </w:rPr>
              <w:t>taking into account</w:t>
            </w:r>
            <w:proofErr w:type="gramEnd"/>
            <w:r w:rsidRPr="00913574">
              <w:rPr>
                <w:rFonts w:ascii="Verdana" w:hAnsi="Verdana"/>
                <w:sz w:val="16"/>
                <w:szCs w:val="16"/>
                <w:lang w:val="en-US"/>
              </w:rPr>
              <w:t xml:space="preserve"> specific economic conditions;</w:t>
            </w:r>
          </w:p>
        </w:tc>
      </w:tr>
      <w:tr w:rsidR="003A38FF" w:rsidRPr="00D83DA2" w14:paraId="34567C30" w14:textId="0E9BCA34" w:rsidTr="00FB5DAD">
        <w:tc>
          <w:tcPr>
            <w:tcW w:w="4706" w:type="dxa"/>
          </w:tcPr>
          <w:p w14:paraId="4A54DAB0"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 xml:space="preserve">Inclusión laboral eficiente y productiva de las poblaciones en sus áreas de influencia, de integración de cadenas productivas regionales, y de incremento escalonado de contenido nacional en todos los proyectos </w:t>
            </w:r>
            <w:r w:rsidRPr="00D0180E">
              <w:rPr>
                <w:rFonts w:ascii="Verdana" w:hAnsi="Verdana"/>
                <w:sz w:val="16"/>
                <w:szCs w:val="16"/>
              </w:rPr>
              <w:lastRenderedPageBreak/>
              <w:t>eléctricos, en particular, de aquellos que formen parte de los polos de desarrollo regional, y</w:t>
            </w:r>
          </w:p>
        </w:tc>
        <w:tc>
          <w:tcPr>
            <w:tcW w:w="4644" w:type="dxa"/>
          </w:tcPr>
          <w:p w14:paraId="09A8F580" w14:textId="2797EAEC" w:rsidR="003A38FF" w:rsidRPr="00D0180E" w:rsidRDefault="003A38FF" w:rsidP="003A38FF">
            <w:pPr>
              <w:pStyle w:val="Texto"/>
              <w:spacing w:line="238" w:lineRule="exact"/>
              <w:ind w:firstLine="0"/>
              <w:rPr>
                <w:rFonts w:ascii="Verdana" w:hAnsi="Verdana"/>
                <w:b/>
                <w:sz w:val="16"/>
                <w:szCs w:val="16"/>
                <w:lang w:val="en-US"/>
              </w:rPr>
            </w:pPr>
            <w:r w:rsidRPr="00913574">
              <w:rPr>
                <w:rFonts w:ascii="Verdana" w:hAnsi="Verdana"/>
                <w:b/>
                <w:sz w:val="16"/>
                <w:szCs w:val="16"/>
                <w:lang w:val="en-US"/>
              </w:rPr>
              <w:lastRenderedPageBreak/>
              <w:t xml:space="preserve">VII. </w:t>
            </w:r>
            <w:r w:rsidRPr="00913574">
              <w:rPr>
                <w:rFonts w:ascii="Verdana" w:hAnsi="Verdana"/>
                <w:b/>
                <w:sz w:val="16"/>
                <w:szCs w:val="16"/>
                <w:lang w:val="en-US"/>
              </w:rPr>
              <w:tab/>
            </w:r>
            <w:r w:rsidRPr="00913574">
              <w:rPr>
                <w:rFonts w:ascii="Verdana" w:hAnsi="Verdana"/>
                <w:sz w:val="16"/>
                <w:szCs w:val="16"/>
                <w:lang w:val="en-US"/>
              </w:rPr>
              <w:t xml:space="preserve">Efficient and productive labor inclusion of the populations in their areas of influence, integration of regional production chains, and gradual increase of national content in all electrical projects, </w:t>
            </w:r>
            <w:proofErr w:type="gramStart"/>
            <w:r w:rsidRPr="00913574">
              <w:rPr>
                <w:rFonts w:ascii="Verdana" w:hAnsi="Verdana"/>
                <w:sz w:val="16"/>
                <w:szCs w:val="16"/>
                <w:lang w:val="en-US"/>
              </w:rPr>
              <w:t>in particular,</w:t>
            </w:r>
            <w:proofErr w:type="gramEnd"/>
            <w:r w:rsidRPr="00913574">
              <w:rPr>
                <w:rFonts w:ascii="Verdana" w:hAnsi="Verdana"/>
                <w:sz w:val="16"/>
                <w:szCs w:val="16"/>
                <w:lang w:val="en-US"/>
              </w:rPr>
              <w:t xml:space="preserve"> </w:t>
            </w:r>
            <w:r w:rsidRPr="00913574">
              <w:rPr>
                <w:rFonts w:ascii="Verdana" w:hAnsi="Verdana"/>
                <w:sz w:val="16"/>
                <w:szCs w:val="16"/>
                <w:lang w:val="en-US"/>
              </w:rPr>
              <w:lastRenderedPageBreak/>
              <w:t>those that form part of the regional development poles, and</w:t>
            </w:r>
          </w:p>
        </w:tc>
      </w:tr>
      <w:tr w:rsidR="003A38FF" w:rsidRPr="00D83DA2" w14:paraId="5DF6AD2C" w14:textId="31DEE35A" w:rsidTr="00FB5DAD">
        <w:tc>
          <w:tcPr>
            <w:tcW w:w="4706" w:type="dxa"/>
          </w:tcPr>
          <w:p w14:paraId="74E706A4"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b/>
                <w:sz w:val="16"/>
                <w:szCs w:val="16"/>
              </w:rPr>
              <w:lastRenderedPageBreak/>
              <w:t>VIII.</w:t>
            </w:r>
            <w:r w:rsidRPr="00D0180E">
              <w:rPr>
                <w:rFonts w:ascii="Verdana" w:hAnsi="Verdana"/>
                <w:b/>
                <w:sz w:val="16"/>
                <w:szCs w:val="16"/>
              </w:rPr>
              <w:tab/>
            </w:r>
            <w:r w:rsidRPr="00D0180E">
              <w:rPr>
                <w:rFonts w:ascii="Verdana" w:hAnsi="Verdana"/>
                <w:sz w:val="16"/>
                <w:szCs w:val="16"/>
              </w:rPr>
              <w:t>Cualquier otra estrategia, acción o programa que la Secretaría identifique como procedente y necesaria para cumplir con lo antes señalado.</w:t>
            </w:r>
          </w:p>
        </w:tc>
        <w:tc>
          <w:tcPr>
            <w:tcW w:w="4644" w:type="dxa"/>
          </w:tcPr>
          <w:p w14:paraId="4EC4C1D8" w14:textId="2FD0D2B2" w:rsidR="003A38FF" w:rsidRPr="00D0180E" w:rsidRDefault="003A38FF" w:rsidP="003A38FF">
            <w:pPr>
              <w:pStyle w:val="Texto"/>
              <w:spacing w:line="238" w:lineRule="exact"/>
              <w:ind w:firstLine="0"/>
              <w:rPr>
                <w:rFonts w:ascii="Verdana" w:hAnsi="Verdana"/>
                <w:b/>
                <w:sz w:val="16"/>
                <w:szCs w:val="16"/>
                <w:lang w:val="en-US"/>
              </w:rPr>
            </w:pPr>
            <w:r w:rsidRPr="00913574">
              <w:rPr>
                <w:rFonts w:ascii="Verdana" w:hAnsi="Verdana"/>
                <w:b/>
                <w:sz w:val="16"/>
                <w:szCs w:val="16"/>
                <w:lang w:val="en-US"/>
              </w:rPr>
              <w:t xml:space="preserve">VIII. </w:t>
            </w:r>
            <w:r w:rsidRPr="00913574">
              <w:rPr>
                <w:rFonts w:ascii="Verdana" w:hAnsi="Verdana"/>
                <w:b/>
                <w:sz w:val="16"/>
                <w:szCs w:val="16"/>
                <w:lang w:val="en-US"/>
              </w:rPr>
              <w:tab/>
            </w:r>
            <w:r w:rsidRPr="00913574">
              <w:rPr>
                <w:rFonts w:ascii="Verdana" w:hAnsi="Verdana"/>
                <w:sz w:val="16"/>
                <w:szCs w:val="16"/>
                <w:lang w:val="en-US"/>
              </w:rPr>
              <w:t>Any other strategy, action or program that the Secretary identifies as appropriate and necessary to comply with the above.</w:t>
            </w:r>
          </w:p>
        </w:tc>
      </w:tr>
      <w:tr w:rsidR="003A38FF" w:rsidRPr="00D83DA2" w14:paraId="50379AF9" w14:textId="6D4D669D" w:rsidTr="00FB5DAD">
        <w:tc>
          <w:tcPr>
            <w:tcW w:w="4706" w:type="dxa"/>
          </w:tcPr>
          <w:p w14:paraId="5B5E6AE4" w14:textId="77777777" w:rsidR="003A38FF" w:rsidRPr="00D0180E" w:rsidRDefault="003A38FF" w:rsidP="003A38FF">
            <w:pPr>
              <w:pStyle w:val="Texto"/>
              <w:spacing w:line="238" w:lineRule="exact"/>
              <w:ind w:firstLine="0"/>
              <w:rPr>
                <w:rFonts w:ascii="Verdana" w:hAnsi="Verdana"/>
                <w:sz w:val="16"/>
                <w:szCs w:val="16"/>
              </w:rPr>
            </w:pPr>
            <w:bookmarkStart w:id="3" w:name="N_Hlk208399619"/>
            <w:r w:rsidRPr="00D0180E">
              <w:rPr>
                <w:rFonts w:ascii="Verdana" w:hAnsi="Verdana"/>
                <w:sz w:val="16"/>
                <w:szCs w:val="16"/>
              </w:rPr>
              <w:t>Se entiende por necesidades básicas: el calentamiento de agua, la cocción y conservación de alimentos, la iluminación, la reducción a la exposición de emisiones y contaminantes derivados de energéticos rudimentarios y un hábitat con confort térmico, entre otras.</w:t>
            </w:r>
            <w:bookmarkEnd w:id="3"/>
          </w:p>
        </w:tc>
        <w:tc>
          <w:tcPr>
            <w:tcW w:w="4644" w:type="dxa"/>
          </w:tcPr>
          <w:p w14:paraId="4D668B7F" w14:textId="75612A86" w:rsidR="003A38FF" w:rsidRPr="00D0180E" w:rsidRDefault="003A38FF" w:rsidP="003A38FF">
            <w:pPr>
              <w:pStyle w:val="Texto"/>
              <w:spacing w:line="238" w:lineRule="exact"/>
              <w:ind w:firstLine="0"/>
              <w:rPr>
                <w:rFonts w:ascii="Verdana" w:hAnsi="Verdana"/>
                <w:sz w:val="16"/>
                <w:szCs w:val="16"/>
                <w:lang w:val="en-US"/>
              </w:rPr>
            </w:pPr>
            <w:r w:rsidRPr="00913574">
              <w:rPr>
                <w:rFonts w:ascii="Verdana" w:hAnsi="Verdana"/>
                <w:sz w:val="16"/>
                <w:szCs w:val="16"/>
                <w:lang w:val="en-US"/>
              </w:rPr>
              <w:t xml:space="preserve">Basic needs </w:t>
            </w:r>
            <w:proofErr w:type="gramStart"/>
            <w:r w:rsidRPr="00913574">
              <w:rPr>
                <w:rFonts w:ascii="Verdana" w:hAnsi="Verdana"/>
                <w:sz w:val="16"/>
                <w:szCs w:val="16"/>
                <w:lang w:val="en-US"/>
              </w:rPr>
              <w:t>include:</w:t>
            </w:r>
            <w:proofErr w:type="gramEnd"/>
            <w:r w:rsidRPr="00913574">
              <w:rPr>
                <w:rFonts w:ascii="Verdana" w:hAnsi="Verdana"/>
                <w:sz w:val="16"/>
                <w:szCs w:val="16"/>
                <w:lang w:val="en-US"/>
              </w:rPr>
              <w:t xml:space="preserve"> heating water, cooking and preserving food, lighting, reducing exposure to emissions and pollutants derived from rudimentary energy sources, and a thermally comfortable environment, among others.</w:t>
            </w:r>
          </w:p>
        </w:tc>
      </w:tr>
      <w:tr w:rsidR="003A38FF" w:rsidRPr="00D83DA2" w14:paraId="5CF8A081" w14:textId="720267B7" w:rsidTr="00FB5DAD">
        <w:tc>
          <w:tcPr>
            <w:tcW w:w="4706" w:type="dxa"/>
          </w:tcPr>
          <w:p w14:paraId="00411CC0"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sz w:val="16"/>
                <w:szCs w:val="16"/>
              </w:rPr>
              <w:t>Las acciones y estrategias señaladas en este artículo se deben llevar a cabo a través de los instrumentos que la Secretaría determine.</w:t>
            </w:r>
          </w:p>
        </w:tc>
        <w:tc>
          <w:tcPr>
            <w:tcW w:w="4644" w:type="dxa"/>
          </w:tcPr>
          <w:p w14:paraId="6151DCDA" w14:textId="3B3C0C94" w:rsidR="003A38FF" w:rsidRPr="00D0180E" w:rsidRDefault="003A38FF" w:rsidP="003A38FF">
            <w:pPr>
              <w:pStyle w:val="Texto"/>
              <w:spacing w:line="238" w:lineRule="exact"/>
              <w:ind w:firstLine="0"/>
              <w:rPr>
                <w:rFonts w:ascii="Verdana" w:hAnsi="Verdana"/>
                <w:sz w:val="16"/>
                <w:szCs w:val="16"/>
                <w:lang w:val="en-US"/>
              </w:rPr>
            </w:pPr>
            <w:r w:rsidRPr="00913574">
              <w:rPr>
                <w:rFonts w:ascii="Verdana" w:hAnsi="Verdana"/>
                <w:sz w:val="16"/>
                <w:szCs w:val="16"/>
                <w:lang w:val="en-US"/>
              </w:rPr>
              <w:t>The actions and strategies outlined in this article must be carried out through the instruments determined by the Secretary.</w:t>
            </w:r>
          </w:p>
        </w:tc>
      </w:tr>
      <w:tr w:rsidR="003A38FF" w:rsidRPr="00D83DA2" w14:paraId="2BFC18B0" w14:textId="1C927D53" w:rsidTr="00FB5DAD">
        <w:tc>
          <w:tcPr>
            <w:tcW w:w="4706" w:type="dxa"/>
          </w:tcPr>
          <w:p w14:paraId="49325BE4"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b/>
                <w:sz w:val="16"/>
                <w:szCs w:val="16"/>
              </w:rPr>
              <w:t>Artículo 35.</w:t>
            </w:r>
            <w:r w:rsidRPr="00D0180E">
              <w:rPr>
                <w:rFonts w:ascii="Verdana" w:hAnsi="Verdana"/>
                <w:sz w:val="16"/>
                <w:szCs w:val="16"/>
              </w:rPr>
              <w:t xml:space="preserve"> Para los efectos de lo establecido en el artículo anterior, así como para formular, instrumentar y evaluar los </w:t>
            </w:r>
            <w:r w:rsidRPr="00D0180E">
              <w:rPr>
                <w:rFonts w:ascii="Verdana" w:hAnsi="Verdana"/>
                <w:sz w:val="16"/>
                <w:szCs w:val="16"/>
                <w:lang w:val="es"/>
              </w:rPr>
              <w:t xml:space="preserve">programas </w:t>
            </w:r>
            <w:r w:rsidRPr="00D0180E">
              <w:rPr>
                <w:rFonts w:ascii="Verdana" w:hAnsi="Verdana"/>
                <w:sz w:val="16"/>
                <w:szCs w:val="16"/>
              </w:rPr>
              <w:t>y acciones de Justicia Energética y, en su caso, los apoyos focalizados, la Secretaría debe establecer mecanismos de coordinación con las Secretarías de Hacienda y Crédito Público, de Medio Ambiente y Recursos Naturales, de Economía y de Bienestar o cualquier otra dependencia de la Administración Pública Federal o administraciones locales, según corresponda, en el ámbito de sus atribuciones.</w:t>
            </w:r>
          </w:p>
        </w:tc>
        <w:tc>
          <w:tcPr>
            <w:tcW w:w="4644" w:type="dxa"/>
          </w:tcPr>
          <w:p w14:paraId="3ADEA2BC" w14:textId="53E6122F" w:rsidR="003A38FF" w:rsidRPr="00D0180E" w:rsidRDefault="003A38FF" w:rsidP="003A38FF">
            <w:pPr>
              <w:pStyle w:val="Texto"/>
              <w:spacing w:line="238" w:lineRule="exact"/>
              <w:ind w:firstLine="0"/>
              <w:rPr>
                <w:rFonts w:ascii="Verdana" w:hAnsi="Verdana"/>
                <w:b/>
                <w:sz w:val="16"/>
                <w:szCs w:val="16"/>
                <w:lang w:val="en-US"/>
              </w:rPr>
            </w:pPr>
            <w:r w:rsidRPr="00913574">
              <w:rPr>
                <w:rFonts w:ascii="Verdana" w:hAnsi="Verdana"/>
                <w:b/>
                <w:sz w:val="16"/>
                <w:szCs w:val="16"/>
                <w:lang w:val="en-US"/>
              </w:rPr>
              <w:t xml:space="preserve">Article 35. </w:t>
            </w:r>
            <w:r w:rsidRPr="00913574">
              <w:rPr>
                <w:rFonts w:ascii="Verdana" w:hAnsi="Verdana"/>
                <w:sz w:val="16"/>
                <w:szCs w:val="16"/>
                <w:lang w:val="en-US"/>
              </w:rPr>
              <w:t xml:space="preserve">For the purposes of the provisions of the </w:t>
            </w:r>
            <w:r>
              <w:rPr>
                <w:rFonts w:ascii="Verdana" w:hAnsi="Verdana"/>
                <w:sz w:val="16"/>
                <w:szCs w:val="16"/>
                <w:lang w:val="en-US"/>
              </w:rPr>
              <w:t>preceding article</w:t>
            </w:r>
            <w:r w:rsidRPr="00913574">
              <w:rPr>
                <w:rFonts w:ascii="Verdana" w:hAnsi="Verdana"/>
                <w:sz w:val="16"/>
                <w:szCs w:val="16"/>
                <w:lang w:val="en-US"/>
              </w:rPr>
              <w:t xml:space="preserve">, as well as to formulate, implement and evaluate Energy Justice programs and actions and, where appropriate, targeted support, the Secretary must establish coordination mechanisms with the </w:t>
            </w:r>
            <w:r>
              <w:rPr>
                <w:rFonts w:ascii="Verdana" w:hAnsi="Verdana"/>
                <w:sz w:val="16"/>
                <w:szCs w:val="16"/>
                <w:lang w:val="en-US"/>
              </w:rPr>
              <w:t>Secretaries</w:t>
            </w:r>
            <w:r w:rsidRPr="00913574">
              <w:rPr>
                <w:rFonts w:ascii="Verdana" w:hAnsi="Verdana"/>
                <w:sz w:val="16"/>
                <w:szCs w:val="16"/>
                <w:lang w:val="en-US"/>
              </w:rPr>
              <w:t xml:space="preserve"> of Finance and Public Credit, Environment and Natural Resources, Economy and Welfare or any other department of the Federal Public Administration or local administrations, as appropriate, within the scope of their powers.</w:t>
            </w:r>
          </w:p>
        </w:tc>
      </w:tr>
      <w:tr w:rsidR="003A38FF" w:rsidRPr="00D83DA2" w14:paraId="5947F3CF" w14:textId="0A15C803" w:rsidTr="00FB5DAD">
        <w:tc>
          <w:tcPr>
            <w:tcW w:w="4706" w:type="dxa"/>
          </w:tcPr>
          <w:p w14:paraId="014BF022"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sz w:val="16"/>
                <w:szCs w:val="16"/>
              </w:rPr>
              <w:t>Asimismo, la CNE y el Instituto Nacional de Estadística y Geografía deben prestar el apoyo técnico que se requiera para los fines del presente artículo, en el ámbito de su competencia.</w:t>
            </w:r>
          </w:p>
        </w:tc>
        <w:tc>
          <w:tcPr>
            <w:tcW w:w="4644" w:type="dxa"/>
          </w:tcPr>
          <w:p w14:paraId="00A6DA09" w14:textId="744F988D" w:rsidR="003A38FF" w:rsidRPr="00D0180E" w:rsidRDefault="003A38FF" w:rsidP="003A38FF">
            <w:pPr>
              <w:pStyle w:val="Texto"/>
              <w:spacing w:line="238" w:lineRule="exact"/>
              <w:ind w:firstLine="0"/>
              <w:rPr>
                <w:rFonts w:ascii="Verdana" w:hAnsi="Verdana"/>
                <w:sz w:val="16"/>
                <w:szCs w:val="16"/>
                <w:lang w:val="en-US"/>
              </w:rPr>
            </w:pPr>
            <w:r>
              <w:rPr>
                <w:rFonts w:ascii="Verdana" w:hAnsi="Verdana"/>
                <w:sz w:val="16"/>
                <w:szCs w:val="16"/>
                <w:lang w:val="en-US"/>
              </w:rPr>
              <w:t>In addition</w:t>
            </w:r>
            <w:r w:rsidRPr="00913574">
              <w:rPr>
                <w:rFonts w:ascii="Verdana" w:hAnsi="Verdana"/>
                <w:sz w:val="16"/>
                <w:szCs w:val="16"/>
                <w:lang w:val="en-US"/>
              </w:rPr>
              <w:t xml:space="preserve">, the National Council of National Statistics and Geography (CNE) and the National Institute of Statistics and Geography must provide the technical support required for the purposes of this article, within their </w:t>
            </w:r>
            <w:r>
              <w:rPr>
                <w:rFonts w:ascii="Verdana" w:hAnsi="Verdana"/>
                <w:sz w:val="16"/>
                <w:szCs w:val="16"/>
                <w:lang w:val="en-US"/>
              </w:rPr>
              <w:t>scope of authority</w:t>
            </w:r>
            <w:r w:rsidRPr="00913574">
              <w:rPr>
                <w:rFonts w:ascii="Verdana" w:hAnsi="Verdana"/>
                <w:sz w:val="16"/>
                <w:szCs w:val="16"/>
                <w:lang w:val="en-US"/>
              </w:rPr>
              <w:t>.</w:t>
            </w:r>
          </w:p>
        </w:tc>
      </w:tr>
      <w:tr w:rsidR="003A38FF" w:rsidRPr="00D83DA2" w14:paraId="0402937E" w14:textId="1C072E90" w:rsidTr="00FB5DAD">
        <w:tc>
          <w:tcPr>
            <w:tcW w:w="4706" w:type="dxa"/>
          </w:tcPr>
          <w:p w14:paraId="38613387" w14:textId="77777777" w:rsidR="003A38FF" w:rsidRPr="00D0180E" w:rsidRDefault="003A38FF" w:rsidP="003A38FF">
            <w:pPr>
              <w:pStyle w:val="Texto"/>
              <w:spacing w:line="229" w:lineRule="exact"/>
              <w:ind w:firstLine="0"/>
              <w:rPr>
                <w:rFonts w:ascii="Verdana" w:hAnsi="Verdana"/>
                <w:sz w:val="16"/>
                <w:szCs w:val="16"/>
              </w:rPr>
            </w:pPr>
            <w:r w:rsidRPr="00D0180E">
              <w:rPr>
                <w:rFonts w:ascii="Verdana" w:hAnsi="Verdana"/>
                <w:b/>
                <w:sz w:val="16"/>
                <w:szCs w:val="16"/>
              </w:rPr>
              <w:t xml:space="preserve">Artículo 36. </w:t>
            </w:r>
            <w:r w:rsidRPr="00D0180E">
              <w:rPr>
                <w:rFonts w:ascii="Verdana" w:hAnsi="Verdana"/>
                <w:sz w:val="16"/>
                <w:szCs w:val="16"/>
              </w:rPr>
              <w:t>La Secretaría debe formular programas anuales de electrificación social y estrategias de Justicia Energética que prioricen el acceso equitativo, la reducción de desigualdades sociales y de género, la inclusión de pueblos y comunidades indígenas y afromexicanas, así como el uso de Energías Limpias para el Suministro Básico.</w:t>
            </w:r>
          </w:p>
        </w:tc>
        <w:tc>
          <w:tcPr>
            <w:tcW w:w="4644" w:type="dxa"/>
          </w:tcPr>
          <w:p w14:paraId="5A9212FE" w14:textId="5E841910" w:rsidR="003A38FF" w:rsidRPr="00D0180E" w:rsidRDefault="003A38FF" w:rsidP="003A38FF">
            <w:pPr>
              <w:pStyle w:val="Texto"/>
              <w:spacing w:line="229" w:lineRule="exact"/>
              <w:ind w:firstLine="0"/>
              <w:rPr>
                <w:rFonts w:ascii="Verdana" w:hAnsi="Verdana"/>
                <w:b/>
                <w:sz w:val="16"/>
                <w:szCs w:val="16"/>
                <w:lang w:val="en-US"/>
              </w:rPr>
            </w:pPr>
            <w:r w:rsidRPr="00913574">
              <w:rPr>
                <w:rFonts w:ascii="Verdana" w:hAnsi="Verdana"/>
                <w:b/>
                <w:sz w:val="16"/>
                <w:szCs w:val="16"/>
                <w:lang w:val="en-US"/>
              </w:rPr>
              <w:t xml:space="preserve">Article 36. </w:t>
            </w:r>
            <w:r w:rsidRPr="00913574">
              <w:rPr>
                <w:rFonts w:ascii="Verdana" w:hAnsi="Verdana"/>
                <w:sz w:val="16"/>
                <w:szCs w:val="16"/>
                <w:lang w:val="en-US"/>
              </w:rPr>
              <w:t xml:space="preserve">The Secretary must develop annual social electrification programs and </w:t>
            </w:r>
            <w:r>
              <w:rPr>
                <w:rFonts w:ascii="Verdana" w:hAnsi="Verdana"/>
                <w:sz w:val="16"/>
                <w:szCs w:val="16"/>
                <w:lang w:val="en-US"/>
              </w:rPr>
              <w:t>e</w:t>
            </w:r>
            <w:r w:rsidRPr="00913574">
              <w:rPr>
                <w:rFonts w:ascii="Verdana" w:hAnsi="Verdana"/>
                <w:sz w:val="16"/>
                <w:szCs w:val="16"/>
                <w:lang w:val="en-US"/>
              </w:rPr>
              <w:t xml:space="preserve">nergy </w:t>
            </w:r>
            <w:r>
              <w:rPr>
                <w:rFonts w:ascii="Verdana" w:hAnsi="Verdana"/>
                <w:sz w:val="16"/>
                <w:szCs w:val="16"/>
                <w:lang w:val="en-US"/>
              </w:rPr>
              <w:t>j</w:t>
            </w:r>
            <w:r w:rsidRPr="00913574">
              <w:rPr>
                <w:rFonts w:ascii="Verdana" w:hAnsi="Verdana"/>
                <w:sz w:val="16"/>
                <w:szCs w:val="16"/>
                <w:lang w:val="en-US"/>
              </w:rPr>
              <w:t>ustice strategies that prioritize equitable access, the reduction of social and gender inequalities, the inclusion of Indigenous and Afro-Mexican peoples and communities, and the use of clean energy for basic supply.</w:t>
            </w:r>
          </w:p>
        </w:tc>
      </w:tr>
      <w:tr w:rsidR="003A38FF" w:rsidRPr="00D83DA2" w14:paraId="61C67790" w14:textId="30EF86F5" w:rsidTr="00FB5DAD">
        <w:tc>
          <w:tcPr>
            <w:tcW w:w="4706" w:type="dxa"/>
          </w:tcPr>
          <w:p w14:paraId="71E10D41" w14:textId="77777777" w:rsidR="003A38FF" w:rsidRPr="00D0180E" w:rsidRDefault="003A38FF" w:rsidP="003A38FF">
            <w:pPr>
              <w:pStyle w:val="Texto"/>
              <w:spacing w:line="229" w:lineRule="exact"/>
              <w:ind w:firstLine="0"/>
              <w:rPr>
                <w:rFonts w:ascii="Verdana" w:hAnsi="Verdana"/>
                <w:sz w:val="16"/>
                <w:szCs w:val="16"/>
              </w:rPr>
            </w:pPr>
            <w:r w:rsidRPr="00D0180E">
              <w:rPr>
                <w:rFonts w:ascii="Verdana" w:hAnsi="Verdana"/>
                <w:sz w:val="16"/>
                <w:szCs w:val="16"/>
              </w:rPr>
              <w:t>Para efectos de lo anterior, cuando la Secretaría lo considere necesario puede coordinarse con los tres órdenes de gobierno y la Empresa Pública del Estado. La coordinación que, en su caso, lleve a cabo con entidades federativas y municipios, se debe realizar en los términos previstos en el Capítulo Quinto de la Ley de Planeación.</w:t>
            </w:r>
          </w:p>
        </w:tc>
        <w:tc>
          <w:tcPr>
            <w:tcW w:w="4644" w:type="dxa"/>
          </w:tcPr>
          <w:p w14:paraId="70193DB7" w14:textId="52F15D6B" w:rsidR="003A38FF" w:rsidRPr="00D0180E" w:rsidRDefault="003A38FF" w:rsidP="003A38FF">
            <w:pPr>
              <w:pStyle w:val="Texto"/>
              <w:spacing w:line="229" w:lineRule="exact"/>
              <w:ind w:firstLine="0"/>
              <w:rPr>
                <w:rFonts w:ascii="Verdana" w:hAnsi="Verdana"/>
                <w:sz w:val="16"/>
                <w:szCs w:val="16"/>
                <w:lang w:val="en-US"/>
              </w:rPr>
            </w:pPr>
            <w:r w:rsidRPr="00913574">
              <w:rPr>
                <w:rFonts w:ascii="Verdana" w:hAnsi="Verdana"/>
                <w:sz w:val="16"/>
                <w:szCs w:val="16"/>
                <w:lang w:val="en-US"/>
              </w:rPr>
              <w:t xml:space="preserve">For the purposes of the foregoing, when the Secretary deems it necessary, it may coordinate with the three levels of government and the State Public Enterprise. Any coordination it may carry out with </w:t>
            </w:r>
            <w:r w:rsidR="00227B41">
              <w:rPr>
                <w:rFonts w:ascii="Verdana" w:hAnsi="Verdana"/>
                <w:sz w:val="16"/>
                <w:szCs w:val="16"/>
                <w:lang w:val="en-US"/>
              </w:rPr>
              <w:t>states</w:t>
            </w:r>
            <w:r w:rsidRPr="00913574">
              <w:rPr>
                <w:rFonts w:ascii="Verdana" w:hAnsi="Verdana"/>
                <w:sz w:val="16"/>
                <w:szCs w:val="16"/>
                <w:lang w:val="en-US"/>
              </w:rPr>
              <w:t xml:space="preserve"> and </w:t>
            </w:r>
            <w:r w:rsidRPr="00846FD9">
              <w:rPr>
                <w:rFonts w:ascii="Verdana" w:hAnsi="Verdana"/>
                <w:i/>
                <w:iCs/>
                <w:sz w:val="16"/>
                <w:szCs w:val="16"/>
                <w:lang w:val="en-US"/>
              </w:rPr>
              <w:t>municipios</w:t>
            </w:r>
            <w:r>
              <w:rPr>
                <w:rStyle w:val="FootnoteReference"/>
                <w:rFonts w:ascii="Verdana" w:hAnsi="Verdana"/>
                <w:i/>
                <w:iCs/>
                <w:sz w:val="16"/>
                <w:szCs w:val="16"/>
                <w:lang w:val="en-US"/>
              </w:rPr>
              <w:footnoteReference w:id="2"/>
            </w:r>
            <w:r w:rsidRPr="00913574">
              <w:rPr>
                <w:rFonts w:ascii="Verdana" w:hAnsi="Verdana"/>
                <w:sz w:val="16"/>
                <w:szCs w:val="16"/>
                <w:lang w:val="en-US"/>
              </w:rPr>
              <w:t xml:space="preserve"> must be carried out in accordance with the terms set forth in Chapter Five of the Planning Law.</w:t>
            </w:r>
          </w:p>
        </w:tc>
      </w:tr>
      <w:tr w:rsidR="003A38FF" w:rsidRPr="00D83DA2" w14:paraId="2A1226C0" w14:textId="13619815" w:rsidTr="00FB5DAD">
        <w:tc>
          <w:tcPr>
            <w:tcW w:w="4706" w:type="dxa"/>
          </w:tcPr>
          <w:p w14:paraId="15E5C062" w14:textId="77777777" w:rsidR="003A38FF" w:rsidRPr="00D0180E" w:rsidRDefault="003A38FF" w:rsidP="003A38FF">
            <w:pPr>
              <w:pStyle w:val="Texto"/>
              <w:spacing w:line="229" w:lineRule="exact"/>
              <w:ind w:firstLine="0"/>
              <w:rPr>
                <w:rFonts w:ascii="Verdana" w:hAnsi="Verdana"/>
                <w:sz w:val="16"/>
                <w:szCs w:val="16"/>
              </w:rPr>
            </w:pPr>
            <w:r w:rsidRPr="00D0180E">
              <w:rPr>
                <w:rFonts w:ascii="Verdana" w:hAnsi="Verdana"/>
                <w:b/>
                <w:sz w:val="16"/>
                <w:szCs w:val="16"/>
              </w:rPr>
              <w:t xml:space="preserve">Artículo 37. </w:t>
            </w:r>
            <w:r w:rsidRPr="00D0180E">
              <w:rPr>
                <w:rFonts w:ascii="Verdana" w:hAnsi="Verdana"/>
                <w:sz w:val="16"/>
                <w:szCs w:val="16"/>
              </w:rPr>
              <w:t xml:space="preserve">Corresponde a la Secretaría, proponer anualmente a la Secretaría de Hacienda y Crédito Público, mecanismos de apoyo, estímulos o gastos </w:t>
            </w:r>
            <w:r w:rsidRPr="00D0180E">
              <w:rPr>
                <w:rFonts w:ascii="Verdana" w:hAnsi="Verdana"/>
                <w:sz w:val="16"/>
                <w:szCs w:val="16"/>
              </w:rPr>
              <w:lastRenderedPageBreak/>
              <w:t>fiscales o financieros que permitan promover inversiones, acciones, programas o proyectos en materia de Justicia Energética. Para el cumplimiento de esta obligación la Secretaría puede solicitar el apoyo técnico de sus organismos sectorizados.</w:t>
            </w:r>
          </w:p>
        </w:tc>
        <w:tc>
          <w:tcPr>
            <w:tcW w:w="4644" w:type="dxa"/>
          </w:tcPr>
          <w:p w14:paraId="2214282F" w14:textId="7C888211" w:rsidR="003A38FF" w:rsidRPr="00D0180E" w:rsidRDefault="003A38FF" w:rsidP="003A38FF">
            <w:pPr>
              <w:pStyle w:val="Texto"/>
              <w:spacing w:line="229" w:lineRule="exact"/>
              <w:ind w:firstLine="0"/>
              <w:rPr>
                <w:rFonts w:ascii="Verdana" w:hAnsi="Verdana"/>
                <w:b/>
                <w:sz w:val="16"/>
                <w:szCs w:val="16"/>
                <w:lang w:val="en-US"/>
              </w:rPr>
            </w:pPr>
            <w:r w:rsidRPr="00913574">
              <w:rPr>
                <w:rFonts w:ascii="Verdana" w:hAnsi="Verdana"/>
                <w:b/>
                <w:sz w:val="16"/>
                <w:szCs w:val="16"/>
                <w:lang w:val="en-US"/>
              </w:rPr>
              <w:lastRenderedPageBreak/>
              <w:t xml:space="preserve">Article 37. </w:t>
            </w:r>
            <w:r w:rsidRPr="00913574">
              <w:rPr>
                <w:rFonts w:ascii="Verdana" w:hAnsi="Verdana"/>
                <w:sz w:val="16"/>
                <w:szCs w:val="16"/>
                <w:lang w:val="en-US"/>
              </w:rPr>
              <w:t xml:space="preserve">The Secretary shall annually propose to the Secretary of Finance and Public Credit support mechanisms, incentives, or fiscal or financial </w:t>
            </w:r>
            <w:r w:rsidRPr="00913574">
              <w:rPr>
                <w:rFonts w:ascii="Verdana" w:hAnsi="Verdana"/>
                <w:sz w:val="16"/>
                <w:szCs w:val="16"/>
                <w:lang w:val="en-US"/>
              </w:rPr>
              <w:lastRenderedPageBreak/>
              <w:t xml:space="preserve">expenditures to promote investments, actions, programs, </w:t>
            </w:r>
            <w:proofErr w:type="gramStart"/>
            <w:r w:rsidRPr="00913574">
              <w:rPr>
                <w:rFonts w:ascii="Verdana" w:hAnsi="Verdana"/>
                <w:sz w:val="16"/>
                <w:szCs w:val="16"/>
                <w:lang w:val="en-US"/>
              </w:rPr>
              <w:t>or</w:t>
            </w:r>
            <w:proofErr w:type="gramEnd"/>
            <w:r w:rsidRPr="00913574">
              <w:rPr>
                <w:rFonts w:ascii="Verdana" w:hAnsi="Verdana"/>
                <w:sz w:val="16"/>
                <w:szCs w:val="16"/>
                <w:lang w:val="en-US"/>
              </w:rPr>
              <w:t xml:space="preserve"> projects related to Energy Justice. To fulfill this obligation, the Secretary may request technical support from its sectoral agencies.</w:t>
            </w:r>
          </w:p>
        </w:tc>
      </w:tr>
      <w:tr w:rsidR="003A38FF" w:rsidRPr="00D83DA2" w14:paraId="6D5E2038" w14:textId="7A5662A5" w:rsidTr="00FB5DAD">
        <w:tc>
          <w:tcPr>
            <w:tcW w:w="4706" w:type="dxa"/>
          </w:tcPr>
          <w:p w14:paraId="1565619A" w14:textId="77777777" w:rsidR="003A38FF" w:rsidRPr="00D0180E" w:rsidRDefault="003A38FF" w:rsidP="003A38FF">
            <w:pPr>
              <w:pStyle w:val="Texto"/>
              <w:spacing w:line="229" w:lineRule="exact"/>
              <w:ind w:firstLine="0"/>
              <w:rPr>
                <w:rFonts w:ascii="Verdana" w:hAnsi="Verdana"/>
                <w:sz w:val="16"/>
                <w:szCs w:val="16"/>
              </w:rPr>
            </w:pPr>
            <w:r w:rsidRPr="00D0180E">
              <w:rPr>
                <w:rFonts w:ascii="Verdana" w:hAnsi="Verdana"/>
                <w:sz w:val="16"/>
                <w:szCs w:val="16"/>
              </w:rPr>
              <w:lastRenderedPageBreak/>
              <w:t>La Secretaría de Hacienda y Crédito Público, en caso de otorgar apoyos, estímulos o gastos fiscales o financieros señalados en el párrafo anterior, distintos al Fondo, en todo momento se debe sujetar al balance financiero correspondiente y procurar finanzas públicas de conformidad con las disposiciones jurídicas aplicables.</w:t>
            </w:r>
          </w:p>
        </w:tc>
        <w:tc>
          <w:tcPr>
            <w:tcW w:w="4644" w:type="dxa"/>
          </w:tcPr>
          <w:p w14:paraId="5F135065" w14:textId="406EE977" w:rsidR="003A38FF" w:rsidRPr="00D0180E" w:rsidRDefault="003A38FF" w:rsidP="003A38FF">
            <w:pPr>
              <w:pStyle w:val="Texto"/>
              <w:spacing w:line="229" w:lineRule="exact"/>
              <w:ind w:firstLine="0"/>
              <w:rPr>
                <w:rFonts w:ascii="Verdana" w:hAnsi="Verdana"/>
                <w:sz w:val="16"/>
                <w:szCs w:val="16"/>
                <w:lang w:val="en-US"/>
              </w:rPr>
            </w:pPr>
            <w:r w:rsidRPr="00913574">
              <w:rPr>
                <w:rFonts w:ascii="Verdana" w:hAnsi="Verdana"/>
                <w:sz w:val="16"/>
                <w:szCs w:val="16"/>
                <w:lang w:val="en-US"/>
              </w:rPr>
              <w:t xml:space="preserve">The Secretary of Finance and Public Credit, when granting support, incentives, or fiscal or financial expenditures indicated in the </w:t>
            </w:r>
            <w:r>
              <w:rPr>
                <w:rFonts w:ascii="Verdana" w:hAnsi="Verdana"/>
                <w:sz w:val="16"/>
                <w:szCs w:val="16"/>
                <w:lang w:val="en-US"/>
              </w:rPr>
              <w:t>preceding paragraph</w:t>
            </w:r>
            <w:r w:rsidRPr="00913574">
              <w:rPr>
                <w:rFonts w:ascii="Verdana" w:hAnsi="Verdana"/>
                <w:sz w:val="16"/>
                <w:szCs w:val="16"/>
                <w:lang w:val="en-US"/>
              </w:rPr>
              <w:t xml:space="preserve">, other than those provided to the Fund, must </w:t>
            </w:r>
            <w:proofErr w:type="gramStart"/>
            <w:r w:rsidRPr="00913574">
              <w:rPr>
                <w:rFonts w:ascii="Verdana" w:hAnsi="Verdana"/>
                <w:sz w:val="16"/>
                <w:szCs w:val="16"/>
                <w:lang w:val="en-US"/>
              </w:rPr>
              <w:t>at all times</w:t>
            </w:r>
            <w:proofErr w:type="gramEnd"/>
            <w:r w:rsidRPr="00913574">
              <w:rPr>
                <w:rFonts w:ascii="Verdana" w:hAnsi="Verdana"/>
                <w:sz w:val="16"/>
                <w:szCs w:val="16"/>
                <w:lang w:val="en-US"/>
              </w:rPr>
              <w:t xml:space="preserve"> adhere to the corresponding financial balance and procure public finances in accordance with applicable legal provisions.</w:t>
            </w:r>
          </w:p>
        </w:tc>
      </w:tr>
      <w:tr w:rsidR="003A38FF" w:rsidRPr="00D83DA2" w14:paraId="5689372E" w14:textId="030027A9" w:rsidTr="00FB5DAD">
        <w:tc>
          <w:tcPr>
            <w:tcW w:w="4706" w:type="dxa"/>
          </w:tcPr>
          <w:p w14:paraId="4F06E4ED" w14:textId="77777777" w:rsidR="003A38FF" w:rsidRPr="00D0180E" w:rsidRDefault="003A38FF" w:rsidP="003A38FF">
            <w:pPr>
              <w:pStyle w:val="Texto"/>
              <w:spacing w:line="229" w:lineRule="exact"/>
              <w:ind w:firstLine="0"/>
              <w:rPr>
                <w:rFonts w:ascii="Verdana" w:hAnsi="Verdana"/>
                <w:sz w:val="16"/>
                <w:szCs w:val="16"/>
              </w:rPr>
            </w:pPr>
            <w:r w:rsidRPr="00D0180E">
              <w:rPr>
                <w:rFonts w:ascii="Verdana" w:hAnsi="Verdana"/>
                <w:b/>
                <w:sz w:val="16"/>
                <w:szCs w:val="16"/>
              </w:rPr>
              <w:t xml:space="preserve">Artículo 38. </w:t>
            </w:r>
            <w:r w:rsidRPr="00D0180E">
              <w:rPr>
                <w:rFonts w:ascii="Verdana" w:hAnsi="Verdana"/>
                <w:sz w:val="16"/>
                <w:szCs w:val="16"/>
              </w:rPr>
              <w:t>La Empresa Pública del Estado debe instalar, conservar y mantener la infraestructura de distribución y de Suministro Básico necesaria, en las zonas que así se determine, en congruencia con los programas aprobados y con los recursos asignados, conforme a los lineamientos que establezca la Secretaría.</w:t>
            </w:r>
          </w:p>
        </w:tc>
        <w:tc>
          <w:tcPr>
            <w:tcW w:w="4644" w:type="dxa"/>
          </w:tcPr>
          <w:p w14:paraId="37FE2043" w14:textId="48EE28CD" w:rsidR="003A38FF" w:rsidRPr="00D0180E" w:rsidRDefault="003A38FF" w:rsidP="003A38FF">
            <w:pPr>
              <w:pStyle w:val="Texto"/>
              <w:spacing w:line="229" w:lineRule="exact"/>
              <w:ind w:firstLine="0"/>
              <w:rPr>
                <w:rFonts w:ascii="Verdana" w:hAnsi="Verdana"/>
                <w:b/>
                <w:sz w:val="16"/>
                <w:szCs w:val="16"/>
                <w:lang w:val="en-US"/>
              </w:rPr>
            </w:pPr>
            <w:r w:rsidRPr="00913574">
              <w:rPr>
                <w:rFonts w:ascii="Verdana" w:hAnsi="Verdana"/>
                <w:b/>
                <w:sz w:val="16"/>
                <w:szCs w:val="16"/>
                <w:lang w:val="en-US"/>
              </w:rPr>
              <w:t xml:space="preserve">Article 38. </w:t>
            </w:r>
            <w:r w:rsidRPr="00913574">
              <w:rPr>
                <w:rFonts w:ascii="Verdana" w:hAnsi="Verdana"/>
                <w:sz w:val="16"/>
                <w:szCs w:val="16"/>
                <w:lang w:val="en-US"/>
              </w:rPr>
              <w:t>The State Public Enterprise must install, maintain and uphold the necessary distribution and basic supply infrastructure in the areas so determined, in accordance with the approved programs and the allocated resources, in accordance with the guidelines established by the Secretary.</w:t>
            </w:r>
          </w:p>
        </w:tc>
      </w:tr>
      <w:tr w:rsidR="003A38FF" w:rsidRPr="00D83DA2" w14:paraId="2ABBE6A9" w14:textId="2B288814" w:rsidTr="00FB5DAD">
        <w:tc>
          <w:tcPr>
            <w:tcW w:w="4706" w:type="dxa"/>
          </w:tcPr>
          <w:p w14:paraId="6916CCCE" w14:textId="77777777" w:rsidR="003A38FF" w:rsidRPr="00D0180E" w:rsidRDefault="003A38FF" w:rsidP="003A38FF">
            <w:pPr>
              <w:pStyle w:val="Texto"/>
              <w:spacing w:line="229" w:lineRule="exact"/>
              <w:ind w:firstLine="0"/>
              <w:rPr>
                <w:rFonts w:ascii="Verdana" w:hAnsi="Verdana"/>
                <w:sz w:val="16"/>
                <w:szCs w:val="16"/>
              </w:rPr>
            </w:pPr>
            <w:r w:rsidRPr="00D0180E">
              <w:rPr>
                <w:rFonts w:ascii="Verdana" w:hAnsi="Verdana"/>
                <w:b/>
                <w:sz w:val="16"/>
                <w:szCs w:val="16"/>
              </w:rPr>
              <w:t xml:space="preserve">Artículo 39. </w:t>
            </w:r>
            <w:r w:rsidRPr="00D0180E">
              <w:rPr>
                <w:rFonts w:ascii="Verdana" w:hAnsi="Verdana"/>
                <w:sz w:val="16"/>
                <w:szCs w:val="16"/>
              </w:rPr>
              <w:t>La Secretaría y la CNE, en el ámbito de sus respectivas competencias, deben promover que se realicen acciones en las actividades de generación, almacenamiento, transmisión, distribución, suministro, comercialización, planeación y Control Operativo del Sistema Eléctrico Nacional, para alcanzar los objetivos de Justicia Energética citados en este reglamento.</w:t>
            </w:r>
          </w:p>
        </w:tc>
        <w:tc>
          <w:tcPr>
            <w:tcW w:w="4644" w:type="dxa"/>
          </w:tcPr>
          <w:p w14:paraId="4CF93AA9" w14:textId="4525FAB6" w:rsidR="003A38FF" w:rsidRPr="00D0180E" w:rsidRDefault="003A38FF" w:rsidP="003A38FF">
            <w:pPr>
              <w:pStyle w:val="Texto"/>
              <w:spacing w:line="229" w:lineRule="exact"/>
              <w:ind w:firstLine="0"/>
              <w:rPr>
                <w:rFonts w:ascii="Verdana" w:hAnsi="Verdana"/>
                <w:b/>
                <w:sz w:val="16"/>
                <w:szCs w:val="16"/>
                <w:lang w:val="en-US"/>
              </w:rPr>
            </w:pPr>
            <w:r w:rsidRPr="00913574">
              <w:rPr>
                <w:rFonts w:ascii="Verdana" w:hAnsi="Verdana"/>
                <w:b/>
                <w:sz w:val="16"/>
                <w:szCs w:val="16"/>
                <w:lang w:val="en-US"/>
              </w:rPr>
              <w:t xml:space="preserve">Article 39. </w:t>
            </w:r>
            <w:r w:rsidRPr="00913574">
              <w:rPr>
                <w:rFonts w:ascii="Verdana" w:hAnsi="Verdana"/>
                <w:sz w:val="16"/>
                <w:szCs w:val="16"/>
                <w:lang w:val="en-US"/>
              </w:rPr>
              <w:t xml:space="preserve">The Secretary and the CNE, within the scope of their respective powers, must promote actions in the activities of generation, storage, transmission, distribution, supply, marketing, planning and operational control of the </w:t>
            </w:r>
            <w:r>
              <w:rPr>
                <w:rFonts w:ascii="Verdana" w:hAnsi="Verdana"/>
                <w:sz w:val="16"/>
                <w:szCs w:val="16"/>
                <w:lang w:val="en-US"/>
              </w:rPr>
              <w:t>National Electric System</w:t>
            </w:r>
            <w:r w:rsidRPr="00913574">
              <w:rPr>
                <w:rFonts w:ascii="Verdana" w:hAnsi="Verdana"/>
                <w:sz w:val="16"/>
                <w:szCs w:val="16"/>
                <w:lang w:val="en-US"/>
              </w:rPr>
              <w:t>, to achieve the energy justice objectives cited in this regulation.</w:t>
            </w:r>
          </w:p>
        </w:tc>
      </w:tr>
      <w:tr w:rsidR="003A38FF" w:rsidRPr="00D83DA2" w14:paraId="7F688776" w14:textId="104C459B" w:rsidTr="00FB5DAD">
        <w:tc>
          <w:tcPr>
            <w:tcW w:w="4706" w:type="dxa"/>
          </w:tcPr>
          <w:p w14:paraId="058CA37C" w14:textId="77777777" w:rsidR="003A38FF" w:rsidRPr="00D0180E" w:rsidRDefault="003A38FF" w:rsidP="003A38FF">
            <w:pPr>
              <w:pStyle w:val="Texto"/>
              <w:spacing w:line="229" w:lineRule="exact"/>
              <w:ind w:firstLine="0"/>
              <w:rPr>
                <w:rFonts w:ascii="Verdana" w:hAnsi="Verdana"/>
                <w:sz w:val="16"/>
                <w:szCs w:val="16"/>
              </w:rPr>
            </w:pPr>
            <w:r w:rsidRPr="00D0180E">
              <w:rPr>
                <w:rFonts w:ascii="Verdana" w:hAnsi="Verdana"/>
                <w:sz w:val="16"/>
                <w:szCs w:val="16"/>
              </w:rPr>
              <w:t>La Secretaría debe establecer los mecanismos para garantizar que anualmente los programas de ampliación y modernización de la Red Nacional de Transmisión y de las Redes Generales de Distribución, incluyan y ejecuten proyectos que cumplan con los objetivos de Justicia Energética establecidos en este reglamento.</w:t>
            </w:r>
          </w:p>
        </w:tc>
        <w:tc>
          <w:tcPr>
            <w:tcW w:w="4644" w:type="dxa"/>
          </w:tcPr>
          <w:p w14:paraId="5917077A" w14:textId="1B35A3DB" w:rsidR="003A38FF" w:rsidRPr="00D0180E" w:rsidRDefault="003A38FF" w:rsidP="003A38FF">
            <w:pPr>
              <w:pStyle w:val="Texto"/>
              <w:spacing w:line="229" w:lineRule="exact"/>
              <w:ind w:firstLine="0"/>
              <w:rPr>
                <w:rFonts w:ascii="Verdana" w:hAnsi="Verdana"/>
                <w:sz w:val="16"/>
                <w:szCs w:val="16"/>
                <w:lang w:val="en-US"/>
              </w:rPr>
            </w:pPr>
            <w:r w:rsidRPr="00913574">
              <w:rPr>
                <w:rFonts w:ascii="Verdana" w:hAnsi="Verdana"/>
                <w:sz w:val="16"/>
                <w:szCs w:val="16"/>
                <w:lang w:val="en-US"/>
              </w:rPr>
              <w:t>The Secretary must establish mechanisms to ensure that the annual expansion and modernization programs for the national transmission grid and the general distribution networks include and execute projects that meet the energy justice objectives established in this regulation.</w:t>
            </w:r>
          </w:p>
        </w:tc>
      </w:tr>
      <w:tr w:rsidR="003A38FF" w:rsidRPr="00D83DA2" w14:paraId="7128737E" w14:textId="6386A7B0" w:rsidTr="00FB5DAD">
        <w:tc>
          <w:tcPr>
            <w:tcW w:w="4706" w:type="dxa"/>
          </w:tcPr>
          <w:p w14:paraId="6821BBA4" w14:textId="77777777" w:rsidR="003A38FF" w:rsidRPr="00D0180E" w:rsidRDefault="003A38FF" w:rsidP="003A38FF">
            <w:pPr>
              <w:pStyle w:val="Texto"/>
              <w:spacing w:line="229" w:lineRule="exact"/>
              <w:ind w:firstLine="0"/>
              <w:rPr>
                <w:rFonts w:ascii="Verdana" w:hAnsi="Verdana"/>
                <w:sz w:val="16"/>
                <w:szCs w:val="16"/>
              </w:rPr>
            </w:pPr>
            <w:r w:rsidRPr="00D0180E">
              <w:rPr>
                <w:rFonts w:ascii="Verdana" w:hAnsi="Verdana"/>
                <w:b/>
                <w:sz w:val="16"/>
                <w:szCs w:val="16"/>
              </w:rPr>
              <w:t xml:space="preserve">Artículo 40. </w:t>
            </w:r>
            <w:r w:rsidRPr="00D0180E">
              <w:rPr>
                <w:rFonts w:ascii="Verdana" w:hAnsi="Verdana"/>
                <w:sz w:val="16"/>
                <w:szCs w:val="16"/>
              </w:rPr>
              <w:t xml:space="preserve">La Secretaría debe diseñar e implementar un sistema de indicadores de Justicia Energética que mida </w:t>
            </w:r>
            <w:r w:rsidRPr="00D0180E">
              <w:rPr>
                <w:rFonts w:ascii="Verdana" w:hAnsi="Verdana"/>
                <w:sz w:val="16"/>
                <w:szCs w:val="16"/>
                <w:lang w:val="es"/>
              </w:rPr>
              <w:t>el cumplimiento efectivo de los objetivos en las acciones, programas, estrategias y</w:t>
            </w:r>
            <w:r w:rsidRPr="00D0180E">
              <w:rPr>
                <w:rFonts w:ascii="Verdana" w:hAnsi="Verdana"/>
                <w:sz w:val="16"/>
                <w:szCs w:val="16"/>
              </w:rPr>
              <w:t xml:space="preserve"> en los proyectos financiados, así como publicar anualmente los resultados obtenidos y actualizar las estrategias de Justicia Energética para mejorar su efectividad.</w:t>
            </w:r>
          </w:p>
        </w:tc>
        <w:tc>
          <w:tcPr>
            <w:tcW w:w="4644" w:type="dxa"/>
          </w:tcPr>
          <w:p w14:paraId="3FDBF902" w14:textId="4EE0A16B" w:rsidR="003A38FF" w:rsidRPr="00D0180E" w:rsidRDefault="003A38FF" w:rsidP="003A38FF">
            <w:pPr>
              <w:pStyle w:val="Texto"/>
              <w:spacing w:line="229" w:lineRule="exact"/>
              <w:ind w:firstLine="0"/>
              <w:rPr>
                <w:rFonts w:ascii="Verdana" w:hAnsi="Verdana"/>
                <w:b/>
                <w:sz w:val="16"/>
                <w:szCs w:val="16"/>
                <w:lang w:val="en-US"/>
              </w:rPr>
            </w:pPr>
            <w:r w:rsidRPr="00913574">
              <w:rPr>
                <w:rFonts w:ascii="Verdana" w:hAnsi="Verdana"/>
                <w:b/>
                <w:sz w:val="16"/>
                <w:szCs w:val="16"/>
                <w:lang w:val="en-US"/>
              </w:rPr>
              <w:t xml:space="preserve">Article 40. </w:t>
            </w:r>
            <w:r w:rsidRPr="00913574">
              <w:rPr>
                <w:rFonts w:ascii="Verdana" w:hAnsi="Verdana"/>
                <w:sz w:val="16"/>
                <w:szCs w:val="16"/>
                <w:lang w:val="en-US"/>
              </w:rPr>
              <w:t>The Secretary must design and implement a system of energy justice indicators that measures the effective achievement of objectives in the actions, programs, strategies, and funded projects, as well as publish the results obtained annually and update the energy justice strategies to improve their effectiveness.</w:t>
            </w:r>
          </w:p>
        </w:tc>
      </w:tr>
      <w:tr w:rsidR="003A38FF" w:rsidRPr="00D83DA2" w14:paraId="324C825C" w14:textId="74EC950B" w:rsidTr="00FB5DAD">
        <w:tc>
          <w:tcPr>
            <w:tcW w:w="4706" w:type="dxa"/>
          </w:tcPr>
          <w:p w14:paraId="37E39EB6" w14:textId="77777777" w:rsidR="003A38FF" w:rsidRPr="00D0180E" w:rsidRDefault="003A38FF" w:rsidP="003A38FF">
            <w:pPr>
              <w:pStyle w:val="Texto"/>
              <w:spacing w:line="229" w:lineRule="exact"/>
              <w:ind w:firstLine="0"/>
              <w:rPr>
                <w:rFonts w:ascii="Verdana" w:hAnsi="Verdana"/>
                <w:sz w:val="16"/>
                <w:szCs w:val="16"/>
              </w:rPr>
            </w:pPr>
            <w:r w:rsidRPr="00D0180E">
              <w:rPr>
                <w:rFonts w:ascii="Verdana" w:hAnsi="Verdana"/>
                <w:b/>
                <w:sz w:val="16"/>
                <w:szCs w:val="16"/>
              </w:rPr>
              <w:t>Artículo 41.</w:t>
            </w:r>
            <w:r w:rsidRPr="00D0180E">
              <w:rPr>
                <w:rFonts w:ascii="Verdana" w:hAnsi="Verdana"/>
                <w:sz w:val="16"/>
                <w:szCs w:val="16"/>
              </w:rPr>
              <w:t xml:space="preserve"> Con el fin de impulsar el objetivo de prosperidad compartida, la Secretaría debe coordinar grupos de trabajo con las empresas públicas, privadas, las instituciones de educación superior y las organizaciones de la sociedad civil, para el establecimiento de estrategias conjuntas de desarrollo incluyente y de participación en los polos de desarrollo.</w:t>
            </w:r>
          </w:p>
        </w:tc>
        <w:tc>
          <w:tcPr>
            <w:tcW w:w="4644" w:type="dxa"/>
          </w:tcPr>
          <w:p w14:paraId="331EC69A" w14:textId="3B33BF8E" w:rsidR="003A38FF" w:rsidRPr="00D0180E" w:rsidRDefault="003A38FF" w:rsidP="003A38FF">
            <w:pPr>
              <w:pStyle w:val="Texto"/>
              <w:spacing w:line="229" w:lineRule="exact"/>
              <w:ind w:firstLine="0"/>
              <w:rPr>
                <w:rFonts w:ascii="Verdana" w:hAnsi="Verdana"/>
                <w:b/>
                <w:sz w:val="16"/>
                <w:szCs w:val="16"/>
                <w:lang w:val="en-US"/>
              </w:rPr>
            </w:pPr>
            <w:r w:rsidRPr="00913574">
              <w:rPr>
                <w:rFonts w:ascii="Verdana" w:hAnsi="Verdana"/>
                <w:b/>
                <w:sz w:val="16"/>
                <w:szCs w:val="16"/>
                <w:lang w:val="en-US"/>
              </w:rPr>
              <w:t xml:space="preserve">Article 41. </w:t>
            </w:r>
            <w:proofErr w:type="gramStart"/>
            <w:r w:rsidRPr="00913574">
              <w:rPr>
                <w:rFonts w:ascii="Verdana" w:hAnsi="Verdana"/>
                <w:sz w:val="16"/>
                <w:szCs w:val="16"/>
                <w:lang w:val="en-US"/>
              </w:rPr>
              <w:t>In order to</w:t>
            </w:r>
            <w:proofErr w:type="gramEnd"/>
            <w:r w:rsidRPr="00913574">
              <w:rPr>
                <w:rFonts w:ascii="Verdana" w:hAnsi="Verdana"/>
                <w:sz w:val="16"/>
                <w:szCs w:val="16"/>
                <w:lang w:val="en-US"/>
              </w:rPr>
              <w:t xml:space="preserve"> promote the goal of shared prosperity, the Secretary shall coordinate working groups with public and private enterprises, higher education institutions, and civil society organizations to establish joint strategies for inclusive development and participation in development hubs.</w:t>
            </w:r>
          </w:p>
        </w:tc>
      </w:tr>
      <w:tr w:rsidR="003A38FF" w:rsidRPr="00D83DA2" w14:paraId="6066C07C" w14:textId="3EB5C24F" w:rsidTr="00FB5DAD">
        <w:tc>
          <w:tcPr>
            <w:tcW w:w="4706" w:type="dxa"/>
          </w:tcPr>
          <w:p w14:paraId="3C31DFE2" w14:textId="77777777" w:rsidR="003A38FF" w:rsidRPr="00D0180E" w:rsidRDefault="003A38FF" w:rsidP="003A38FF">
            <w:pPr>
              <w:pStyle w:val="Texto"/>
              <w:spacing w:line="229" w:lineRule="exact"/>
              <w:ind w:firstLine="0"/>
              <w:rPr>
                <w:rFonts w:ascii="Verdana" w:hAnsi="Verdana"/>
                <w:sz w:val="16"/>
                <w:szCs w:val="16"/>
              </w:rPr>
            </w:pPr>
            <w:r w:rsidRPr="00D0180E">
              <w:rPr>
                <w:rFonts w:ascii="Verdana" w:hAnsi="Verdana"/>
                <w:sz w:val="16"/>
                <w:szCs w:val="16"/>
                <w:lang w:val="es"/>
              </w:rPr>
              <w:t>La Secretaría es la encargada de asegurar que, en los proyectos</w:t>
            </w:r>
            <w:r w:rsidRPr="00D0180E">
              <w:rPr>
                <w:rFonts w:ascii="Verdana" w:hAnsi="Verdana"/>
                <w:sz w:val="16"/>
                <w:szCs w:val="16"/>
              </w:rPr>
              <w:t xml:space="preserve"> públicos, privados y mixtos, se planteen acciones concretas para lograr la integración de individuos, comunidades y otras agrupaciones en los beneficios de los proyectos del sector eléctrico, así como su capacitación y adiestramiento para añadir valor a los mismos.</w:t>
            </w:r>
          </w:p>
        </w:tc>
        <w:tc>
          <w:tcPr>
            <w:tcW w:w="4644" w:type="dxa"/>
          </w:tcPr>
          <w:p w14:paraId="5DEC2BA9" w14:textId="369D2BD3" w:rsidR="003A38FF" w:rsidRPr="00D0180E" w:rsidRDefault="003A38FF" w:rsidP="003A38FF">
            <w:pPr>
              <w:pStyle w:val="Texto"/>
              <w:spacing w:line="229" w:lineRule="exact"/>
              <w:ind w:firstLine="0"/>
              <w:rPr>
                <w:rFonts w:ascii="Verdana" w:hAnsi="Verdana"/>
                <w:sz w:val="16"/>
                <w:szCs w:val="16"/>
                <w:lang w:val="en-US"/>
              </w:rPr>
            </w:pPr>
            <w:r w:rsidRPr="00913574">
              <w:rPr>
                <w:rFonts w:ascii="Verdana" w:hAnsi="Verdana"/>
                <w:sz w:val="16"/>
                <w:szCs w:val="16"/>
                <w:lang w:val="en-US"/>
              </w:rPr>
              <w:t>The Secretary is responsible for ensuring that, in public, private, and mixed-use projects, concrete actions are implemented to ensure the inclusion of individuals, communities, and other groups in the benefits of electricity sector projects, as well as their training and development to add value to them.</w:t>
            </w:r>
          </w:p>
        </w:tc>
      </w:tr>
      <w:tr w:rsidR="003A38FF" w:rsidRPr="00D83DA2" w14:paraId="6DAADD01" w14:textId="4853DFDD" w:rsidTr="00FB5DAD">
        <w:tc>
          <w:tcPr>
            <w:tcW w:w="4706" w:type="dxa"/>
          </w:tcPr>
          <w:p w14:paraId="60F337A7" w14:textId="77777777" w:rsidR="003A38FF" w:rsidRPr="00D0180E" w:rsidRDefault="003A38FF" w:rsidP="003A38FF">
            <w:pPr>
              <w:pStyle w:val="Texto"/>
              <w:spacing w:line="229" w:lineRule="exact"/>
              <w:ind w:firstLine="0"/>
              <w:rPr>
                <w:rFonts w:ascii="Verdana" w:hAnsi="Verdana"/>
                <w:sz w:val="16"/>
                <w:szCs w:val="16"/>
              </w:rPr>
            </w:pPr>
            <w:r w:rsidRPr="00D0180E">
              <w:rPr>
                <w:rFonts w:ascii="Verdana" w:hAnsi="Verdana"/>
                <w:sz w:val="16"/>
                <w:szCs w:val="16"/>
              </w:rPr>
              <w:lastRenderedPageBreak/>
              <w:t>Se entiende por prosperidad compartida a todas aquellas acciones o estrategias de desarrollo que busquen que el crecimiento económico derivado de los proyectos del sector eléctrico sea inclusivo y participativo, y que sus beneficios se distribuyan de manera equitativa entre la población, con el objetivo de mejorar el bienestar de todas las personas, especialmente de aquellas en situación de pobreza o en condiciones de Pobreza Energética.</w:t>
            </w:r>
          </w:p>
        </w:tc>
        <w:tc>
          <w:tcPr>
            <w:tcW w:w="4644" w:type="dxa"/>
          </w:tcPr>
          <w:p w14:paraId="54C00996" w14:textId="611389AF" w:rsidR="003A38FF" w:rsidRPr="00D0180E" w:rsidRDefault="003A38FF" w:rsidP="003A38FF">
            <w:pPr>
              <w:pStyle w:val="Texto"/>
              <w:spacing w:line="229" w:lineRule="exact"/>
              <w:ind w:firstLine="0"/>
              <w:rPr>
                <w:rFonts w:ascii="Verdana" w:hAnsi="Verdana"/>
                <w:sz w:val="16"/>
                <w:szCs w:val="16"/>
                <w:lang w:val="en-US"/>
              </w:rPr>
            </w:pPr>
            <w:r w:rsidRPr="00913574">
              <w:rPr>
                <w:rFonts w:ascii="Verdana" w:hAnsi="Verdana"/>
                <w:sz w:val="16"/>
                <w:szCs w:val="16"/>
                <w:lang w:val="en-US"/>
              </w:rPr>
              <w:t>Shared prosperity refers to all development actions or strategies that seek to ensure that economic growth derived from electricity sector projects is inclusive and participatory, and that its benefits are distributed equitably among the population, with the goal of improving the well-being of all people, especially those living in poverty or experiencing energy poverty.</w:t>
            </w:r>
          </w:p>
        </w:tc>
      </w:tr>
      <w:tr w:rsidR="003A38FF" w:rsidRPr="00D83DA2" w14:paraId="028825E9" w14:textId="663C9356" w:rsidTr="00FB5DAD">
        <w:tc>
          <w:tcPr>
            <w:tcW w:w="4706" w:type="dxa"/>
          </w:tcPr>
          <w:p w14:paraId="4EED5950" w14:textId="77777777" w:rsidR="003A38FF" w:rsidRPr="00D0180E" w:rsidRDefault="003A38FF" w:rsidP="003A38FF">
            <w:pPr>
              <w:pStyle w:val="Texto"/>
              <w:spacing w:line="229" w:lineRule="exact"/>
              <w:ind w:firstLine="0"/>
              <w:rPr>
                <w:rFonts w:ascii="Verdana" w:hAnsi="Verdana"/>
                <w:sz w:val="16"/>
                <w:szCs w:val="16"/>
              </w:rPr>
            </w:pPr>
            <w:r w:rsidRPr="00D0180E">
              <w:rPr>
                <w:rFonts w:ascii="Verdana" w:hAnsi="Verdana"/>
                <w:b/>
                <w:sz w:val="16"/>
                <w:szCs w:val="16"/>
              </w:rPr>
              <w:t>Artículo 42.</w:t>
            </w:r>
            <w:r w:rsidRPr="00D0180E">
              <w:rPr>
                <w:rFonts w:ascii="Verdana" w:hAnsi="Verdana"/>
                <w:sz w:val="16"/>
                <w:szCs w:val="16"/>
              </w:rPr>
              <w:t xml:space="preserve"> A fin de lograr el objetivo de ampliar los espacios de participación inclusiva, principalmente de los pueblos y comunidades indígenas y afromexicanas, en las cadenas productivas locales de los proyectos del sector eléctrico, la Secretaría, en coordinación con las autoridades correspondientes, como mínimo, debe llevar a cabo las siguientes actividades:</w:t>
            </w:r>
          </w:p>
        </w:tc>
        <w:tc>
          <w:tcPr>
            <w:tcW w:w="4644" w:type="dxa"/>
          </w:tcPr>
          <w:p w14:paraId="3CED2DE6" w14:textId="11BBDFC7" w:rsidR="003A38FF" w:rsidRPr="00D0180E" w:rsidRDefault="003A38FF" w:rsidP="003A38FF">
            <w:pPr>
              <w:pStyle w:val="Texto"/>
              <w:spacing w:line="229" w:lineRule="exact"/>
              <w:ind w:firstLine="0"/>
              <w:rPr>
                <w:rFonts w:ascii="Verdana" w:hAnsi="Verdana"/>
                <w:b/>
                <w:sz w:val="16"/>
                <w:szCs w:val="16"/>
                <w:lang w:val="en-US"/>
              </w:rPr>
            </w:pPr>
            <w:r w:rsidRPr="00913574">
              <w:rPr>
                <w:rFonts w:ascii="Verdana" w:hAnsi="Verdana"/>
                <w:b/>
                <w:sz w:val="16"/>
                <w:szCs w:val="16"/>
                <w:lang w:val="en-US"/>
              </w:rPr>
              <w:t xml:space="preserve">Article 42. </w:t>
            </w:r>
            <w:proofErr w:type="gramStart"/>
            <w:r w:rsidRPr="00913574">
              <w:rPr>
                <w:rFonts w:ascii="Verdana" w:hAnsi="Verdana"/>
                <w:sz w:val="16"/>
                <w:szCs w:val="16"/>
                <w:lang w:val="en-US"/>
              </w:rPr>
              <w:t>In order to</w:t>
            </w:r>
            <w:proofErr w:type="gramEnd"/>
            <w:r w:rsidRPr="00913574">
              <w:rPr>
                <w:rFonts w:ascii="Verdana" w:hAnsi="Verdana"/>
                <w:sz w:val="16"/>
                <w:szCs w:val="16"/>
                <w:lang w:val="en-US"/>
              </w:rPr>
              <w:t xml:space="preserve"> achieve the objective of expanding spaces for inclusive participation, primarily for Indigenous and Afro-Mexican peoples and communities, in the local production chains of electricity sector projects, the Secretary, in coordination with the relevant authorities, must, at a minimum, carry out the following activities:</w:t>
            </w:r>
          </w:p>
        </w:tc>
      </w:tr>
      <w:tr w:rsidR="003A38FF" w:rsidRPr="00D83DA2" w14:paraId="298078FF" w14:textId="72069A5B" w:rsidTr="00FB5DAD">
        <w:tc>
          <w:tcPr>
            <w:tcW w:w="4706" w:type="dxa"/>
          </w:tcPr>
          <w:p w14:paraId="3C2318F0" w14:textId="77777777" w:rsidR="003A38FF" w:rsidRPr="00D0180E" w:rsidRDefault="003A38FF" w:rsidP="003A38FF">
            <w:pPr>
              <w:pStyle w:val="Texto"/>
              <w:spacing w:line="229"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Establecer las acciones necesarias a fin de que las comunidades cuenten con información suficiente, accesible y adecuada para cada contexto en particular, que les permita evaluar los impactos potenciales de los proyectos del sector eléctrico, en su vertiente ambiental, social, económica y cualquier otra que incida en sus derechos humanos;</w:t>
            </w:r>
          </w:p>
        </w:tc>
        <w:tc>
          <w:tcPr>
            <w:tcW w:w="4644" w:type="dxa"/>
          </w:tcPr>
          <w:p w14:paraId="025C920B" w14:textId="25399707" w:rsidR="003A38FF" w:rsidRPr="00D0180E" w:rsidRDefault="003A38FF" w:rsidP="003A38FF">
            <w:pPr>
              <w:pStyle w:val="Texto"/>
              <w:spacing w:line="229" w:lineRule="exact"/>
              <w:ind w:firstLine="0"/>
              <w:rPr>
                <w:rFonts w:ascii="Verdana" w:hAnsi="Verdana"/>
                <w:b/>
                <w:sz w:val="16"/>
                <w:szCs w:val="16"/>
                <w:lang w:val="en-US"/>
              </w:rPr>
            </w:pPr>
            <w:r w:rsidRPr="00913574">
              <w:rPr>
                <w:rFonts w:ascii="Verdana" w:hAnsi="Verdana"/>
                <w:b/>
                <w:sz w:val="16"/>
                <w:szCs w:val="16"/>
                <w:lang w:val="en-US"/>
              </w:rPr>
              <w:t xml:space="preserve">I. </w:t>
            </w:r>
            <w:r w:rsidRPr="00913574">
              <w:rPr>
                <w:rFonts w:ascii="Verdana" w:hAnsi="Verdana"/>
                <w:b/>
                <w:sz w:val="16"/>
                <w:szCs w:val="16"/>
                <w:lang w:val="en-US"/>
              </w:rPr>
              <w:tab/>
            </w:r>
            <w:r w:rsidRPr="00913574">
              <w:rPr>
                <w:rFonts w:ascii="Verdana" w:hAnsi="Verdana"/>
                <w:sz w:val="16"/>
                <w:szCs w:val="16"/>
                <w:lang w:val="en-US"/>
              </w:rPr>
              <w:t xml:space="preserve">Establish the necessary actions so that communities have sufficient, accessible and appropriate information for each </w:t>
            </w:r>
            <w:proofErr w:type="gramStart"/>
            <w:r w:rsidRPr="00913574">
              <w:rPr>
                <w:rFonts w:ascii="Verdana" w:hAnsi="Verdana"/>
                <w:sz w:val="16"/>
                <w:szCs w:val="16"/>
                <w:lang w:val="en-US"/>
              </w:rPr>
              <w:t>particular context</w:t>
            </w:r>
            <w:proofErr w:type="gramEnd"/>
            <w:r w:rsidRPr="00913574">
              <w:rPr>
                <w:rFonts w:ascii="Verdana" w:hAnsi="Verdana"/>
                <w:sz w:val="16"/>
                <w:szCs w:val="16"/>
                <w:lang w:val="en-US"/>
              </w:rPr>
              <w:t>, which allows them to evaluate the potential impacts of electricity sector projects, in their environmental, social, economic and any other aspects that affect their human rights;</w:t>
            </w:r>
          </w:p>
        </w:tc>
      </w:tr>
      <w:tr w:rsidR="003A38FF" w:rsidRPr="00D83DA2" w14:paraId="04B94212" w14:textId="345B6293" w:rsidTr="00FB5DAD">
        <w:tc>
          <w:tcPr>
            <w:tcW w:w="4706" w:type="dxa"/>
          </w:tcPr>
          <w:p w14:paraId="40AE95E5"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Asegurar los mecanismos para transparentar en los proyectos la información relativa a las empresas involucradas, su financiamiento, escala, tecnologías y los contratos de producción de energía eléctrica, y</w:t>
            </w:r>
          </w:p>
        </w:tc>
        <w:tc>
          <w:tcPr>
            <w:tcW w:w="4644" w:type="dxa"/>
          </w:tcPr>
          <w:p w14:paraId="30E16C2F" w14:textId="2D63BB2A" w:rsidR="003A38FF" w:rsidRPr="00D0180E" w:rsidRDefault="003A38FF" w:rsidP="003A38FF">
            <w:pPr>
              <w:pStyle w:val="Texto"/>
              <w:spacing w:line="232" w:lineRule="exact"/>
              <w:ind w:firstLine="0"/>
              <w:rPr>
                <w:rFonts w:ascii="Verdana" w:hAnsi="Verdana"/>
                <w:b/>
                <w:sz w:val="16"/>
                <w:szCs w:val="16"/>
                <w:lang w:val="en-US"/>
              </w:rPr>
            </w:pPr>
            <w:r w:rsidRPr="00913574">
              <w:rPr>
                <w:rFonts w:ascii="Verdana" w:hAnsi="Verdana"/>
                <w:b/>
                <w:sz w:val="16"/>
                <w:szCs w:val="16"/>
                <w:lang w:val="en-US"/>
              </w:rPr>
              <w:t>II</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Ensure</w:t>
            </w:r>
            <w:proofErr w:type="gramEnd"/>
            <w:r w:rsidRPr="00913574">
              <w:rPr>
                <w:rFonts w:ascii="Verdana" w:hAnsi="Verdana"/>
                <w:sz w:val="16"/>
                <w:szCs w:val="16"/>
                <w:lang w:val="en-US"/>
              </w:rPr>
              <w:t xml:space="preserve"> mechanisms for transparency in projects regarding information related to the companies involved, their financing, scale, technologies and electricity production contracts, and</w:t>
            </w:r>
          </w:p>
        </w:tc>
      </w:tr>
      <w:tr w:rsidR="003A38FF" w:rsidRPr="00D83DA2" w14:paraId="6FD623B2" w14:textId="53001C31" w:rsidTr="006F08BC">
        <w:trPr>
          <w:trHeight w:val="2340"/>
        </w:trPr>
        <w:tc>
          <w:tcPr>
            <w:tcW w:w="4706" w:type="dxa"/>
          </w:tcPr>
          <w:p w14:paraId="522851C7"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Instrumentar mecanismos para considerar las percepciones, agravios y demandas de actores interesados, definidos según los principios internacionales, que incluyen el consentimiento previo, libre e informado, de acuerdo con el Convenio 169 de la Organización Internacional del Trabajo, y la diligencia debida, de acuerdo con los Principios Rectores sobre las Empresas y los Derechos Humanos de las Naciones Unidas.</w:t>
            </w:r>
          </w:p>
        </w:tc>
        <w:tc>
          <w:tcPr>
            <w:tcW w:w="4644" w:type="dxa"/>
          </w:tcPr>
          <w:p w14:paraId="46466AD4" w14:textId="6AA71A7F" w:rsidR="003A38FF" w:rsidRPr="00D0180E" w:rsidRDefault="003A38FF" w:rsidP="003A38FF">
            <w:pPr>
              <w:pStyle w:val="Texto"/>
              <w:spacing w:line="232" w:lineRule="exact"/>
              <w:ind w:firstLine="0"/>
              <w:rPr>
                <w:rFonts w:ascii="Verdana" w:hAnsi="Verdana"/>
                <w:b/>
                <w:sz w:val="16"/>
                <w:szCs w:val="16"/>
                <w:lang w:val="en-US"/>
              </w:rPr>
            </w:pPr>
            <w:r w:rsidRPr="00913574">
              <w:rPr>
                <w:rFonts w:ascii="Verdana" w:hAnsi="Verdana"/>
                <w:b/>
                <w:sz w:val="16"/>
                <w:szCs w:val="16"/>
                <w:lang w:val="en-US"/>
              </w:rPr>
              <w:t>III</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Implement</w:t>
            </w:r>
            <w:proofErr w:type="gramEnd"/>
            <w:r w:rsidRPr="00913574">
              <w:rPr>
                <w:rFonts w:ascii="Verdana" w:hAnsi="Verdana"/>
                <w:sz w:val="16"/>
                <w:szCs w:val="16"/>
                <w:lang w:val="en-US"/>
              </w:rPr>
              <w:t xml:space="preserve"> mechanisms to address the perceptions, grievances, and demands of stakeholders, defined according to international principles, including free, prior, and informed consent, in accordance with International Labor Organization Convention 169, and due </w:t>
            </w:r>
            <w:r>
              <w:rPr>
                <w:rFonts w:ascii="Verdana" w:hAnsi="Verdana"/>
                <w:sz w:val="16"/>
                <w:szCs w:val="16"/>
                <w:lang w:val="en-US"/>
              </w:rPr>
              <w:t>procedure</w:t>
            </w:r>
            <w:r w:rsidRPr="00913574">
              <w:rPr>
                <w:rFonts w:ascii="Verdana" w:hAnsi="Verdana"/>
                <w:sz w:val="16"/>
                <w:szCs w:val="16"/>
                <w:lang w:val="en-US"/>
              </w:rPr>
              <w:t>, in accordance with the United Nations Guiding Principles on Business and Human Rights.</w:t>
            </w:r>
          </w:p>
        </w:tc>
      </w:tr>
      <w:tr w:rsidR="003A38FF" w:rsidRPr="00D0180E" w14:paraId="5CA2B53A" w14:textId="167D177E" w:rsidTr="00FB5DAD">
        <w:tc>
          <w:tcPr>
            <w:tcW w:w="4706" w:type="dxa"/>
          </w:tcPr>
          <w:p w14:paraId="05244CCB" w14:textId="77777777" w:rsidR="003A38FF" w:rsidRPr="00D0180E" w:rsidRDefault="003A38FF" w:rsidP="003A38FF">
            <w:pPr>
              <w:pStyle w:val="Texto"/>
              <w:spacing w:line="232" w:lineRule="exact"/>
              <w:ind w:firstLine="0"/>
              <w:jc w:val="center"/>
              <w:rPr>
                <w:rFonts w:ascii="Verdana" w:hAnsi="Verdana"/>
                <w:b/>
                <w:sz w:val="16"/>
                <w:szCs w:val="16"/>
              </w:rPr>
            </w:pPr>
            <w:r w:rsidRPr="00D0180E">
              <w:rPr>
                <w:rFonts w:ascii="Verdana" w:hAnsi="Verdana"/>
                <w:b/>
                <w:sz w:val="16"/>
                <w:szCs w:val="16"/>
              </w:rPr>
              <w:t>Capítulo II</w:t>
            </w:r>
          </w:p>
        </w:tc>
        <w:tc>
          <w:tcPr>
            <w:tcW w:w="4644" w:type="dxa"/>
          </w:tcPr>
          <w:p w14:paraId="57FAF365" w14:textId="103667E6" w:rsidR="003A38FF" w:rsidRPr="00D0180E" w:rsidRDefault="003A38FF" w:rsidP="003A38FF">
            <w:pPr>
              <w:pStyle w:val="Texto"/>
              <w:spacing w:line="232" w:lineRule="exact"/>
              <w:ind w:firstLine="0"/>
              <w:jc w:val="center"/>
              <w:rPr>
                <w:rFonts w:ascii="Verdana" w:hAnsi="Verdana"/>
                <w:b/>
                <w:sz w:val="16"/>
                <w:szCs w:val="16"/>
                <w:lang w:val="en-US"/>
              </w:rPr>
            </w:pPr>
            <w:r w:rsidRPr="00D0180E">
              <w:rPr>
                <w:rFonts w:ascii="Verdana" w:hAnsi="Verdana"/>
                <w:b/>
                <w:sz w:val="16"/>
                <w:szCs w:val="16"/>
              </w:rPr>
              <w:t>Chapter II</w:t>
            </w:r>
          </w:p>
        </w:tc>
      </w:tr>
      <w:tr w:rsidR="003A38FF" w:rsidRPr="00067E05" w14:paraId="0C588A61" w14:textId="5158537D" w:rsidTr="00FB5DAD">
        <w:tc>
          <w:tcPr>
            <w:tcW w:w="4706" w:type="dxa"/>
          </w:tcPr>
          <w:p w14:paraId="690F55B9" w14:textId="77777777" w:rsidR="003A38FF" w:rsidRPr="00D0180E" w:rsidRDefault="003A38FF" w:rsidP="003A38FF">
            <w:pPr>
              <w:pStyle w:val="Texto"/>
              <w:spacing w:line="232" w:lineRule="exact"/>
              <w:ind w:firstLine="0"/>
              <w:jc w:val="center"/>
              <w:rPr>
                <w:rFonts w:ascii="Verdana" w:hAnsi="Verdana"/>
                <w:b/>
                <w:sz w:val="16"/>
                <w:szCs w:val="16"/>
              </w:rPr>
            </w:pPr>
            <w:r w:rsidRPr="00D0180E">
              <w:rPr>
                <w:rFonts w:ascii="Verdana" w:hAnsi="Verdana"/>
                <w:b/>
                <w:sz w:val="16"/>
                <w:szCs w:val="16"/>
              </w:rPr>
              <w:t>Del Fondo de Servicio Universal Energético</w:t>
            </w:r>
          </w:p>
        </w:tc>
        <w:tc>
          <w:tcPr>
            <w:tcW w:w="4644" w:type="dxa"/>
          </w:tcPr>
          <w:p w14:paraId="4487CE88" w14:textId="4C6E6013" w:rsidR="003A38FF" w:rsidRPr="00D0180E" w:rsidRDefault="003A38FF" w:rsidP="003A38FF">
            <w:pPr>
              <w:pStyle w:val="Texto"/>
              <w:spacing w:line="232" w:lineRule="exact"/>
              <w:ind w:firstLine="0"/>
              <w:jc w:val="center"/>
              <w:rPr>
                <w:rFonts w:ascii="Verdana" w:hAnsi="Verdana"/>
                <w:b/>
                <w:sz w:val="16"/>
                <w:szCs w:val="16"/>
                <w:lang w:val="en-US"/>
              </w:rPr>
            </w:pPr>
            <w:r w:rsidRPr="00913574">
              <w:rPr>
                <w:rFonts w:ascii="Verdana" w:hAnsi="Verdana"/>
                <w:b/>
                <w:sz w:val="16"/>
                <w:szCs w:val="16"/>
                <w:lang w:val="en-US"/>
              </w:rPr>
              <w:t>Universal Energy Service Fund</w:t>
            </w:r>
          </w:p>
        </w:tc>
      </w:tr>
      <w:tr w:rsidR="003A38FF" w:rsidRPr="00D83DA2" w14:paraId="03DFC9B8" w14:textId="290B155E" w:rsidTr="00FB5DAD">
        <w:tc>
          <w:tcPr>
            <w:tcW w:w="4706" w:type="dxa"/>
          </w:tcPr>
          <w:p w14:paraId="3BC15B7E"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b/>
                <w:sz w:val="16"/>
                <w:szCs w:val="16"/>
              </w:rPr>
              <w:t xml:space="preserve">Artículo 43. </w:t>
            </w:r>
            <w:r w:rsidRPr="00D0180E">
              <w:rPr>
                <w:rFonts w:ascii="Verdana" w:hAnsi="Verdana"/>
                <w:sz w:val="16"/>
                <w:szCs w:val="16"/>
              </w:rPr>
              <w:t>La Secretaría debe establecer, administrar y supervisar el Fondo, con el propósito de financiar las acciones de Justicia Energética, para lo cual se deben priorizar los proyectos de electrificación, infraestructura, distribución y suministro asequible, en particular, aquellos proyectos ubicados en comunidades rurales, zonas urbanas marginadas y los dirigidos a Personas en Situación de Vulnerabilidad o en Pobreza Energética, conforme a las reglas de operación que emita la Secretaría.</w:t>
            </w:r>
          </w:p>
        </w:tc>
        <w:tc>
          <w:tcPr>
            <w:tcW w:w="4644" w:type="dxa"/>
          </w:tcPr>
          <w:p w14:paraId="293F8873" w14:textId="581521DB" w:rsidR="003A38FF" w:rsidRPr="00D0180E" w:rsidRDefault="003A38FF" w:rsidP="003A38FF">
            <w:pPr>
              <w:pStyle w:val="Texto"/>
              <w:spacing w:line="232" w:lineRule="exact"/>
              <w:ind w:firstLine="0"/>
              <w:rPr>
                <w:rFonts w:ascii="Verdana" w:hAnsi="Verdana"/>
                <w:b/>
                <w:sz w:val="16"/>
                <w:szCs w:val="16"/>
                <w:lang w:val="en-US"/>
              </w:rPr>
            </w:pPr>
            <w:r w:rsidRPr="00913574">
              <w:rPr>
                <w:rFonts w:ascii="Verdana" w:hAnsi="Verdana"/>
                <w:b/>
                <w:sz w:val="16"/>
                <w:szCs w:val="16"/>
                <w:lang w:val="en-US"/>
              </w:rPr>
              <w:t xml:space="preserve">Article 43. </w:t>
            </w:r>
            <w:r w:rsidRPr="00913574">
              <w:rPr>
                <w:rFonts w:ascii="Verdana" w:hAnsi="Verdana"/>
                <w:sz w:val="16"/>
                <w:szCs w:val="16"/>
                <w:lang w:val="en-US"/>
              </w:rPr>
              <w:t>The Secretary shall establish, administer, and supervise the Fund, for the purpose of financing energy justice actions, for which purpose projects for electrification, infrastructure, distribution, and affordable supply shall be prioritized, particularly those projects located in rural communities, marginalized urban areas, and those aimed at people in situations of vulnerability or energy poverty, in accordance with the operating rules issued by the Secretary.</w:t>
            </w:r>
          </w:p>
        </w:tc>
      </w:tr>
      <w:tr w:rsidR="003A38FF" w:rsidRPr="00D83DA2" w14:paraId="29F69475" w14:textId="05625A54" w:rsidTr="00FB5DAD">
        <w:tc>
          <w:tcPr>
            <w:tcW w:w="4706" w:type="dxa"/>
          </w:tcPr>
          <w:p w14:paraId="3B4A3C42"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b/>
                <w:sz w:val="16"/>
                <w:szCs w:val="16"/>
              </w:rPr>
              <w:t xml:space="preserve">Artículo 44. </w:t>
            </w:r>
            <w:r w:rsidRPr="00D0180E">
              <w:rPr>
                <w:rFonts w:ascii="Verdana" w:hAnsi="Verdana"/>
                <w:sz w:val="16"/>
                <w:szCs w:val="16"/>
              </w:rPr>
              <w:t xml:space="preserve">La Secretaría debe establecer los procedimientos para la administración, asignación, ejercicio y fiscalización de los recursos del Fondo, en los que se debe garantizar la publicidad de los proyectos </w:t>
            </w:r>
            <w:r w:rsidRPr="00D0180E">
              <w:rPr>
                <w:rFonts w:ascii="Verdana" w:hAnsi="Verdana"/>
                <w:sz w:val="16"/>
                <w:szCs w:val="16"/>
              </w:rPr>
              <w:lastRenderedPageBreak/>
              <w:t>financiados, los criterios de selección y los indicadores de impacto en las comunidades, y de atención a los objetivos de Justicia Energética alcanzados.</w:t>
            </w:r>
          </w:p>
        </w:tc>
        <w:tc>
          <w:tcPr>
            <w:tcW w:w="4644" w:type="dxa"/>
          </w:tcPr>
          <w:p w14:paraId="293004FC" w14:textId="5AF6B81E" w:rsidR="003A38FF" w:rsidRPr="00D0180E" w:rsidRDefault="003A38FF" w:rsidP="003A38FF">
            <w:pPr>
              <w:pStyle w:val="Texto"/>
              <w:spacing w:line="232" w:lineRule="exact"/>
              <w:ind w:firstLine="0"/>
              <w:rPr>
                <w:rFonts w:ascii="Verdana" w:hAnsi="Verdana"/>
                <w:b/>
                <w:sz w:val="16"/>
                <w:szCs w:val="16"/>
                <w:lang w:val="en-US"/>
              </w:rPr>
            </w:pPr>
            <w:r w:rsidRPr="00913574">
              <w:rPr>
                <w:rFonts w:ascii="Verdana" w:hAnsi="Verdana"/>
                <w:b/>
                <w:sz w:val="16"/>
                <w:szCs w:val="16"/>
                <w:lang w:val="en-US"/>
              </w:rPr>
              <w:lastRenderedPageBreak/>
              <w:t xml:space="preserve">Article 44. </w:t>
            </w:r>
            <w:r w:rsidRPr="00913574">
              <w:rPr>
                <w:rFonts w:ascii="Verdana" w:hAnsi="Verdana"/>
                <w:sz w:val="16"/>
                <w:szCs w:val="16"/>
                <w:lang w:val="en-US"/>
              </w:rPr>
              <w:t xml:space="preserve">The Secretary must establish procedures for the administration, </w:t>
            </w:r>
            <w:r>
              <w:rPr>
                <w:rFonts w:ascii="Verdana" w:hAnsi="Verdana"/>
                <w:sz w:val="16"/>
                <w:szCs w:val="16"/>
                <w:lang w:val="en-US"/>
              </w:rPr>
              <w:t>assignment</w:t>
            </w:r>
            <w:r w:rsidRPr="00913574">
              <w:rPr>
                <w:rFonts w:ascii="Verdana" w:hAnsi="Verdana"/>
                <w:sz w:val="16"/>
                <w:szCs w:val="16"/>
                <w:lang w:val="en-US"/>
              </w:rPr>
              <w:t xml:space="preserve">, use, and oversight of the Fund's resources, which must ensure the publicity of the funded projects, the selection criteria, </w:t>
            </w:r>
            <w:r w:rsidRPr="00913574">
              <w:rPr>
                <w:rFonts w:ascii="Verdana" w:hAnsi="Verdana"/>
                <w:sz w:val="16"/>
                <w:szCs w:val="16"/>
                <w:lang w:val="en-US"/>
              </w:rPr>
              <w:lastRenderedPageBreak/>
              <w:t xml:space="preserve">and the indicators of impact on communities, as well as attention to the </w:t>
            </w:r>
            <w:r>
              <w:rPr>
                <w:rFonts w:ascii="Verdana" w:hAnsi="Verdana"/>
                <w:sz w:val="16"/>
                <w:szCs w:val="16"/>
                <w:lang w:val="en-US"/>
              </w:rPr>
              <w:t>e</w:t>
            </w:r>
            <w:r w:rsidRPr="00913574">
              <w:rPr>
                <w:rFonts w:ascii="Verdana" w:hAnsi="Verdana"/>
                <w:sz w:val="16"/>
                <w:szCs w:val="16"/>
                <w:lang w:val="en-US"/>
              </w:rPr>
              <w:t xml:space="preserve">nergy </w:t>
            </w:r>
            <w:r>
              <w:rPr>
                <w:rFonts w:ascii="Verdana" w:hAnsi="Verdana"/>
                <w:sz w:val="16"/>
                <w:szCs w:val="16"/>
                <w:lang w:val="en-US"/>
              </w:rPr>
              <w:t>j</w:t>
            </w:r>
            <w:r w:rsidRPr="00913574">
              <w:rPr>
                <w:rFonts w:ascii="Verdana" w:hAnsi="Verdana"/>
                <w:sz w:val="16"/>
                <w:szCs w:val="16"/>
                <w:lang w:val="en-US"/>
              </w:rPr>
              <w:t>ustice objectives achieved.</w:t>
            </w:r>
          </w:p>
        </w:tc>
      </w:tr>
      <w:tr w:rsidR="003A38FF" w:rsidRPr="00D83DA2" w14:paraId="5F23CB72" w14:textId="323C016D" w:rsidTr="00FB5DAD">
        <w:tc>
          <w:tcPr>
            <w:tcW w:w="4706" w:type="dxa"/>
          </w:tcPr>
          <w:p w14:paraId="73AA163B" w14:textId="77777777" w:rsidR="003A38FF" w:rsidRPr="00D0180E" w:rsidRDefault="003A38FF" w:rsidP="003A38FF">
            <w:pPr>
              <w:pStyle w:val="Texto"/>
              <w:spacing w:line="232" w:lineRule="exact"/>
              <w:ind w:firstLine="0"/>
              <w:rPr>
                <w:rFonts w:ascii="Verdana" w:hAnsi="Verdana"/>
                <w:sz w:val="16"/>
                <w:szCs w:val="16"/>
                <w:lang w:val="es"/>
              </w:rPr>
            </w:pPr>
            <w:bookmarkStart w:id="4" w:name="OLE_LINK2"/>
            <w:r w:rsidRPr="00D0180E">
              <w:rPr>
                <w:rFonts w:ascii="Verdana" w:hAnsi="Verdana"/>
                <w:b/>
                <w:sz w:val="16"/>
                <w:szCs w:val="16"/>
              </w:rPr>
              <w:lastRenderedPageBreak/>
              <w:t>Artículo 45.</w:t>
            </w:r>
            <w:r w:rsidRPr="00D0180E">
              <w:rPr>
                <w:rFonts w:ascii="Verdana" w:hAnsi="Verdana"/>
                <w:sz w:val="16"/>
                <w:szCs w:val="16"/>
              </w:rPr>
              <w:t xml:space="preserve"> </w:t>
            </w:r>
            <w:r w:rsidRPr="00D0180E">
              <w:rPr>
                <w:rFonts w:ascii="Verdana" w:hAnsi="Verdana"/>
                <w:sz w:val="16"/>
                <w:szCs w:val="16"/>
                <w:lang w:val="es"/>
              </w:rPr>
              <w:t>El excedente de ingresos que resulte de la gestión de pérdidas técnicas en el Mercado Eléctrico Mayorista, destinado al Fondo, se debe calcular a partir de la diferencia entre:</w:t>
            </w:r>
          </w:p>
        </w:tc>
        <w:tc>
          <w:tcPr>
            <w:tcW w:w="4644" w:type="dxa"/>
          </w:tcPr>
          <w:p w14:paraId="430F902F" w14:textId="5C5C9C9C" w:rsidR="003A38FF" w:rsidRPr="00D0180E" w:rsidRDefault="003A38FF" w:rsidP="003A38FF">
            <w:pPr>
              <w:pStyle w:val="Texto"/>
              <w:spacing w:line="232" w:lineRule="exact"/>
              <w:ind w:firstLine="0"/>
              <w:rPr>
                <w:rFonts w:ascii="Verdana" w:hAnsi="Verdana"/>
                <w:b/>
                <w:sz w:val="16"/>
                <w:szCs w:val="16"/>
                <w:lang w:val="en-US"/>
              </w:rPr>
            </w:pPr>
            <w:r w:rsidRPr="00913574">
              <w:rPr>
                <w:rFonts w:ascii="Verdana" w:hAnsi="Verdana"/>
                <w:b/>
                <w:sz w:val="16"/>
                <w:szCs w:val="16"/>
                <w:lang w:val="en-US"/>
              </w:rPr>
              <w:t>Article 45.</w:t>
            </w:r>
            <w:r w:rsidRPr="00913574">
              <w:rPr>
                <w:rFonts w:ascii="Verdana" w:hAnsi="Verdana"/>
                <w:sz w:val="16"/>
                <w:szCs w:val="16"/>
                <w:lang w:val="en-US"/>
              </w:rPr>
              <w:t xml:space="preserve"> The surplus income resulting from the management of technical losses in the wholesale electricity market, destined for the Fund, must be calculated from the difference between:</w:t>
            </w:r>
          </w:p>
        </w:tc>
      </w:tr>
      <w:tr w:rsidR="003A38FF" w:rsidRPr="00D83DA2" w14:paraId="7BE83F97" w14:textId="471B2FE5" w:rsidTr="00FB5DAD">
        <w:tc>
          <w:tcPr>
            <w:tcW w:w="4706" w:type="dxa"/>
          </w:tcPr>
          <w:p w14:paraId="7B40B18C"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b/>
                <w:sz w:val="16"/>
                <w:szCs w:val="16"/>
                <w:lang w:val="es"/>
              </w:rPr>
              <w:t>I.</w:t>
            </w:r>
            <w:r w:rsidRPr="00D0180E">
              <w:rPr>
                <w:rFonts w:ascii="Verdana" w:hAnsi="Verdana"/>
                <w:b/>
                <w:sz w:val="16"/>
                <w:szCs w:val="16"/>
                <w:lang w:val="es"/>
              </w:rPr>
              <w:tab/>
            </w:r>
            <w:r w:rsidRPr="00D0180E">
              <w:rPr>
                <w:rFonts w:ascii="Verdana" w:hAnsi="Verdana"/>
                <w:sz w:val="16"/>
                <w:szCs w:val="16"/>
              </w:rPr>
              <w:t>El valor neto que resulta del componente de pérdidas de los Precios Marginales Locales en cada nodo, al cobrar la cantidad de energía eléctrica retirada en cada nodo y pagar la cantidad de energía eléctrica inyectada en cada nodo en el Mercado Eléctrico Mayorista, y</w:t>
            </w:r>
          </w:p>
        </w:tc>
        <w:tc>
          <w:tcPr>
            <w:tcW w:w="4644" w:type="dxa"/>
          </w:tcPr>
          <w:p w14:paraId="79092F57" w14:textId="3CF25CAC" w:rsidR="003A38FF" w:rsidRPr="00D0180E" w:rsidRDefault="003A38FF" w:rsidP="003A38FF">
            <w:pPr>
              <w:pStyle w:val="Texto"/>
              <w:spacing w:line="232" w:lineRule="exact"/>
              <w:ind w:firstLine="0"/>
              <w:rPr>
                <w:rFonts w:ascii="Verdana" w:hAnsi="Verdana"/>
                <w:b/>
                <w:sz w:val="16"/>
                <w:szCs w:val="16"/>
                <w:lang w:val="en-US"/>
              </w:rPr>
            </w:pPr>
            <w:r w:rsidRPr="00913574">
              <w:rPr>
                <w:rFonts w:ascii="Verdana" w:hAnsi="Verdana"/>
                <w:b/>
                <w:sz w:val="16"/>
                <w:szCs w:val="16"/>
                <w:lang w:val="en-US"/>
              </w:rPr>
              <w:t>I</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The</w:t>
            </w:r>
            <w:proofErr w:type="gramEnd"/>
            <w:r w:rsidRPr="00913574">
              <w:rPr>
                <w:rFonts w:ascii="Verdana" w:hAnsi="Verdana"/>
                <w:sz w:val="16"/>
                <w:szCs w:val="16"/>
                <w:lang w:val="en-US"/>
              </w:rPr>
              <w:t xml:space="preserve"> net value resulting from the loss component of the local marginal prices at each node, by charging the amount of electric energy withdrawn at each node and paying the amount of electric energy injected at each node in the Wholesale Electricity Market, and</w:t>
            </w:r>
          </w:p>
        </w:tc>
      </w:tr>
      <w:tr w:rsidR="003A38FF" w:rsidRPr="00D83DA2" w14:paraId="0349F39D" w14:textId="706A23EC" w:rsidTr="00FB5DAD">
        <w:tc>
          <w:tcPr>
            <w:tcW w:w="4706" w:type="dxa"/>
          </w:tcPr>
          <w:p w14:paraId="17DC8E40"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b/>
                <w:sz w:val="16"/>
                <w:szCs w:val="16"/>
                <w:lang w:val="es"/>
              </w:rPr>
              <w:t>II.</w:t>
            </w:r>
            <w:r w:rsidRPr="00D0180E">
              <w:rPr>
                <w:rFonts w:ascii="Verdana" w:hAnsi="Verdana"/>
                <w:b/>
                <w:sz w:val="16"/>
                <w:szCs w:val="16"/>
                <w:lang w:val="es"/>
              </w:rPr>
              <w:tab/>
            </w:r>
            <w:r w:rsidRPr="00D0180E">
              <w:rPr>
                <w:rFonts w:ascii="Verdana" w:hAnsi="Verdana"/>
                <w:sz w:val="16"/>
                <w:szCs w:val="16"/>
              </w:rPr>
              <w:t>El valor neto que resulta del componente de energía de los Precios Marginales Locales en cada nodo, al cobrar la cantidad de energía eléctrica retirada en cada nodo y pagar la cantidad de energía eléctrica inyectada en cada nodo en el Mercado Eléctrico Mayorista, así como los demás ajustes que determinen las Reglas del Mercado.</w:t>
            </w:r>
          </w:p>
        </w:tc>
        <w:tc>
          <w:tcPr>
            <w:tcW w:w="4644" w:type="dxa"/>
          </w:tcPr>
          <w:p w14:paraId="32F116BC" w14:textId="0BD82576" w:rsidR="003A38FF" w:rsidRPr="00D0180E" w:rsidRDefault="003A38FF" w:rsidP="003A38FF">
            <w:pPr>
              <w:pStyle w:val="Texto"/>
              <w:spacing w:line="232" w:lineRule="exact"/>
              <w:ind w:firstLine="0"/>
              <w:rPr>
                <w:rFonts w:ascii="Verdana" w:hAnsi="Verdana"/>
                <w:b/>
                <w:sz w:val="16"/>
                <w:szCs w:val="16"/>
                <w:lang w:val="en-US"/>
              </w:rPr>
            </w:pPr>
            <w:r w:rsidRPr="00913574">
              <w:rPr>
                <w:rFonts w:ascii="Verdana" w:hAnsi="Verdana"/>
                <w:b/>
                <w:sz w:val="16"/>
                <w:szCs w:val="16"/>
                <w:lang w:val="en-US"/>
              </w:rPr>
              <w:t>II</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The</w:t>
            </w:r>
            <w:proofErr w:type="gramEnd"/>
            <w:r w:rsidRPr="00913574">
              <w:rPr>
                <w:rFonts w:ascii="Verdana" w:hAnsi="Verdana"/>
                <w:sz w:val="16"/>
                <w:szCs w:val="16"/>
                <w:lang w:val="en-US"/>
              </w:rPr>
              <w:t xml:space="preserve"> net value resulting from the energy component of the local marginal prices at each node, by charging the amount of electrical energy withdrawn at each node and paying the amount of electrical energy injected into each node in the wholesale electricity market, as well as any other adjustments determined by the market rules.</w:t>
            </w:r>
          </w:p>
        </w:tc>
      </w:tr>
      <w:tr w:rsidR="003A38FF" w:rsidRPr="00D83DA2" w14:paraId="4FD58D5D" w14:textId="660209D4" w:rsidTr="00FB5DAD">
        <w:tc>
          <w:tcPr>
            <w:tcW w:w="4706" w:type="dxa"/>
          </w:tcPr>
          <w:p w14:paraId="471370A7"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sz w:val="16"/>
                <w:szCs w:val="16"/>
              </w:rPr>
              <w:t>El CENACE debe transferir al Fondo los recursos disponibles a que se refiere el párrafo anterior.</w:t>
            </w:r>
          </w:p>
        </w:tc>
        <w:tc>
          <w:tcPr>
            <w:tcW w:w="4644" w:type="dxa"/>
          </w:tcPr>
          <w:p w14:paraId="773FFA8E" w14:textId="523AD45E" w:rsidR="003A38FF" w:rsidRPr="00D0180E" w:rsidRDefault="003A38FF" w:rsidP="003A38FF">
            <w:pPr>
              <w:pStyle w:val="Texto"/>
              <w:spacing w:line="232" w:lineRule="exact"/>
              <w:ind w:firstLine="0"/>
              <w:rPr>
                <w:rFonts w:ascii="Verdana" w:hAnsi="Verdana"/>
                <w:sz w:val="16"/>
                <w:szCs w:val="16"/>
                <w:lang w:val="en-US"/>
              </w:rPr>
            </w:pPr>
            <w:r w:rsidRPr="00913574">
              <w:rPr>
                <w:rFonts w:ascii="Verdana" w:hAnsi="Verdana"/>
                <w:sz w:val="16"/>
                <w:szCs w:val="16"/>
                <w:lang w:val="en-US"/>
              </w:rPr>
              <w:t xml:space="preserve">CENACE must transfer to the Fund the available resources referred to in the </w:t>
            </w:r>
            <w:r>
              <w:rPr>
                <w:rFonts w:ascii="Verdana" w:hAnsi="Verdana"/>
                <w:sz w:val="16"/>
                <w:szCs w:val="16"/>
                <w:lang w:val="en-US"/>
              </w:rPr>
              <w:t>preceding paragraph</w:t>
            </w:r>
            <w:r w:rsidRPr="00913574">
              <w:rPr>
                <w:rFonts w:ascii="Verdana" w:hAnsi="Verdana"/>
                <w:sz w:val="16"/>
                <w:szCs w:val="16"/>
                <w:lang w:val="en-US"/>
              </w:rPr>
              <w:t>.</w:t>
            </w:r>
          </w:p>
        </w:tc>
      </w:tr>
      <w:tr w:rsidR="003A38FF" w:rsidRPr="00D83DA2" w14:paraId="771615D5" w14:textId="6C7C130B" w:rsidTr="00FB5DAD">
        <w:tc>
          <w:tcPr>
            <w:tcW w:w="4706" w:type="dxa"/>
          </w:tcPr>
          <w:p w14:paraId="4E9CF955"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sz w:val="16"/>
                <w:szCs w:val="16"/>
              </w:rPr>
              <w:t>El Fondo debe contar con un Comité Técnico que funge como su órgano de gobierno, este se encarga de informar al CENACE de los recursos requeridos para financiar las acciones de Justicia Energética y los proyectos de electrificación de cada año. La conformación y funcionamiento del Comité se debe establecer en las reglas de operación que sobre el Fondo emita la Secretaría.</w:t>
            </w:r>
          </w:p>
        </w:tc>
        <w:tc>
          <w:tcPr>
            <w:tcW w:w="4644" w:type="dxa"/>
          </w:tcPr>
          <w:p w14:paraId="6EF377C4" w14:textId="73C089A2" w:rsidR="003A38FF" w:rsidRPr="00D0180E" w:rsidRDefault="003A38FF" w:rsidP="003A38FF">
            <w:pPr>
              <w:pStyle w:val="Texto"/>
              <w:spacing w:line="232" w:lineRule="exact"/>
              <w:ind w:firstLine="0"/>
              <w:rPr>
                <w:rFonts w:ascii="Verdana" w:hAnsi="Verdana"/>
                <w:sz w:val="16"/>
                <w:szCs w:val="16"/>
                <w:lang w:val="en-US"/>
              </w:rPr>
            </w:pPr>
            <w:r w:rsidRPr="00913574">
              <w:rPr>
                <w:rFonts w:ascii="Verdana" w:hAnsi="Verdana"/>
                <w:sz w:val="16"/>
                <w:szCs w:val="16"/>
                <w:lang w:val="en-US"/>
              </w:rPr>
              <w:t>The Fund must have a technical committee that acts as its governing body and is responsible for reporting to CENACE on the resources required to finance Energy Justice actions and electrification projects each year. The composition and functioning of the Committee must be established in the operating rules issued by the Secretary for the Fund.</w:t>
            </w:r>
          </w:p>
        </w:tc>
      </w:tr>
      <w:tr w:rsidR="003A38FF" w:rsidRPr="00D83DA2" w14:paraId="1A346FA9" w14:textId="0D469444" w:rsidTr="00FB5DAD">
        <w:tc>
          <w:tcPr>
            <w:tcW w:w="4706" w:type="dxa"/>
          </w:tcPr>
          <w:p w14:paraId="2550720F"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b/>
                <w:sz w:val="16"/>
                <w:szCs w:val="16"/>
              </w:rPr>
              <w:t>Artículo 46.</w:t>
            </w:r>
            <w:r w:rsidRPr="00D0180E">
              <w:rPr>
                <w:rFonts w:ascii="Verdana" w:hAnsi="Verdana"/>
                <w:sz w:val="16"/>
                <w:szCs w:val="16"/>
              </w:rPr>
              <w:t xml:space="preserve"> El CENACE, en coordinación con la CNE y bajo autorización de la Secretaría, puede proponer y ejecutar mecanismos competitivos que permitan el fondeo de infraestructura de transmisión eficiente a través del uso del Fondo, con el objetivo de promover la expansión eficiente del Sistema Eléctrico Nacional, que permita asegurar la Eficiencia, Confiabilidad, Sostenibilidad y cobertura del servicio eléctrico al menor costo posible para las personas usuarias.</w:t>
            </w:r>
            <w:bookmarkEnd w:id="4"/>
          </w:p>
        </w:tc>
        <w:tc>
          <w:tcPr>
            <w:tcW w:w="4644" w:type="dxa"/>
          </w:tcPr>
          <w:p w14:paraId="67B2A421" w14:textId="46A5827B" w:rsidR="003A38FF" w:rsidRPr="00D0180E" w:rsidRDefault="003A38FF" w:rsidP="003A38FF">
            <w:pPr>
              <w:pStyle w:val="Texto"/>
              <w:spacing w:line="232" w:lineRule="exact"/>
              <w:ind w:firstLine="0"/>
              <w:rPr>
                <w:rFonts w:ascii="Verdana" w:hAnsi="Verdana"/>
                <w:b/>
                <w:sz w:val="16"/>
                <w:szCs w:val="16"/>
                <w:lang w:val="en-US"/>
              </w:rPr>
            </w:pPr>
            <w:r w:rsidRPr="00913574">
              <w:rPr>
                <w:rFonts w:ascii="Verdana" w:hAnsi="Verdana"/>
                <w:b/>
                <w:sz w:val="16"/>
                <w:szCs w:val="16"/>
                <w:lang w:val="en-US"/>
              </w:rPr>
              <w:t xml:space="preserve">Article 46. </w:t>
            </w:r>
            <w:r w:rsidRPr="00913574">
              <w:rPr>
                <w:rFonts w:ascii="Verdana" w:hAnsi="Verdana"/>
                <w:sz w:val="16"/>
                <w:szCs w:val="16"/>
                <w:lang w:val="en-US"/>
              </w:rPr>
              <w:t xml:space="preserve">CENACE, in coordination with the CNE and under authorization of the Secretary, may propose and implement competitive mechanisms that allow for the funding of efficient transmission infrastructure through the use of the Fund, with the objective of promoting the efficient expansion of the </w:t>
            </w:r>
            <w:r>
              <w:rPr>
                <w:rFonts w:ascii="Verdana" w:hAnsi="Verdana"/>
                <w:sz w:val="16"/>
                <w:szCs w:val="16"/>
                <w:lang w:val="en-US"/>
              </w:rPr>
              <w:t>National Electric System</w:t>
            </w:r>
            <w:r w:rsidRPr="00913574">
              <w:rPr>
                <w:rFonts w:ascii="Verdana" w:hAnsi="Verdana"/>
                <w:sz w:val="16"/>
                <w:szCs w:val="16"/>
                <w:lang w:val="en-US"/>
              </w:rPr>
              <w:t>, which will ensure the efficiency, reliability, sustainability and coverage of the electric service at the lowest possible cost for users.</w:t>
            </w:r>
          </w:p>
        </w:tc>
      </w:tr>
      <w:tr w:rsidR="003A38FF" w:rsidRPr="00D0180E" w14:paraId="3822E49F" w14:textId="4B4F855E" w:rsidTr="00FB5DAD">
        <w:tc>
          <w:tcPr>
            <w:tcW w:w="4706" w:type="dxa"/>
          </w:tcPr>
          <w:p w14:paraId="68AC6170" w14:textId="77777777" w:rsidR="003A38FF" w:rsidRPr="00D0180E" w:rsidRDefault="003A38FF" w:rsidP="003A38FF">
            <w:pPr>
              <w:pStyle w:val="Texto"/>
              <w:spacing w:line="232" w:lineRule="exact"/>
              <w:ind w:firstLine="0"/>
              <w:jc w:val="center"/>
              <w:rPr>
                <w:rFonts w:ascii="Verdana" w:hAnsi="Verdana"/>
                <w:b/>
                <w:sz w:val="16"/>
                <w:szCs w:val="16"/>
              </w:rPr>
            </w:pPr>
            <w:r w:rsidRPr="00D0180E">
              <w:rPr>
                <w:rFonts w:ascii="Verdana" w:hAnsi="Verdana"/>
                <w:b/>
                <w:sz w:val="16"/>
                <w:szCs w:val="16"/>
              </w:rPr>
              <w:t>TÍTULO TERCERO</w:t>
            </w:r>
          </w:p>
        </w:tc>
        <w:tc>
          <w:tcPr>
            <w:tcW w:w="4644" w:type="dxa"/>
          </w:tcPr>
          <w:p w14:paraId="44BC38E5" w14:textId="402088D2" w:rsidR="003A38FF" w:rsidRPr="00D0180E" w:rsidRDefault="003A38FF" w:rsidP="003A38FF">
            <w:pPr>
              <w:pStyle w:val="Texto"/>
              <w:spacing w:line="232" w:lineRule="exact"/>
              <w:ind w:firstLine="0"/>
              <w:jc w:val="center"/>
              <w:rPr>
                <w:rFonts w:ascii="Verdana" w:hAnsi="Verdana"/>
                <w:b/>
                <w:sz w:val="16"/>
                <w:szCs w:val="16"/>
                <w:lang w:val="en-US"/>
              </w:rPr>
            </w:pPr>
            <w:r w:rsidRPr="00D0180E">
              <w:rPr>
                <w:rFonts w:ascii="Verdana" w:hAnsi="Verdana"/>
                <w:b/>
                <w:sz w:val="16"/>
                <w:szCs w:val="16"/>
              </w:rPr>
              <w:t>THIRD TITLE</w:t>
            </w:r>
          </w:p>
        </w:tc>
      </w:tr>
      <w:tr w:rsidR="003A38FF" w:rsidRPr="00067E05" w14:paraId="5BA9D96F" w14:textId="03DF898E" w:rsidTr="00FB5DAD">
        <w:tc>
          <w:tcPr>
            <w:tcW w:w="4706" w:type="dxa"/>
          </w:tcPr>
          <w:p w14:paraId="2DA986EC" w14:textId="77777777" w:rsidR="003A38FF" w:rsidRPr="00D0180E" w:rsidRDefault="003A38FF" w:rsidP="003A38FF">
            <w:pPr>
              <w:pStyle w:val="Texto"/>
              <w:spacing w:line="232" w:lineRule="exact"/>
              <w:ind w:firstLine="0"/>
              <w:jc w:val="center"/>
              <w:rPr>
                <w:rFonts w:ascii="Verdana" w:hAnsi="Verdana"/>
                <w:b/>
                <w:sz w:val="16"/>
                <w:szCs w:val="16"/>
              </w:rPr>
            </w:pPr>
            <w:r w:rsidRPr="00D0180E">
              <w:rPr>
                <w:rFonts w:ascii="Verdana" w:hAnsi="Verdana"/>
                <w:b/>
                <w:sz w:val="16"/>
                <w:szCs w:val="16"/>
              </w:rPr>
              <w:t>DE LA GENERACIÓN DE ENERGÍA ELÉCTRICA</w:t>
            </w:r>
          </w:p>
        </w:tc>
        <w:tc>
          <w:tcPr>
            <w:tcW w:w="4644" w:type="dxa"/>
          </w:tcPr>
          <w:p w14:paraId="31ACB054" w14:textId="002751AB" w:rsidR="003A38FF" w:rsidRPr="00D0180E" w:rsidRDefault="003A38FF" w:rsidP="003A38FF">
            <w:pPr>
              <w:pStyle w:val="Texto"/>
              <w:spacing w:line="232" w:lineRule="exact"/>
              <w:ind w:firstLine="0"/>
              <w:jc w:val="center"/>
              <w:rPr>
                <w:rFonts w:ascii="Verdana" w:hAnsi="Verdana"/>
                <w:b/>
                <w:sz w:val="16"/>
                <w:szCs w:val="16"/>
                <w:lang w:val="en-US"/>
              </w:rPr>
            </w:pPr>
            <w:r w:rsidRPr="00913574">
              <w:rPr>
                <w:rFonts w:ascii="Verdana" w:hAnsi="Verdana"/>
                <w:b/>
                <w:sz w:val="16"/>
                <w:szCs w:val="16"/>
                <w:lang w:val="en-US"/>
              </w:rPr>
              <w:t>GENERATION OF ELECTRIC POWER</w:t>
            </w:r>
          </w:p>
        </w:tc>
      </w:tr>
      <w:tr w:rsidR="003A38FF" w:rsidRPr="00D0180E" w14:paraId="1BD55202" w14:textId="48F552A4" w:rsidTr="00FB5DAD">
        <w:tc>
          <w:tcPr>
            <w:tcW w:w="4706" w:type="dxa"/>
          </w:tcPr>
          <w:p w14:paraId="1E075F07" w14:textId="77777777" w:rsidR="003A38FF" w:rsidRPr="00D0180E" w:rsidRDefault="003A38FF" w:rsidP="003A38FF">
            <w:pPr>
              <w:pStyle w:val="Texto"/>
              <w:spacing w:line="232" w:lineRule="exact"/>
              <w:ind w:firstLine="0"/>
              <w:jc w:val="center"/>
              <w:rPr>
                <w:rFonts w:ascii="Verdana" w:hAnsi="Verdana"/>
                <w:b/>
                <w:sz w:val="16"/>
                <w:szCs w:val="16"/>
              </w:rPr>
            </w:pPr>
            <w:r w:rsidRPr="00D0180E">
              <w:rPr>
                <w:rFonts w:ascii="Verdana" w:hAnsi="Verdana"/>
                <w:b/>
                <w:sz w:val="16"/>
                <w:szCs w:val="16"/>
              </w:rPr>
              <w:t>Capítulo I</w:t>
            </w:r>
          </w:p>
        </w:tc>
        <w:tc>
          <w:tcPr>
            <w:tcW w:w="4644" w:type="dxa"/>
          </w:tcPr>
          <w:p w14:paraId="06704C67" w14:textId="657B07F3" w:rsidR="003A38FF" w:rsidRPr="003D49A5" w:rsidRDefault="003A38FF" w:rsidP="003A38FF">
            <w:pPr>
              <w:pStyle w:val="Texto"/>
              <w:spacing w:line="232" w:lineRule="exact"/>
              <w:ind w:firstLine="0"/>
              <w:jc w:val="center"/>
              <w:rPr>
                <w:rFonts w:ascii="Verdana" w:hAnsi="Verdana"/>
                <w:b/>
                <w:sz w:val="16"/>
                <w:szCs w:val="16"/>
                <w:lang w:val="en-US"/>
              </w:rPr>
            </w:pPr>
            <w:r w:rsidRPr="003D49A5">
              <w:rPr>
                <w:rFonts w:ascii="Verdana" w:hAnsi="Verdana"/>
                <w:b/>
                <w:sz w:val="16"/>
                <w:szCs w:val="16"/>
                <w:lang w:val="en-US"/>
              </w:rPr>
              <w:t>Chapter I</w:t>
            </w:r>
          </w:p>
        </w:tc>
      </w:tr>
      <w:tr w:rsidR="003A38FF" w:rsidRPr="00D0180E" w14:paraId="637E96EE" w14:textId="1D2FB156" w:rsidTr="00FB5DAD">
        <w:tc>
          <w:tcPr>
            <w:tcW w:w="4706" w:type="dxa"/>
          </w:tcPr>
          <w:p w14:paraId="61B7CE9F" w14:textId="77777777" w:rsidR="003A38FF" w:rsidRPr="00D0180E" w:rsidRDefault="003A38FF" w:rsidP="003A38FF">
            <w:pPr>
              <w:pStyle w:val="Texto"/>
              <w:spacing w:line="232" w:lineRule="exact"/>
              <w:ind w:firstLine="0"/>
              <w:jc w:val="center"/>
              <w:rPr>
                <w:rFonts w:ascii="Verdana" w:hAnsi="Verdana"/>
                <w:b/>
                <w:sz w:val="16"/>
                <w:szCs w:val="16"/>
              </w:rPr>
            </w:pPr>
            <w:r w:rsidRPr="00D0180E">
              <w:rPr>
                <w:rFonts w:ascii="Verdana" w:hAnsi="Verdana"/>
                <w:b/>
                <w:sz w:val="16"/>
                <w:szCs w:val="16"/>
              </w:rPr>
              <w:t>De la Generación Distribuida</w:t>
            </w:r>
          </w:p>
        </w:tc>
        <w:tc>
          <w:tcPr>
            <w:tcW w:w="4644" w:type="dxa"/>
          </w:tcPr>
          <w:p w14:paraId="49B2E045" w14:textId="7F74C670" w:rsidR="003A38FF" w:rsidRPr="003D49A5" w:rsidRDefault="003A38FF" w:rsidP="003A38FF">
            <w:pPr>
              <w:pStyle w:val="Texto"/>
              <w:spacing w:line="232" w:lineRule="exact"/>
              <w:ind w:firstLine="0"/>
              <w:jc w:val="center"/>
              <w:rPr>
                <w:rFonts w:ascii="Verdana" w:hAnsi="Verdana"/>
                <w:b/>
                <w:sz w:val="16"/>
                <w:szCs w:val="16"/>
                <w:lang w:val="en-US"/>
              </w:rPr>
            </w:pPr>
            <w:r w:rsidRPr="003D49A5">
              <w:rPr>
                <w:rFonts w:ascii="Verdana" w:hAnsi="Verdana"/>
                <w:b/>
                <w:sz w:val="16"/>
                <w:szCs w:val="16"/>
                <w:lang w:val="en-US"/>
              </w:rPr>
              <w:t>Distributed Generation</w:t>
            </w:r>
          </w:p>
        </w:tc>
      </w:tr>
      <w:tr w:rsidR="003A38FF" w:rsidRPr="00D83DA2" w14:paraId="302F4A95" w14:textId="6E52A176" w:rsidTr="00FB5DAD">
        <w:tc>
          <w:tcPr>
            <w:tcW w:w="4706" w:type="dxa"/>
          </w:tcPr>
          <w:p w14:paraId="0A711B41"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b/>
                <w:sz w:val="16"/>
                <w:szCs w:val="16"/>
              </w:rPr>
              <w:t>Artículo 47.</w:t>
            </w:r>
            <w:r w:rsidRPr="00D0180E">
              <w:rPr>
                <w:rFonts w:ascii="Verdana" w:hAnsi="Verdana"/>
                <w:sz w:val="16"/>
                <w:szCs w:val="16"/>
              </w:rPr>
              <w:t xml:space="preserve"> Para efectos del artículo 25 de la Ley, la capacidad de la Central Eléctrica en Generación Distribuida se refiere a la Capacidad Instalada, en los términos que establezcan las disposiciones administrativas en materia de Generación Distribuida que emita la Secretaría en coordinación con la CNE.</w:t>
            </w:r>
          </w:p>
        </w:tc>
        <w:tc>
          <w:tcPr>
            <w:tcW w:w="4644" w:type="dxa"/>
          </w:tcPr>
          <w:p w14:paraId="7309295F" w14:textId="45ED525F" w:rsidR="003A38FF" w:rsidRPr="00D0180E" w:rsidRDefault="003A38FF" w:rsidP="003A38FF">
            <w:pPr>
              <w:pStyle w:val="Texto"/>
              <w:spacing w:line="232" w:lineRule="exact"/>
              <w:ind w:firstLine="0"/>
              <w:rPr>
                <w:rFonts w:ascii="Verdana" w:hAnsi="Verdana"/>
                <w:b/>
                <w:sz w:val="16"/>
                <w:szCs w:val="16"/>
                <w:lang w:val="en-US"/>
              </w:rPr>
            </w:pPr>
            <w:r w:rsidRPr="00913574">
              <w:rPr>
                <w:rFonts w:ascii="Verdana" w:hAnsi="Verdana"/>
                <w:b/>
                <w:sz w:val="16"/>
                <w:szCs w:val="16"/>
                <w:lang w:val="en-US"/>
              </w:rPr>
              <w:t xml:space="preserve">Article 47. </w:t>
            </w:r>
            <w:r w:rsidRPr="00913574">
              <w:rPr>
                <w:rFonts w:ascii="Verdana" w:hAnsi="Verdana"/>
                <w:sz w:val="16"/>
                <w:szCs w:val="16"/>
                <w:lang w:val="en-US"/>
              </w:rPr>
              <w:t xml:space="preserve">For the purposes of Article 25 of the Law, the capacity of the power plant in distributed generation refers to the installed capacity, </w:t>
            </w:r>
            <w:r>
              <w:rPr>
                <w:rFonts w:ascii="Verdana" w:hAnsi="Verdana"/>
                <w:sz w:val="16"/>
                <w:szCs w:val="16"/>
                <w:lang w:val="en-US"/>
              </w:rPr>
              <w:t>under the terms</w:t>
            </w:r>
            <w:r w:rsidRPr="00913574">
              <w:rPr>
                <w:rFonts w:ascii="Verdana" w:hAnsi="Verdana"/>
                <w:sz w:val="16"/>
                <w:szCs w:val="16"/>
                <w:lang w:val="en-US"/>
              </w:rPr>
              <w:t xml:space="preserve"> established by the administrative provisions on distributed generation issued by the Secretary in coordination with the CNE.</w:t>
            </w:r>
          </w:p>
        </w:tc>
      </w:tr>
      <w:tr w:rsidR="003A38FF" w:rsidRPr="00D83DA2" w14:paraId="1FE9C2A1" w14:textId="418504F1" w:rsidTr="00FB5DAD">
        <w:tc>
          <w:tcPr>
            <w:tcW w:w="4706" w:type="dxa"/>
          </w:tcPr>
          <w:p w14:paraId="214CF1ED"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b/>
                <w:sz w:val="16"/>
                <w:szCs w:val="16"/>
              </w:rPr>
              <w:lastRenderedPageBreak/>
              <w:t>Artículo 48.</w:t>
            </w:r>
            <w:r w:rsidRPr="00D0180E">
              <w:rPr>
                <w:rFonts w:ascii="Verdana" w:hAnsi="Verdana"/>
                <w:sz w:val="16"/>
                <w:szCs w:val="16"/>
              </w:rPr>
              <w:t xml:space="preserve"> Las Centrales Eléctricas de Generación Exenta y Generación Distribuida deben cumplir con las Especificaciones Técnicas, así como con las disposiciones que emita la CNE en coordinación con la Secretaría en materia de Accesibilidad, Eficiencia, Calidad, Confiabilidad, Continuidad, Seguridad y Sostenibilidad. Dichas disposiciones deben tomar en cuenta que las Centrales Eléctricas de Generación Distribuida pueden constituirse como un medio para alcanzar los objetivos de Justicia Energética.</w:t>
            </w:r>
          </w:p>
        </w:tc>
        <w:tc>
          <w:tcPr>
            <w:tcW w:w="4644" w:type="dxa"/>
          </w:tcPr>
          <w:p w14:paraId="271B6CE4" w14:textId="21C9A415" w:rsidR="003A38FF" w:rsidRPr="00D0180E" w:rsidRDefault="003A38FF" w:rsidP="003A38FF">
            <w:pPr>
              <w:pStyle w:val="Texto"/>
              <w:spacing w:line="232" w:lineRule="exact"/>
              <w:ind w:firstLine="0"/>
              <w:rPr>
                <w:rFonts w:ascii="Verdana" w:hAnsi="Verdana"/>
                <w:b/>
                <w:sz w:val="16"/>
                <w:szCs w:val="16"/>
                <w:lang w:val="en-US"/>
              </w:rPr>
            </w:pPr>
            <w:r w:rsidRPr="00913574">
              <w:rPr>
                <w:rFonts w:ascii="Verdana" w:hAnsi="Verdana"/>
                <w:b/>
                <w:sz w:val="16"/>
                <w:szCs w:val="16"/>
                <w:lang w:val="en-US"/>
              </w:rPr>
              <w:t xml:space="preserve">Article 48. </w:t>
            </w:r>
            <w:r w:rsidRPr="00913574">
              <w:rPr>
                <w:rFonts w:ascii="Verdana" w:hAnsi="Verdana"/>
                <w:sz w:val="16"/>
                <w:szCs w:val="16"/>
                <w:lang w:val="en-US"/>
              </w:rPr>
              <w:t xml:space="preserve">Exempt generation and distributed generation power plants must comply with the technical specifications, as well as with the provisions issued by the CNE in coordination with the Secretary regarding accessibility, efficiency, quality, reliability, continuity, safety, and sustainability. These provisions must </w:t>
            </w:r>
            <w:proofErr w:type="gramStart"/>
            <w:r w:rsidRPr="00913574">
              <w:rPr>
                <w:rFonts w:ascii="Verdana" w:hAnsi="Verdana"/>
                <w:sz w:val="16"/>
                <w:szCs w:val="16"/>
                <w:lang w:val="en-US"/>
              </w:rPr>
              <w:t>take into account</w:t>
            </w:r>
            <w:proofErr w:type="gramEnd"/>
            <w:r w:rsidRPr="00913574">
              <w:rPr>
                <w:rFonts w:ascii="Verdana" w:hAnsi="Verdana"/>
                <w:sz w:val="16"/>
                <w:szCs w:val="16"/>
                <w:lang w:val="en-US"/>
              </w:rPr>
              <w:t xml:space="preserve"> that distributed generation power plants can be established </w:t>
            </w:r>
            <w:proofErr w:type="gramStart"/>
            <w:r w:rsidRPr="00913574">
              <w:rPr>
                <w:rFonts w:ascii="Verdana" w:hAnsi="Verdana"/>
                <w:sz w:val="16"/>
                <w:szCs w:val="16"/>
                <w:lang w:val="en-US"/>
              </w:rPr>
              <w:t>as a means to</w:t>
            </w:r>
            <w:proofErr w:type="gramEnd"/>
            <w:r w:rsidRPr="00913574">
              <w:rPr>
                <w:rFonts w:ascii="Verdana" w:hAnsi="Verdana"/>
                <w:sz w:val="16"/>
                <w:szCs w:val="16"/>
                <w:lang w:val="en-US"/>
              </w:rPr>
              <w:t xml:space="preserve"> achieve the objectives of energy justice.</w:t>
            </w:r>
          </w:p>
        </w:tc>
      </w:tr>
      <w:tr w:rsidR="003A38FF" w:rsidRPr="00D83DA2" w14:paraId="5006AA22" w14:textId="622D2A69" w:rsidTr="00FB5DAD">
        <w:tc>
          <w:tcPr>
            <w:tcW w:w="4706" w:type="dxa"/>
          </w:tcPr>
          <w:p w14:paraId="65DC506F"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b/>
                <w:sz w:val="16"/>
                <w:szCs w:val="16"/>
              </w:rPr>
              <w:t>Artículo 49.</w:t>
            </w:r>
            <w:r w:rsidRPr="00D0180E">
              <w:rPr>
                <w:rFonts w:ascii="Verdana" w:hAnsi="Verdana"/>
                <w:sz w:val="16"/>
                <w:szCs w:val="16"/>
              </w:rPr>
              <w:t xml:space="preserve"> La venta de energía eléctrica y Productos Asociados generados por una Central Eléctrica en Generación </w:t>
            </w:r>
            <w:proofErr w:type="gramStart"/>
            <w:r w:rsidRPr="00D0180E">
              <w:rPr>
                <w:rFonts w:ascii="Verdana" w:hAnsi="Verdana"/>
                <w:sz w:val="16"/>
                <w:szCs w:val="16"/>
              </w:rPr>
              <w:t>Distribuida,</w:t>
            </w:r>
            <w:proofErr w:type="gramEnd"/>
            <w:r w:rsidRPr="00D0180E">
              <w:rPr>
                <w:rFonts w:ascii="Verdana" w:hAnsi="Verdana"/>
                <w:sz w:val="16"/>
                <w:szCs w:val="16"/>
              </w:rPr>
              <w:t xml:space="preserve"> debe estar conforme a lo previsto en las disposiciones administrativas de carácter general a que se refiere el artículo 47 del presente reglamento, así como a los modelos de contrato y metodologías de cálculo, criterios y bases para determinar y actualizar las contraprestaciones aplicables a que se refiere el artículo 27, primer párrafo de la Ley.</w:t>
            </w:r>
          </w:p>
        </w:tc>
        <w:tc>
          <w:tcPr>
            <w:tcW w:w="4644" w:type="dxa"/>
          </w:tcPr>
          <w:p w14:paraId="79C0F833" w14:textId="5447C4A8" w:rsidR="003A38FF" w:rsidRPr="00D0180E" w:rsidRDefault="003A38FF" w:rsidP="003A38FF">
            <w:pPr>
              <w:pStyle w:val="Texto"/>
              <w:spacing w:line="236" w:lineRule="exact"/>
              <w:ind w:firstLine="0"/>
              <w:rPr>
                <w:rFonts w:ascii="Verdana" w:hAnsi="Verdana"/>
                <w:b/>
                <w:sz w:val="16"/>
                <w:szCs w:val="16"/>
                <w:lang w:val="en-US"/>
              </w:rPr>
            </w:pPr>
            <w:r w:rsidRPr="00913574">
              <w:rPr>
                <w:rFonts w:ascii="Verdana" w:hAnsi="Verdana"/>
                <w:b/>
                <w:sz w:val="16"/>
                <w:szCs w:val="16"/>
                <w:lang w:val="en-US"/>
              </w:rPr>
              <w:t xml:space="preserve">Article 49. </w:t>
            </w:r>
            <w:r w:rsidRPr="00913574">
              <w:rPr>
                <w:rFonts w:ascii="Verdana" w:hAnsi="Verdana"/>
                <w:sz w:val="16"/>
                <w:szCs w:val="16"/>
                <w:lang w:val="en-US"/>
              </w:rPr>
              <w:t>The sale of electrical energy and associated products generated by a power plant in distributed generation must comply with the provisions of the general administrative provisions referred to in article 47 of this regulation, as well as the contract models and calculation methodologies, criteria and bas</w:t>
            </w:r>
            <w:r>
              <w:rPr>
                <w:rFonts w:ascii="Verdana" w:hAnsi="Verdana"/>
                <w:sz w:val="16"/>
                <w:szCs w:val="16"/>
                <w:lang w:val="en-US"/>
              </w:rPr>
              <w:t>i</w:t>
            </w:r>
            <w:r w:rsidRPr="00913574">
              <w:rPr>
                <w:rFonts w:ascii="Verdana" w:hAnsi="Verdana"/>
                <w:sz w:val="16"/>
                <w:szCs w:val="16"/>
                <w:lang w:val="en-US"/>
              </w:rPr>
              <w:t>s for determining and updating the applicable considerations referred to in article 27, first paragraph of the Law.</w:t>
            </w:r>
          </w:p>
        </w:tc>
      </w:tr>
      <w:tr w:rsidR="003A38FF" w:rsidRPr="00D0180E" w14:paraId="33CF101E" w14:textId="7AFEB89B" w:rsidTr="00FB5DAD">
        <w:tc>
          <w:tcPr>
            <w:tcW w:w="4706" w:type="dxa"/>
          </w:tcPr>
          <w:p w14:paraId="2AB9C533" w14:textId="77777777" w:rsidR="003A38FF" w:rsidRPr="00D0180E" w:rsidRDefault="003A38FF" w:rsidP="003A38FF">
            <w:pPr>
              <w:pStyle w:val="Texto"/>
              <w:spacing w:line="236" w:lineRule="exact"/>
              <w:ind w:firstLine="0"/>
              <w:jc w:val="center"/>
              <w:rPr>
                <w:rFonts w:ascii="Verdana" w:hAnsi="Verdana"/>
                <w:b/>
                <w:sz w:val="16"/>
                <w:szCs w:val="16"/>
              </w:rPr>
            </w:pPr>
            <w:r w:rsidRPr="00D0180E">
              <w:rPr>
                <w:rFonts w:ascii="Verdana" w:hAnsi="Verdana"/>
                <w:b/>
                <w:sz w:val="16"/>
                <w:szCs w:val="16"/>
              </w:rPr>
              <w:t>Capítulo II</w:t>
            </w:r>
          </w:p>
        </w:tc>
        <w:tc>
          <w:tcPr>
            <w:tcW w:w="4644" w:type="dxa"/>
          </w:tcPr>
          <w:p w14:paraId="18FD0AB9" w14:textId="104195D9" w:rsidR="003A38FF" w:rsidRPr="00CA0E06" w:rsidRDefault="003A38FF" w:rsidP="003A38FF">
            <w:pPr>
              <w:pStyle w:val="Texto"/>
              <w:spacing w:line="236" w:lineRule="exact"/>
              <w:ind w:firstLine="0"/>
              <w:jc w:val="center"/>
              <w:rPr>
                <w:rFonts w:ascii="Verdana" w:hAnsi="Verdana"/>
                <w:b/>
                <w:sz w:val="16"/>
                <w:szCs w:val="16"/>
                <w:lang w:val="en-US"/>
              </w:rPr>
            </w:pPr>
            <w:r w:rsidRPr="00CA0E06">
              <w:rPr>
                <w:rFonts w:ascii="Verdana" w:hAnsi="Verdana"/>
                <w:b/>
                <w:sz w:val="16"/>
                <w:szCs w:val="16"/>
                <w:lang w:val="en-US"/>
              </w:rPr>
              <w:t>Chapter II</w:t>
            </w:r>
          </w:p>
        </w:tc>
      </w:tr>
      <w:tr w:rsidR="003A38FF" w:rsidRPr="00D0180E" w14:paraId="7DA22695" w14:textId="3E910AC9" w:rsidTr="00FB5DAD">
        <w:tc>
          <w:tcPr>
            <w:tcW w:w="4706" w:type="dxa"/>
          </w:tcPr>
          <w:p w14:paraId="29AA1987" w14:textId="77777777" w:rsidR="003A38FF" w:rsidRPr="00D0180E" w:rsidRDefault="003A38FF" w:rsidP="003A38FF">
            <w:pPr>
              <w:pStyle w:val="Texto"/>
              <w:spacing w:line="236" w:lineRule="exact"/>
              <w:ind w:firstLine="0"/>
              <w:jc w:val="center"/>
              <w:rPr>
                <w:rFonts w:ascii="Verdana" w:hAnsi="Verdana"/>
                <w:b/>
                <w:sz w:val="16"/>
                <w:szCs w:val="16"/>
              </w:rPr>
            </w:pPr>
            <w:r w:rsidRPr="00D0180E">
              <w:rPr>
                <w:rFonts w:ascii="Verdana" w:hAnsi="Verdana"/>
                <w:b/>
                <w:sz w:val="16"/>
                <w:szCs w:val="16"/>
              </w:rPr>
              <w:t>Del Autoconsumo</w:t>
            </w:r>
          </w:p>
        </w:tc>
        <w:tc>
          <w:tcPr>
            <w:tcW w:w="4644" w:type="dxa"/>
          </w:tcPr>
          <w:p w14:paraId="5D57A7F8" w14:textId="3F1E51F7" w:rsidR="003A38FF" w:rsidRPr="00CA0E06" w:rsidRDefault="003A38FF" w:rsidP="003A38FF">
            <w:pPr>
              <w:pStyle w:val="Texto"/>
              <w:spacing w:line="236" w:lineRule="exact"/>
              <w:ind w:firstLine="0"/>
              <w:jc w:val="center"/>
              <w:rPr>
                <w:rFonts w:ascii="Verdana" w:hAnsi="Verdana"/>
                <w:b/>
                <w:sz w:val="16"/>
                <w:szCs w:val="16"/>
                <w:lang w:val="en-US"/>
              </w:rPr>
            </w:pPr>
            <w:r w:rsidRPr="00CA0E06">
              <w:rPr>
                <w:rFonts w:ascii="Verdana" w:hAnsi="Verdana"/>
                <w:b/>
                <w:sz w:val="16"/>
                <w:szCs w:val="16"/>
                <w:lang w:val="en-US"/>
              </w:rPr>
              <w:t>Self-consumption</w:t>
            </w:r>
          </w:p>
        </w:tc>
      </w:tr>
      <w:tr w:rsidR="003A38FF" w:rsidRPr="00D83DA2" w14:paraId="68971647" w14:textId="06D3C4F7" w:rsidTr="00FB5DAD">
        <w:tc>
          <w:tcPr>
            <w:tcW w:w="4706" w:type="dxa"/>
          </w:tcPr>
          <w:p w14:paraId="50AF1A77"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b/>
                <w:sz w:val="16"/>
                <w:szCs w:val="16"/>
              </w:rPr>
              <w:t xml:space="preserve">Artículo 50. </w:t>
            </w:r>
            <w:r w:rsidRPr="00D0180E">
              <w:rPr>
                <w:rFonts w:ascii="Verdana" w:hAnsi="Verdana"/>
                <w:sz w:val="16"/>
                <w:szCs w:val="16"/>
              </w:rPr>
              <w:t>La generación de energía eléctrica en términos del artículo 30 de la Ley bajo la figura autoconsumo, puede ser de la siguiente forma:</w:t>
            </w:r>
          </w:p>
        </w:tc>
        <w:tc>
          <w:tcPr>
            <w:tcW w:w="4644" w:type="dxa"/>
          </w:tcPr>
          <w:p w14:paraId="0537F27A" w14:textId="093B4A0C" w:rsidR="003A38FF" w:rsidRPr="00CA0E06" w:rsidRDefault="003A38FF" w:rsidP="003A38FF">
            <w:pPr>
              <w:pStyle w:val="Texto"/>
              <w:spacing w:line="236" w:lineRule="exact"/>
              <w:ind w:firstLine="0"/>
              <w:rPr>
                <w:rFonts w:ascii="Verdana" w:hAnsi="Verdana"/>
                <w:b/>
                <w:sz w:val="16"/>
                <w:szCs w:val="16"/>
                <w:lang w:val="en-US"/>
              </w:rPr>
            </w:pPr>
            <w:r w:rsidRPr="00CA0E06">
              <w:rPr>
                <w:rFonts w:ascii="Verdana" w:hAnsi="Verdana"/>
                <w:b/>
                <w:sz w:val="16"/>
                <w:szCs w:val="16"/>
                <w:lang w:val="en-US"/>
              </w:rPr>
              <w:t xml:space="preserve">Article 50. </w:t>
            </w:r>
            <w:r w:rsidRPr="00CA0E06">
              <w:rPr>
                <w:rFonts w:ascii="Verdana" w:hAnsi="Verdana"/>
                <w:sz w:val="16"/>
                <w:szCs w:val="16"/>
                <w:lang w:val="en-US"/>
              </w:rPr>
              <w:t>The generation of electrical energy in terms of Article 30 of the Law under the self-consumption figure, may be as follows:</w:t>
            </w:r>
          </w:p>
        </w:tc>
      </w:tr>
      <w:tr w:rsidR="003A38FF" w:rsidRPr="00D0180E" w14:paraId="06BA3DC1" w14:textId="4E5DF561" w:rsidTr="00FB5DAD">
        <w:tc>
          <w:tcPr>
            <w:tcW w:w="4706" w:type="dxa"/>
          </w:tcPr>
          <w:p w14:paraId="073E93D6"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Aislado, o</w:t>
            </w:r>
          </w:p>
        </w:tc>
        <w:tc>
          <w:tcPr>
            <w:tcW w:w="4644" w:type="dxa"/>
          </w:tcPr>
          <w:p w14:paraId="059B79E3" w14:textId="4294759E" w:rsidR="003A38FF" w:rsidRPr="00CA0E06" w:rsidRDefault="003A38FF" w:rsidP="003A38FF">
            <w:pPr>
              <w:pStyle w:val="Texto"/>
              <w:spacing w:line="236" w:lineRule="exact"/>
              <w:ind w:firstLine="0"/>
              <w:rPr>
                <w:rFonts w:ascii="Verdana" w:hAnsi="Verdana"/>
                <w:b/>
                <w:sz w:val="16"/>
                <w:szCs w:val="16"/>
                <w:lang w:val="en-US"/>
              </w:rPr>
            </w:pPr>
            <w:r w:rsidRPr="00CA0E06">
              <w:rPr>
                <w:rFonts w:ascii="Verdana" w:hAnsi="Verdana"/>
                <w:b/>
                <w:sz w:val="16"/>
                <w:szCs w:val="16"/>
                <w:lang w:val="en-US"/>
              </w:rPr>
              <w:t>I</w:t>
            </w:r>
            <w:proofErr w:type="gramStart"/>
            <w:r w:rsidRPr="00CA0E06">
              <w:rPr>
                <w:rFonts w:ascii="Verdana" w:hAnsi="Verdana"/>
                <w:b/>
                <w:sz w:val="16"/>
                <w:szCs w:val="16"/>
                <w:lang w:val="en-US"/>
              </w:rPr>
              <w:t xml:space="preserve">. </w:t>
            </w:r>
            <w:r w:rsidRPr="00CA0E06">
              <w:rPr>
                <w:rFonts w:ascii="Verdana" w:hAnsi="Verdana"/>
                <w:b/>
                <w:sz w:val="16"/>
                <w:szCs w:val="16"/>
                <w:lang w:val="en-US"/>
              </w:rPr>
              <w:tab/>
            </w:r>
            <w:r w:rsidRPr="00CA0E06">
              <w:rPr>
                <w:rFonts w:ascii="Verdana" w:hAnsi="Verdana"/>
                <w:sz w:val="16"/>
                <w:szCs w:val="16"/>
                <w:lang w:val="en-US"/>
              </w:rPr>
              <w:t>Isolated</w:t>
            </w:r>
            <w:proofErr w:type="gramEnd"/>
            <w:r w:rsidRPr="00CA0E06">
              <w:rPr>
                <w:rFonts w:ascii="Verdana" w:hAnsi="Verdana"/>
                <w:sz w:val="16"/>
                <w:szCs w:val="16"/>
                <w:lang w:val="en-US"/>
              </w:rPr>
              <w:t>, or</w:t>
            </w:r>
          </w:p>
        </w:tc>
      </w:tr>
      <w:tr w:rsidR="003A38FF" w:rsidRPr="00D0180E" w14:paraId="72CB6741" w14:textId="389F9F4E" w:rsidTr="00FB5DAD">
        <w:tc>
          <w:tcPr>
            <w:tcW w:w="4706" w:type="dxa"/>
          </w:tcPr>
          <w:p w14:paraId="31DFD3C1"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Interconectado.</w:t>
            </w:r>
          </w:p>
        </w:tc>
        <w:tc>
          <w:tcPr>
            <w:tcW w:w="4644" w:type="dxa"/>
          </w:tcPr>
          <w:p w14:paraId="5EAF42C2" w14:textId="5470FE45" w:rsidR="003A38FF" w:rsidRPr="00CA0E06" w:rsidRDefault="003A38FF" w:rsidP="003A38FF">
            <w:pPr>
              <w:pStyle w:val="Texto"/>
              <w:spacing w:line="236" w:lineRule="exact"/>
              <w:ind w:firstLine="0"/>
              <w:rPr>
                <w:rFonts w:ascii="Verdana" w:hAnsi="Verdana"/>
                <w:b/>
                <w:sz w:val="16"/>
                <w:szCs w:val="16"/>
                <w:lang w:val="en-US"/>
              </w:rPr>
            </w:pPr>
            <w:r w:rsidRPr="00CA0E06">
              <w:rPr>
                <w:rFonts w:ascii="Verdana" w:hAnsi="Verdana"/>
                <w:b/>
                <w:sz w:val="16"/>
                <w:szCs w:val="16"/>
                <w:lang w:val="en-US"/>
              </w:rPr>
              <w:t xml:space="preserve">II. </w:t>
            </w:r>
            <w:r w:rsidRPr="00CA0E06">
              <w:rPr>
                <w:rFonts w:ascii="Verdana" w:hAnsi="Verdana"/>
                <w:b/>
                <w:sz w:val="16"/>
                <w:szCs w:val="16"/>
                <w:lang w:val="en-US"/>
              </w:rPr>
              <w:tab/>
            </w:r>
            <w:r w:rsidRPr="00CA0E06">
              <w:rPr>
                <w:rFonts w:ascii="Verdana" w:hAnsi="Verdana"/>
                <w:sz w:val="16"/>
                <w:szCs w:val="16"/>
                <w:lang w:val="en-US"/>
              </w:rPr>
              <w:t>Interconnected.</w:t>
            </w:r>
          </w:p>
        </w:tc>
      </w:tr>
      <w:tr w:rsidR="003A38FF" w:rsidRPr="00D83DA2" w14:paraId="7821CCE9" w14:textId="04A0FB00" w:rsidTr="00FB5DAD">
        <w:tc>
          <w:tcPr>
            <w:tcW w:w="4706" w:type="dxa"/>
          </w:tcPr>
          <w:p w14:paraId="00452825"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sz w:val="16"/>
                <w:szCs w:val="16"/>
              </w:rPr>
              <w:t>Esta figura requiere la obtención del permiso de generación correspondiente y está sujeta al cumplimiento de lo previsto en las disposiciones administrativas en materia de autoconsumo que emita la CNE.</w:t>
            </w:r>
          </w:p>
        </w:tc>
        <w:tc>
          <w:tcPr>
            <w:tcW w:w="4644" w:type="dxa"/>
          </w:tcPr>
          <w:p w14:paraId="2EC9DF68" w14:textId="0DD78F09" w:rsidR="003A38FF" w:rsidRPr="00D0180E" w:rsidRDefault="003A38FF" w:rsidP="003A38FF">
            <w:pPr>
              <w:pStyle w:val="Texto"/>
              <w:spacing w:line="236" w:lineRule="exact"/>
              <w:ind w:firstLine="0"/>
              <w:rPr>
                <w:rFonts w:ascii="Verdana" w:hAnsi="Verdana"/>
                <w:sz w:val="16"/>
                <w:szCs w:val="16"/>
                <w:lang w:val="en-US"/>
              </w:rPr>
            </w:pPr>
            <w:r w:rsidRPr="00913574">
              <w:rPr>
                <w:rFonts w:ascii="Verdana" w:hAnsi="Verdana"/>
                <w:sz w:val="16"/>
                <w:szCs w:val="16"/>
                <w:lang w:val="en-US"/>
              </w:rPr>
              <w:t>This requirement requires obtaining the corresponding generation permit and is subject to compliance with the administrative provisions on self-consumption issued by the CNE.</w:t>
            </w:r>
          </w:p>
        </w:tc>
      </w:tr>
      <w:tr w:rsidR="003A38FF" w:rsidRPr="00D83DA2" w14:paraId="0E8B6007" w14:textId="118C594C" w:rsidTr="00FB5DAD">
        <w:tc>
          <w:tcPr>
            <w:tcW w:w="4706" w:type="dxa"/>
          </w:tcPr>
          <w:p w14:paraId="43BEECB3"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b/>
                <w:sz w:val="16"/>
                <w:szCs w:val="16"/>
              </w:rPr>
              <w:t xml:space="preserve">Artículo 51. </w:t>
            </w:r>
            <w:r w:rsidRPr="00D0180E">
              <w:rPr>
                <w:rFonts w:ascii="Verdana" w:hAnsi="Verdana"/>
                <w:sz w:val="16"/>
                <w:szCs w:val="16"/>
              </w:rPr>
              <w:t>Para efectos del autoconsumo se entiende como necesidades propias en sitio o locales, a la demanda de energía eléctrica requerida por los centros de consumo asociados a las Usuarias de Autoconsumo y, en su caso, a la persona titular del permiso de generación de energía eléctrica en modalidad autoconsumo, la cual se satisface sin transportar o distribuir energía eléctrica a través de la Red Nacional de Transmisión o las Redes Generales de Distribución.</w:t>
            </w:r>
          </w:p>
        </w:tc>
        <w:tc>
          <w:tcPr>
            <w:tcW w:w="4644" w:type="dxa"/>
          </w:tcPr>
          <w:p w14:paraId="504A7B25" w14:textId="547AD028" w:rsidR="003A38FF" w:rsidRPr="00D0180E" w:rsidRDefault="003A38FF" w:rsidP="003A38FF">
            <w:pPr>
              <w:pStyle w:val="Texto"/>
              <w:spacing w:line="236" w:lineRule="exact"/>
              <w:ind w:firstLine="0"/>
              <w:rPr>
                <w:rFonts w:ascii="Verdana" w:hAnsi="Verdana"/>
                <w:b/>
                <w:sz w:val="16"/>
                <w:szCs w:val="16"/>
                <w:lang w:val="en-US"/>
              </w:rPr>
            </w:pPr>
            <w:r w:rsidRPr="00913574">
              <w:rPr>
                <w:rFonts w:ascii="Verdana" w:hAnsi="Verdana"/>
                <w:b/>
                <w:sz w:val="16"/>
                <w:szCs w:val="16"/>
                <w:lang w:val="en-US"/>
              </w:rPr>
              <w:t xml:space="preserve">Article 51. </w:t>
            </w:r>
            <w:r w:rsidRPr="00913574">
              <w:rPr>
                <w:rFonts w:ascii="Verdana" w:hAnsi="Verdana"/>
                <w:sz w:val="16"/>
                <w:szCs w:val="16"/>
                <w:lang w:val="en-US"/>
              </w:rPr>
              <w:t>For the purposes of self-consumption, on-site or local needs are understood to be the demand for electrical energy required by the consumption centers associated with the Self-Consumption Users and, where applicable, by the person holding the permit for the generation of electrical energy in self-consumption mode, which is satisfied without transporting or distributing electrical energy through the national transmission network or the general distribution networks.</w:t>
            </w:r>
          </w:p>
        </w:tc>
      </w:tr>
      <w:tr w:rsidR="003A38FF" w:rsidRPr="00D83DA2" w14:paraId="6CE2FA14" w14:textId="54631FAB" w:rsidTr="00FB5DAD">
        <w:tc>
          <w:tcPr>
            <w:tcW w:w="4706" w:type="dxa"/>
          </w:tcPr>
          <w:p w14:paraId="13EFAD95"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sz w:val="16"/>
                <w:szCs w:val="16"/>
              </w:rPr>
              <w:t xml:space="preserve">Cuando más de una Usuaria de Autoconsumo, diferente a la solicitante del permiso y titular de la Central Eléctrica, pretenda satisfacer sus necesidades a través de un Grupo de Autoconsumo, es necesario para la obtención del permiso, además de cumplir con los requisitos a que se refieren los artículos 23 y 24 del presente reglamento, informar la Usuaria o Usuarias de Autoconsumo que pertenecen al Grupo de Autoconsumo en los términos previstos en el presente reglamento y lo </w:t>
            </w:r>
            <w:r w:rsidRPr="00D0180E">
              <w:rPr>
                <w:rFonts w:ascii="Verdana" w:hAnsi="Verdana"/>
                <w:sz w:val="16"/>
                <w:szCs w:val="16"/>
              </w:rPr>
              <w:lastRenderedPageBreak/>
              <w:t>que establezcan las disposiciones administrativas de carácter general en materia de autoconsumo.</w:t>
            </w:r>
          </w:p>
        </w:tc>
        <w:tc>
          <w:tcPr>
            <w:tcW w:w="4644" w:type="dxa"/>
          </w:tcPr>
          <w:p w14:paraId="79C2CC2B" w14:textId="6362938C" w:rsidR="003A38FF" w:rsidRPr="00D0180E" w:rsidRDefault="003A38FF" w:rsidP="003A38FF">
            <w:pPr>
              <w:pStyle w:val="Texto"/>
              <w:spacing w:line="236" w:lineRule="exact"/>
              <w:ind w:firstLine="0"/>
              <w:rPr>
                <w:rFonts w:ascii="Verdana" w:hAnsi="Verdana"/>
                <w:sz w:val="16"/>
                <w:szCs w:val="16"/>
                <w:lang w:val="en-US"/>
              </w:rPr>
            </w:pPr>
            <w:r w:rsidRPr="00913574">
              <w:rPr>
                <w:rFonts w:ascii="Verdana" w:hAnsi="Verdana"/>
                <w:sz w:val="16"/>
                <w:szCs w:val="16"/>
                <w:lang w:val="en-US"/>
              </w:rPr>
              <w:lastRenderedPageBreak/>
              <w:t xml:space="preserve">When more than one self-consumption </w:t>
            </w:r>
            <w:r>
              <w:rPr>
                <w:rFonts w:ascii="Verdana" w:hAnsi="Verdana"/>
                <w:sz w:val="16"/>
                <w:szCs w:val="16"/>
                <w:lang w:val="en-US"/>
              </w:rPr>
              <w:t>u</w:t>
            </w:r>
            <w:r w:rsidRPr="00913574">
              <w:rPr>
                <w:rFonts w:ascii="Verdana" w:hAnsi="Verdana"/>
                <w:sz w:val="16"/>
                <w:szCs w:val="16"/>
                <w:lang w:val="en-US"/>
              </w:rPr>
              <w:t xml:space="preserve">ser, other than the permit applicant and owner of the power plant, intends to satisfy their needs through a Self-Consumption Group, it is necessary to obtain the permit, in addition to complying with the requirements referred to in articles 23 and 24 of this regulation, to inform the self-consumption user or users who belong to the self-consumption group </w:t>
            </w:r>
            <w:r>
              <w:rPr>
                <w:rFonts w:ascii="Verdana" w:hAnsi="Verdana"/>
                <w:sz w:val="16"/>
                <w:szCs w:val="16"/>
                <w:lang w:val="en-US"/>
              </w:rPr>
              <w:t>under the terms</w:t>
            </w:r>
            <w:r w:rsidRPr="00913574">
              <w:rPr>
                <w:rFonts w:ascii="Verdana" w:hAnsi="Verdana"/>
                <w:sz w:val="16"/>
                <w:szCs w:val="16"/>
                <w:lang w:val="en-US"/>
              </w:rPr>
              <w:t xml:space="preserve"> provided for in this regulation and what is established </w:t>
            </w:r>
            <w:r w:rsidRPr="00913574">
              <w:rPr>
                <w:rFonts w:ascii="Verdana" w:hAnsi="Verdana"/>
                <w:sz w:val="16"/>
                <w:szCs w:val="16"/>
                <w:lang w:val="en-US"/>
              </w:rPr>
              <w:lastRenderedPageBreak/>
              <w:t>by the general administrative provisions on self-consumption.</w:t>
            </w:r>
          </w:p>
        </w:tc>
      </w:tr>
      <w:tr w:rsidR="003A38FF" w:rsidRPr="00D83DA2" w14:paraId="63F2F88C" w14:textId="411F80C9" w:rsidTr="00FB5DAD">
        <w:tc>
          <w:tcPr>
            <w:tcW w:w="4706" w:type="dxa"/>
          </w:tcPr>
          <w:p w14:paraId="5AA0C002"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b/>
                <w:sz w:val="16"/>
                <w:szCs w:val="16"/>
              </w:rPr>
              <w:lastRenderedPageBreak/>
              <w:t xml:space="preserve">Artículo 52. </w:t>
            </w:r>
            <w:r w:rsidRPr="00D0180E">
              <w:rPr>
                <w:rFonts w:ascii="Verdana" w:hAnsi="Verdana"/>
                <w:sz w:val="16"/>
                <w:szCs w:val="16"/>
              </w:rPr>
              <w:t>El permiso de generación para autoconsumo, además de contener lo previsto en las disposiciones administrativas de carácter general en materia de permisos, debe indicar la Usuaria o las Usuarias de Autoconsumo que pueden recibir y aprovechar, a través de una Red Particular, la energía eléctrica generada bajo el amparo de dicho permiso. Dichas usuarias deben formar parte de un registro de Usuarias de Autoconsumo a cargo de la CNE, en los términos de lo previsto en las disposiciones administrativas de carácter general en materia de autoconsumo.</w:t>
            </w:r>
          </w:p>
        </w:tc>
        <w:tc>
          <w:tcPr>
            <w:tcW w:w="4644" w:type="dxa"/>
          </w:tcPr>
          <w:p w14:paraId="709C7FE6" w14:textId="32062673" w:rsidR="003A38FF" w:rsidRPr="00D0180E" w:rsidRDefault="003A38FF" w:rsidP="003A38FF">
            <w:pPr>
              <w:pStyle w:val="Texto"/>
              <w:spacing w:line="236" w:lineRule="exact"/>
              <w:ind w:firstLine="0"/>
              <w:rPr>
                <w:rFonts w:ascii="Verdana" w:hAnsi="Verdana"/>
                <w:b/>
                <w:sz w:val="16"/>
                <w:szCs w:val="16"/>
                <w:lang w:val="en-US"/>
              </w:rPr>
            </w:pPr>
            <w:r w:rsidRPr="00913574">
              <w:rPr>
                <w:rFonts w:ascii="Verdana" w:hAnsi="Verdana"/>
                <w:b/>
                <w:sz w:val="16"/>
                <w:szCs w:val="16"/>
                <w:lang w:val="en-US"/>
              </w:rPr>
              <w:t xml:space="preserve">Article 52. </w:t>
            </w:r>
            <w:r w:rsidRPr="00913574">
              <w:rPr>
                <w:rFonts w:ascii="Verdana" w:hAnsi="Verdana"/>
                <w:sz w:val="16"/>
                <w:szCs w:val="16"/>
                <w:lang w:val="en-US"/>
              </w:rPr>
              <w:t>The self-consumption generation permit, in addition to containing the provisions of the general administrative provisions on permits, must indicate the self-consumption user or users who may receive and use, through a private network, the electricity generated under the permit. These users must be included in a registry of self-consumption users maintained by the CNE, in accordance with the provisions of the general administrative provisions on self-consumption.</w:t>
            </w:r>
          </w:p>
        </w:tc>
      </w:tr>
      <w:tr w:rsidR="003A38FF" w:rsidRPr="00D83DA2" w14:paraId="60F6E77B" w14:textId="3EE39570" w:rsidTr="00FB5DAD">
        <w:tc>
          <w:tcPr>
            <w:tcW w:w="4706" w:type="dxa"/>
          </w:tcPr>
          <w:p w14:paraId="7B35FB4E"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sz w:val="16"/>
                <w:szCs w:val="16"/>
              </w:rPr>
              <w:t>Durante el primer trimestre de cada año, las personas permisionarias de generación en modalidad autoconsumo, deben presentar ante la CNE el registro actualizado de las Usuarias de Autoconsumo asociadas a la Red Particular de su Grupo de Autoconsumo, o bien, cada que exista una modificación a su padrón.</w:t>
            </w:r>
          </w:p>
        </w:tc>
        <w:tc>
          <w:tcPr>
            <w:tcW w:w="4644" w:type="dxa"/>
          </w:tcPr>
          <w:p w14:paraId="3BE8BF55" w14:textId="1299E98C" w:rsidR="003A38FF" w:rsidRPr="00D0180E" w:rsidRDefault="003A38FF" w:rsidP="003A38FF">
            <w:pPr>
              <w:pStyle w:val="Texto"/>
              <w:spacing w:line="236" w:lineRule="exact"/>
              <w:ind w:firstLine="0"/>
              <w:rPr>
                <w:rFonts w:ascii="Verdana" w:hAnsi="Verdana"/>
                <w:sz w:val="16"/>
                <w:szCs w:val="16"/>
                <w:lang w:val="en-US"/>
              </w:rPr>
            </w:pPr>
            <w:r w:rsidRPr="00913574">
              <w:rPr>
                <w:rFonts w:ascii="Verdana" w:hAnsi="Verdana"/>
                <w:sz w:val="16"/>
                <w:szCs w:val="16"/>
                <w:lang w:val="en-US"/>
              </w:rPr>
              <w:t>During the first quarter of each year, self-consumption generation permit holders must submit to the CNE an updated registry of self-consumption users associated with their private network self-consumption group, or whenever there is a change to their registry.</w:t>
            </w:r>
          </w:p>
        </w:tc>
      </w:tr>
      <w:tr w:rsidR="003A38FF" w:rsidRPr="00D0180E" w14:paraId="5DD3AA81" w14:textId="6B00EAF4" w:rsidTr="00FB5DAD">
        <w:tc>
          <w:tcPr>
            <w:tcW w:w="4706" w:type="dxa"/>
          </w:tcPr>
          <w:p w14:paraId="7B1B352B" w14:textId="77777777" w:rsidR="003A38FF" w:rsidRPr="00D0180E" w:rsidRDefault="003A38FF" w:rsidP="003A38FF">
            <w:pPr>
              <w:pStyle w:val="Texto"/>
              <w:spacing w:line="236" w:lineRule="exact"/>
              <w:ind w:firstLine="0"/>
              <w:jc w:val="center"/>
              <w:rPr>
                <w:rFonts w:ascii="Verdana" w:hAnsi="Verdana"/>
                <w:b/>
                <w:sz w:val="16"/>
                <w:szCs w:val="16"/>
              </w:rPr>
            </w:pPr>
            <w:r w:rsidRPr="00D0180E">
              <w:rPr>
                <w:rFonts w:ascii="Verdana" w:hAnsi="Verdana"/>
                <w:b/>
                <w:sz w:val="16"/>
                <w:szCs w:val="16"/>
              </w:rPr>
              <w:t>Sección I</w:t>
            </w:r>
          </w:p>
        </w:tc>
        <w:tc>
          <w:tcPr>
            <w:tcW w:w="4644" w:type="dxa"/>
          </w:tcPr>
          <w:p w14:paraId="1D4292FF" w14:textId="337791BC" w:rsidR="003A38FF" w:rsidRPr="008D28A1" w:rsidRDefault="003A38FF" w:rsidP="003A38FF">
            <w:pPr>
              <w:pStyle w:val="Texto"/>
              <w:spacing w:line="236" w:lineRule="exact"/>
              <w:ind w:firstLine="0"/>
              <w:jc w:val="center"/>
              <w:rPr>
                <w:rFonts w:ascii="Verdana" w:hAnsi="Verdana"/>
                <w:b/>
                <w:sz w:val="16"/>
                <w:szCs w:val="16"/>
                <w:lang w:val="en-US"/>
              </w:rPr>
            </w:pPr>
            <w:r w:rsidRPr="008D28A1">
              <w:rPr>
                <w:rFonts w:ascii="Verdana" w:hAnsi="Verdana"/>
                <w:b/>
                <w:sz w:val="16"/>
                <w:szCs w:val="16"/>
                <w:lang w:val="en-US"/>
              </w:rPr>
              <w:t>Section I</w:t>
            </w:r>
          </w:p>
        </w:tc>
      </w:tr>
      <w:tr w:rsidR="003A38FF" w:rsidRPr="00D0180E" w14:paraId="05F6D1AF" w14:textId="1E0DF9F6" w:rsidTr="00FB5DAD">
        <w:tc>
          <w:tcPr>
            <w:tcW w:w="4706" w:type="dxa"/>
          </w:tcPr>
          <w:p w14:paraId="1C4108AF" w14:textId="77777777" w:rsidR="003A38FF" w:rsidRPr="00D0180E" w:rsidRDefault="003A38FF" w:rsidP="003A38FF">
            <w:pPr>
              <w:pStyle w:val="Texto"/>
              <w:spacing w:line="236" w:lineRule="exact"/>
              <w:ind w:firstLine="0"/>
              <w:jc w:val="center"/>
              <w:rPr>
                <w:rFonts w:ascii="Verdana" w:hAnsi="Verdana"/>
                <w:b/>
                <w:sz w:val="16"/>
                <w:szCs w:val="16"/>
              </w:rPr>
            </w:pPr>
            <w:r w:rsidRPr="00D0180E">
              <w:rPr>
                <w:rFonts w:ascii="Verdana" w:hAnsi="Verdana"/>
                <w:b/>
                <w:sz w:val="16"/>
                <w:szCs w:val="16"/>
              </w:rPr>
              <w:t>Autoconsumo Aislado</w:t>
            </w:r>
          </w:p>
        </w:tc>
        <w:tc>
          <w:tcPr>
            <w:tcW w:w="4644" w:type="dxa"/>
          </w:tcPr>
          <w:p w14:paraId="193B041F" w14:textId="0D1EB683" w:rsidR="003A38FF" w:rsidRPr="008D28A1" w:rsidRDefault="003A38FF" w:rsidP="003A38FF">
            <w:pPr>
              <w:pStyle w:val="Texto"/>
              <w:spacing w:line="236" w:lineRule="exact"/>
              <w:ind w:firstLine="0"/>
              <w:jc w:val="center"/>
              <w:rPr>
                <w:rFonts w:ascii="Verdana" w:hAnsi="Verdana"/>
                <w:b/>
                <w:sz w:val="16"/>
                <w:szCs w:val="16"/>
                <w:lang w:val="en-US"/>
              </w:rPr>
            </w:pPr>
            <w:r w:rsidRPr="008D28A1">
              <w:rPr>
                <w:rFonts w:ascii="Verdana" w:hAnsi="Verdana"/>
                <w:b/>
                <w:sz w:val="16"/>
                <w:szCs w:val="16"/>
                <w:lang w:val="en-US"/>
              </w:rPr>
              <w:t>Isolated Self-Consumption</w:t>
            </w:r>
          </w:p>
        </w:tc>
      </w:tr>
      <w:tr w:rsidR="003A38FF" w:rsidRPr="00D83DA2" w14:paraId="133ED001" w14:textId="0819E41E" w:rsidTr="00FB5DAD">
        <w:tc>
          <w:tcPr>
            <w:tcW w:w="4706" w:type="dxa"/>
          </w:tcPr>
          <w:p w14:paraId="68D6CB36"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b/>
                <w:sz w:val="16"/>
                <w:szCs w:val="16"/>
              </w:rPr>
              <w:t>Artículo 53.</w:t>
            </w:r>
            <w:r w:rsidRPr="00D0180E">
              <w:rPr>
                <w:rFonts w:ascii="Verdana" w:hAnsi="Verdana"/>
                <w:sz w:val="16"/>
                <w:szCs w:val="16"/>
              </w:rPr>
              <w:t xml:space="preserve"> El autoconsumo aislado está sujeto a permiso de generación en los términos del presente reglamento, así como al cumplimiento de lo previsto en el artículo 31 de la Ley y las disposiciones administrativas de carácter general en materia de autoconsumo.</w:t>
            </w:r>
          </w:p>
        </w:tc>
        <w:tc>
          <w:tcPr>
            <w:tcW w:w="4644" w:type="dxa"/>
          </w:tcPr>
          <w:p w14:paraId="645117FB" w14:textId="6E4C7191" w:rsidR="003A38FF" w:rsidRPr="00D0180E" w:rsidRDefault="003A38FF" w:rsidP="003A38FF">
            <w:pPr>
              <w:pStyle w:val="Texto"/>
              <w:spacing w:line="236" w:lineRule="exact"/>
              <w:ind w:firstLine="0"/>
              <w:rPr>
                <w:rFonts w:ascii="Verdana" w:hAnsi="Verdana"/>
                <w:b/>
                <w:sz w:val="16"/>
                <w:szCs w:val="16"/>
                <w:lang w:val="en-US"/>
              </w:rPr>
            </w:pPr>
            <w:r w:rsidRPr="00913574">
              <w:rPr>
                <w:rFonts w:ascii="Verdana" w:hAnsi="Verdana"/>
                <w:b/>
                <w:sz w:val="16"/>
                <w:szCs w:val="16"/>
                <w:lang w:val="en-US"/>
              </w:rPr>
              <w:t xml:space="preserve">Article 53. </w:t>
            </w:r>
            <w:r w:rsidRPr="00913574">
              <w:rPr>
                <w:rFonts w:ascii="Verdana" w:hAnsi="Verdana"/>
                <w:sz w:val="16"/>
                <w:szCs w:val="16"/>
                <w:lang w:val="en-US"/>
              </w:rPr>
              <w:t>Isolated self-consumption is subject to a generation permit under the terms of this regulation, as well as compliance with the provisions of Article 31 of the Law and general administrative provisions regarding self-consumption.</w:t>
            </w:r>
          </w:p>
        </w:tc>
      </w:tr>
      <w:tr w:rsidR="003A38FF" w:rsidRPr="00D83DA2" w14:paraId="046A9DB6" w14:textId="1611E428" w:rsidTr="00FB5DAD">
        <w:tc>
          <w:tcPr>
            <w:tcW w:w="4706" w:type="dxa"/>
          </w:tcPr>
          <w:p w14:paraId="6BBE73BA"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b/>
                <w:sz w:val="16"/>
                <w:szCs w:val="16"/>
              </w:rPr>
              <w:t>Artículo 54.</w:t>
            </w:r>
            <w:r w:rsidRPr="00D0180E">
              <w:rPr>
                <w:rFonts w:ascii="Verdana" w:hAnsi="Verdana"/>
                <w:sz w:val="16"/>
                <w:szCs w:val="16"/>
              </w:rPr>
              <w:t xml:space="preserve"> Están exentos de la presentación de la Manifestación de Impacto Social del Sector Energético, a que se refiere el artículo 136 de la Ley, los Proyectos de Infraestructura para la generación de energía eléctrica a través de autoconsumo modalidad aislado, siempre que su capacidad de generación no exceda de 20 MW.</w:t>
            </w:r>
          </w:p>
        </w:tc>
        <w:tc>
          <w:tcPr>
            <w:tcW w:w="4644" w:type="dxa"/>
          </w:tcPr>
          <w:p w14:paraId="476AA28E" w14:textId="6A052CB2" w:rsidR="003A38FF" w:rsidRPr="00D0180E" w:rsidRDefault="003A38FF" w:rsidP="003A38FF">
            <w:pPr>
              <w:pStyle w:val="Texto"/>
              <w:spacing w:line="236" w:lineRule="exact"/>
              <w:ind w:firstLine="0"/>
              <w:rPr>
                <w:rFonts w:ascii="Verdana" w:hAnsi="Verdana"/>
                <w:b/>
                <w:sz w:val="16"/>
                <w:szCs w:val="16"/>
                <w:lang w:val="en-US"/>
              </w:rPr>
            </w:pPr>
            <w:r w:rsidRPr="00913574">
              <w:rPr>
                <w:rFonts w:ascii="Verdana" w:hAnsi="Verdana"/>
                <w:b/>
                <w:sz w:val="16"/>
                <w:szCs w:val="16"/>
                <w:lang w:val="en-US"/>
              </w:rPr>
              <w:t xml:space="preserve">Article 54. </w:t>
            </w:r>
            <w:r w:rsidRPr="00913574">
              <w:rPr>
                <w:rFonts w:ascii="Verdana" w:hAnsi="Verdana"/>
                <w:sz w:val="16"/>
                <w:szCs w:val="16"/>
                <w:lang w:val="en-US"/>
              </w:rPr>
              <w:t xml:space="preserve">Infrastructure projects for the generation of electrical energy through self-consumption in an isolated mode are exempt from submitting the </w:t>
            </w:r>
            <w:r>
              <w:rPr>
                <w:rFonts w:ascii="Verdana" w:hAnsi="Verdana"/>
                <w:sz w:val="16"/>
                <w:szCs w:val="16"/>
                <w:lang w:val="en-US"/>
              </w:rPr>
              <w:t>e</w:t>
            </w:r>
            <w:r w:rsidRPr="00913574">
              <w:rPr>
                <w:rFonts w:ascii="Verdana" w:hAnsi="Verdana"/>
                <w:sz w:val="16"/>
                <w:szCs w:val="16"/>
                <w:lang w:val="en-US"/>
              </w:rPr>
              <w:t xml:space="preserve">nergy </w:t>
            </w:r>
            <w:r>
              <w:rPr>
                <w:rFonts w:ascii="Verdana" w:hAnsi="Verdana"/>
                <w:sz w:val="16"/>
                <w:szCs w:val="16"/>
                <w:lang w:val="en-US"/>
              </w:rPr>
              <w:t>s</w:t>
            </w:r>
            <w:r w:rsidRPr="00913574">
              <w:rPr>
                <w:rFonts w:ascii="Verdana" w:hAnsi="Verdana"/>
                <w:sz w:val="16"/>
                <w:szCs w:val="16"/>
                <w:lang w:val="en-US"/>
              </w:rPr>
              <w:t>ector Social Impact Statement, as referred to in Article 136 of the Law, provided that their generation capacity does not exceed 20 MW.</w:t>
            </w:r>
          </w:p>
        </w:tc>
      </w:tr>
      <w:tr w:rsidR="003A38FF" w:rsidRPr="00D83DA2" w14:paraId="37295F4F" w14:textId="60EAFB20" w:rsidTr="00FB5DAD">
        <w:tc>
          <w:tcPr>
            <w:tcW w:w="4706" w:type="dxa"/>
          </w:tcPr>
          <w:p w14:paraId="0930FB67"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b/>
                <w:sz w:val="16"/>
                <w:szCs w:val="16"/>
              </w:rPr>
              <w:t>Artículo 55.</w:t>
            </w:r>
            <w:r w:rsidRPr="00D0180E">
              <w:rPr>
                <w:rFonts w:ascii="Verdana" w:hAnsi="Verdana"/>
                <w:sz w:val="16"/>
                <w:szCs w:val="16"/>
              </w:rPr>
              <w:t xml:space="preserve"> Los permisos de generación para autoconsumo modalidad aislado, pueden modificarse a autoconsumo modalidad interconectado para el caso de que la Central Eléctrica pretenda interconectarse para inyectar excedentes de energía eléctrica al Sistema Eléctrico Nacional, o generación para el Mercado Eléctrico Mayorista, siempre que la persona solicitante acredite que cumple con los requisitos previstos para la modalidad a la que pretende cambiar y previa solicitud de la modificación correspondiente. En este último caso, la Central Eléctrica, debe realizar los estudios de interconexión aplicables y formalizar un contrato de interconexión.</w:t>
            </w:r>
          </w:p>
        </w:tc>
        <w:tc>
          <w:tcPr>
            <w:tcW w:w="4644" w:type="dxa"/>
          </w:tcPr>
          <w:p w14:paraId="31B0D6CA" w14:textId="1D289D2E" w:rsidR="003A38FF" w:rsidRPr="00D0180E" w:rsidRDefault="003A38FF" w:rsidP="003A38FF">
            <w:pPr>
              <w:pStyle w:val="Texto"/>
              <w:spacing w:line="236" w:lineRule="exact"/>
              <w:ind w:firstLine="0"/>
              <w:rPr>
                <w:rFonts w:ascii="Verdana" w:hAnsi="Verdana"/>
                <w:b/>
                <w:sz w:val="16"/>
                <w:szCs w:val="16"/>
                <w:lang w:val="en-US"/>
              </w:rPr>
            </w:pPr>
            <w:r w:rsidRPr="00913574">
              <w:rPr>
                <w:rFonts w:ascii="Verdana" w:hAnsi="Verdana"/>
                <w:b/>
                <w:sz w:val="16"/>
                <w:szCs w:val="16"/>
                <w:lang w:val="en-US"/>
              </w:rPr>
              <w:t xml:space="preserve">Article 55. </w:t>
            </w:r>
            <w:r w:rsidRPr="00913574">
              <w:rPr>
                <w:rFonts w:ascii="Verdana" w:hAnsi="Verdana"/>
                <w:sz w:val="16"/>
                <w:szCs w:val="16"/>
                <w:lang w:val="en-US"/>
              </w:rPr>
              <w:t xml:space="preserve">Generation permits for isolated self-consumption may be modified to interconnected self-consumption in the event that the power plant intends to interconnect to inject surplus electricity into the National Electricity System, or to generate for the Wholesale Electricity Market, provided that the applicant demonstrates that they meet the requirements for the modality to which they intend to change and upon requesting the corresponding modification. In the latter case, the power plant must conduct </w:t>
            </w:r>
            <w:proofErr w:type="gramStart"/>
            <w:r w:rsidRPr="00913574">
              <w:rPr>
                <w:rFonts w:ascii="Verdana" w:hAnsi="Verdana"/>
                <w:sz w:val="16"/>
                <w:szCs w:val="16"/>
                <w:lang w:val="en-US"/>
              </w:rPr>
              <w:t>the applicable</w:t>
            </w:r>
            <w:proofErr w:type="gramEnd"/>
            <w:r w:rsidRPr="00913574">
              <w:rPr>
                <w:rFonts w:ascii="Verdana" w:hAnsi="Verdana"/>
                <w:sz w:val="16"/>
                <w:szCs w:val="16"/>
                <w:lang w:val="en-US"/>
              </w:rPr>
              <w:t xml:space="preserve"> interconnection studies and formalize an interconnection contract.</w:t>
            </w:r>
          </w:p>
        </w:tc>
      </w:tr>
      <w:tr w:rsidR="003A38FF" w:rsidRPr="00D83DA2" w14:paraId="54D2F51A" w14:textId="682CC6E4" w:rsidTr="00FB5DAD">
        <w:tc>
          <w:tcPr>
            <w:tcW w:w="4706" w:type="dxa"/>
          </w:tcPr>
          <w:p w14:paraId="493A18B7" w14:textId="77777777" w:rsidR="003A38FF" w:rsidRPr="00D0180E" w:rsidRDefault="003A38FF" w:rsidP="003A38FF">
            <w:pPr>
              <w:pStyle w:val="Texto"/>
              <w:spacing w:line="218" w:lineRule="exact"/>
              <w:ind w:firstLine="0"/>
              <w:rPr>
                <w:rFonts w:ascii="Verdana" w:hAnsi="Verdana"/>
                <w:sz w:val="16"/>
                <w:szCs w:val="16"/>
              </w:rPr>
            </w:pPr>
            <w:r w:rsidRPr="00D0180E">
              <w:rPr>
                <w:rFonts w:ascii="Verdana" w:hAnsi="Verdana"/>
                <w:b/>
                <w:sz w:val="16"/>
                <w:szCs w:val="16"/>
              </w:rPr>
              <w:t>Artículo 56.</w:t>
            </w:r>
            <w:r w:rsidRPr="00D0180E">
              <w:rPr>
                <w:rFonts w:ascii="Verdana" w:hAnsi="Verdana"/>
                <w:sz w:val="16"/>
                <w:szCs w:val="16"/>
              </w:rPr>
              <w:t xml:space="preserve"> Los centros de consumo asociados a un permiso de autoconsumo modalidad aislado que no satisfagan sus necesidades de energía eléctrica a través </w:t>
            </w:r>
            <w:r w:rsidRPr="00D0180E">
              <w:rPr>
                <w:rFonts w:ascii="Verdana" w:hAnsi="Verdana"/>
                <w:sz w:val="16"/>
                <w:szCs w:val="16"/>
              </w:rPr>
              <w:lastRenderedPageBreak/>
              <w:t>de su Central Eléctrica, pueden ser conectados a la Red Nacional de Transmisión o a las Redes Generales de Distribución para adquirir energía eléctrica y Productos Asociados, en modalidad de Usuaria de Suministro Básico o Usuario Calificado, para lo cual deben celebrar el contrato de conexión correspondiente.</w:t>
            </w:r>
          </w:p>
        </w:tc>
        <w:tc>
          <w:tcPr>
            <w:tcW w:w="4644" w:type="dxa"/>
          </w:tcPr>
          <w:p w14:paraId="18D70BEC" w14:textId="727DC361" w:rsidR="003A38FF" w:rsidRPr="00D0180E" w:rsidRDefault="003A38FF" w:rsidP="003A38FF">
            <w:pPr>
              <w:pStyle w:val="Texto"/>
              <w:spacing w:line="218" w:lineRule="exact"/>
              <w:ind w:firstLine="0"/>
              <w:rPr>
                <w:rFonts w:ascii="Verdana" w:hAnsi="Verdana"/>
                <w:b/>
                <w:sz w:val="16"/>
                <w:szCs w:val="16"/>
                <w:lang w:val="en-US"/>
              </w:rPr>
            </w:pPr>
            <w:r w:rsidRPr="00913574">
              <w:rPr>
                <w:rFonts w:ascii="Verdana" w:hAnsi="Verdana"/>
                <w:b/>
                <w:sz w:val="16"/>
                <w:szCs w:val="16"/>
                <w:lang w:val="en-US"/>
              </w:rPr>
              <w:lastRenderedPageBreak/>
              <w:t xml:space="preserve">Article 56. </w:t>
            </w:r>
            <w:r w:rsidRPr="00913574">
              <w:rPr>
                <w:rFonts w:ascii="Verdana" w:hAnsi="Verdana"/>
                <w:sz w:val="16"/>
                <w:szCs w:val="16"/>
                <w:lang w:val="en-US"/>
              </w:rPr>
              <w:t xml:space="preserve">Consumer centers associated with a self-consumption permit in isolated mode that do not satisfy their electrical energy needs through their power plant, </w:t>
            </w:r>
            <w:r w:rsidRPr="00913574">
              <w:rPr>
                <w:rFonts w:ascii="Verdana" w:hAnsi="Verdana"/>
                <w:sz w:val="16"/>
                <w:szCs w:val="16"/>
                <w:lang w:val="en-US"/>
              </w:rPr>
              <w:lastRenderedPageBreak/>
              <w:t>may be connected to the National Transmission Network or to the General Distribution Networks to acquire electrical energy and associated products, in the basic supply user or qualified user mode, for which they must enter into the corresponding connection contract.</w:t>
            </w:r>
          </w:p>
        </w:tc>
      </w:tr>
      <w:tr w:rsidR="003A38FF" w:rsidRPr="00D83DA2" w14:paraId="1299E4B5" w14:textId="0CF11037" w:rsidTr="00FB5DAD">
        <w:tc>
          <w:tcPr>
            <w:tcW w:w="4706" w:type="dxa"/>
          </w:tcPr>
          <w:p w14:paraId="3C11D15E" w14:textId="77777777" w:rsidR="003A38FF" w:rsidRPr="00D0180E" w:rsidRDefault="003A38FF" w:rsidP="003A38FF">
            <w:pPr>
              <w:pStyle w:val="Texto"/>
              <w:spacing w:line="218" w:lineRule="exact"/>
              <w:ind w:firstLine="0"/>
              <w:rPr>
                <w:rFonts w:ascii="Verdana" w:hAnsi="Verdana"/>
                <w:sz w:val="16"/>
                <w:szCs w:val="16"/>
              </w:rPr>
            </w:pPr>
            <w:r w:rsidRPr="00D0180E">
              <w:rPr>
                <w:rFonts w:ascii="Verdana" w:hAnsi="Verdana"/>
                <w:sz w:val="16"/>
                <w:szCs w:val="16"/>
              </w:rPr>
              <w:lastRenderedPageBreak/>
              <w:t>En dichos casos, el punto de conexión debe ser definido por la naturaleza del servicio a contratar y ser independiente a la Central Eléctrica de autoconsumo modalidad aislado, o bien, contar con la instalación de un dispositivo de protección de potencia inversa o protección de bajo consumo que aseguren que la Central Eléctrica no inyecte energía eléctrica a la Red Nacional de Transmisión o a las Redes Generales de Distribución. Los estudios de conexión que para tales efectos se requieran realizar, deben ser establecidos en la normatividad en materia de conexión de Centros de Carga.</w:t>
            </w:r>
          </w:p>
        </w:tc>
        <w:tc>
          <w:tcPr>
            <w:tcW w:w="4644" w:type="dxa"/>
          </w:tcPr>
          <w:p w14:paraId="1707B94B" w14:textId="4CD3019D" w:rsidR="003A38FF" w:rsidRPr="00D0180E" w:rsidRDefault="003A38FF" w:rsidP="003A38FF">
            <w:pPr>
              <w:pStyle w:val="Texto"/>
              <w:spacing w:line="218" w:lineRule="exact"/>
              <w:ind w:firstLine="0"/>
              <w:rPr>
                <w:rFonts w:ascii="Verdana" w:hAnsi="Verdana"/>
                <w:sz w:val="16"/>
                <w:szCs w:val="16"/>
                <w:lang w:val="en-US"/>
              </w:rPr>
            </w:pPr>
            <w:r w:rsidRPr="00913574">
              <w:rPr>
                <w:rFonts w:ascii="Verdana" w:hAnsi="Verdana"/>
                <w:sz w:val="16"/>
                <w:szCs w:val="16"/>
                <w:lang w:val="en-US"/>
              </w:rPr>
              <w:t>In such cases, the connection point must be defined by the nature of the service to be contracted and be independent of the isolated self-consumption power plant, or have the installation of a reverse power protection device or low consumption protection that ensures that the power plant does not inject electrical energy into the National Transmission Grid or the General Distribution Networks. The connection studies that must be carried out for such purposes must be established in the Regulation regarding the connection of load centers.</w:t>
            </w:r>
          </w:p>
        </w:tc>
      </w:tr>
      <w:tr w:rsidR="003A38FF" w:rsidRPr="00D83DA2" w14:paraId="38E17342" w14:textId="1E5C2546" w:rsidTr="00FB5DAD">
        <w:tc>
          <w:tcPr>
            <w:tcW w:w="4706" w:type="dxa"/>
          </w:tcPr>
          <w:p w14:paraId="34E7BA43" w14:textId="77777777" w:rsidR="003A38FF" w:rsidRPr="00D0180E" w:rsidRDefault="003A38FF" w:rsidP="003A38FF">
            <w:pPr>
              <w:pStyle w:val="Texto"/>
              <w:spacing w:line="218" w:lineRule="exact"/>
              <w:ind w:firstLine="0"/>
              <w:rPr>
                <w:rFonts w:ascii="Verdana" w:hAnsi="Verdana"/>
                <w:sz w:val="16"/>
                <w:szCs w:val="16"/>
              </w:rPr>
            </w:pPr>
            <w:r w:rsidRPr="00D0180E">
              <w:rPr>
                <w:rFonts w:ascii="Verdana" w:hAnsi="Verdana"/>
                <w:sz w:val="16"/>
                <w:szCs w:val="16"/>
              </w:rPr>
              <w:t>La conexión de centros de consumo, para los efectos a que se refiere este artículo, no modifica la modalidad del permiso de autoconsumo aislado.</w:t>
            </w:r>
          </w:p>
        </w:tc>
        <w:tc>
          <w:tcPr>
            <w:tcW w:w="4644" w:type="dxa"/>
          </w:tcPr>
          <w:p w14:paraId="500EBCA7" w14:textId="03D21DC4" w:rsidR="003A38FF" w:rsidRPr="00D0180E" w:rsidRDefault="003A38FF" w:rsidP="003A38FF">
            <w:pPr>
              <w:pStyle w:val="Texto"/>
              <w:spacing w:line="218" w:lineRule="exact"/>
              <w:ind w:firstLine="0"/>
              <w:rPr>
                <w:rFonts w:ascii="Verdana" w:hAnsi="Verdana"/>
                <w:sz w:val="16"/>
                <w:szCs w:val="16"/>
                <w:lang w:val="en-US"/>
              </w:rPr>
            </w:pPr>
            <w:r w:rsidRPr="00913574">
              <w:rPr>
                <w:rFonts w:ascii="Verdana" w:hAnsi="Verdana"/>
                <w:sz w:val="16"/>
                <w:szCs w:val="16"/>
                <w:lang w:val="en-US"/>
              </w:rPr>
              <w:t>The connection of consumption centers, for the purposes referred to in this article, does not modify the modality of the isolated self-consumption permit.</w:t>
            </w:r>
          </w:p>
        </w:tc>
      </w:tr>
      <w:tr w:rsidR="003A38FF" w:rsidRPr="00D0180E" w14:paraId="38B22B42" w14:textId="606844C8" w:rsidTr="00FB5DAD">
        <w:tc>
          <w:tcPr>
            <w:tcW w:w="4706" w:type="dxa"/>
          </w:tcPr>
          <w:p w14:paraId="3C0F796D" w14:textId="77777777" w:rsidR="003A38FF" w:rsidRPr="00D0180E" w:rsidRDefault="003A38FF" w:rsidP="003A38FF">
            <w:pPr>
              <w:pStyle w:val="Texto"/>
              <w:spacing w:line="218" w:lineRule="exact"/>
              <w:ind w:firstLine="0"/>
              <w:jc w:val="center"/>
              <w:rPr>
                <w:rFonts w:ascii="Verdana" w:hAnsi="Verdana"/>
                <w:b/>
                <w:sz w:val="16"/>
                <w:szCs w:val="16"/>
              </w:rPr>
            </w:pPr>
            <w:r w:rsidRPr="00D0180E">
              <w:rPr>
                <w:rFonts w:ascii="Verdana" w:hAnsi="Verdana"/>
                <w:b/>
                <w:sz w:val="16"/>
                <w:szCs w:val="16"/>
              </w:rPr>
              <w:t>Sección II</w:t>
            </w:r>
          </w:p>
        </w:tc>
        <w:tc>
          <w:tcPr>
            <w:tcW w:w="4644" w:type="dxa"/>
          </w:tcPr>
          <w:p w14:paraId="1B239F00" w14:textId="2ECC9456" w:rsidR="003A38FF" w:rsidRPr="00625BDB" w:rsidRDefault="003A38FF" w:rsidP="003A38FF">
            <w:pPr>
              <w:pStyle w:val="Texto"/>
              <w:spacing w:line="218" w:lineRule="exact"/>
              <w:ind w:firstLine="0"/>
              <w:jc w:val="center"/>
              <w:rPr>
                <w:rFonts w:ascii="Verdana" w:hAnsi="Verdana"/>
                <w:b/>
                <w:sz w:val="16"/>
                <w:szCs w:val="16"/>
                <w:lang w:val="en-US"/>
              </w:rPr>
            </w:pPr>
            <w:r w:rsidRPr="00625BDB">
              <w:rPr>
                <w:rFonts w:ascii="Verdana" w:hAnsi="Verdana"/>
                <w:b/>
                <w:sz w:val="16"/>
                <w:szCs w:val="16"/>
                <w:lang w:val="en-US"/>
              </w:rPr>
              <w:t>Section II</w:t>
            </w:r>
          </w:p>
        </w:tc>
      </w:tr>
      <w:tr w:rsidR="003A38FF" w:rsidRPr="00D0180E" w14:paraId="71317CDC" w14:textId="40977D85" w:rsidTr="00FB5DAD">
        <w:tc>
          <w:tcPr>
            <w:tcW w:w="4706" w:type="dxa"/>
          </w:tcPr>
          <w:p w14:paraId="26324298" w14:textId="77777777" w:rsidR="003A38FF" w:rsidRPr="00D0180E" w:rsidRDefault="003A38FF" w:rsidP="003A38FF">
            <w:pPr>
              <w:pStyle w:val="Texto"/>
              <w:spacing w:line="218" w:lineRule="exact"/>
              <w:ind w:firstLine="0"/>
              <w:jc w:val="center"/>
              <w:rPr>
                <w:rFonts w:ascii="Verdana" w:hAnsi="Verdana"/>
                <w:b/>
                <w:sz w:val="16"/>
                <w:szCs w:val="16"/>
              </w:rPr>
            </w:pPr>
            <w:r w:rsidRPr="00D0180E">
              <w:rPr>
                <w:rFonts w:ascii="Verdana" w:hAnsi="Verdana"/>
                <w:b/>
                <w:sz w:val="16"/>
                <w:szCs w:val="16"/>
              </w:rPr>
              <w:t>Autoconsumo Interconectado</w:t>
            </w:r>
          </w:p>
        </w:tc>
        <w:tc>
          <w:tcPr>
            <w:tcW w:w="4644" w:type="dxa"/>
          </w:tcPr>
          <w:p w14:paraId="0EB72BD7" w14:textId="7963808E" w:rsidR="003A38FF" w:rsidRPr="00625BDB" w:rsidRDefault="003A38FF" w:rsidP="003A38FF">
            <w:pPr>
              <w:pStyle w:val="Texto"/>
              <w:spacing w:line="218" w:lineRule="exact"/>
              <w:ind w:firstLine="0"/>
              <w:jc w:val="center"/>
              <w:rPr>
                <w:rFonts w:ascii="Verdana" w:hAnsi="Verdana"/>
                <w:b/>
                <w:sz w:val="16"/>
                <w:szCs w:val="16"/>
                <w:lang w:val="en-US"/>
              </w:rPr>
            </w:pPr>
            <w:r w:rsidRPr="00625BDB">
              <w:rPr>
                <w:rFonts w:ascii="Verdana" w:hAnsi="Verdana"/>
                <w:b/>
                <w:sz w:val="16"/>
                <w:szCs w:val="16"/>
                <w:lang w:val="en-US"/>
              </w:rPr>
              <w:t>Interconnected Self-Consumption</w:t>
            </w:r>
          </w:p>
        </w:tc>
      </w:tr>
      <w:tr w:rsidR="003A38FF" w:rsidRPr="00D83DA2" w14:paraId="3799ACCA" w14:textId="24198663" w:rsidTr="00FB5DAD">
        <w:tc>
          <w:tcPr>
            <w:tcW w:w="4706" w:type="dxa"/>
          </w:tcPr>
          <w:p w14:paraId="128FF43E" w14:textId="77777777" w:rsidR="003A38FF" w:rsidRPr="00D0180E" w:rsidRDefault="003A38FF" w:rsidP="003A38FF">
            <w:pPr>
              <w:pStyle w:val="Texto"/>
              <w:spacing w:line="218" w:lineRule="exact"/>
              <w:ind w:firstLine="0"/>
              <w:rPr>
                <w:rFonts w:ascii="Verdana" w:hAnsi="Verdana"/>
                <w:sz w:val="16"/>
                <w:szCs w:val="16"/>
              </w:rPr>
            </w:pPr>
            <w:r w:rsidRPr="00D0180E">
              <w:rPr>
                <w:rFonts w:ascii="Verdana" w:hAnsi="Verdana"/>
                <w:b/>
                <w:sz w:val="16"/>
                <w:szCs w:val="16"/>
              </w:rPr>
              <w:t xml:space="preserve">Artículo 57. </w:t>
            </w:r>
            <w:r w:rsidRPr="00D0180E">
              <w:rPr>
                <w:rFonts w:ascii="Verdana" w:hAnsi="Verdana"/>
                <w:sz w:val="16"/>
                <w:szCs w:val="16"/>
              </w:rPr>
              <w:t>Las Usuarias de Autoconsumo ligadas a un permiso de generación para autoconsumo modalidad interconectado que requieran adquirir energía eléctrica y Productos Asociados a través de la Red Nacional de Transmisión o las Redes Generales de Distribución, deben celebrar el contrato de interconexión o conexión correspondiente. En este supuesto, con la finalidad de asegurar que la Central Eléctrica no inyecte energía eléctrica en el punto de interconexión, se debe contar con la instalación de un dispositivo de protección de potencia inversa o protección de bajo consumo.</w:t>
            </w:r>
          </w:p>
        </w:tc>
        <w:tc>
          <w:tcPr>
            <w:tcW w:w="4644" w:type="dxa"/>
          </w:tcPr>
          <w:p w14:paraId="02454F0C" w14:textId="3C87A759" w:rsidR="003A38FF" w:rsidRPr="00D0180E" w:rsidRDefault="003A38FF" w:rsidP="003A38FF">
            <w:pPr>
              <w:pStyle w:val="Texto"/>
              <w:spacing w:line="218" w:lineRule="exact"/>
              <w:ind w:firstLine="0"/>
              <w:rPr>
                <w:rFonts w:ascii="Verdana" w:hAnsi="Verdana"/>
                <w:b/>
                <w:sz w:val="16"/>
                <w:szCs w:val="16"/>
                <w:lang w:val="en-US"/>
              </w:rPr>
            </w:pPr>
            <w:r w:rsidRPr="00913574">
              <w:rPr>
                <w:rFonts w:ascii="Verdana" w:hAnsi="Verdana"/>
                <w:b/>
                <w:sz w:val="16"/>
                <w:szCs w:val="16"/>
                <w:lang w:val="en-US"/>
              </w:rPr>
              <w:t xml:space="preserve">Article 57. </w:t>
            </w:r>
            <w:r w:rsidRPr="00913574">
              <w:rPr>
                <w:rFonts w:ascii="Verdana" w:hAnsi="Verdana"/>
                <w:sz w:val="16"/>
                <w:szCs w:val="16"/>
                <w:lang w:val="en-US"/>
              </w:rPr>
              <w:t xml:space="preserve">Self-consumption users bound to a generation permit for interconnected self-consumption who require the purchase of electricity and associated products through the National Transmission Grid or the General Distribution Networks must </w:t>
            </w:r>
            <w:proofErr w:type="gramStart"/>
            <w:r w:rsidRPr="00913574">
              <w:rPr>
                <w:rFonts w:ascii="Verdana" w:hAnsi="Verdana"/>
                <w:sz w:val="16"/>
                <w:szCs w:val="16"/>
                <w:lang w:val="en-US"/>
              </w:rPr>
              <w:t>enter into</w:t>
            </w:r>
            <w:proofErr w:type="gramEnd"/>
            <w:r w:rsidRPr="00913574">
              <w:rPr>
                <w:rFonts w:ascii="Verdana" w:hAnsi="Verdana"/>
                <w:sz w:val="16"/>
                <w:szCs w:val="16"/>
                <w:lang w:val="en-US"/>
              </w:rPr>
              <w:t xml:space="preserve"> the corresponding interconnection or connection contract. In this case, </w:t>
            </w:r>
            <w:proofErr w:type="gramStart"/>
            <w:r w:rsidRPr="00913574">
              <w:rPr>
                <w:rFonts w:ascii="Verdana" w:hAnsi="Verdana"/>
                <w:sz w:val="16"/>
                <w:szCs w:val="16"/>
                <w:lang w:val="en-US"/>
              </w:rPr>
              <w:t>in order to</w:t>
            </w:r>
            <w:proofErr w:type="gramEnd"/>
            <w:r w:rsidRPr="00913574">
              <w:rPr>
                <w:rFonts w:ascii="Verdana" w:hAnsi="Verdana"/>
                <w:sz w:val="16"/>
                <w:szCs w:val="16"/>
                <w:lang w:val="en-US"/>
              </w:rPr>
              <w:t xml:space="preserve"> ensure that the power plant does not inject electricity at the interconnection point, a reverse power protection device or low-consumption protection device must be installed.</w:t>
            </w:r>
          </w:p>
        </w:tc>
      </w:tr>
      <w:tr w:rsidR="003A38FF" w:rsidRPr="00D83DA2" w14:paraId="4FAA4F21" w14:textId="37F632FC" w:rsidTr="00FB5DAD">
        <w:tc>
          <w:tcPr>
            <w:tcW w:w="4706" w:type="dxa"/>
          </w:tcPr>
          <w:p w14:paraId="1D86990D" w14:textId="77777777" w:rsidR="003A38FF" w:rsidRPr="00D0180E" w:rsidRDefault="003A38FF" w:rsidP="003A38FF">
            <w:pPr>
              <w:pStyle w:val="Texto"/>
              <w:spacing w:line="218" w:lineRule="exact"/>
              <w:ind w:firstLine="0"/>
              <w:rPr>
                <w:rFonts w:ascii="Verdana" w:hAnsi="Verdana"/>
                <w:sz w:val="16"/>
                <w:szCs w:val="16"/>
              </w:rPr>
            </w:pPr>
            <w:r w:rsidRPr="00D0180E">
              <w:rPr>
                <w:rFonts w:ascii="Verdana" w:hAnsi="Verdana"/>
                <w:sz w:val="16"/>
                <w:szCs w:val="16"/>
              </w:rPr>
              <w:t>En el caso de que exista inyección de energía eléctrica, esta no debe ser comercializada, salvo por cuanto hace al supuesto a que se refiere el artículo 32, fracción II de la Ley.</w:t>
            </w:r>
          </w:p>
        </w:tc>
        <w:tc>
          <w:tcPr>
            <w:tcW w:w="4644" w:type="dxa"/>
          </w:tcPr>
          <w:p w14:paraId="7B0ECD28" w14:textId="4EFF8234" w:rsidR="003A38FF" w:rsidRPr="00D0180E" w:rsidRDefault="003A38FF" w:rsidP="003A38FF">
            <w:pPr>
              <w:pStyle w:val="Texto"/>
              <w:spacing w:line="218" w:lineRule="exact"/>
              <w:ind w:firstLine="0"/>
              <w:rPr>
                <w:rFonts w:ascii="Verdana" w:hAnsi="Verdana"/>
                <w:sz w:val="16"/>
                <w:szCs w:val="16"/>
                <w:lang w:val="en-US"/>
              </w:rPr>
            </w:pPr>
            <w:proofErr w:type="gramStart"/>
            <w:r w:rsidRPr="00913574">
              <w:rPr>
                <w:rFonts w:ascii="Verdana" w:hAnsi="Verdana"/>
                <w:sz w:val="16"/>
                <w:szCs w:val="16"/>
                <w:lang w:val="en-US"/>
              </w:rPr>
              <w:t>In the event that</w:t>
            </w:r>
            <w:proofErr w:type="gramEnd"/>
            <w:r w:rsidRPr="00913574">
              <w:rPr>
                <w:rFonts w:ascii="Verdana" w:hAnsi="Verdana"/>
                <w:sz w:val="16"/>
                <w:szCs w:val="16"/>
                <w:lang w:val="en-US"/>
              </w:rPr>
              <w:t xml:space="preserve"> there is an injection of electrical energy, it must not be marketed, except as regards the case referred to in article 32, section II of the Law.</w:t>
            </w:r>
          </w:p>
        </w:tc>
      </w:tr>
      <w:tr w:rsidR="003A38FF" w:rsidRPr="00D83DA2" w14:paraId="4F68B5D5" w14:textId="01E15FB0" w:rsidTr="00FB5DAD">
        <w:tc>
          <w:tcPr>
            <w:tcW w:w="4706" w:type="dxa"/>
          </w:tcPr>
          <w:p w14:paraId="53AA82CC" w14:textId="77777777" w:rsidR="003A38FF" w:rsidRPr="00D0180E" w:rsidRDefault="003A38FF" w:rsidP="003A38FF">
            <w:pPr>
              <w:pStyle w:val="Texto"/>
              <w:spacing w:line="218" w:lineRule="exact"/>
              <w:ind w:firstLine="0"/>
              <w:rPr>
                <w:rFonts w:ascii="Verdana" w:hAnsi="Verdana"/>
                <w:sz w:val="16"/>
                <w:szCs w:val="16"/>
              </w:rPr>
            </w:pPr>
            <w:r w:rsidRPr="00D0180E">
              <w:rPr>
                <w:rFonts w:ascii="Verdana" w:hAnsi="Verdana"/>
                <w:b/>
                <w:sz w:val="16"/>
                <w:szCs w:val="16"/>
              </w:rPr>
              <w:t>Artículo 58.</w:t>
            </w:r>
            <w:r w:rsidRPr="00D0180E">
              <w:rPr>
                <w:rFonts w:ascii="Verdana" w:hAnsi="Verdana"/>
                <w:sz w:val="16"/>
                <w:szCs w:val="16"/>
              </w:rPr>
              <w:t xml:space="preserve"> El trámite simplificado para la gestión y, en su caso, obtención de los permisos de generación para autoconsumo modalidad interconectado con Capacidad Instalada de entre 0.7 y 20 MW, está sujeto a los lineamientos que, para tal efecto publique la CNE, los cuales deben prever, como mínimo, lo siguiente:</w:t>
            </w:r>
          </w:p>
        </w:tc>
        <w:tc>
          <w:tcPr>
            <w:tcW w:w="4644" w:type="dxa"/>
          </w:tcPr>
          <w:p w14:paraId="3E2082A2" w14:textId="3B32D78A" w:rsidR="003A38FF" w:rsidRPr="00D0180E" w:rsidRDefault="003A38FF" w:rsidP="003A38FF">
            <w:pPr>
              <w:pStyle w:val="Texto"/>
              <w:spacing w:line="218" w:lineRule="exact"/>
              <w:ind w:firstLine="0"/>
              <w:rPr>
                <w:rFonts w:ascii="Verdana" w:hAnsi="Verdana"/>
                <w:b/>
                <w:sz w:val="16"/>
                <w:szCs w:val="16"/>
                <w:lang w:val="en-US"/>
              </w:rPr>
            </w:pPr>
            <w:r w:rsidRPr="00913574">
              <w:rPr>
                <w:rFonts w:ascii="Verdana" w:hAnsi="Verdana"/>
                <w:b/>
                <w:sz w:val="16"/>
                <w:szCs w:val="16"/>
                <w:lang w:val="en-US"/>
              </w:rPr>
              <w:t xml:space="preserve">Article 58. </w:t>
            </w:r>
            <w:r w:rsidRPr="00913574">
              <w:rPr>
                <w:rFonts w:ascii="Verdana" w:hAnsi="Verdana"/>
                <w:sz w:val="16"/>
                <w:szCs w:val="16"/>
                <w:lang w:val="en-US"/>
              </w:rPr>
              <w:t xml:space="preserve">The simplified procedure for the management and, where applicable, </w:t>
            </w:r>
            <w:proofErr w:type="gramStart"/>
            <w:r w:rsidRPr="00913574">
              <w:rPr>
                <w:rFonts w:ascii="Verdana" w:hAnsi="Verdana"/>
                <w:sz w:val="16"/>
                <w:szCs w:val="16"/>
                <w:lang w:val="en-US"/>
              </w:rPr>
              <w:t>obtaining of</w:t>
            </w:r>
            <w:proofErr w:type="gramEnd"/>
            <w:r w:rsidRPr="00913574">
              <w:rPr>
                <w:rFonts w:ascii="Verdana" w:hAnsi="Verdana"/>
                <w:sz w:val="16"/>
                <w:szCs w:val="16"/>
                <w:lang w:val="en-US"/>
              </w:rPr>
              <w:t xml:space="preserve"> generation permits for self-consumption in the interconnected mode with an installed capacity of between 0.7 and 20 MW, is subject to the guidelines published for this purpose by the CNE, which must provide, as a minimum, the following:</w:t>
            </w:r>
          </w:p>
        </w:tc>
      </w:tr>
      <w:tr w:rsidR="003A38FF" w:rsidRPr="00D0180E" w14:paraId="531FF07D" w14:textId="00405454" w:rsidTr="00FB5DAD">
        <w:tc>
          <w:tcPr>
            <w:tcW w:w="4706" w:type="dxa"/>
          </w:tcPr>
          <w:p w14:paraId="7F149187" w14:textId="77777777" w:rsidR="003A38FF" w:rsidRPr="00D0180E" w:rsidRDefault="003A38FF" w:rsidP="003A38FF">
            <w:pPr>
              <w:pStyle w:val="Texto"/>
              <w:spacing w:line="218"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Requisitos simplificados generales:</w:t>
            </w:r>
          </w:p>
        </w:tc>
        <w:tc>
          <w:tcPr>
            <w:tcW w:w="4644" w:type="dxa"/>
          </w:tcPr>
          <w:p w14:paraId="3EEFCBF8" w14:textId="28838A06" w:rsidR="003A38FF" w:rsidRPr="00D0180E" w:rsidRDefault="003A38FF" w:rsidP="003A38FF">
            <w:pPr>
              <w:pStyle w:val="Texto"/>
              <w:spacing w:line="218" w:lineRule="exact"/>
              <w:ind w:firstLine="0"/>
              <w:rPr>
                <w:rFonts w:ascii="Verdana" w:hAnsi="Verdana"/>
                <w:b/>
                <w:sz w:val="16"/>
                <w:szCs w:val="16"/>
                <w:lang w:val="en-US"/>
              </w:rPr>
            </w:pPr>
            <w:r w:rsidRPr="00D0180E">
              <w:rPr>
                <w:rFonts w:ascii="Verdana" w:hAnsi="Verdana"/>
                <w:b/>
                <w:sz w:val="16"/>
                <w:szCs w:val="16"/>
              </w:rPr>
              <w:t xml:space="preserve">I. </w:t>
            </w:r>
            <w:r w:rsidRPr="00D0180E">
              <w:rPr>
                <w:rFonts w:ascii="Verdana" w:hAnsi="Verdana"/>
                <w:b/>
                <w:sz w:val="16"/>
                <w:szCs w:val="16"/>
              </w:rPr>
              <w:tab/>
            </w:r>
            <w:r w:rsidRPr="00BE3F4C">
              <w:rPr>
                <w:rFonts w:ascii="Verdana" w:hAnsi="Verdana"/>
                <w:sz w:val="16"/>
                <w:szCs w:val="16"/>
                <w:lang w:val="en-US"/>
              </w:rPr>
              <w:t>General simplified requirements</w:t>
            </w:r>
            <w:r w:rsidRPr="00D0180E">
              <w:rPr>
                <w:rFonts w:ascii="Verdana" w:hAnsi="Verdana"/>
                <w:sz w:val="16"/>
                <w:szCs w:val="16"/>
              </w:rPr>
              <w:t>:</w:t>
            </w:r>
          </w:p>
        </w:tc>
      </w:tr>
      <w:tr w:rsidR="003A38FF" w:rsidRPr="00D83DA2" w14:paraId="0C9DC930" w14:textId="1070BE71" w:rsidTr="00FB5DAD">
        <w:tc>
          <w:tcPr>
            <w:tcW w:w="4706" w:type="dxa"/>
          </w:tcPr>
          <w:p w14:paraId="0B59BC69" w14:textId="77777777" w:rsidR="003A38FF" w:rsidRPr="00D0180E" w:rsidRDefault="003A38FF" w:rsidP="003A38FF">
            <w:pPr>
              <w:pStyle w:val="Texto"/>
              <w:spacing w:line="218"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Descripción general del proyecto, y</w:t>
            </w:r>
          </w:p>
        </w:tc>
        <w:tc>
          <w:tcPr>
            <w:tcW w:w="4644" w:type="dxa"/>
          </w:tcPr>
          <w:p w14:paraId="5046B2A4" w14:textId="5952C731" w:rsidR="003A38FF" w:rsidRPr="00D0180E" w:rsidRDefault="003A38FF" w:rsidP="003A38FF">
            <w:pPr>
              <w:pStyle w:val="Texto"/>
              <w:spacing w:line="218" w:lineRule="exact"/>
              <w:ind w:firstLine="0"/>
              <w:rPr>
                <w:rFonts w:ascii="Verdana" w:hAnsi="Verdana"/>
                <w:b/>
                <w:sz w:val="16"/>
                <w:szCs w:val="16"/>
                <w:lang w:val="en-US"/>
              </w:rPr>
            </w:pPr>
            <w:r w:rsidRPr="00913574">
              <w:rPr>
                <w:rFonts w:ascii="Verdana" w:hAnsi="Verdana"/>
                <w:b/>
                <w:sz w:val="16"/>
                <w:szCs w:val="16"/>
                <w:lang w:val="en-US"/>
              </w:rPr>
              <w:t>a</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General</w:t>
            </w:r>
            <w:proofErr w:type="gramEnd"/>
            <w:r w:rsidRPr="00913574">
              <w:rPr>
                <w:rFonts w:ascii="Verdana" w:hAnsi="Verdana"/>
                <w:sz w:val="16"/>
                <w:szCs w:val="16"/>
                <w:lang w:val="en-US"/>
              </w:rPr>
              <w:t xml:space="preserve"> description of the project, and</w:t>
            </w:r>
          </w:p>
        </w:tc>
      </w:tr>
      <w:tr w:rsidR="003A38FF" w:rsidRPr="00D83DA2" w14:paraId="3F9B1DED" w14:textId="43402342" w:rsidTr="00FB5DAD">
        <w:tc>
          <w:tcPr>
            <w:tcW w:w="4706" w:type="dxa"/>
          </w:tcPr>
          <w:p w14:paraId="1C3BDD07" w14:textId="77777777" w:rsidR="003A38FF" w:rsidRPr="00D0180E" w:rsidRDefault="003A38FF" w:rsidP="003A38FF">
            <w:pPr>
              <w:pStyle w:val="Texto"/>
              <w:spacing w:line="218"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Contenido mínimo para el programa simplificado de obras, y</w:t>
            </w:r>
          </w:p>
        </w:tc>
        <w:tc>
          <w:tcPr>
            <w:tcW w:w="4644" w:type="dxa"/>
          </w:tcPr>
          <w:p w14:paraId="0E95611D" w14:textId="57B099C9" w:rsidR="003A38FF" w:rsidRPr="00D0180E" w:rsidRDefault="003A38FF" w:rsidP="003A38FF">
            <w:pPr>
              <w:pStyle w:val="Texto"/>
              <w:spacing w:line="218" w:lineRule="exact"/>
              <w:ind w:firstLine="0"/>
              <w:rPr>
                <w:rFonts w:ascii="Verdana" w:hAnsi="Verdana"/>
                <w:b/>
                <w:sz w:val="16"/>
                <w:szCs w:val="16"/>
                <w:lang w:val="en-US"/>
              </w:rPr>
            </w:pPr>
            <w:r w:rsidRPr="00913574">
              <w:rPr>
                <w:rFonts w:ascii="Verdana" w:hAnsi="Verdana"/>
                <w:b/>
                <w:sz w:val="16"/>
                <w:szCs w:val="16"/>
                <w:lang w:val="en-US"/>
              </w:rPr>
              <w:t>b</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Minimum</w:t>
            </w:r>
            <w:proofErr w:type="gramEnd"/>
            <w:r w:rsidRPr="00913574">
              <w:rPr>
                <w:rFonts w:ascii="Verdana" w:hAnsi="Verdana"/>
                <w:sz w:val="16"/>
                <w:szCs w:val="16"/>
                <w:lang w:val="en-US"/>
              </w:rPr>
              <w:t xml:space="preserve"> content for the simplified works program, and</w:t>
            </w:r>
          </w:p>
        </w:tc>
      </w:tr>
      <w:tr w:rsidR="003A38FF" w:rsidRPr="00D83DA2" w14:paraId="3EAFBA4C" w14:textId="13BB499D" w:rsidTr="00FB5DAD">
        <w:tc>
          <w:tcPr>
            <w:tcW w:w="4706" w:type="dxa"/>
          </w:tcPr>
          <w:p w14:paraId="3CD7D268" w14:textId="77777777" w:rsidR="003A38FF" w:rsidRPr="00D0180E" w:rsidRDefault="003A38FF" w:rsidP="003A38FF">
            <w:pPr>
              <w:pStyle w:val="Texto"/>
              <w:spacing w:line="218"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El plazo de respuesta, mismo que no debe ser mayor al previsto en el artículo 25 del presente reglamento.</w:t>
            </w:r>
          </w:p>
        </w:tc>
        <w:tc>
          <w:tcPr>
            <w:tcW w:w="4644" w:type="dxa"/>
          </w:tcPr>
          <w:p w14:paraId="1303C8BB" w14:textId="2D089EF2" w:rsidR="003A38FF" w:rsidRPr="00D0180E" w:rsidRDefault="003A38FF" w:rsidP="003A38FF">
            <w:pPr>
              <w:pStyle w:val="Texto"/>
              <w:spacing w:line="218" w:lineRule="exact"/>
              <w:ind w:firstLine="0"/>
              <w:rPr>
                <w:rFonts w:ascii="Verdana" w:hAnsi="Verdana"/>
                <w:b/>
                <w:sz w:val="16"/>
                <w:szCs w:val="16"/>
                <w:lang w:val="en-US"/>
              </w:rPr>
            </w:pPr>
            <w:r w:rsidRPr="00913574">
              <w:rPr>
                <w:rFonts w:ascii="Verdana" w:hAnsi="Verdana"/>
                <w:b/>
                <w:sz w:val="16"/>
                <w:szCs w:val="16"/>
                <w:lang w:val="en-US"/>
              </w:rPr>
              <w:t>II</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The</w:t>
            </w:r>
            <w:proofErr w:type="gramEnd"/>
            <w:r w:rsidRPr="00913574">
              <w:rPr>
                <w:rFonts w:ascii="Verdana" w:hAnsi="Verdana"/>
                <w:sz w:val="16"/>
                <w:szCs w:val="16"/>
                <w:lang w:val="en-US"/>
              </w:rPr>
              <w:t xml:space="preserve"> response period, which must not be longer than that provided for in Article 25 of this regulation.</w:t>
            </w:r>
          </w:p>
        </w:tc>
      </w:tr>
      <w:tr w:rsidR="003A38FF" w:rsidRPr="00D83DA2" w14:paraId="42F266BB" w14:textId="1338665C" w:rsidTr="00FB5DAD">
        <w:tc>
          <w:tcPr>
            <w:tcW w:w="4706" w:type="dxa"/>
          </w:tcPr>
          <w:p w14:paraId="768AB944" w14:textId="77777777" w:rsidR="003A38FF" w:rsidRPr="00D0180E" w:rsidRDefault="003A38FF" w:rsidP="003A38FF">
            <w:pPr>
              <w:pStyle w:val="Texto"/>
              <w:spacing w:line="218" w:lineRule="exact"/>
              <w:ind w:firstLine="0"/>
              <w:rPr>
                <w:rFonts w:ascii="Verdana" w:hAnsi="Verdana"/>
                <w:sz w:val="16"/>
                <w:szCs w:val="16"/>
              </w:rPr>
            </w:pPr>
            <w:r w:rsidRPr="00D0180E">
              <w:rPr>
                <w:rFonts w:ascii="Verdana" w:hAnsi="Verdana"/>
                <w:b/>
                <w:sz w:val="16"/>
                <w:szCs w:val="16"/>
              </w:rPr>
              <w:lastRenderedPageBreak/>
              <w:t>Artículo 59.</w:t>
            </w:r>
            <w:r w:rsidRPr="00D0180E">
              <w:rPr>
                <w:rFonts w:ascii="Verdana" w:hAnsi="Verdana"/>
                <w:sz w:val="16"/>
                <w:szCs w:val="16"/>
              </w:rPr>
              <w:t xml:space="preserve"> Para efectos de lo previsto en el artículo 32, fracción III de la Ley se entiende por respaldo propio, a que la Central Eléctrica cuente con capacidad en Sistemas de Almacenamiento de Energía Eléctrica o con la contratación de una cobertura para cubrir los requerimientos de manejo de rampa, intermitencia y variabilidad con la Empresa Pública del Estado, cuando sea técnicamente factible o, en su caso, con una tercera persona; lo anterior, con la finalidad de mitigar la intermitencia que producen en el Sistema Eléctrico Nacional en los términos que la CNE establezca en las disposiciones administrativas de carácter general en la materia.</w:t>
            </w:r>
          </w:p>
        </w:tc>
        <w:tc>
          <w:tcPr>
            <w:tcW w:w="4644" w:type="dxa"/>
          </w:tcPr>
          <w:p w14:paraId="75BB8247" w14:textId="3EF05950" w:rsidR="003A38FF" w:rsidRPr="00D0180E" w:rsidRDefault="003A38FF" w:rsidP="003A38FF">
            <w:pPr>
              <w:pStyle w:val="Texto"/>
              <w:spacing w:line="218" w:lineRule="exact"/>
              <w:ind w:firstLine="0"/>
              <w:rPr>
                <w:rFonts w:ascii="Verdana" w:hAnsi="Verdana"/>
                <w:b/>
                <w:sz w:val="16"/>
                <w:szCs w:val="16"/>
                <w:lang w:val="en-US"/>
              </w:rPr>
            </w:pPr>
            <w:r w:rsidRPr="00913574">
              <w:rPr>
                <w:rFonts w:ascii="Verdana" w:hAnsi="Verdana"/>
                <w:b/>
                <w:sz w:val="16"/>
                <w:szCs w:val="16"/>
                <w:lang w:val="en-US"/>
              </w:rPr>
              <w:t xml:space="preserve">Article 59. </w:t>
            </w:r>
            <w:r w:rsidRPr="00913574">
              <w:rPr>
                <w:rFonts w:ascii="Verdana" w:hAnsi="Verdana"/>
                <w:sz w:val="16"/>
                <w:szCs w:val="16"/>
                <w:lang w:val="en-US"/>
              </w:rPr>
              <w:t xml:space="preserve">For the purposes of Article 32, Section III of the Law, self-support is understood to mean that the power plant has the capacity to operate an electric energy storage system or has contracted coverage to meet the ramp, intermittency, and variability management requirements with the State-owned Company, when technically feasible, or, where applicable, with a third party; the foregoing is intended to mitigate the intermittency they produce in the </w:t>
            </w:r>
            <w:r>
              <w:rPr>
                <w:rFonts w:ascii="Verdana" w:hAnsi="Verdana"/>
                <w:sz w:val="16"/>
                <w:szCs w:val="16"/>
                <w:lang w:val="en-US"/>
              </w:rPr>
              <w:t>National Electric System</w:t>
            </w:r>
            <w:r w:rsidRPr="00913574">
              <w:rPr>
                <w:rFonts w:ascii="Verdana" w:hAnsi="Verdana"/>
                <w:sz w:val="16"/>
                <w:szCs w:val="16"/>
                <w:lang w:val="en-US"/>
              </w:rPr>
              <w:t xml:space="preserve"> under the terms established by the CNE in the general administrative provisions on the matter.</w:t>
            </w:r>
          </w:p>
        </w:tc>
      </w:tr>
      <w:tr w:rsidR="003A38FF" w:rsidRPr="00D83DA2" w14:paraId="28872492" w14:textId="3581DA1A" w:rsidTr="00FB5DAD">
        <w:tc>
          <w:tcPr>
            <w:tcW w:w="4706" w:type="dxa"/>
          </w:tcPr>
          <w:p w14:paraId="685BE5AE" w14:textId="77777777" w:rsidR="003A38FF" w:rsidRPr="00D0180E" w:rsidRDefault="003A38FF" w:rsidP="003A38FF">
            <w:pPr>
              <w:pStyle w:val="Texto"/>
              <w:spacing w:line="218" w:lineRule="exact"/>
              <w:ind w:firstLine="0"/>
              <w:rPr>
                <w:rFonts w:ascii="Verdana" w:hAnsi="Verdana"/>
                <w:sz w:val="16"/>
                <w:szCs w:val="16"/>
              </w:rPr>
            </w:pPr>
            <w:r w:rsidRPr="00D0180E">
              <w:rPr>
                <w:rFonts w:ascii="Verdana" w:hAnsi="Verdana"/>
                <w:b/>
                <w:sz w:val="16"/>
                <w:szCs w:val="16"/>
              </w:rPr>
              <w:t>Artículo 60.</w:t>
            </w:r>
            <w:r w:rsidRPr="00D0180E">
              <w:rPr>
                <w:rFonts w:ascii="Verdana" w:hAnsi="Verdana"/>
                <w:sz w:val="16"/>
                <w:szCs w:val="16"/>
              </w:rPr>
              <w:t xml:space="preserve"> En el caso en que la Central Eléctrica ligada a un permiso de generación en autoconsumo modalidad interconectado requiera el Suministro Eléctrico para cubrir sus necesidades por mantenimiento o falla, se debe celebrar el contrato de interconexión correspondiente y, en su caso, contratar dicho servicio.</w:t>
            </w:r>
          </w:p>
        </w:tc>
        <w:tc>
          <w:tcPr>
            <w:tcW w:w="4644" w:type="dxa"/>
          </w:tcPr>
          <w:p w14:paraId="5198D81C" w14:textId="1C6458B8" w:rsidR="003A38FF" w:rsidRPr="00D0180E" w:rsidRDefault="003A38FF" w:rsidP="003A38FF">
            <w:pPr>
              <w:pStyle w:val="Texto"/>
              <w:spacing w:line="218" w:lineRule="exact"/>
              <w:ind w:firstLine="0"/>
              <w:rPr>
                <w:rFonts w:ascii="Verdana" w:hAnsi="Verdana"/>
                <w:b/>
                <w:sz w:val="16"/>
                <w:szCs w:val="16"/>
                <w:lang w:val="en-US"/>
              </w:rPr>
            </w:pPr>
            <w:r w:rsidRPr="00913574">
              <w:rPr>
                <w:rFonts w:ascii="Verdana" w:hAnsi="Verdana"/>
                <w:b/>
                <w:sz w:val="16"/>
                <w:szCs w:val="16"/>
                <w:lang w:val="en-US"/>
              </w:rPr>
              <w:t xml:space="preserve">Article 60. </w:t>
            </w:r>
            <w:proofErr w:type="gramStart"/>
            <w:r w:rsidRPr="00913574">
              <w:rPr>
                <w:rFonts w:ascii="Verdana" w:hAnsi="Verdana"/>
                <w:sz w:val="16"/>
                <w:szCs w:val="16"/>
                <w:lang w:val="en-US"/>
              </w:rPr>
              <w:t>In the event that</w:t>
            </w:r>
            <w:proofErr w:type="gramEnd"/>
            <w:r w:rsidRPr="00913574">
              <w:rPr>
                <w:rFonts w:ascii="Verdana" w:hAnsi="Verdana"/>
                <w:sz w:val="16"/>
                <w:szCs w:val="16"/>
                <w:lang w:val="en-US"/>
              </w:rPr>
              <w:t xml:space="preserve"> a </w:t>
            </w:r>
            <w:r>
              <w:rPr>
                <w:rFonts w:ascii="Verdana" w:hAnsi="Verdana"/>
                <w:sz w:val="16"/>
                <w:szCs w:val="16"/>
                <w:lang w:val="en-US"/>
              </w:rPr>
              <w:t>power plant</w:t>
            </w:r>
            <w:r w:rsidRPr="00913574">
              <w:rPr>
                <w:rFonts w:ascii="Verdana" w:hAnsi="Verdana"/>
                <w:sz w:val="16"/>
                <w:szCs w:val="16"/>
                <w:lang w:val="en-US"/>
              </w:rPr>
              <w:t xml:space="preserve"> linked to a self-consumption generation permit in interconnected mode requires the electricity supply to cover its needs due to maintenance or failure, the corresponding interconnection contract must be signed and, where applicable, said service contracted.</w:t>
            </w:r>
          </w:p>
        </w:tc>
      </w:tr>
      <w:tr w:rsidR="003A38FF" w:rsidRPr="00D83DA2" w14:paraId="0FBBBA92" w14:textId="6FA77AA4" w:rsidTr="00FB5DAD">
        <w:tc>
          <w:tcPr>
            <w:tcW w:w="4706" w:type="dxa"/>
          </w:tcPr>
          <w:p w14:paraId="6392BF24" w14:textId="77777777" w:rsidR="003A38FF" w:rsidRPr="00D0180E" w:rsidRDefault="003A38FF" w:rsidP="003A38FF">
            <w:pPr>
              <w:pStyle w:val="Texto"/>
              <w:spacing w:line="218" w:lineRule="exact"/>
              <w:ind w:firstLine="0"/>
              <w:rPr>
                <w:rFonts w:ascii="Verdana" w:hAnsi="Verdana"/>
                <w:sz w:val="16"/>
                <w:szCs w:val="16"/>
              </w:rPr>
            </w:pPr>
            <w:r w:rsidRPr="00D0180E">
              <w:rPr>
                <w:rFonts w:ascii="Verdana" w:hAnsi="Verdana"/>
                <w:b/>
                <w:sz w:val="16"/>
                <w:szCs w:val="16"/>
              </w:rPr>
              <w:t>Artículo 61.</w:t>
            </w:r>
            <w:r w:rsidRPr="00D0180E">
              <w:rPr>
                <w:rFonts w:ascii="Verdana" w:hAnsi="Verdana"/>
                <w:sz w:val="16"/>
                <w:szCs w:val="16"/>
              </w:rPr>
              <w:t xml:space="preserve"> Los volúmenes de energía eléctrica mínimos y máximos permitidos como excedentes de generación para su inyección al Sistema Eléctrico Nacional están sujetos a los criterios de Confiabilidad, los cuales se deben determinar por el CENACE para cada Central Eléctrica con permiso de generación de energía eléctrica para autoconsumo modalidad interconectado, en términos de las condiciones previstas en la normatividad aplicable en materia de autoconsumo.</w:t>
            </w:r>
          </w:p>
        </w:tc>
        <w:tc>
          <w:tcPr>
            <w:tcW w:w="4644" w:type="dxa"/>
          </w:tcPr>
          <w:p w14:paraId="0718E8EE" w14:textId="64C90115" w:rsidR="003A38FF" w:rsidRPr="00D0180E" w:rsidRDefault="003A38FF" w:rsidP="003A38FF">
            <w:pPr>
              <w:pStyle w:val="Texto"/>
              <w:spacing w:line="218" w:lineRule="exact"/>
              <w:ind w:firstLine="0"/>
              <w:rPr>
                <w:rFonts w:ascii="Verdana" w:hAnsi="Verdana"/>
                <w:b/>
                <w:sz w:val="16"/>
                <w:szCs w:val="16"/>
                <w:lang w:val="en-US"/>
              </w:rPr>
            </w:pPr>
            <w:r w:rsidRPr="00913574">
              <w:rPr>
                <w:rFonts w:ascii="Verdana" w:hAnsi="Verdana"/>
                <w:b/>
                <w:sz w:val="16"/>
                <w:szCs w:val="16"/>
                <w:lang w:val="en-US"/>
              </w:rPr>
              <w:t xml:space="preserve">Article 61. </w:t>
            </w:r>
            <w:r w:rsidRPr="00913574">
              <w:rPr>
                <w:rFonts w:ascii="Verdana" w:hAnsi="Verdana"/>
                <w:sz w:val="16"/>
                <w:szCs w:val="16"/>
                <w:lang w:val="en-US"/>
              </w:rPr>
              <w:t xml:space="preserve">The minimum and maximum volumes of electrical energy permitted as surplus generation for injection into the </w:t>
            </w:r>
            <w:r>
              <w:rPr>
                <w:rFonts w:ascii="Verdana" w:hAnsi="Verdana"/>
                <w:sz w:val="16"/>
                <w:szCs w:val="16"/>
                <w:lang w:val="en-US"/>
              </w:rPr>
              <w:t>National Electric System</w:t>
            </w:r>
            <w:r w:rsidRPr="00913574">
              <w:rPr>
                <w:rFonts w:ascii="Verdana" w:hAnsi="Verdana"/>
                <w:sz w:val="16"/>
                <w:szCs w:val="16"/>
                <w:lang w:val="en-US"/>
              </w:rPr>
              <w:t xml:space="preserve"> are subject to </w:t>
            </w:r>
            <w:r>
              <w:rPr>
                <w:rFonts w:ascii="Verdana" w:hAnsi="Verdana"/>
                <w:sz w:val="16"/>
                <w:szCs w:val="16"/>
                <w:lang w:val="en-US"/>
              </w:rPr>
              <w:t>r</w:t>
            </w:r>
            <w:r w:rsidRPr="00913574">
              <w:rPr>
                <w:rFonts w:ascii="Verdana" w:hAnsi="Verdana"/>
                <w:sz w:val="16"/>
                <w:szCs w:val="16"/>
                <w:lang w:val="en-US"/>
              </w:rPr>
              <w:t xml:space="preserve">eliability criteria, which must be determined by CENACE for each </w:t>
            </w:r>
            <w:r>
              <w:rPr>
                <w:rFonts w:ascii="Verdana" w:hAnsi="Verdana"/>
                <w:sz w:val="16"/>
                <w:szCs w:val="16"/>
                <w:lang w:val="en-US"/>
              </w:rPr>
              <w:t>power plant</w:t>
            </w:r>
            <w:r w:rsidRPr="00913574">
              <w:rPr>
                <w:rFonts w:ascii="Verdana" w:hAnsi="Verdana"/>
                <w:sz w:val="16"/>
                <w:szCs w:val="16"/>
                <w:lang w:val="en-US"/>
              </w:rPr>
              <w:t xml:space="preserve"> with a permit to generate electrical energy for self-consumption in the interconnected mode, in terms of the conditions provided for in the </w:t>
            </w:r>
            <w:r>
              <w:rPr>
                <w:rFonts w:ascii="Verdana" w:hAnsi="Verdana"/>
                <w:sz w:val="16"/>
                <w:szCs w:val="16"/>
                <w:lang w:val="en-US"/>
              </w:rPr>
              <w:t>applicable legislation</w:t>
            </w:r>
            <w:r w:rsidRPr="00913574">
              <w:rPr>
                <w:rFonts w:ascii="Verdana" w:hAnsi="Verdana"/>
                <w:sz w:val="16"/>
                <w:szCs w:val="16"/>
                <w:lang w:val="en-US"/>
              </w:rPr>
              <w:t xml:space="preserve"> on self-consumption.</w:t>
            </w:r>
          </w:p>
        </w:tc>
      </w:tr>
      <w:tr w:rsidR="003A38FF" w:rsidRPr="00D0180E" w14:paraId="5484436A" w14:textId="61ACB5F8" w:rsidTr="00FB5DAD">
        <w:tc>
          <w:tcPr>
            <w:tcW w:w="4706" w:type="dxa"/>
          </w:tcPr>
          <w:p w14:paraId="2FF13B7F" w14:textId="77777777" w:rsidR="003A38FF" w:rsidRPr="00D0180E" w:rsidRDefault="003A38FF" w:rsidP="003A38FF">
            <w:pPr>
              <w:pStyle w:val="Texto"/>
              <w:spacing w:line="218" w:lineRule="exact"/>
              <w:ind w:firstLine="0"/>
              <w:jc w:val="center"/>
              <w:rPr>
                <w:rFonts w:ascii="Verdana" w:hAnsi="Verdana"/>
                <w:b/>
                <w:sz w:val="16"/>
                <w:szCs w:val="16"/>
              </w:rPr>
            </w:pPr>
            <w:r w:rsidRPr="00D0180E">
              <w:rPr>
                <w:rFonts w:ascii="Verdana" w:hAnsi="Verdana"/>
                <w:b/>
                <w:sz w:val="16"/>
                <w:szCs w:val="16"/>
              </w:rPr>
              <w:t>Capítulo III</w:t>
            </w:r>
          </w:p>
        </w:tc>
        <w:tc>
          <w:tcPr>
            <w:tcW w:w="4644" w:type="dxa"/>
          </w:tcPr>
          <w:p w14:paraId="39CDDE2F" w14:textId="06237371" w:rsidR="003A38FF" w:rsidRPr="00D0180E" w:rsidRDefault="003A38FF" w:rsidP="003A38FF">
            <w:pPr>
              <w:pStyle w:val="Texto"/>
              <w:spacing w:line="218" w:lineRule="exact"/>
              <w:ind w:firstLine="0"/>
              <w:jc w:val="center"/>
              <w:rPr>
                <w:rFonts w:ascii="Verdana" w:hAnsi="Verdana"/>
                <w:b/>
                <w:sz w:val="16"/>
                <w:szCs w:val="16"/>
                <w:lang w:val="en-US"/>
              </w:rPr>
            </w:pPr>
            <w:r w:rsidRPr="00D0180E">
              <w:rPr>
                <w:rFonts w:ascii="Verdana" w:hAnsi="Verdana"/>
                <w:b/>
                <w:sz w:val="16"/>
                <w:szCs w:val="16"/>
              </w:rPr>
              <w:t>Chapter III</w:t>
            </w:r>
          </w:p>
        </w:tc>
      </w:tr>
      <w:tr w:rsidR="003A38FF" w:rsidRPr="00D83DA2" w14:paraId="363DD4F4" w14:textId="29D18AEA" w:rsidTr="00FB5DAD">
        <w:tc>
          <w:tcPr>
            <w:tcW w:w="4706" w:type="dxa"/>
          </w:tcPr>
          <w:p w14:paraId="711B0FE6" w14:textId="77777777" w:rsidR="003A38FF" w:rsidRPr="00D0180E" w:rsidRDefault="003A38FF" w:rsidP="003A38FF">
            <w:pPr>
              <w:pStyle w:val="Texto"/>
              <w:spacing w:line="218" w:lineRule="exact"/>
              <w:ind w:firstLine="0"/>
              <w:jc w:val="center"/>
              <w:rPr>
                <w:rFonts w:ascii="Verdana" w:hAnsi="Verdana"/>
                <w:b/>
                <w:sz w:val="16"/>
                <w:szCs w:val="16"/>
              </w:rPr>
            </w:pPr>
            <w:r w:rsidRPr="00D0180E">
              <w:rPr>
                <w:rFonts w:ascii="Verdana" w:hAnsi="Verdana"/>
                <w:b/>
                <w:sz w:val="16"/>
                <w:szCs w:val="16"/>
              </w:rPr>
              <w:t>De la Generación para el Mercado Eléctrico Mayorista</w:t>
            </w:r>
          </w:p>
        </w:tc>
        <w:tc>
          <w:tcPr>
            <w:tcW w:w="4644" w:type="dxa"/>
          </w:tcPr>
          <w:p w14:paraId="66CB04AD" w14:textId="0CDF8E74" w:rsidR="003A38FF" w:rsidRPr="00D0180E" w:rsidRDefault="003A38FF" w:rsidP="003A38FF">
            <w:pPr>
              <w:pStyle w:val="Texto"/>
              <w:spacing w:line="218" w:lineRule="exact"/>
              <w:ind w:firstLine="0"/>
              <w:jc w:val="center"/>
              <w:rPr>
                <w:rFonts w:ascii="Verdana" w:hAnsi="Verdana"/>
                <w:b/>
                <w:sz w:val="16"/>
                <w:szCs w:val="16"/>
                <w:lang w:val="en-US"/>
              </w:rPr>
            </w:pPr>
            <w:r w:rsidRPr="00913574">
              <w:rPr>
                <w:rFonts w:ascii="Verdana" w:hAnsi="Verdana"/>
                <w:b/>
                <w:sz w:val="16"/>
                <w:szCs w:val="16"/>
                <w:lang w:val="en-US"/>
              </w:rPr>
              <w:t xml:space="preserve">Generation </w:t>
            </w:r>
            <w:r>
              <w:rPr>
                <w:rFonts w:ascii="Verdana" w:hAnsi="Verdana"/>
                <w:b/>
                <w:sz w:val="16"/>
                <w:szCs w:val="16"/>
                <w:lang w:val="en-US"/>
              </w:rPr>
              <w:t>for</w:t>
            </w:r>
            <w:r w:rsidRPr="00913574">
              <w:rPr>
                <w:rFonts w:ascii="Verdana" w:hAnsi="Verdana"/>
                <w:b/>
                <w:sz w:val="16"/>
                <w:szCs w:val="16"/>
                <w:lang w:val="en-US"/>
              </w:rPr>
              <w:t xml:space="preserve"> the Wholesale Electricity Market</w:t>
            </w:r>
          </w:p>
        </w:tc>
      </w:tr>
      <w:tr w:rsidR="003A38FF" w:rsidRPr="00D83DA2" w14:paraId="3976BB03" w14:textId="157F609A" w:rsidTr="00FB5DAD">
        <w:tc>
          <w:tcPr>
            <w:tcW w:w="4706" w:type="dxa"/>
          </w:tcPr>
          <w:p w14:paraId="7D1F6BC7" w14:textId="77777777" w:rsidR="003A38FF" w:rsidRPr="00D0180E" w:rsidRDefault="003A38FF" w:rsidP="003A38FF">
            <w:pPr>
              <w:pStyle w:val="Texto"/>
              <w:spacing w:line="218" w:lineRule="exact"/>
              <w:ind w:firstLine="0"/>
              <w:rPr>
                <w:rFonts w:ascii="Verdana" w:hAnsi="Verdana"/>
                <w:sz w:val="16"/>
                <w:szCs w:val="16"/>
              </w:rPr>
            </w:pPr>
            <w:r w:rsidRPr="00D0180E">
              <w:rPr>
                <w:rFonts w:ascii="Verdana" w:hAnsi="Verdana"/>
                <w:b/>
                <w:sz w:val="16"/>
                <w:szCs w:val="16"/>
              </w:rPr>
              <w:t>Artículo 62.</w:t>
            </w:r>
            <w:r w:rsidRPr="00D0180E">
              <w:rPr>
                <w:rFonts w:ascii="Verdana" w:hAnsi="Verdana"/>
                <w:sz w:val="16"/>
                <w:szCs w:val="16"/>
              </w:rPr>
              <w:t xml:space="preserve"> Los proyectos de generación para el Mercado Eléctrico Mayorista, las empresas públicas del Estado y de las personas particulares están sujetos a los criterios de planeación vinculante.</w:t>
            </w:r>
          </w:p>
        </w:tc>
        <w:tc>
          <w:tcPr>
            <w:tcW w:w="4644" w:type="dxa"/>
          </w:tcPr>
          <w:p w14:paraId="52A9C22B" w14:textId="032C9160" w:rsidR="003A38FF" w:rsidRPr="00D0180E" w:rsidRDefault="003A38FF" w:rsidP="003A38FF">
            <w:pPr>
              <w:pStyle w:val="Texto"/>
              <w:spacing w:line="218" w:lineRule="exact"/>
              <w:ind w:firstLine="0"/>
              <w:rPr>
                <w:rFonts w:ascii="Verdana" w:hAnsi="Verdana"/>
                <w:b/>
                <w:sz w:val="16"/>
                <w:szCs w:val="16"/>
                <w:lang w:val="en-US"/>
              </w:rPr>
            </w:pPr>
            <w:r w:rsidRPr="00913574">
              <w:rPr>
                <w:rFonts w:ascii="Verdana" w:hAnsi="Verdana"/>
                <w:b/>
                <w:sz w:val="16"/>
                <w:szCs w:val="16"/>
                <w:lang w:val="en-US"/>
              </w:rPr>
              <w:t xml:space="preserve">Article 62. </w:t>
            </w:r>
            <w:r w:rsidRPr="00913574">
              <w:rPr>
                <w:rFonts w:ascii="Verdana" w:hAnsi="Verdana"/>
                <w:sz w:val="16"/>
                <w:szCs w:val="16"/>
                <w:lang w:val="en-US"/>
              </w:rPr>
              <w:t>Generation projects for the wholesale electricity market, public state companies and private individuals are subject to binding planning criteria.</w:t>
            </w:r>
          </w:p>
        </w:tc>
      </w:tr>
      <w:tr w:rsidR="003A38FF" w:rsidRPr="00D83DA2" w14:paraId="32C5F472" w14:textId="558ADDBC" w:rsidTr="00FB5DAD">
        <w:tc>
          <w:tcPr>
            <w:tcW w:w="4706" w:type="dxa"/>
          </w:tcPr>
          <w:p w14:paraId="1AF13689" w14:textId="77777777" w:rsidR="003A38FF" w:rsidRPr="00D0180E" w:rsidRDefault="003A38FF" w:rsidP="003A38FF">
            <w:pPr>
              <w:pStyle w:val="Texto"/>
              <w:spacing w:line="218" w:lineRule="exact"/>
              <w:ind w:firstLine="0"/>
              <w:rPr>
                <w:rFonts w:ascii="Verdana" w:hAnsi="Verdana"/>
                <w:sz w:val="16"/>
                <w:szCs w:val="16"/>
              </w:rPr>
            </w:pPr>
            <w:r w:rsidRPr="00D0180E">
              <w:rPr>
                <w:rFonts w:ascii="Verdana" w:hAnsi="Verdana"/>
                <w:sz w:val="16"/>
                <w:szCs w:val="16"/>
              </w:rPr>
              <w:t>La operación de las Centrales Eléctricas en el Mercado Eléctrico Mayorista se debe efectuar de acuerdo con lo previsto en la Ley, el presente reglamento, las Reglas del Mercado y las demás disposiciones administrativas de carácter general aplicables.</w:t>
            </w:r>
          </w:p>
        </w:tc>
        <w:tc>
          <w:tcPr>
            <w:tcW w:w="4644" w:type="dxa"/>
          </w:tcPr>
          <w:p w14:paraId="4B6967A3" w14:textId="784F6E70" w:rsidR="003A38FF" w:rsidRPr="00D0180E" w:rsidRDefault="003A38FF" w:rsidP="003A38FF">
            <w:pPr>
              <w:pStyle w:val="Texto"/>
              <w:spacing w:line="218" w:lineRule="exact"/>
              <w:ind w:firstLine="0"/>
              <w:rPr>
                <w:rFonts w:ascii="Verdana" w:hAnsi="Verdana"/>
                <w:sz w:val="16"/>
                <w:szCs w:val="16"/>
                <w:lang w:val="en-US"/>
              </w:rPr>
            </w:pPr>
            <w:r w:rsidRPr="00913574">
              <w:rPr>
                <w:rFonts w:ascii="Verdana" w:hAnsi="Verdana"/>
                <w:sz w:val="16"/>
                <w:szCs w:val="16"/>
                <w:lang w:val="en-US"/>
              </w:rPr>
              <w:t xml:space="preserve">The operation of power plants in the wholesale electricity market must be carried out in accordance with the provisions of the law, </w:t>
            </w:r>
            <w:r>
              <w:rPr>
                <w:rFonts w:ascii="Verdana" w:hAnsi="Verdana"/>
                <w:sz w:val="16"/>
                <w:szCs w:val="16"/>
                <w:lang w:val="en-US"/>
              </w:rPr>
              <w:t>this Regulation</w:t>
            </w:r>
            <w:r w:rsidRPr="00913574">
              <w:rPr>
                <w:rFonts w:ascii="Verdana" w:hAnsi="Verdana"/>
                <w:sz w:val="16"/>
                <w:szCs w:val="16"/>
                <w:lang w:val="en-US"/>
              </w:rPr>
              <w:t>, the market rules, and other applicable general administrative provisions.</w:t>
            </w:r>
          </w:p>
        </w:tc>
      </w:tr>
      <w:tr w:rsidR="003A38FF" w:rsidRPr="00D83DA2" w14:paraId="7368C8A6" w14:textId="25B9B919" w:rsidTr="00FB5DAD">
        <w:tc>
          <w:tcPr>
            <w:tcW w:w="4706" w:type="dxa"/>
          </w:tcPr>
          <w:p w14:paraId="6F3F889C" w14:textId="77777777" w:rsidR="003A38FF" w:rsidRPr="00D0180E" w:rsidRDefault="003A38FF" w:rsidP="003A38FF">
            <w:pPr>
              <w:pStyle w:val="Texto"/>
              <w:spacing w:line="241" w:lineRule="exact"/>
              <w:ind w:firstLine="0"/>
              <w:rPr>
                <w:rFonts w:ascii="Verdana" w:hAnsi="Verdana"/>
                <w:sz w:val="16"/>
                <w:szCs w:val="16"/>
              </w:rPr>
            </w:pPr>
            <w:r w:rsidRPr="00D0180E">
              <w:rPr>
                <w:rFonts w:ascii="Verdana" w:hAnsi="Verdana"/>
                <w:b/>
                <w:sz w:val="16"/>
                <w:szCs w:val="16"/>
              </w:rPr>
              <w:t>Artículo 63.</w:t>
            </w:r>
            <w:r w:rsidRPr="00D0180E">
              <w:rPr>
                <w:rFonts w:ascii="Verdana" w:hAnsi="Verdana"/>
                <w:sz w:val="16"/>
                <w:szCs w:val="16"/>
              </w:rPr>
              <w:t xml:space="preserve"> El Estado y las personas particulares pueden desarrollar proyectos de Centrales Eléctricas y su infraestructura asociada. Para tales efectos, deben llevar a cabo los trámites correspondientes ante el CENACE y solicitar las autorizaciones y permisos correspondientes en los términos previstos en la Ley, el presente reglamento y en las disposiciones administrativas de carácter general que resulten aplicables.</w:t>
            </w:r>
          </w:p>
        </w:tc>
        <w:tc>
          <w:tcPr>
            <w:tcW w:w="4644" w:type="dxa"/>
          </w:tcPr>
          <w:p w14:paraId="60FEC899" w14:textId="0AA360D7" w:rsidR="003A38FF" w:rsidRPr="00D0180E" w:rsidRDefault="003A38FF" w:rsidP="003A38FF">
            <w:pPr>
              <w:pStyle w:val="Texto"/>
              <w:spacing w:line="241" w:lineRule="exact"/>
              <w:ind w:firstLine="0"/>
              <w:rPr>
                <w:rFonts w:ascii="Verdana" w:hAnsi="Verdana"/>
                <w:b/>
                <w:sz w:val="16"/>
                <w:szCs w:val="16"/>
                <w:lang w:val="en-US"/>
              </w:rPr>
            </w:pPr>
            <w:r w:rsidRPr="00913574">
              <w:rPr>
                <w:rFonts w:ascii="Verdana" w:hAnsi="Verdana"/>
                <w:b/>
                <w:sz w:val="16"/>
                <w:szCs w:val="16"/>
                <w:lang w:val="en-US"/>
              </w:rPr>
              <w:t xml:space="preserve">Article 63. </w:t>
            </w:r>
            <w:r w:rsidRPr="00913574">
              <w:rPr>
                <w:rFonts w:ascii="Verdana" w:hAnsi="Verdana"/>
                <w:sz w:val="16"/>
                <w:szCs w:val="16"/>
                <w:lang w:val="en-US"/>
              </w:rPr>
              <w:t xml:space="preserve">The State and private individuals may develop power plant projects and their associated infrastructure. To this end, they must complete the corresponding procedures with CENACE and request the corresponding authorizations and permits in accordance with the terms established by law, </w:t>
            </w:r>
            <w:r>
              <w:rPr>
                <w:rFonts w:ascii="Verdana" w:hAnsi="Verdana"/>
                <w:sz w:val="16"/>
                <w:szCs w:val="16"/>
                <w:lang w:val="en-US"/>
              </w:rPr>
              <w:t>this Regulation</w:t>
            </w:r>
            <w:r w:rsidRPr="00913574">
              <w:rPr>
                <w:rFonts w:ascii="Verdana" w:hAnsi="Verdana"/>
                <w:sz w:val="16"/>
                <w:szCs w:val="16"/>
                <w:lang w:val="en-US"/>
              </w:rPr>
              <w:t>, and the applicable general administrative provisions.</w:t>
            </w:r>
          </w:p>
        </w:tc>
      </w:tr>
      <w:tr w:rsidR="003A38FF" w:rsidRPr="00D83DA2" w14:paraId="43B46727" w14:textId="29629197" w:rsidTr="00FB5DAD">
        <w:tc>
          <w:tcPr>
            <w:tcW w:w="4706" w:type="dxa"/>
          </w:tcPr>
          <w:p w14:paraId="15E66B70" w14:textId="77777777" w:rsidR="003A38FF" w:rsidRPr="00D0180E" w:rsidRDefault="003A38FF" w:rsidP="003A38FF">
            <w:pPr>
              <w:pStyle w:val="Texto"/>
              <w:spacing w:line="241" w:lineRule="exact"/>
              <w:ind w:firstLine="0"/>
              <w:rPr>
                <w:rFonts w:ascii="Verdana" w:hAnsi="Verdana"/>
                <w:sz w:val="16"/>
                <w:szCs w:val="16"/>
              </w:rPr>
            </w:pPr>
            <w:r w:rsidRPr="00D0180E">
              <w:rPr>
                <w:rFonts w:ascii="Verdana" w:hAnsi="Verdana"/>
                <w:b/>
                <w:sz w:val="16"/>
                <w:szCs w:val="16"/>
              </w:rPr>
              <w:t xml:space="preserve">Artículo 64. </w:t>
            </w:r>
            <w:r w:rsidRPr="00D0180E">
              <w:rPr>
                <w:rFonts w:ascii="Verdana" w:hAnsi="Verdana"/>
                <w:sz w:val="16"/>
                <w:szCs w:val="16"/>
              </w:rPr>
              <w:t xml:space="preserve">Cuando por causas de emergencia se pongan en riesgo las instalaciones del Sistema Eléctrico Nacional o el Suministro Eléctrico, los Sistemas de Almacenamiento de Energía Eléctrica, las Generadoras y las Generadoras Exentas están obligadas, por el lapso </w:t>
            </w:r>
            <w:r w:rsidRPr="00D0180E">
              <w:rPr>
                <w:rFonts w:ascii="Verdana" w:hAnsi="Verdana"/>
                <w:sz w:val="16"/>
                <w:szCs w:val="16"/>
              </w:rPr>
              <w:lastRenderedPageBreak/>
              <w:t>que dure dicha emergencia, a proporcionar toda la energía eléctrica y Productos Asociados, en la medida de las posibilidades físicas y técnicas de las Centrales Eléctricas que representen. Para tales efectos están sujetas a las instrucciones del CENACE. En estos casos, las Almacenadoras, Generadoras y las Generadoras Exentas tienen derecho a recibir la contraprestación que corresponda en los términos previstos en las Reglas del Mercado.</w:t>
            </w:r>
          </w:p>
        </w:tc>
        <w:tc>
          <w:tcPr>
            <w:tcW w:w="4644" w:type="dxa"/>
          </w:tcPr>
          <w:p w14:paraId="457818EF" w14:textId="1859C21E" w:rsidR="003A38FF" w:rsidRPr="00D0180E" w:rsidRDefault="003A38FF" w:rsidP="003A38FF">
            <w:pPr>
              <w:pStyle w:val="Texto"/>
              <w:spacing w:line="241" w:lineRule="exact"/>
              <w:ind w:firstLine="0"/>
              <w:rPr>
                <w:rFonts w:ascii="Verdana" w:hAnsi="Verdana"/>
                <w:b/>
                <w:sz w:val="16"/>
                <w:szCs w:val="16"/>
                <w:lang w:val="en-US"/>
              </w:rPr>
            </w:pPr>
            <w:r w:rsidRPr="00913574">
              <w:rPr>
                <w:rFonts w:ascii="Verdana" w:hAnsi="Verdana"/>
                <w:b/>
                <w:sz w:val="16"/>
                <w:szCs w:val="16"/>
                <w:lang w:val="en-US"/>
              </w:rPr>
              <w:lastRenderedPageBreak/>
              <w:t xml:space="preserve">Article 64. </w:t>
            </w:r>
            <w:r w:rsidRPr="00913574">
              <w:rPr>
                <w:rFonts w:ascii="Verdana" w:hAnsi="Verdana"/>
                <w:sz w:val="16"/>
                <w:szCs w:val="16"/>
                <w:lang w:val="en-US"/>
              </w:rPr>
              <w:t xml:space="preserve">When, due to emergency causes, the facilities of the </w:t>
            </w:r>
            <w:r>
              <w:rPr>
                <w:rFonts w:ascii="Verdana" w:hAnsi="Verdana"/>
                <w:sz w:val="16"/>
                <w:szCs w:val="16"/>
                <w:lang w:val="en-US"/>
              </w:rPr>
              <w:t>National Electric System</w:t>
            </w:r>
            <w:r w:rsidRPr="00913574">
              <w:rPr>
                <w:rFonts w:ascii="Verdana" w:hAnsi="Verdana"/>
                <w:sz w:val="16"/>
                <w:szCs w:val="16"/>
                <w:lang w:val="en-US"/>
              </w:rPr>
              <w:t xml:space="preserve"> or the electric supply </w:t>
            </w:r>
            <w:proofErr w:type="gramStart"/>
            <w:r w:rsidRPr="00913574">
              <w:rPr>
                <w:rFonts w:ascii="Verdana" w:hAnsi="Verdana"/>
                <w:sz w:val="16"/>
                <w:szCs w:val="16"/>
                <w:lang w:val="en-US"/>
              </w:rPr>
              <w:t>are</w:t>
            </w:r>
            <w:proofErr w:type="gramEnd"/>
            <w:r w:rsidRPr="00913574">
              <w:rPr>
                <w:rFonts w:ascii="Verdana" w:hAnsi="Verdana"/>
                <w:sz w:val="16"/>
                <w:szCs w:val="16"/>
                <w:lang w:val="en-US"/>
              </w:rPr>
              <w:t xml:space="preserve"> jeopardized, electric energy storage systems, generators, and exempt generators are obligated, for the duration of said emergency, to </w:t>
            </w:r>
            <w:r w:rsidRPr="00913574">
              <w:rPr>
                <w:rFonts w:ascii="Verdana" w:hAnsi="Verdana"/>
                <w:sz w:val="16"/>
                <w:szCs w:val="16"/>
                <w:lang w:val="en-US"/>
              </w:rPr>
              <w:lastRenderedPageBreak/>
              <w:t xml:space="preserve">provide all electrical energy and associated products, to the extent of the physical and technical capabilities of the </w:t>
            </w:r>
            <w:r>
              <w:rPr>
                <w:rFonts w:ascii="Verdana" w:hAnsi="Verdana"/>
                <w:sz w:val="16"/>
                <w:szCs w:val="16"/>
                <w:lang w:val="en-US"/>
              </w:rPr>
              <w:t>power plant</w:t>
            </w:r>
            <w:r w:rsidRPr="00913574">
              <w:rPr>
                <w:rFonts w:ascii="Verdana" w:hAnsi="Verdana"/>
                <w:sz w:val="16"/>
                <w:szCs w:val="16"/>
                <w:lang w:val="en-US"/>
              </w:rPr>
              <w:t>s they represent. For such purposes, they are subject to the instructions of CENACE. In these cases, storage systems, generators, and exempt generators are entitled to receive the corresponding compensation under the terms provided in the market rules.</w:t>
            </w:r>
          </w:p>
        </w:tc>
      </w:tr>
      <w:tr w:rsidR="003A38FF" w:rsidRPr="00D83DA2" w14:paraId="6816515B" w14:textId="2B6162D1" w:rsidTr="00FB5DAD">
        <w:tc>
          <w:tcPr>
            <w:tcW w:w="4706" w:type="dxa"/>
          </w:tcPr>
          <w:p w14:paraId="7AE6173C" w14:textId="77777777" w:rsidR="003A38FF" w:rsidRPr="00D0180E" w:rsidRDefault="003A38FF" w:rsidP="003A38FF">
            <w:pPr>
              <w:pStyle w:val="Texto"/>
              <w:spacing w:line="241" w:lineRule="exact"/>
              <w:ind w:firstLine="0"/>
              <w:rPr>
                <w:rFonts w:ascii="Verdana" w:hAnsi="Verdana"/>
                <w:sz w:val="16"/>
                <w:szCs w:val="16"/>
              </w:rPr>
            </w:pPr>
            <w:r w:rsidRPr="00D0180E">
              <w:rPr>
                <w:rFonts w:ascii="Verdana" w:hAnsi="Verdana"/>
                <w:b/>
                <w:sz w:val="16"/>
                <w:szCs w:val="16"/>
              </w:rPr>
              <w:lastRenderedPageBreak/>
              <w:t>Artículo 65.</w:t>
            </w:r>
            <w:r w:rsidRPr="00D0180E">
              <w:rPr>
                <w:rFonts w:ascii="Verdana" w:hAnsi="Verdana"/>
                <w:sz w:val="16"/>
                <w:szCs w:val="16"/>
              </w:rPr>
              <w:t xml:space="preserve"> El Estado a través de la Empresa Pública del Estado, cualquier otra entidad, dependencia o empresa de la Administración Pública Federal, así como los gobiernos estatales, municipales y las demarcaciones territoriales de la Ciudad de México, pueden desarrollar proyectos para la ampliación, modernización, mantenimiento y rehabilitación de Centrales Eléctricas y su infraestructura asociada, sujetos a la planeación vinculante y a la no prevalencia de las particulares en las actividades de generación y comercialización.</w:t>
            </w:r>
          </w:p>
        </w:tc>
        <w:tc>
          <w:tcPr>
            <w:tcW w:w="4644" w:type="dxa"/>
          </w:tcPr>
          <w:p w14:paraId="5218A52C" w14:textId="5EB636C0" w:rsidR="003A38FF" w:rsidRPr="00D0180E" w:rsidRDefault="003A38FF" w:rsidP="003A38FF">
            <w:pPr>
              <w:pStyle w:val="Texto"/>
              <w:spacing w:line="241" w:lineRule="exact"/>
              <w:ind w:firstLine="0"/>
              <w:rPr>
                <w:rFonts w:ascii="Verdana" w:hAnsi="Verdana"/>
                <w:b/>
                <w:sz w:val="16"/>
                <w:szCs w:val="16"/>
                <w:lang w:val="en-US"/>
              </w:rPr>
            </w:pPr>
            <w:r w:rsidRPr="00913574">
              <w:rPr>
                <w:rFonts w:ascii="Verdana" w:hAnsi="Verdana"/>
                <w:b/>
                <w:sz w:val="16"/>
                <w:szCs w:val="16"/>
                <w:lang w:val="en-US"/>
              </w:rPr>
              <w:t xml:space="preserve">Article 65. </w:t>
            </w:r>
            <w:r w:rsidRPr="00913574">
              <w:rPr>
                <w:rFonts w:ascii="Verdana" w:hAnsi="Verdana"/>
                <w:sz w:val="16"/>
                <w:szCs w:val="16"/>
                <w:lang w:val="en-US"/>
              </w:rPr>
              <w:t xml:space="preserve">The State, through the </w:t>
            </w:r>
            <w:r>
              <w:rPr>
                <w:rFonts w:ascii="Verdana" w:hAnsi="Verdana"/>
                <w:sz w:val="16"/>
                <w:szCs w:val="16"/>
                <w:lang w:val="en-US"/>
              </w:rPr>
              <w:t>State Public Enterprise,</w:t>
            </w:r>
            <w:r w:rsidRPr="00913574">
              <w:rPr>
                <w:rFonts w:ascii="Verdana" w:hAnsi="Verdana"/>
                <w:sz w:val="16"/>
                <w:szCs w:val="16"/>
                <w:lang w:val="en-US"/>
              </w:rPr>
              <w:t xml:space="preserve"> any other entity, agency or company of the Federal Public Administration, as well as the state and municipal governments and the territorial demarcations of Mexico City, may develop projects for the expansion, modernization, maintenance and rehabilitation of </w:t>
            </w:r>
            <w:r>
              <w:rPr>
                <w:rFonts w:ascii="Verdana" w:hAnsi="Verdana"/>
                <w:sz w:val="16"/>
                <w:szCs w:val="16"/>
                <w:lang w:val="en-US"/>
              </w:rPr>
              <w:t>power plant</w:t>
            </w:r>
            <w:r w:rsidRPr="00913574">
              <w:rPr>
                <w:rFonts w:ascii="Verdana" w:hAnsi="Verdana"/>
                <w:sz w:val="16"/>
                <w:szCs w:val="16"/>
                <w:lang w:val="en-US"/>
              </w:rPr>
              <w:t>s and their associated infrastructure, subject to binding planning and the non-prevalence of private individuals in the generation and marketing activities.</w:t>
            </w:r>
          </w:p>
        </w:tc>
      </w:tr>
      <w:tr w:rsidR="003A38FF" w:rsidRPr="00D83DA2" w14:paraId="060A1CE7" w14:textId="16855A22" w:rsidTr="00FB5DAD">
        <w:tc>
          <w:tcPr>
            <w:tcW w:w="4706" w:type="dxa"/>
          </w:tcPr>
          <w:p w14:paraId="3B3BF3F0" w14:textId="77777777" w:rsidR="003A38FF" w:rsidRPr="00D0180E" w:rsidRDefault="003A38FF" w:rsidP="003A38FF">
            <w:pPr>
              <w:pStyle w:val="Texto"/>
              <w:spacing w:line="241" w:lineRule="exact"/>
              <w:ind w:firstLine="0"/>
              <w:rPr>
                <w:rFonts w:ascii="Verdana" w:hAnsi="Verdana"/>
                <w:sz w:val="16"/>
                <w:szCs w:val="16"/>
              </w:rPr>
            </w:pPr>
            <w:r w:rsidRPr="00D0180E">
              <w:rPr>
                <w:rFonts w:ascii="Verdana" w:hAnsi="Verdana"/>
                <w:b/>
                <w:sz w:val="16"/>
                <w:szCs w:val="16"/>
              </w:rPr>
              <w:t>Artículo 66.</w:t>
            </w:r>
            <w:r w:rsidRPr="00D0180E">
              <w:rPr>
                <w:rFonts w:ascii="Verdana" w:hAnsi="Verdana"/>
                <w:sz w:val="16"/>
                <w:szCs w:val="16"/>
              </w:rPr>
              <w:t xml:space="preserve"> La Suministradora de Servicios Básicos, de manera preferente, puede adquirir a través de Contratos de Cobertura Eléctrica, la energía eléctrica y Productos Asociados de las Centrales Eléctricas desarrolladas por el Estado. Los productos de dichos proyectos pueden ser comercializados a través del Mercado Eléctrico Mayorista en términos de las Reglas del Mercado. Lo anterior, siempre que dichas centrales cuenten con los permisos, registros, contratos y demás requisitos normativos correspondientes.</w:t>
            </w:r>
          </w:p>
        </w:tc>
        <w:tc>
          <w:tcPr>
            <w:tcW w:w="4644" w:type="dxa"/>
          </w:tcPr>
          <w:p w14:paraId="14DF9954" w14:textId="6727C186" w:rsidR="003A38FF" w:rsidRPr="00D0180E" w:rsidRDefault="003A38FF" w:rsidP="003A38FF">
            <w:pPr>
              <w:pStyle w:val="Texto"/>
              <w:spacing w:line="241" w:lineRule="exact"/>
              <w:ind w:firstLine="0"/>
              <w:rPr>
                <w:rFonts w:ascii="Verdana" w:hAnsi="Verdana"/>
                <w:b/>
                <w:sz w:val="16"/>
                <w:szCs w:val="16"/>
                <w:lang w:val="en-US"/>
              </w:rPr>
            </w:pPr>
            <w:r w:rsidRPr="00913574">
              <w:rPr>
                <w:rFonts w:ascii="Verdana" w:hAnsi="Verdana"/>
                <w:b/>
                <w:sz w:val="16"/>
                <w:szCs w:val="16"/>
                <w:lang w:val="en-US"/>
              </w:rPr>
              <w:t xml:space="preserve">Article 66. </w:t>
            </w:r>
            <w:r w:rsidRPr="00913574">
              <w:rPr>
                <w:rFonts w:ascii="Verdana" w:hAnsi="Verdana"/>
                <w:sz w:val="16"/>
                <w:szCs w:val="16"/>
                <w:lang w:val="en-US"/>
              </w:rPr>
              <w:t>The basic services provider may preferentially acquire electricity and associated products from state-developed power plants through Electricity Coverage Contracts. The products of such projects may be marketed through the wholesale electricity market in accordance with the market rules. This is provided that such plants have the corresponding permits, registrations, contracts, and other regulatory requirements.</w:t>
            </w:r>
          </w:p>
        </w:tc>
      </w:tr>
      <w:tr w:rsidR="003A38FF" w:rsidRPr="00D83DA2" w14:paraId="17987844" w14:textId="6109F039" w:rsidTr="00FB5DAD">
        <w:tc>
          <w:tcPr>
            <w:tcW w:w="4706" w:type="dxa"/>
          </w:tcPr>
          <w:p w14:paraId="4D036DCF" w14:textId="77777777" w:rsidR="003A38FF" w:rsidRPr="00D0180E" w:rsidRDefault="003A38FF" w:rsidP="003A38FF">
            <w:pPr>
              <w:pStyle w:val="Texto"/>
              <w:spacing w:line="241" w:lineRule="exact"/>
              <w:ind w:firstLine="0"/>
              <w:rPr>
                <w:rFonts w:ascii="Verdana" w:hAnsi="Verdana"/>
                <w:sz w:val="16"/>
                <w:szCs w:val="16"/>
              </w:rPr>
            </w:pPr>
            <w:r w:rsidRPr="00D0180E">
              <w:rPr>
                <w:rFonts w:ascii="Verdana" w:hAnsi="Verdana"/>
                <w:b/>
                <w:sz w:val="16"/>
                <w:szCs w:val="16"/>
              </w:rPr>
              <w:t>Artículo 67.</w:t>
            </w:r>
            <w:r w:rsidRPr="00D0180E">
              <w:rPr>
                <w:rFonts w:ascii="Verdana" w:hAnsi="Verdana"/>
                <w:sz w:val="16"/>
                <w:szCs w:val="16"/>
              </w:rPr>
              <w:t xml:space="preserve"> Las personas particulares pueden desarrollar proyectos de Centrales Eléctricas y su infraestructura asociada, siempre y cuando no se contrapongan con la planeación vinculante en los términos previstos en la Ley y el presente reglamento, así como la Ley de Planeación y Transición Energética y su reglamento. Para tales efectos, el CENACE, a solicitud de las personas particulares, debe realizar los estudios necesarios para su interconexión, en coordinación con la Empresa Pública del Estado.</w:t>
            </w:r>
          </w:p>
        </w:tc>
        <w:tc>
          <w:tcPr>
            <w:tcW w:w="4644" w:type="dxa"/>
          </w:tcPr>
          <w:p w14:paraId="5551AA33" w14:textId="5054F536" w:rsidR="003A38FF" w:rsidRPr="00D0180E" w:rsidRDefault="003A38FF" w:rsidP="003A38FF">
            <w:pPr>
              <w:pStyle w:val="Texto"/>
              <w:spacing w:line="241" w:lineRule="exact"/>
              <w:ind w:firstLine="0"/>
              <w:rPr>
                <w:rFonts w:ascii="Verdana" w:hAnsi="Verdana"/>
                <w:b/>
                <w:sz w:val="16"/>
                <w:szCs w:val="16"/>
                <w:lang w:val="en-US"/>
              </w:rPr>
            </w:pPr>
            <w:r w:rsidRPr="00913574">
              <w:rPr>
                <w:rFonts w:ascii="Verdana" w:hAnsi="Verdana"/>
                <w:b/>
                <w:sz w:val="16"/>
                <w:szCs w:val="16"/>
                <w:lang w:val="en-US"/>
              </w:rPr>
              <w:t xml:space="preserve">Article 67. </w:t>
            </w:r>
            <w:r w:rsidRPr="00913574">
              <w:rPr>
                <w:rFonts w:ascii="Verdana" w:hAnsi="Verdana"/>
                <w:sz w:val="16"/>
                <w:szCs w:val="16"/>
                <w:lang w:val="en-US"/>
              </w:rPr>
              <w:t xml:space="preserve">Private individuals may develop power plant projects and their associated infrastructure, provided they do not conflict with the binding planning established in the Law and </w:t>
            </w:r>
            <w:r>
              <w:rPr>
                <w:rFonts w:ascii="Verdana" w:hAnsi="Verdana"/>
                <w:sz w:val="16"/>
                <w:szCs w:val="16"/>
                <w:lang w:val="en-US"/>
              </w:rPr>
              <w:t>this Regulation</w:t>
            </w:r>
            <w:r w:rsidRPr="00913574">
              <w:rPr>
                <w:rFonts w:ascii="Verdana" w:hAnsi="Verdana"/>
                <w:sz w:val="16"/>
                <w:szCs w:val="16"/>
                <w:lang w:val="en-US"/>
              </w:rPr>
              <w:t xml:space="preserve">, as well as the </w:t>
            </w:r>
            <w:r>
              <w:rPr>
                <w:rFonts w:ascii="Verdana" w:hAnsi="Verdana"/>
                <w:sz w:val="16"/>
                <w:szCs w:val="16"/>
                <w:lang w:val="en-US"/>
              </w:rPr>
              <w:t>Law of Energy Planning and Transition</w:t>
            </w:r>
            <w:r w:rsidRPr="00913574">
              <w:rPr>
                <w:rFonts w:ascii="Verdana" w:hAnsi="Verdana"/>
                <w:sz w:val="16"/>
                <w:szCs w:val="16"/>
                <w:lang w:val="en-US"/>
              </w:rPr>
              <w:t xml:space="preserve"> and its Regulation. For such purposes, CENACE, at the request of private individuals, must conduct the necessary studies for their interconnection, in coordination with the State Public Enterprise.</w:t>
            </w:r>
          </w:p>
        </w:tc>
      </w:tr>
      <w:tr w:rsidR="003A38FF" w:rsidRPr="00D83DA2" w14:paraId="79736C65" w14:textId="38FB4B28" w:rsidTr="00FB5DAD">
        <w:tc>
          <w:tcPr>
            <w:tcW w:w="4706" w:type="dxa"/>
          </w:tcPr>
          <w:p w14:paraId="4F4A88EB" w14:textId="77777777" w:rsidR="003A38FF" w:rsidRPr="00D0180E" w:rsidRDefault="003A38FF" w:rsidP="003A38FF">
            <w:pPr>
              <w:pStyle w:val="Texto"/>
              <w:spacing w:line="241" w:lineRule="exact"/>
              <w:ind w:firstLine="0"/>
              <w:rPr>
                <w:rFonts w:ascii="Verdana" w:hAnsi="Verdana"/>
                <w:sz w:val="16"/>
                <w:szCs w:val="16"/>
              </w:rPr>
            </w:pPr>
            <w:r w:rsidRPr="00D0180E">
              <w:rPr>
                <w:rFonts w:ascii="Verdana" w:hAnsi="Verdana"/>
                <w:sz w:val="16"/>
                <w:szCs w:val="16"/>
              </w:rPr>
              <w:t>Dentro del plazo de veinte días hábiles contados a partir de la publicación del Plan de Desarrollo del Sector Eléctrico, el CENACE debe publicar las capacidades de interconexión máximas sin refuerzos a la Red Nacional de Transmisión, para el Sistema Eléctrico Nacional, con el objeto de recibir solicitudes de interconexión por parte de las personas particulares interesadas en desarrollar una nueva Central Eléctrica.</w:t>
            </w:r>
          </w:p>
        </w:tc>
        <w:tc>
          <w:tcPr>
            <w:tcW w:w="4644" w:type="dxa"/>
          </w:tcPr>
          <w:p w14:paraId="1B7F1533" w14:textId="22D7DE3E" w:rsidR="003A38FF" w:rsidRPr="00D0180E" w:rsidRDefault="003A38FF" w:rsidP="003A38FF">
            <w:pPr>
              <w:pStyle w:val="Texto"/>
              <w:spacing w:line="241" w:lineRule="exact"/>
              <w:ind w:firstLine="0"/>
              <w:rPr>
                <w:rFonts w:ascii="Verdana" w:hAnsi="Verdana"/>
                <w:sz w:val="16"/>
                <w:szCs w:val="16"/>
                <w:lang w:val="en-US"/>
              </w:rPr>
            </w:pPr>
            <w:r w:rsidRPr="00913574">
              <w:rPr>
                <w:rFonts w:ascii="Verdana" w:hAnsi="Verdana"/>
                <w:sz w:val="16"/>
                <w:szCs w:val="16"/>
                <w:lang w:val="en-US"/>
              </w:rPr>
              <w:t xml:space="preserve">Within twenty business days of the publication of the Electric Sector Development Plan, CENACE must publish the maximum interconnection capacities without reinforcements to the National Transmission Grid, for the </w:t>
            </w:r>
            <w:r>
              <w:rPr>
                <w:rFonts w:ascii="Verdana" w:hAnsi="Verdana"/>
                <w:sz w:val="16"/>
                <w:szCs w:val="16"/>
                <w:lang w:val="en-US"/>
              </w:rPr>
              <w:t>National Electric System</w:t>
            </w:r>
            <w:r w:rsidRPr="00913574">
              <w:rPr>
                <w:rFonts w:ascii="Verdana" w:hAnsi="Verdana"/>
                <w:sz w:val="16"/>
                <w:szCs w:val="16"/>
                <w:lang w:val="en-US"/>
              </w:rPr>
              <w:t xml:space="preserve">, </w:t>
            </w:r>
            <w:proofErr w:type="gramStart"/>
            <w:r w:rsidRPr="00913574">
              <w:rPr>
                <w:rFonts w:ascii="Verdana" w:hAnsi="Verdana"/>
                <w:sz w:val="16"/>
                <w:szCs w:val="16"/>
                <w:lang w:val="en-US"/>
              </w:rPr>
              <w:t>in order to</w:t>
            </w:r>
            <w:proofErr w:type="gramEnd"/>
            <w:r w:rsidRPr="00913574">
              <w:rPr>
                <w:rFonts w:ascii="Verdana" w:hAnsi="Verdana"/>
                <w:sz w:val="16"/>
                <w:szCs w:val="16"/>
                <w:lang w:val="en-US"/>
              </w:rPr>
              <w:t xml:space="preserve"> receive interconnection applications from private individuals interested in developing a new power plant.</w:t>
            </w:r>
          </w:p>
        </w:tc>
      </w:tr>
      <w:tr w:rsidR="003A38FF" w:rsidRPr="00D83DA2" w14:paraId="463CDB0B" w14:textId="755D0CEE" w:rsidTr="00FB5DAD">
        <w:tc>
          <w:tcPr>
            <w:tcW w:w="4706" w:type="dxa"/>
          </w:tcPr>
          <w:p w14:paraId="5C125467" w14:textId="77777777" w:rsidR="003A38FF" w:rsidRPr="00D0180E" w:rsidRDefault="003A38FF" w:rsidP="003A38FF">
            <w:pPr>
              <w:pStyle w:val="Texto"/>
              <w:spacing w:line="241" w:lineRule="exact"/>
              <w:ind w:firstLine="0"/>
              <w:rPr>
                <w:rFonts w:ascii="Verdana" w:hAnsi="Verdana"/>
                <w:sz w:val="16"/>
                <w:szCs w:val="16"/>
              </w:rPr>
            </w:pPr>
            <w:r w:rsidRPr="00D0180E">
              <w:rPr>
                <w:rFonts w:ascii="Verdana" w:hAnsi="Verdana"/>
                <w:sz w:val="16"/>
                <w:szCs w:val="16"/>
              </w:rPr>
              <w:t xml:space="preserve">Las solicitudes de estudios de interconexión por parte de las personas particulares deben considerar las capacidades de interconexión máximas sin refuerzos a </w:t>
            </w:r>
            <w:r w:rsidRPr="00D0180E">
              <w:rPr>
                <w:rFonts w:ascii="Verdana" w:hAnsi="Verdana"/>
                <w:sz w:val="16"/>
                <w:szCs w:val="16"/>
              </w:rPr>
              <w:lastRenderedPageBreak/>
              <w:t>la Red Nacional de Transmisión, vigentes. La modalidad de interconexión se considera como la disponibilidad de entrega física en todos los casos, hasta la capacidad instalada solicitada a interconectar.</w:t>
            </w:r>
          </w:p>
        </w:tc>
        <w:tc>
          <w:tcPr>
            <w:tcW w:w="4644" w:type="dxa"/>
          </w:tcPr>
          <w:p w14:paraId="0DC60AA3" w14:textId="04D74074" w:rsidR="003A38FF" w:rsidRPr="00D0180E" w:rsidRDefault="003A38FF" w:rsidP="003A38FF">
            <w:pPr>
              <w:pStyle w:val="Texto"/>
              <w:spacing w:line="241" w:lineRule="exact"/>
              <w:ind w:firstLine="0"/>
              <w:rPr>
                <w:rFonts w:ascii="Verdana" w:hAnsi="Verdana"/>
                <w:sz w:val="16"/>
                <w:szCs w:val="16"/>
                <w:lang w:val="en-US"/>
              </w:rPr>
            </w:pPr>
            <w:r w:rsidRPr="00913574">
              <w:rPr>
                <w:rFonts w:ascii="Verdana" w:hAnsi="Verdana"/>
                <w:sz w:val="16"/>
                <w:szCs w:val="16"/>
                <w:lang w:val="en-US"/>
              </w:rPr>
              <w:lastRenderedPageBreak/>
              <w:t xml:space="preserve">Requests for interconnection studies by private individuals must consider the current maximum interconnection capacities without reinforcements to </w:t>
            </w:r>
            <w:r w:rsidRPr="00913574">
              <w:rPr>
                <w:rFonts w:ascii="Verdana" w:hAnsi="Verdana"/>
                <w:sz w:val="16"/>
                <w:szCs w:val="16"/>
                <w:lang w:val="en-US"/>
              </w:rPr>
              <w:lastRenderedPageBreak/>
              <w:t>the national transmission grid. The interconnection modality is considered the availability of physical delivery in all cases, up to the installed capacity requested for interconnection.</w:t>
            </w:r>
          </w:p>
        </w:tc>
      </w:tr>
      <w:tr w:rsidR="003A38FF" w:rsidRPr="00D83DA2" w14:paraId="0FF58B94" w14:textId="0192D294" w:rsidTr="00FB5DAD">
        <w:tc>
          <w:tcPr>
            <w:tcW w:w="4706" w:type="dxa"/>
          </w:tcPr>
          <w:p w14:paraId="27AC16DB" w14:textId="77777777" w:rsidR="003A38FF" w:rsidRPr="00D0180E" w:rsidRDefault="003A38FF" w:rsidP="003A38FF">
            <w:pPr>
              <w:pStyle w:val="Texto"/>
              <w:spacing w:line="241" w:lineRule="exact"/>
              <w:ind w:firstLine="0"/>
              <w:rPr>
                <w:rFonts w:ascii="Verdana" w:hAnsi="Verdana"/>
                <w:sz w:val="16"/>
                <w:szCs w:val="16"/>
              </w:rPr>
            </w:pPr>
            <w:r w:rsidRPr="00D0180E">
              <w:rPr>
                <w:rFonts w:ascii="Verdana" w:hAnsi="Verdana"/>
                <w:sz w:val="16"/>
                <w:szCs w:val="16"/>
              </w:rPr>
              <w:lastRenderedPageBreak/>
              <w:t>Antes del inicio de la construcción, los proyectos deben contar con la autorización definitiva de la Manifestación de Impacto Social del Sector Energético como refiere el artículo 205 de este reglamento y, acreditar el inicio de los trámites relativos a los estudios de interconexión ante el CENACE, así como contar con las demás autorizaciones, permisos y trámites correspondientes.</w:t>
            </w:r>
          </w:p>
        </w:tc>
        <w:tc>
          <w:tcPr>
            <w:tcW w:w="4644" w:type="dxa"/>
          </w:tcPr>
          <w:p w14:paraId="78A5368D" w14:textId="50F25BC4" w:rsidR="003A38FF" w:rsidRPr="00D0180E" w:rsidRDefault="003A38FF" w:rsidP="003A38FF">
            <w:pPr>
              <w:pStyle w:val="Texto"/>
              <w:spacing w:line="241" w:lineRule="exact"/>
              <w:ind w:firstLine="0"/>
              <w:rPr>
                <w:rFonts w:ascii="Verdana" w:hAnsi="Verdana"/>
                <w:sz w:val="16"/>
                <w:szCs w:val="16"/>
                <w:lang w:val="en-US"/>
              </w:rPr>
            </w:pPr>
            <w:r w:rsidRPr="00913574">
              <w:rPr>
                <w:rFonts w:ascii="Verdana" w:hAnsi="Verdana"/>
                <w:sz w:val="16"/>
                <w:szCs w:val="16"/>
                <w:lang w:val="en-US"/>
              </w:rPr>
              <w:t>Before construction begins, projects must have the final authorization of the Energy Sector Social Impact Statement, as specified in Article 205 of this regulation, and must also demonstrate the initiation of procedures related to interconnection studies with CENACE, as well as the other corresponding authorizations, permits, and procedures.</w:t>
            </w:r>
          </w:p>
        </w:tc>
      </w:tr>
      <w:tr w:rsidR="003A38FF" w:rsidRPr="00D0180E" w14:paraId="2B683B7A" w14:textId="752AC7AA" w:rsidTr="00FB5DAD">
        <w:tc>
          <w:tcPr>
            <w:tcW w:w="4706" w:type="dxa"/>
          </w:tcPr>
          <w:p w14:paraId="59F87332" w14:textId="77777777" w:rsidR="003A38FF" w:rsidRPr="00D0180E" w:rsidRDefault="003A38FF" w:rsidP="003A38FF">
            <w:pPr>
              <w:pStyle w:val="Texto"/>
              <w:spacing w:line="241" w:lineRule="exact"/>
              <w:ind w:firstLine="0"/>
              <w:jc w:val="center"/>
              <w:rPr>
                <w:rFonts w:ascii="Verdana" w:hAnsi="Verdana"/>
                <w:b/>
                <w:sz w:val="16"/>
                <w:szCs w:val="16"/>
              </w:rPr>
            </w:pPr>
            <w:r w:rsidRPr="00D0180E">
              <w:rPr>
                <w:rFonts w:ascii="Verdana" w:hAnsi="Verdana"/>
                <w:b/>
                <w:sz w:val="16"/>
                <w:szCs w:val="16"/>
              </w:rPr>
              <w:t>Capítulo IV</w:t>
            </w:r>
          </w:p>
        </w:tc>
        <w:tc>
          <w:tcPr>
            <w:tcW w:w="4644" w:type="dxa"/>
          </w:tcPr>
          <w:p w14:paraId="053AC7A9" w14:textId="7CB750BB" w:rsidR="003A38FF" w:rsidRPr="00A5452D" w:rsidRDefault="003A38FF" w:rsidP="003A38FF">
            <w:pPr>
              <w:pStyle w:val="Texto"/>
              <w:spacing w:line="241" w:lineRule="exact"/>
              <w:ind w:firstLine="0"/>
              <w:jc w:val="center"/>
              <w:rPr>
                <w:rFonts w:ascii="Verdana" w:hAnsi="Verdana"/>
                <w:b/>
                <w:sz w:val="16"/>
                <w:szCs w:val="16"/>
                <w:lang w:val="en-US"/>
              </w:rPr>
            </w:pPr>
            <w:r w:rsidRPr="00A5452D">
              <w:rPr>
                <w:rFonts w:ascii="Verdana" w:hAnsi="Verdana"/>
                <w:b/>
                <w:sz w:val="16"/>
                <w:szCs w:val="16"/>
                <w:lang w:val="en-US"/>
              </w:rPr>
              <w:t>Chapter IV</w:t>
            </w:r>
          </w:p>
        </w:tc>
      </w:tr>
      <w:tr w:rsidR="003A38FF" w:rsidRPr="00067E05" w14:paraId="20BCD01D" w14:textId="3B0A5E75" w:rsidTr="00FB5DAD">
        <w:tc>
          <w:tcPr>
            <w:tcW w:w="4706" w:type="dxa"/>
          </w:tcPr>
          <w:p w14:paraId="58BE89E4" w14:textId="77777777" w:rsidR="003A38FF" w:rsidRPr="00D0180E" w:rsidRDefault="003A38FF" w:rsidP="003A38FF">
            <w:pPr>
              <w:pStyle w:val="Texto"/>
              <w:spacing w:line="241" w:lineRule="exact"/>
              <w:ind w:firstLine="0"/>
              <w:jc w:val="center"/>
              <w:rPr>
                <w:rFonts w:ascii="Verdana" w:hAnsi="Verdana"/>
                <w:b/>
                <w:sz w:val="16"/>
                <w:szCs w:val="16"/>
              </w:rPr>
            </w:pPr>
            <w:r w:rsidRPr="00D0180E">
              <w:rPr>
                <w:rFonts w:ascii="Verdana" w:hAnsi="Verdana"/>
                <w:b/>
                <w:sz w:val="16"/>
                <w:szCs w:val="16"/>
              </w:rPr>
              <w:t>De los Esquemas para el Desarrollo Mixto</w:t>
            </w:r>
          </w:p>
        </w:tc>
        <w:tc>
          <w:tcPr>
            <w:tcW w:w="4644" w:type="dxa"/>
          </w:tcPr>
          <w:p w14:paraId="17D693F6" w14:textId="228B6C0B" w:rsidR="003A38FF" w:rsidRPr="00A5452D" w:rsidRDefault="003A38FF" w:rsidP="003A38FF">
            <w:pPr>
              <w:pStyle w:val="Texto"/>
              <w:spacing w:line="241" w:lineRule="exact"/>
              <w:ind w:firstLine="0"/>
              <w:jc w:val="center"/>
              <w:rPr>
                <w:rFonts w:ascii="Verdana" w:hAnsi="Verdana"/>
                <w:b/>
                <w:sz w:val="16"/>
                <w:szCs w:val="16"/>
                <w:lang w:val="en-US"/>
              </w:rPr>
            </w:pPr>
            <w:r w:rsidRPr="00A5452D">
              <w:rPr>
                <w:rFonts w:ascii="Verdana" w:hAnsi="Verdana"/>
                <w:b/>
                <w:sz w:val="16"/>
                <w:szCs w:val="16"/>
                <w:lang w:val="en-US"/>
              </w:rPr>
              <w:t>Schemes for Mixed Development</w:t>
            </w:r>
          </w:p>
        </w:tc>
      </w:tr>
      <w:tr w:rsidR="003A38FF" w:rsidRPr="00D0180E" w14:paraId="442EB5BC" w14:textId="1DF6F599" w:rsidTr="00FB5DAD">
        <w:tc>
          <w:tcPr>
            <w:tcW w:w="4706" w:type="dxa"/>
          </w:tcPr>
          <w:p w14:paraId="0688ABAD" w14:textId="77777777" w:rsidR="003A38FF" w:rsidRPr="00D0180E" w:rsidRDefault="003A38FF" w:rsidP="003A38FF">
            <w:pPr>
              <w:pStyle w:val="Texto"/>
              <w:spacing w:line="241" w:lineRule="exact"/>
              <w:ind w:firstLine="0"/>
              <w:jc w:val="center"/>
              <w:rPr>
                <w:rFonts w:ascii="Verdana" w:hAnsi="Verdana"/>
                <w:b/>
                <w:sz w:val="16"/>
                <w:szCs w:val="16"/>
              </w:rPr>
            </w:pPr>
            <w:r w:rsidRPr="00D0180E">
              <w:rPr>
                <w:rFonts w:ascii="Verdana" w:hAnsi="Verdana"/>
                <w:b/>
                <w:sz w:val="16"/>
                <w:szCs w:val="16"/>
              </w:rPr>
              <w:t>Sección I</w:t>
            </w:r>
          </w:p>
        </w:tc>
        <w:tc>
          <w:tcPr>
            <w:tcW w:w="4644" w:type="dxa"/>
          </w:tcPr>
          <w:p w14:paraId="2638AF06" w14:textId="010937FB" w:rsidR="003A38FF" w:rsidRPr="00A5452D" w:rsidRDefault="003A38FF" w:rsidP="003A38FF">
            <w:pPr>
              <w:pStyle w:val="Texto"/>
              <w:spacing w:line="241" w:lineRule="exact"/>
              <w:ind w:firstLine="0"/>
              <w:jc w:val="center"/>
              <w:rPr>
                <w:rFonts w:ascii="Verdana" w:hAnsi="Verdana"/>
                <w:b/>
                <w:sz w:val="16"/>
                <w:szCs w:val="16"/>
                <w:lang w:val="en-US"/>
              </w:rPr>
            </w:pPr>
            <w:r w:rsidRPr="00A5452D">
              <w:rPr>
                <w:rFonts w:ascii="Verdana" w:hAnsi="Verdana"/>
                <w:b/>
                <w:sz w:val="16"/>
                <w:szCs w:val="16"/>
                <w:lang w:val="en-US"/>
              </w:rPr>
              <w:t>Section I</w:t>
            </w:r>
          </w:p>
        </w:tc>
      </w:tr>
      <w:tr w:rsidR="003A38FF" w:rsidRPr="00D0180E" w14:paraId="1C811A0A" w14:textId="679F34BF" w:rsidTr="00FB5DAD">
        <w:tc>
          <w:tcPr>
            <w:tcW w:w="4706" w:type="dxa"/>
          </w:tcPr>
          <w:p w14:paraId="4EFEB561" w14:textId="77777777" w:rsidR="003A38FF" w:rsidRPr="00D0180E" w:rsidRDefault="003A38FF" w:rsidP="003A38FF">
            <w:pPr>
              <w:pStyle w:val="Texto"/>
              <w:spacing w:line="241" w:lineRule="exact"/>
              <w:ind w:firstLine="0"/>
              <w:jc w:val="center"/>
              <w:rPr>
                <w:rFonts w:ascii="Verdana" w:hAnsi="Verdana"/>
                <w:b/>
                <w:sz w:val="16"/>
                <w:szCs w:val="16"/>
              </w:rPr>
            </w:pPr>
            <w:r w:rsidRPr="00D0180E">
              <w:rPr>
                <w:rFonts w:ascii="Verdana" w:hAnsi="Verdana"/>
                <w:b/>
                <w:sz w:val="16"/>
                <w:szCs w:val="16"/>
              </w:rPr>
              <w:t>Disposiciones Generales</w:t>
            </w:r>
          </w:p>
        </w:tc>
        <w:tc>
          <w:tcPr>
            <w:tcW w:w="4644" w:type="dxa"/>
          </w:tcPr>
          <w:p w14:paraId="61B76CBC" w14:textId="59B55313" w:rsidR="003A38FF" w:rsidRPr="00A5452D" w:rsidRDefault="003A38FF" w:rsidP="003A38FF">
            <w:pPr>
              <w:pStyle w:val="Texto"/>
              <w:spacing w:line="241" w:lineRule="exact"/>
              <w:ind w:firstLine="0"/>
              <w:jc w:val="center"/>
              <w:rPr>
                <w:rFonts w:ascii="Verdana" w:hAnsi="Verdana"/>
                <w:b/>
                <w:sz w:val="16"/>
                <w:szCs w:val="16"/>
                <w:lang w:val="en-US"/>
              </w:rPr>
            </w:pPr>
            <w:r w:rsidRPr="00A5452D">
              <w:rPr>
                <w:rFonts w:ascii="Verdana" w:hAnsi="Verdana"/>
                <w:b/>
                <w:sz w:val="16"/>
                <w:szCs w:val="16"/>
                <w:lang w:val="en-US"/>
              </w:rPr>
              <w:t>General Provisions</w:t>
            </w:r>
          </w:p>
        </w:tc>
      </w:tr>
      <w:tr w:rsidR="003A38FF" w:rsidRPr="00D83DA2" w14:paraId="24ED373B" w14:textId="54D350F9" w:rsidTr="00FB5DAD">
        <w:tc>
          <w:tcPr>
            <w:tcW w:w="4706" w:type="dxa"/>
          </w:tcPr>
          <w:p w14:paraId="1FD0B645" w14:textId="77777777" w:rsidR="003A38FF" w:rsidRPr="00D0180E" w:rsidRDefault="003A38FF" w:rsidP="003A38FF">
            <w:pPr>
              <w:pStyle w:val="Texto"/>
              <w:spacing w:line="241" w:lineRule="exact"/>
              <w:ind w:firstLine="0"/>
              <w:rPr>
                <w:rFonts w:ascii="Verdana" w:hAnsi="Verdana"/>
                <w:sz w:val="16"/>
                <w:szCs w:val="16"/>
              </w:rPr>
            </w:pPr>
            <w:r w:rsidRPr="00D0180E">
              <w:rPr>
                <w:rFonts w:ascii="Verdana" w:hAnsi="Verdana"/>
                <w:b/>
                <w:sz w:val="16"/>
                <w:szCs w:val="16"/>
              </w:rPr>
              <w:t>Artículo 68.</w:t>
            </w:r>
            <w:r w:rsidRPr="00D0180E">
              <w:rPr>
                <w:rFonts w:ascii="Verdana" w:hAnsi="Verdana"/>
                <w:sz w:val="16"/>
                <w:szCs w:val="16"/>
              </w:rPr>
              <w:t xml:space="preserve"> El desarrollo de proyectos a través de los esquemas para el desarrollo mixto previstos en el artículo 38 de la Ley, debe sujetarse a los instrumentos de planeación del sector energético aplicables, a los principios establecidos en el artículo 12 de la Ley y cumplir con los criterios de Accesibilidad, Calidad, Confiabilidad, Continuidad, Eficiencia, Seguridad y Sostenibilidad del Sistema Eléctrico Nacional.</w:t>
            </w:r>
          </w:p>
        </w:tc>
        <w:tc>
          <w:tcPr>
            <w:tcW w:w="4644" w:type="dxa"/>
          </w:tcPr>
          <w:p w14:paraId="49D630C8" w14:textId="1349785B" w:rsidR="003A38FF" w:rsidRPr="00D0180E" w:rsidRDefault="003A38FF" w:rsidP="003A38FF">
            <w:pPr>
              <w:pStyle w:val="Texto"/>
              <w:spacing w:line="241" w:lineRule="exact"/>
              <w:ind w:firstLine="0"/>
              <w:rPr>
                <w:rFonts w:ascii="Verdana" w:hAnsi="Verdana"/>
                <w:b/>
                <w:sz w:val="16"/>
                <w:szCs w:val="16"/>
                <w:lang w:val="en-US"/>
              </w:rPr>
            </w:pPr>
            <w:r w:rsidRPr="00913574">
              <w:rPr>
                <w:rFonts w:ascii="Verdana" w:hAnsi="Verdana"/>
                <w:b/>
                <w:sz w:val="16"/>
                <w:szCs w:val="16"/>
                <w:lang w:val="en-US"/>
              </w:rPr>
              <w:t xml:space="preserve">Article 68. </w:t>
            </w:r>
            <w:r w:rsidRPr="00913574">
              <w:rPr>
                <w:rFonts w:ascii="Verdana" w:hAnsi="Verdana"/>
                <w:sz w:val="16"/>
                <w:szCs w:val="16"/>
                <w:lang w:val="en-US"/>
              </w:rPr>
              <w:t xml:space="preserve">The development of projects through the mixed development schemes provided for in Article 38 of the Law must be subject to the applicable energy sector planning instruments, to the principles established in Article 12 of the Law and comply with the criteria of accessibility, quality, reliability, continuity, efficiency, security and sustainability of the </w:t>
            </w:r>
            <w:r>
              <w:rPr>
                <w:rFonts w:ascii="Verdana" w:hAnsi="Verdana"/>
                <w:sz w:val="16"/>
                <w:szCs w:val="16"/>
                <w:lang w:val="en-US"/>
              </w:rPr>
              <w:t>National Electric System</w:t>
            </w:r>
            <w:r w:rsidRPr="00913574">
              <w:rPr>
                <w:rFonts w:ascii="Verdana" w:hAnsi="Verdana"/>
                <w:sz w:val="16"/>
                <w:szCs w:val="16"/>
                <w:lang w:val="en-US"/>
              </w:rPr>
              <w:t>.</w:t>
            </w:r>
          </w:p>
        </w:tc>
      </w:tr>
      <w:tr w:rsidR="003A38FF" w:rsidRPr="00D83DA2" w14:paraId="4F961394" w14:textId="391A37B5" w:rsidTr="00FB5DAD">
        <w:tc>
          <w:tcPr>
            <w:tcW w:w="4706" w:type="dxa"/>
          </w:tcPr>
          <w:p w14:paraId="3B6C94D2" w14:textId="77777777" w:rsidR="003A38FF" w:rsidRPr="00D0180E" w:rsidRDefault="003A38FF" w:rsidP="003A38FF">
            <w:pPr>
              <w:pStyle w:val="Texto"/>
              <w:spacing w:line="241" w:lineRule="exact"/>
              <w:ind w:firstLine="0"/>
              <w:rPr>
                <w:rFonts w:ascii="Verdana" w:hAnsi="Verdana"/>
                <w:sz w:val="16"/>
                <w:szCs w:val="16"/>
              </w:rPr>
            </w:pPr>
            <w:r w:rsidRPr="00D0180E">
              <w:rPr>
                <w:rFonts w:ascii="Verdana" w:hAnsi="Verdana"/>
                <w:b/>
                <w:sz w:val="16"/>
                <w:szCs w:val="16"/>
              </w:rPr>
              <w:t>Artículo 69.</w:t>
            </w:r>
            <w:r w:rsidRPr="00D0180E">
              <w:rPr>
                <w:rFonts w:ascii="Verdana" w:hAnsi="Verdana"/>
                <w:sz w:val="16"/>
                <w:szCs w:val="16"/>
              </w:rPr>
              <w:t xml:space="preserve"> Los proyectos bajo esquemas para el desarrollo mixto pueden incluir, además de la Central Eléctrica, la infraestructura asociada y obras accesorias a la misma, así como el almacenamiento de energía eléctrica y los Productos Asociados necesarios para la estabilidad operativa del Sistema Eléctrico Nacional.</w:t>
            </w:r>
          </w:p>
        </w:tc>
        <w:tc>
          <w:tcPr>
            <w:tcW w:w="4644" w:type="dxa"/>
          </w:tcPr>
          <w:p w14:paraId="3DD7E66F" w14:textId="464DB47C" w:rsidR="003A38FF" w:rsidRPr="00D0180E" w:rsidRDefault="003A38FF" w:rsidP="003A38FF">
            <w:pPr>
              <w:pStyle w:val="Texto"/>
              <w:spacing w:line="241" w:lineRule="exact"/>
              <w:ind w:firstLine="0"/>
              <w:rPr>
                <w:rFonts w:ascii="Verdana" w:hAnsi="Verdana"/>
                <w:b/>
                <w:sz w:val="16"/>
                <w:szCs w:val="16"/>
                <w:lang w:val="en-US"/>
              </w:rPr>
            </w:pPr>
            <w:r w:rsidRPr="00913574">
              <w:rPr>
                <w:rFonts w:ascii="Verdana" w:hAnsi="Verdana"/>
                <w:b/>
                <w:sz w:val="16"/>
                <w:szCs w:val="16"/>
                <w:lang w:val="en-US"/>
              </w:rPr>
              <w:t xml:space="preserve">Article 69. </w:t>
            </w:r>
            <w:r w:rsidRPr="00913574">
              <w:rPr>
                <w:rFonts w:ascii="Verdana" w:hAnsi="Verdana"/>
                <w:sz w:val="16"/>
                <w:szCs w:val="16"/>
                <w:lang w:val="en-US"/>
              </w:rPr>
              <w:t xml:space="preserve">Projects under mixed development schemes may include, in addition to the </w:t>
            </w:r>
            <w:r>
              <w:rPr>
                <w:rFonts w:ascii="Verdana" w:hAnsi="Verdana"/>
                <w:sz w:val="16"/>
                <w:szCs w:val="16"/>
                <w:lang w:val="en-US"/>
              </w:rPr>
              <w:t>power plant</w:t>
            </w:r>
            <w:r w:rsidRPr="00913574">
              <w:rPr>
                <w:rFonts w:ascii="Verdana" w:hAnsi="Verdana"/>
                <w:sz w:val="16"/>
                <w:szCs w:val="16"/>
                <w:lang w:val="en-US"/>
              </w:rPr>
              <w:t xml:space="preserve">, the associated infrastructure and accessory works, as well as the storage of electrical energy and the associated products necessary for the operational stability of the </w:t>
            </w:r>
            <w:r>
              <w:rPr>
                <w:rFonts w:ascii="Verdana" w:hAnsi="Verdana"/>
                <w:sz w:val="16"/>
                <w:szCs w:val="16"/>
                <w:lang w:val="en-US"/>
              </w:rPr>
              <w:t>National Electric System</w:t>
            </w:r>
            <w:r w:rsidRPr="00913574">
              <w:rPr>
                <w:rFonts w:ascii="Verdana" w:hAnsi="Verdana"/>
                <w:sz w:val="16"/>
                <w:szCs w:val="16"/>
                <w:lang w:val="en-US"/>
              </w:rPr>
              <w:t>.</w:t>
            </w:r>
          </w:p>
        </w:tc>
      </w:tr>
      <w:tr w:rsidR="003A38FF" w:rsidRPr="00D83DA2" w14:paraId="23473981" w14:textId="1EAFF556" w:rsidTr="00FB5DAD">
        <w:tc>
          <w:tcPr>
            <w:tcW w:w="4706" w:type="dxa"/>
          </w:tcPr>
          <w:p w14:paraId="4B7A060F"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b/>
                <w:sz w:val="16"/>
                <w:szCs w:val="16"/>
              </w:rPr>
              <w:t xml:space="preserve">Artículo 70. </w:t>
            </w:r>
            <w:r w:rsidRPr="00D0180E">
              <w:rPr>
                <w:rFonts w:ascii="Verdana" w:hAnsi="Verdana"/>
                <w:sz w:val="16"/>
                <w:szCs w:val="16"/>
              </w:rPr>
              <w:t xml:space="preserve">La participación de la Empresa Pública del Estado en proyectos a realizarse bajo esquemas para desarrollo </w:t>
            </w:r>
            <w:proofErr w:type="gramStart"/>
            <w:r w:rsidRPr="00D0180E">
              <w:rPr>
                <w:rFonts w:ascii="Verdana" w:hAnsi="Verdana"/>
                <w:sz w:val="16"/>
                <w:szCs w:val="16"/>
              </w:rPr>
              <w:t>mixto,</w:t>
            </w:r>
            <w:proofErr w:type="gramEnd"/>
            <w:r w:rsidRPr="00D0180E">
              <w:rPr>
                <w:rFonts w:ascii="Verdana" w:hAnsi="Verdana"/>
                <w:sz w:val="16"/>
                <w:szCs w:val="16"/>
              </w:rPr>
              <w:t xml:space="preserve"> debe ser aprobada por su consejo de administración, para lo cual debe considerar al menos lo siguiente:</w:t>
            </w:r>
          </w:p>
        </w:tc>
        <w:tc>
          <w:tcPr>
            <w:tcW w:w="4644" w:type="dxa"/>
          </w:tcPr>
          <w:p w14:paraId="5F63A2E1" w14:textId="4A598E30" w:rsidR="003A38FF" w:rsidRPr="00D0180E" w:rsidRDefault="003A38FF" w:rsidP="003A38FF">
            <w:pPr>
              <w:pStyle w:val="Texto"/>
              <w:spacing w:line="230" w:lineRule="exact"/>
              <w:ind w:firstLine="0"/>
              <w:rPr>
                <w:rFonts w:ascii="Verdana" w:hAnsi="Verdana"/>
                <w:b/>
                <w:sz w:val="16"/>
                <w:szCs w:val="16"/>
                <w:lang w:val="en-US"/>
              </w:rPr>
            </w:pPr>
            <w:r w:rsidRPr="00913574">
              <w:rPr>
                <w:rFonts w:ascii="Verdana" w:hAnsi="Verdana"/>
                <w:b/>
                <w:sz w:val="16"/>
                <w:szCs w:val="16"/>
                <w:lang w:val="en-US"/>
              </w:rPr>
              <w:t xml:space="preserve">Article 70. </w:t>
            </w:r>
            <w:r w:rsidRPr="00913574">
              <w:rPr>
                <w:rFonts w:ascii="Verdana" w:hAnsi="Verdana"/>
                <w:sz w:val="16"/>
                <w:szCs w:val="16"/>
                <w:lang w:val="en-US"/>
              </w:rPr>
              <w:t>The participation of the State Public Enterprise in projects to be carried out under schemes for mixed development must be approved by its board of directors, for which it must consider at least the following:</w:t>
            </w:r>
          </w:p>
        </w:tc>
      </w:tr>
      <w:tr w:rsidR="003A38FF" w:rsidRPr="00D83DA2" w14:paraId="08070C19" w14:textId="0C6C8C40" w:rsidTr="00FB5DAD">
        <w:tc>
          <w:tcPr>
            <w:tcW w:w="4706" w:type="dxa"/>
          </w:tcPr>
          <w:p w14:paraId="7E75CB59"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Las capacidades técnicas, operativas, de ejecución, financieras o de experiencia que deben cumplir las personas particulares que participen en el procedimiento de selección correspondiente;</w:t>
            </w:r>
          </w:p>
        </w:tc>
        <w:tc>
          <w:tcPr>
            <w:tcW w:w="4644" w:type="dxa"/>
          </w:tcPr>
          <w:p w14:paraId="3B4D260D" w14:textId="68B0A578" w:rsidR="003A38FF" w:rsidRPr="00D0180E" w:rsidRDefault="003A38FF" w:rsidP="003A38FF">
            <w:pPr>
              <w:pStyle w:val="Texto"/>
              <w:spacing w:line="230" w:lineRule="exact"/>
              <w:ind w:firstLine="0"/>
              <w:rPr>
                <w:rFonts w:ascii="Verdana" w:hAnsi="Verdana"/>
                <w:b/>
                <w:sz w:val="16"/>
                <w:szCs w:val="16"/>
                <w:lang w:val="en-US"/>
              </w:rPr>
            </w:pPr>
            <w:r w:rsidRPr="00913574">
              <w:rPr>
                <w:rFonts w:ascii="Verdana" w:hAnsi="Verdana"/>
                <w:b/>
                <w:sz w:val="16"/>
                <w:szCs w:val="16"/>
                <w:lang w:val="en-US"/>
              </w:rPr>
              <w:t>I</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The</w:t>
            </w:r>
            <w:proofErr w:type="gramEnd"/>
            <w:r w:rsidRPr="00913574">
              <w:rPr>
                <w:rFonts w:ascii="Verdana" w:hAnsi="Verdana"/>
                <w:sz w:val="16"/>
                <w:szCs w:val="16"/>
                <w:lang w:val="en-US"/>
              </w:rPr>
              <w:t xml:space="preserve"> technical, operational, execution, financial or experience capabilities that must be met by the individuals participating in the corresponding selection procedure;</w:t>
            </w:r>
          </w:p>
        </w:tc>
      </w:tr>
      <w:tr w:rsidR="003A38FF" w:rsidRPr="00D83DA2" w14:paraId="55DC5C16" w14:textId="19B9A069" w:rsidTr="00FB5DAD">
        <w:tc>
          <w:tcPr>
            <w:tcW w:w="4706" w:type="dxa"/>
          </w:tcPr>
          <w:p w14:paraId="1167CAD1"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El instrumento o vehículo jurídico o financiero a través del cual se desarrolle el proyecto;</w:t>
            </w:r>
          </w:p>
        </w:tc>
        <w:tc>
          <w:tcPr>
            <w:tcW w:w="4644" w:type="dxa"/>
          </w:tcPr>
          <w:p w14:paraId="014B8DE7" w14:textId="5BC8EB39" w:rsidR="003A38FF" w:rsidRPr="00D0180E" w:rsidRDefault="003A38FF" w:rsidP="003A38FF">
            <w:pPr>
              <w:pStyle w:val="Texto"/>
              <w:spacing w:line="230" w:lineRule="exact"/>
              <w:ind w:firstLine="0"/>
              <w:rPr>
                <w:rFonts w:ascii="Verdana" w:hAnsi="Verdana"/>
                <w:b/>
                <w:sz w:val="16"/>
                <w:szCs w:val="16"/>
                <w:lang w:val="en-US"/>
              </w:rPr>
            </w:pPr>
            <w:r w:rsidRPr="00913574">
              <w:rPr>
                <w:rFonts w:ascii="Verdana" w:hAnsi="Verdana"/>
                <w:b/>
                <w:sz w:val="16"/>
                <w:szCs w:val="16"/>
                <w:lang w:val="en-US"/>
              </w:rPr>
              <w:t>II</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The</w:t>
            </w:r>
            <w:proofErr w:type="gramEnd"/>
            <w:r w:rsidRPr="00913574">
              <w:rPr>
                <w:rFonts w:ascii="Verdana" w:hAnsi="Verdana"/>
                <w:sz w:val="16"/>
                <w:szCs w:val="16"/>
                <w:lang w:val="en-US"/>
              </w:rPr>
              <w:t xml:space="preserve"> legal or financial instrument or vehicle through which the project is developed;</w:t>
            </w:r>
          </w:p>
        </w:tc>
      </w:tr>
      <w:tr w:rsidR="003A38FF" w:rsidRPr="00D83DA2" w14:paraId="15895242" w14:textId="4A8F7B68" w:rsidTr="00FB5DAD">
        <w:tc>
          <w:tcPr>
            <w:tcW w:w="4706" w:type="dxa"/>
          </w:tcPr>
          <w:p w14:paraId="01C59F9F"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Los términos de referencia bajo los cuales se debe desarrollar el proyecto, en su caso;</w:t>
            </w:r>
          </w:p>
        </w:tc>
        <w:tc>
          <w:tcPr>
            <w:tcW w:w="4644" w:type="dxa"/>
          </w:tcPr>
          <w:p w14:paraId="7D7E303A" w14:textId="45F4C27F" w:rsidR="003A38FF" w:rsidRPr="00D0180E" w:rsidRDefault="003A38FF" w:rsidP="003A38FF">
            <w:pPr>
              <w:pStyle w:val="Texto"/>
              <w:spacing w:line="230" w:lineRule="exact"/>
              <w:ind w:firstLine="0"/>
              <w:rPr>
                <w:rFonts w:ascii="Verdana" w:hAnsi="Verdana"/>
                <w:b/>
                <w:sz w:val="16"/>
                <w:szCs w:val="16"/>
                <w:lang w:val="en-US"/>
              </w:rPr>
            </w:pPr>
            <w:r w:rsidRPr="00913574">
              <w:rPr>
                <w:rFonts w:ascii="Verdana" w:hAnsi="Verdana"/>
                <w:b/>
                <w:sz w:val="16"/>
                <w:szCs w:val="16"/>
                <w:lang w:val="en-US"/>
              </w:rPr>
              <w:t>III</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The</w:t>
            </w:r>
            <w:proofErr w:type="gramEnd"/>
            <w:r w:rsidRPr="00913574">
              <w:rPr>
                <w:rFonts w:ascii="Verdana" w:hAnsi="Verdana"/>
                <w:sz w:val="16"/>
                <w:szCs w:val="16"/>
                <w:lang w:val="en-US"/>
              </w:rPr>
              <w:t xml:space="preserve"> terms of reference under which the project is to be developed, if applicable;</w:t>
            </w:r>
          </w:p>
        </w:tc>
      </w:tr>
      <w:tr w:rsidR="003A38FF" w:rsidRPr="00D83DA2" w14:paraId="46603912" w14:textId="6D0D1881" w:rsidTr="00FB5DAD">
        <w:tc>
          <w:tcPr>
            <w:tcW w:w="4706" w:type="dxa"/>
          </w:tcPr>
          <w:p w14:paraId="502569FF"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El análisis de la rentabilidad económica y financiera, así como el modelo financiero del proyecto que asegure las mejores condiciones para el Estado;</w:t>
            </w:r>
          </w:p>
        </w:tc>
        <w:tc>
          <w:tcPr>
            <w:tcW w:w="4644" w:type="dxa"/>
          </w:tcPr>
          <w:p w14:paraId="2A71FB62" w14:textId="59D66557" w:rsidR="003A38FF" w:rsidRPr="00D0180E" w:rsidRDefault="003A38FF" w:rsidP="003A38FF">
            <w:pPr>
              <w:pStyle w:val="Texto"/>
              <w:spacing w:line="230" w:lineRule="exact"/>
              <w:ind w:firstLine="0"/>
              <w:rPr>
                <w:rFonts w:ascii="Verdana" w:hAnsi="Verdana"/>
                <w:b/>
                <w:sz w:val="16"/>
                <w:szCs w:val="16"/>
                <w:lang w:val="en-US"/>
              </w:rPr>
            </w:pPr>
            <w:r w:rsidRPr="00913574">
              <w:rPr>
                <w:rFonts w:ascii="Verdana" w:hAnsi="Verdana"/>
                <w:b/>
                <w:sz w:val="16"/>
                <w:szCs w:val="16"/>
                <w:lang w:val="en-US"/>
              </w:rPr>
              <w:t>IV</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The</w:t>
            </w:r>
            <w:proofErr w:type="gramEnd"/>
            <w:r w:rsidRPr="00913574">
              <w:rPr>
                <w:rFonts w:ascii="Verdana" w:hAnsi="Verdana"/>
                <w:sz w:val="16"/>
                <w:szCs w:val="16"/>
                <w:lang w:val="en-US"/>
              </w:rPr>
              <w:t xml:space="preserve"> analysis of </w:t>
            </w:r>
            <w:proofErr w:type="gramStart"/>
            <w:r w:rsidRPr="00913574">
              <w:rPr>
                <w:rFonts w:ascii="Verdana" w:hAnsi="Verdana"/>
                <w:sz w:val="16"/>
                <w:szCs w:val="16"/>
                <w:lang w:val="en-US"/>
              </w:rPr>
              <w:t>the economic</w:t>
            </w:r>
            <w:proofErr w:type="gramEnd"/>
            <w:r w:rsidRPr="00913574">
              <w:rPr>
                <w:rFonts w:ascii="Verdana" w:hAnsi="Verdana"/>
                <w:sz w:val="16"/>
                <w:szCs w:val="16"/>
                <w:lang w:val="en-US"/>
              </w:rPr>
              <w:t xml:space="preserve"> and financial profitability, as well as the financial model of the project that ensures the best conditions for the State;</w:t>
            </w:r>
          </w:p>
        </w:tc>
      </w:tr>
      <w:tr w:rsidR="003A38FF" w:rsidRPr="00D83DA2" w14:paraId="1413766B" w14:textId="71C5B571" w:rsidTr="00FB5DAD">
        <w:tc>
          <w:tcPr>
            <w:tcW w:w="4706" w:type="dxa"/>
          </w:tcPr>
          <w:p w14:paraId="747A54C8"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Que contribuya a la atención de las necesidades del Sistema Eléctrico Nacional de conformidad con la planeación vinculante, y</w:t>
            </w:r>
          </w:p>
        </w:tc>
        <w:tc>
          <w:tcPr>
            <w:tcW w:w="4644" w:type="dxa"/>
          </w:tcPr>
          <w:p w14:paraId="48CE9DE5" w14:textId="7DD9B45D" w:rsidR="003A38FF" w:rsidRPr="00D0180E" w:rsidRDefault="003A38FF" w:rsidP="003A38FF">
            <w:pPr>
              <w:pStyle w:val="Texto"/>
              <w:spacing w:line="230" w:lineRule="exact"/>
              <w:ind w:firstLine="0"/>
              <w:rPr>
                <w:rFonts w:ascii="Verdana" w:hAnsi="Verdana"/>
                <w:b/>
                <w:sz w:val="16"/>
                <w:szCs w:val="16"/>
                <w:lang w:val="en-US"/>
              </w:rPr>
            </w:pPr>
            <w:r w:rsidRPr="00913574">
              <w:rPr>
                <w:rFonts w:ascii="Verdana" w:hAnsi="Verdana"/>
                <w:b/>
                <w:sz w:val="16"/>
                <w:szCs w:val="16"/>
                <w:lang w:val="en-US"/>
              </w:rPr>
              <w:t>V</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That it</w:t>
            </w:r>
            <w:proofErr w:type="gramEnd"/>
            <w:r w:rsidRPr="00913574">
              <w:rPr>
                <w:rFonts w:ascii="Verdana" w:hAnsi="Verdana"/>
                <w:sz w:val="16"/>
                <w:szCs w:val="16"/>
                <w:lang w:val="en-US"/>
              </w:rPr>
              <w:t xml:space="preserve"> contributes to meeting the needs of the </w:t>
            </w:r>
            <w:r>
              <w:rPr>
                <w:rFonts w:ascii="Verdana" w:hAnsi="Verdana"/>
                <w:sz w:val="16"/>
                <w:szCs w:val="16"/>
                <w:lang w:val="en-US"/>
              </w:rPr>
              <w:t>National Electric System</w:t>
            </w:r>
            <w:r w:rsidRPr="00913574">
              <w:rPr>
                <w:rFonts w:ascii="Verdana" w:hAnsi="Verdana"/>
                <w:sz w:val="16"/>
                <w:szCs w:val="16"/>
                <w:lang w:val="en-US"/>
              </w:rPr>
              <w:t xml:space="preserve"> in accordance with binding planning, and</w:t>
            </w:r>
          </w:p>
        </w:tc>
      </w:tr>
      <w:tr w:rsidR="003A38FF" w:rsidRPr="00D83DA2" w14:paraId="64CF4EE1" w14:textId="398C3F1F" w:rsidTr="00FB5DAD">
        <w:tc>
          <w:tcPr>
            <w:tcW w:w="4706" w:type="dxa"/>
          </w:tcPr>
          <w:p w14:paraId="49B2A0CA"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b/>
                <w:sz w:val="16"/>
                <w:szCs w:val="16"/>
              </w:rPr>
              <w:lastRenderedPageBreak/>
              <w:t>VI.</w:t>
            </w:r>
            <w:r w:rsidRPr="00D0180E">
              <w:rPr>
                <w:rFonts w:ascii="Verdana" w:hAnsi="Verdana"/>
                <w:b/>
                <w:sz w:val="16"/>
                <w:szCs w:val="16"/>
              </w:rPr>
              <w:tab/>
            </w:r>
            <w:r w:rsidRPr="00D0180E">
              <w:rPr>
                <w:rFonts w:ascii="Verdana" w:hAnsi="Verdana"/>
                <w:sz w:val="16"/>
                <w:szCs w:val="16"/>
              </w:rPr>
              <w:t>El procedimiento de selección de las personas particulares con los que se desarrolle el proyecto.</w:t>
            </w:r>
          </w:p>
        </w:tc>
        <w:tc>
          <w:tcPr>
            <w:tcW w:w="4644" w:type="dxa"/>
          </w:tcPr>
          <w:p w14:paraId="545E5570" w14:textId="7AF20A7E" w:rsidR="003A38FF" w:rsidRPr="00D0180E" w:rsidRDefault="003A38FF" w:rsidP="003A38FF">
            <w:pPr>
              <w:pStyle w:val="Texto"/>
              <w:spacing w:line="230" w:lineRule="exact"/>
              <w:ind w:firstLine="0"/>
              <w:rPr>
                <w:rFonts w:ascii="Verdana" w:hAnsi="Verdana"/>
                <w:b/>
                <w:sz w:val="16"/>
                <w:szCs w:val="16"/>
                <w:lang w:val="en-US"/>
              </w:rPr>
            </w:pPr>
            <w:r w:rsidRPr="00913574">
              <w:rPr>
                <w:rFonts w:ascii="Verdana" w:hAnsi="Verdana"/>
                <w:b/>
                <w:sz w:val="16"/>
                <w:szCs w:val="16"/>
                <w:lang w:val="en-US"/>
              </w:rPr>
              <w:t>VI</w:t>
            </w:r>
            <w:proofErr w:type="gramStart"/>
            <w:r w:rsidRPr="00913574">
              <w:rPr>
                <w:rFonts w:ascii="Verdana" w:hAnsi="Verdana"/>
                <w:b/>
                <w:sz w:val="16"/>
                <w:szCs w:val="16"/>
                <w:lang w:val="en-US"/>
              </w:rPr>
              <w:t xml:space="preserve">. </w:t>
            </w:r>
            <w:r w:rsidRPr="00913574">
              <w:rPr>
                <w:rFonts w:ascii="Verdana" w:hAnsi="Verdana"/>
                <w:b/>
                <w:sz w:val="16"/>
                <w:szCs w:val="16"/>
                <w:lang w:val="en-US"/>
              </w:rPr>
              <w:tab/>
            </w:r>
            <w:r w:rsidRPr="00913574">
              <w:rPr>
                <w:rFonts w:ascii="Verdana" w:hAnsi="Verdana"/>
                <w:sz w:val="16"/>
                <w:szCs w:val="16"/>
                <w:lang w:val="en-US"/>
              </w:rPr>
              <w:t>The</w:t>
            </w:r>
            <w:proofErr w:type="gramEnd"/>
            <w:r w:rsidRPr="00913574">
              <w:rPr>
                <w:rFonts w:ascii="Verdana" w:hAnsi="Verdana"/>
                <w:sz w:val="16"/>
                <w:szCs w:val="16"/>
                <w:lang w:val="en-US"/>
              </w:rPr>
              <w:t xml:space="preserve"> selection procedure for the individuals with whom the project will be developed.</w:t>
            </w:r>
          </w:p>
        </w:tc>
      </w:tr>
      <w:tr w:rsidR="003A38FF" w:rsidRPr="00D83DA2" w14:paraId="4E3DB8C7" w14:textId="420086F9" w:rsidTr="00FB5DAD">
        <w:tc>
          <w:tcPr>
            <w:tcW w:w="4706" w:type="dxa"/>
          </w:tcPr>
          <w:p w14:paraId="0012045B"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b/>
                <w:sz w:val="16"/>
                <w:szCs w:val="16"/>
              </w:rPr>
              <w:t>Artículo 71.</w:t>
            </w:r>
            <w:r w:rsidRPr="00D0180E">
              <w:rPr>
                <w:rFonts w:ascii="Verdana" w:hAnsi="Verdana"/>
                <w:sz w:val="16"/>
                <w:szCs w:val="16"/>
                <w:lang w:val="es-MX"/>
              </w:rPr>
              <w:t xml:space="preserve"> </w:t>
            </w:r>
            <w:r w:rsidRPr="00D0180E">
              <w:rPr>
                <w:rFonts w:ascii="Verdana" w:hAnsi="Verdana"/>
                <w:sz w:val="16"/>
                <w:szCs w:val="16"/>
              </w:rPr>
              <w:t>Una vez que haya sido aprobado el proyecto por su consejo de administración, la Empresa Pública del Estado debe llevar a cabo el procedimiento para la selección de las personas particulares en apego a los principios de transparencia, racionalidad, eficiencia, oportunidad y rendición de cuentas, de conformidad con los lineamientos que para tal efecto emita el consejo de administración, los cuales deben ser publicados en el Diario Oficial de la Federación.</w:t>
            </w:r>
          </w:p>
        </w:tc>
        <w:tc>
          <w:tcPr>
            <w:tcW w:w="4644" w:type="dxa"/>
          </w:tcPr>
          <w:p w14:paraId="2946DDC4" w14:textId="7177A46A" w:rsidR="003A38FF" w:rsidRPr="00D0180E" w:rsidRDefault="003A38FF" w:rsidP="003A38FF">
            <w:pPr>
              <w:pStyle w:val="Texto"/>
              <w:spacing w:line="230" w:lineRule="exact"/>
              <w:ind w:firstLine="0"/>
              <w:rPr>
                <w:rFonts w:ascii="Verdana" w:hAnsi="Verdana"/>
                <w:b/>
                <w:sz w:val="16"/>
                <w:szCs w:val="16"/>
                <w:lang w:val="en-US"/>
              </w:rPr>
            </w:pPr>
            <w:r w:rsidRPr="00913574">
              <w:rPr>
                <w:rFonts w:ascii="Verdana" w:hAnsi="Verdana"/>
                <w:b/>
                <w:sz w:val="16"/>
                <w:szCs w:val="16"/>
                <w:lang w:val="en-US"/>
              </w:rPr>
              <w:t>Article 71.</w:t>
            </w:r>
            <w:r w:rsidRPr="00913574">
              <w:rPr>
                <w:rFonts w:ascii="Verdana" w:hAnsi="Verdana"/>
                <w:sz w:val="16"/>
                <w:szCs w:val="16"/>
                <w:lang w:val="en-US"/>
              </w:rPr>
              <w:t xml:space="preserve"> Once the project has been approved by its board of directors, the State-owned </w:t>
            </w:r>
            <w:r>
              <w:rPr>
                <w:rFonts w:ascii="Verdana" w:hAnsi="Verdana"/>
                <w:sz w:val="16"/>
                <w:szCs w:val="16"/>
                <w:lang w:val="en-US"/>
              </w:rPr>
              <w:t>e</w:t>
            </w:r>
            <w:r w:rsidRPr="00913574">
              <w:rPr>
                <w:rFonts w:ascii="Verdana" w:hAnsi="Verdana"/>
                <w:sz w:val="16"/>
                <w:szCs w:val="16"/>
                <w:lang w:val="en-US"/>
              </w:rPr>
              <w:t xml:space="preserve">nterprise must carry out the procedure for selecting individuals in accordance with the principles of transparency, rationality, efficiency, timeliness, and accountability, in accordance with the guidelines issued for this purpose by the board of directors, which must be published in the Official </w:t>
            </w:r>
            <w:r>
              <w:rPr>
                <w:rFonts w:ascii="Verdana" w:hAnsi="Verdana"/>
                <w:sz w:val="16"/>
                <w:szCs w:val="16"/>
                <w:lang w:val="en-US"/>
              </w:rPr>
              <w:t>Daily</w:t>
            </w:r>
            <w:r w:rsidRPr="00913574">
              <w:rPr>
                <w:rFonts w:ascii="Verdana" w:hAnsi="Verdana"/>
                <w:sz w:val="16"/>
                <w:szCs w:val="16"/>
                <w:lang w:val="en-US"/>
              </w:rPr>
              <w:t xml:space="preserve"> of the Federation.</w:t>
            </w:r>
          </w:p>
        </w:tc>
      </w:tr>
      <w:tr w:rsidR="003A38FF" w:rsidRPr="00D83DA2" w14:paraId="14E6BCFE" w14:textId="1EB683D8" w:rsidTr="00FB5DAD">
        <w:tc>
          <w:tcPr>
            <w:tcW w:w="4706" w:type="dxa"/>
          </w:tcPr>
          <w:p w14:paraId="30E67A18"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b/>
                <w:sz w:val="16"/>
                <w:szCs w:val="16"/>
              </w:rPr>
              <w:t>Artículo 72.</w:t>
            </w:r>
            <w:r w:rsidRPr="00D0180E">
              <w:rPr>
                <w:rFonts w:ascii="Verdana" w:hAnsi="Verdana"/>
                <w:sz w:val="16"/>
                <w:szCs w:val="16"/>
              </w:rPr>
              <w:t xml:space="preserve"> Las personas particulares que participen de manera conjunta con el Estado en proyectos bajo esquemas para el desarrollo mixto, deben ser personas físicas, morales o fideicomisos, constituidos conforme a las leyes mexicanas y con domicilio en el territorio nacional.</w:t>
            </w:r>
          </w:p>
        </w:tc>
        <w:tc>
          <w:tcPr>
            <w:tcW w:w="4644" w:type="dxa"/>
          </w:tcPr>
          <w:p w14:paraId="5AECAE90" w14:textId="602024FF" w:rsidR="003A38FF" w:rsidRPr="00D0180E" w:rsidRDefault="003A38FF" w:rsidP="003A38FF">
            <w:pPr>
              <w:pStyle w:val="Texto"/>
              <w:spacing w:line="230" w:lineRule="exact"/>
              <w:ind w:firstLine="0"/>
              <w:rPr>
                <w:rFonts w:ascii="Verdana" w:hAnsi="Verdana"/>
                <w:b/>
                <w:sz w:val="16"/>
                <w:szCs w:val="16"/>
                <w:lang w:val="en-US"/>
              </w:rPr>
            </w:pPr>
            <w:r w:rsidRPr="00913574">
              <w:rPr>
                <w:rFonts w:ascii="Verdana" w:hAnsi="Verdana"/>
                <w:b/>
                <w:sz w:val="16"/>
                <w:szCs w:val="16"/>
                <w:lang w:val="en-US"/>
              </w:rPr>
              <w:t xml:space="preserve">Article 72. </w:t>
            </w:r>
            <w:r w:rsidRPr="00913574">
              <w:rPr>
                <w:rFonts w:ascii="Verdana" w:hAnsi="Verdana"/>
                <w:sz w:val="16"/>
                <w:szCs w:val="16"/>
                <w:lang w:val="en-US"/>
              </w:rPr>
              <w:t>Private individuals who participate jointly with the State in projects under mixed development schemes must be individuals, legal entities, or trusts, established in accordance with Mexican law and domiciled in the national territory.</w:t>
            </w:r>
          </w:p>
        </w:tc>
      </w:tr>
      <w:tr w:rsidR="003A38FF" w:rsidRPr="00D83DA2" w14:paraId="0E0BAD33" w14:textId="44F1B3E3" w:rsidTr="00FB5DAD">
        <w:tc>
          <w:tcPr>
            <w:tcW w:w="4706" w:type="dxa"/>
          </w:tcPr>
          <w:p w14:paraId="72ED20AE"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b/>
                <w:sz w:val="16"/>
                <w:szCs w:val="16"/>
              </w:rPr>
              <w:t>Artículo 73.</w:t>
            </w:r>
            <w:r w:rsidRPr="00D0180E">
              <w:rPr>
                <w:rFonts w:ascii="Verdana" w:hAnsi="Verdana"/>
                <w:sz w:val="16"/>
                <w:szCs w:val="16"/>
              </w:rPr>
              <w:t xml:space="preserve"> Los proyectos bajo esquemas para el desarrollo mixto deben ser por tiempo determinado. El plazo de vigencia de los proyectos debe permitir la amortización financiera del total de las inversiones que se hayan efectuado, el cual no debe exceder de treinta años.</w:t>
            </w:r>
          </w:p>
        </w:tc>
        <w:tc>
          <w:tcPr>
            <w:tcW w:w="4644" w:type="dxa"/>
          </w:tcPr>
          <w:p w14:paraId="078EE2AF" w14:textId="4C383EA0" w:rsidR="003A38FF" w:rsidRPr="00D0180E" w:rsidRDefault="003A38FF" w:rsidP="003A38FF">
            <w:pPr>
              <w:pStyle w:val="Texto"/>
              <w:spacing w:line="230" w:lineRule="exact"/>
              <w:ind w:firstLine="0"/>
              <w:rPr>
                <w:rFonts w:ascii="Verdana" w:hAnsi="Verdana"/>
                <w:b/>
                <w:sz w:val="16"/>
                <w:szCs w:val="16"/>
                <w:lang w:val="en-US"/>
              </w:rPr>
            </w:pPr>
            <w:r w:rsidRPr="00913574">
              <w:rPr>
                <w:rFonts w:ascii="Verdana" w:hAnsi="Verdana"/>
                <w:b/>
                <w:sz w:val="16"/>
                <w:szCs w:val="16"/>
                <w:lang w:val="en-US"/>
              </w:rPr>
              <w:t xml:space="preserve">Article 73. </w:t>
            </w:r>
            <w:r w:rsidRPr="00913574">
              <w:rPr>
                <w:rFonts w:ascii="Verdana" w:hAnsi="Verdana"/>
                <w:sz w:val="16"/>
                <w:szCs w:val="16"/>
                <w:lang w:val="en-US"/>
              </w:rPr>
              <w:t>Projects under mixed development schemes must be for a fixed period. The project term must allow for the financial amortization of the total investment made, which must not exceed thirty years.</w:t>
            </w:r>
          </w:p>
        </w:tc>
      </w:tr>
      <w:tr w:rsidR="003A38FF" w:rsidRPr="00D83DA2" w14:paraId="2DBB582D" w14:textId="0F9B178A" w:rsidTr="00FB5DAD">
        <w:tc>
          <w:tcPr>
            <w:tcW w:w="4706" w:type="dxa"/>
          </w:tcPr>
          <w:p w14:paraId="710025E9"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b/>
                <w:sz w:val="16"/>
                <w:szCs w:val="16"/>
              </w:rPr>
              <w:t>Artículo 74.</w:t>
            </w:r>
            <w:r w:rsidRPr="00D0180E">
              <w:rPr>
                <w:rFonts w:ascii="Verdana" w:hAnsi="Verdana"/>
                <w:sz w:val="16"/>
                <w:szCs w:val="16"/>
              </w:rPr>
              <w:t xml:space="preserve"> Para la ejecución de los proyectos bajo esquemas para el desarrollo mixto se pueden constituir instrumentos, vehículos jurídicos o financieros de propósito específico, de conformidad con la legislación aplicable.</w:t>
            </w:r>
          </w:p>
        </w:tc>
        <w:tc>
          <w:tcPr>
            <w:tcW w:w="4644" w:type="dxa"/>
          </w:tcPr>
          <w:p w14:paraId="4BE2B2F1" w14:textId="24C760DC" w:rsidR="003A38FF" w:rsidRPr="00D0180E" w:rsidRDefault="003A38FF" w:rsidP="003A38FF">
            <w:pPr>
              <w:pStyle w:val="Texto"/>
              <w:spacing w:line="230" w:lineRule="exact"/>
              <w:ind w:firstLine="0"/>
              <w:rPr>
                <w:rFonts w:ascii="Verdana" w:hAnsi="Verdana"/>
                <w:b/>
                <w:sz w:val="16"/>
                <w:szCs w:val="16"/>
                <w:lang w:val="en-US"/>
              </w:rPr>
            </w:pPr>
            <w:r w:rsidRPr="00913574">
              <w:rPr>
                <w:rFonts w:ascii="Verdana" w:hAnsi="Verdana"/>
                <w:b/>
                <w:sz w:val="16"/>
                <w:szCs w:val="16"/>
                <w:lang w:val="en-US"/>
              </w:rPr>
              <w:t xml:space="preserve">Article 74. </w:t>
            </w:r>
            <w:r w:rsidRPr="00913574">
              <w:rPr>
                <w:rFonts w:ascii="Verdana" w:hAnsi="Verdana"/>
                <w:sz w:val="16"/>
                <w:szCs w:val="16"/>
                <w:lang w:val="en-US"/>
              </w:rPr>
              <w:t>For the execution of projects under mixed development schemes, specific purpose instruments, legal or financial vehicles may be established, in accordance with applicable legislation.</w:t>
            </w:r>
          </w:p>
        </w:tc>
      </w:tr>
      <w:tr w:rsidR="003A38FF" w:rsidRPr="00D83DA2" w14:paraId="39315A5A" w14:textId="52F7AF07" w:rsidTr="00FB5DAD">
        <w:tc>
          <w:tcPr>
            <w:tcW w:w="4706" w:type="dxa"/>
          </w:tcPr>
          <w:p w14:paraId="07328BFF"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sz w:val="16"/>
                <w:szCs w:val="16"/>
              </w:rPr>
              <w:t>El instrumento o vehículo jurídico o financiero que se elija para el desarrollo de los proyectos bajo esquemas para el desarrollo mixto debe establecer al menos, las condiciones generales de operación y mantenimiento, las acciones necesarias que aseguren la actualización tecnológica que garantice la operación eficiente durante la vida útil de los proyectos y el destino de los activos al término de la vigencia o terminación del proyecto.</w:t>
            </w:r>
          </w:p>
        </w:tc>
        <w:tc>
          <w:tcPr>
            <w:tcW w:w="4644" w:type="dxa"/>
          </w:tcPr>
          <w:p w14:paraId="03027377" w14:textId="0FDB9E82" w:rsidR="003A38FF" w:rsidRPr="00D0180E" w:rsidRDefault="003A38FF" w:rsidP="003A38FF">
            <w:pPr>
              <w:pStyle w:val="Texto"/>
              <w:spacing w:line="230" w:lineRule="exact"/>
              <w:ind w:firstLine="0"/>
              <w:rPr>
                <w:rFonts w:ascii="Verdana" w:hAnsi="Verdana"/>
                <w:sz w:val="16"/>
                <w:szCs w:val="16"/>
                <w:lang w:val="en-US"/>
              </w:rPr>
            </w:pPr>
            <w:r w:rsidRPr="00913574">
              <w:rPr>
                <w:rFonts w:ascii="Verdana" w:hAnsi="Verdana"/>
                <w:sz w:val="16"/>
                <w:szCs w:val="16"/>
                <w:lang w:val="en-US"/>
              </w:rPr>
              <w:t>The legal or financial instrument or vehicle chosen for the development of projects under mixed development schemes must establish, at a minimum, the general operating and maintenance conditions, the necessary actions to ensure technological updating that guarantees efficient operation during the useful life of the projects, and the destination of the assets at the end of the term or termination of the project.</w:t>
            </w:r>
          </w:p>
        </w:tc>
      </w:tr>
      <w:tr w:rsidR="003A38FF" w:rsidRPr="00D83DA2" w14:paraId="59AE012E" w14:textId="1014607E" w:rsidTr="00FB5DAD">
        <w:tc>
          <w:tcPr>
            <w:tcW w:w="4706" w:type="dxa"/>
          </w:tcPr>
          <w:p w14:paraId="356408AF"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sz w:val="16"/>
                <w:szCs w:val="16"/>
              </w:rPr>
              <w:t>Asimismo, debe incorporar los términos de salida de las partes en cualquier momento, una cláusula de solución de controversias que incluya la jurisdicción aplicable y las condiciones de transferencia de los activos al término de la vigencia o terminación, la cual siempre es preferente y optativa para el Estado.</w:t>
            </w:r>
          </w:p>
        </w:tc>
        <w:tc>
          <w:tcPr>
            <w:tcW w:w="4644" w:type="dxa"/>
          </w:tcPr>
          <w:p w14:paraId="78C68775" w14:textId="775C98BF" w:rsidR="003A38FF" w:rsidRPr="00D0180E" w:rsidRDefault="003A38FF" w:rsidP="003A38FF">
            <w:pPr>
              <w:pStyle w:val="Texto"/>
              <w:spacing w:line="230" w:lineRule="exact"/>
              <w:ind w:firstLine="0"/>
              <w:rPr>
                <w:rFonts w:ascii="Verdana" w:hAnsi="Verdana"/>
                <w:sz w:val="16"/>
                <w:szCs w:val="16"/>
                <w:lang w:val="en-US"/>
              </w:rPr>
            </w:pPr>
            <w:r w:rsidRPr="00913574">
              <w:rPr>
                <w:rFonts w:ascii="Verdana" w:hAnsi="Verdana"/>
                <w:sz w:val="16"/>
                <w:szCs w:val="16"/>
                <w:lang w:val="en-US"/>
              </w:rPr>
              <w:t>It must also include the terms of withdrawal of the parties at any time, a dispute resolution clause that includes the applicable jurisdiction, and the conditions for the transfer of assets upon expiration or termination, which is always preferential and optional for the State.</w:t>
            </w:r>
          </w:p>
        </w:tc>
      </w:tr>
      <w:tr w:rsidR="003A38FF" w:rsidRPr="00D83DA2" w14:paraId="03500EAF" w14:textId="7347817F" w:rsidTr="00FB5DAD">
        <w:tc>
          <w:tcPr>
            <w:tcW w:w="4706" w:type="dxa"/>
          </w:tcPr>
          <w:p w14:paraId="0370393A"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b/>
                <w:sz w:val="16"/>
                <w:szCs w:val="16"/>
              </w:rPr>
              <w:t>Artículo 75.</w:t>
            </w:r>
            <w:r w:rsidRPr="00D0180E">
              <w:rPr>
                <w:rFonts w:ascii="Verdana" w:hAnsi="Verdana"/>
                <w:sz w:val="16"/>
                <w:szCs w:val="16"/>
              </w:rPr>
              <w:t xml:space="preserve"> Los esquemas para el desarrollo mixto deben asegurar las mejores condiciones económicas, técnicas, financieras y operativas para el Sistema Eléctrico Nacional.</w:t>
            </w:r>
          </w:p>
        </w:tc>
        <w:tc>
          <w:tcPr>
            <w:tcW w:w="4644" w:type="dxa"/>
          </w:tcPr>
          <w:p w14:paraId="193FD7DB" w14:textId="4A81347C" w:rsidR="003A38FF" w:rsidRPr="00D0180E" w:rsidRDefault="003A38FF" w:rsidP="003A38FF">
            <w:pPr>
              <w:pStyle w:val="Texto"/>
              <w:spacing w:line="230" w:lineRule="exact"/>
              <w:ind w:firstLine="0"/>
              <w:rPr>
                <w:rFonts w:ascii="Verdana" w:hAnsi="Verdana"/>
                <w:b/>
                <w:sz w:val="16"/>
                <w:szCs w:val="16"/>
                <w:lang w:val="en-US"/>
              </w:rPr>
            </w:pPr>
            <w:r w:rsidRPr="00913574">
              <w:rPr>
                <w:rFonts w:ascii="Verdana" w:hAnsi="Verdana"/>
                <w:b/>
                <w:sz w:val="16"/>
                <w:szCs w:val="16"/>
                <w:lang w:val="en-US"/>
              </w:rPr>
              <w:t xml:space="preserve">Article 75. </w:t>
            </w:r>
            <w:r w:rsidRPr="00913574">
              <w:rPr>
                <w:rFonts w:ascii="Verdana" w:hAnsi="Verdana"/>
                <w:sz w:val="16"/>
                <w:szCs w:val="16"/>
                <w:lang w:val="en-US"/>
              </w:rPr>
              <w:t xml:space="preserve">Mixed development schemes must ensure the best economic, technical, financial and operational conditions for the </w:t>
            </w:r>
            <w:r>
              <w:rPr>
                <w:rFonts w:ascii="Verdana" w:hAnsi="Verdana"/>
                <w:sz w:val="16"/>
                <w:szCs w:val="16"/>
                <w:lang w:val="en-US"/>
              </w:rPr>
              <w:t>National Electric System</w:t>
            </w:r>
            <w:r w:rsidRPr="00913574">
              <w:rPr>
                <w:rFonts w:ascii="Verdana" w:hAnsi="Verdana"/>
                <w:sz w:val="16"/>
                <w:szCs w:val="16"/>
                <w:lang w:val="en-US"/>
              </w:rPr>
              <w:t>.</w:t>
            </w:r>
          </w:p>
        </w:tc>
      </w:tr>
      <w:tr w:rsidR="003A38FF" w:rsidRPr="00D0180E" w14:paraId="6826FDA6" w14:textId="4148A3A2" w:rsidTr="00FB5DAD">
        <w:tc>
          <w:tcPr>
            <w:tcW w:w="4706" w:type="dxa"/>
          </w:tcPr>
          <w:p w14:paraId="31501449" w14:textId="77777777" w:rsidR="003A38FF" w:rsidRPr="00D0180E" w:rsidRDefault="003A38FF" w:rsidP="003A38FF">
            <w:pPr>
              <w:pStyle w:val="Texto"/>
              <w:spacing w:line="230" w:lineRule="exact"/>
              <w:ind w:firstLine="0"/>
              <w:jc w:val="center"/>
              <w:rPr>
                <w:rFonts w:ascii="Verdana" w:hAnsi="Verdana"/>
                <w:b/>
                <w:sz w:val="16"/>
                <w:szCs w:val="16"/>
              </w:rPr>
            </w:pPr>
            <w:r w:rsidRPr="00D0180E">
              <w:rPr>
                <w:rFonts w:ascii="Verdana" w:hAnsi="Verdana"/>
                <w:b/>
                <w:sz w:val="16"/>
                <w:szCs w:val="16"/>
              </w:rPr>
              <w:t>Sección II</w:t>
            </w:r>
          </w:p>
        </w:tc>
        <w:tc>
          <w:tcPr>
            <w:tcW w:w="4644" w:type="dxa"/>
          </w:tcPr>
          <w:p w14:paraId="1ABA44BD" w14:textId="2074884D" w:rsidR="003A38FF" w:rsidRPr="006E501A" w:rsidRDefault="003A38FF" w:rsidP="003A38FF">
            <w:pPr>
              <w:pStyle w:val="Texto"/>
              <w:spacing w:line="230" w:lineRule="exact"/>
              <w:ind w:firstLine="0"/>
              <w:jc w:val="center"/>
              <w:rPr>
                <w:rFonts w:ascii="Verdana" w:hAnsi="Verdana"/>
                <w:b/>
                <w:sz w:val="16"/>
                <w:szCs w:val="16"/>
                <w:lang w:val="en-US"/>
              </w:rPr>
            </w:pPr>
            <w:r w:rsidRPr="006E501A">
              <w:rPr>
                <w:rFonts w:ascii="Verdana" w:hAnsi="Verdana"/>
                <w:b/>
                <w:sz w:val="16"/>
                <w:szCs w:val="16"/>
                <w:lang w:val="en-US"/>
              </w:rPr>
              <w:t>Section II</w:t>
            </w:r>
          </w:p>
        </w:tc>
      </w:tr>
      <w:tr w:rsidR="003A38FF" w:rsidRPr="00D0180E" w14:paraId="68D8F9C9" w14:textId="76EBB3B0" w:rsidTr="00FB5DAD">
        <w:tc>
          <w:tcPr>
            <w:tcW w:w="4706" w:type="dxa"/>
          </w:tcPr>
          <w:p w14:paraId="3ADDC4F0" w14:textId="77777777" w:rsidR="003A38FF" w:rsidRPr="00D0180E" w:rsidRDefault="003A38FF" w:rsidP="003A38FF">
            <w:pPr>
              <w:pStyle w:val="Texto"/>
              <w:spacing w:line="230" w:lineRule="exact"/>
              <w:ind w:firstLine="0"/>
              <w:jc w:val="center"/>
              <w:rPr>
                <w:rFonts w:ascii="Verdana" w:hAnsi="Verdana"/>
                <w:b/>
                <w:sz w:val="16"/>
                <w:szCs w:val="16"/>
              </w:rPr>
            </w:pPr>
            <w:r w:rsidRPr="00D0180E">
              <w:rPr>
                <w:rFonts w:ascii="Verdana" w:hAnsi="Verdana"/>
                <w:b/>
                <w:sz w:val="16"/>
                <w:szCs w:val="16"/>
              </w:rPr>
              <w:t>Producción de Largo Plazo</w:t>
            </w:r>
          </w:p>
        </w:tc>
        <w:tc>
          <w:tcPr>
            <w:tcW w:w="4644" w:type="dxa"/>
          </w:tcPr>
          <w:p w14:paraId="4B596D82" w14:textId="08FC401E" w:rsidR="003A38FF" w:rsidRPr="006E501A" w:rsidRDefault="009E2B03" w:rsidP="003A38FF">
            <w:pPr>
              <w:pStyle w:val="Texto"/>
              <w:spacing w:line="230" w:lineRule="exact"/>
              <w:ind w:firstLine="0"/>
              <w:jc w:val="center"/>
              <w:rPr>
                <w:rFonts w:ascii="Verdana" w:hAnsi="Verdana"/>
                <w:b/>
                <w:sz w:val="16"/>
                <w:szCs w:val="16"/>
                <w:lang w:val="en-US"/>
              </w:rPr>
            </w:pPr>
            <w:r>
              <w:rPr>
                <w:rFonts w:ascii="Verdana" w:hAnsi="Verdana"/>
                <w:b/>
                <w:sz w:val="16"/>
                <w:szCs w:val="16"/>
                <w:lang w:val="en-US"/>
              </w:rPr>
              <w:t>Long term</w:t>
            </w:r>
            <w:r w:rsidR="003A38FF" w:rsidRPr="006E501A">
              <w:rPr>
                <w:rFonts w:ascii="Verdana" w:hAnsi="Verdana"/>
                <w:b/>
                <w:sz w:val="16"/>
                <w:szCs w:val="16"/>
                <w:lang w:val="en-US"/>
              </w:rPr>
              <w:t xml:space="preserve"> Production</w:t>
            </w:r>
          </w:p>
        </w:tc>
      </w:tr>
      <w:tr w:rsidR="003A38FF" w:rsidRPr="00D83DA2" w14:paraId="26E69EC6" w14:textId="40CAF6C2" w:rsidTr="00FB5DAD">
        <w:tc>
          <w:tcPr>
            <w:tcW w:w="4706" w:type="dxa"/>
          </w:tcPr>
          <w:p w14:paraId="66F3829D"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b/>
                <w:sz w:val="16"/>
                <w:szCs w:val="16"/>
              </w:rPr>
              <w:t>Artículo 76.</w:t>
            </w:r>
            <w:r w:rsidRPr="00D0180E">
              <w:rPr>
                <w:rFonts w:ascii="Verdana" w:hAnsi="Verdana"/>
                <w:sz w:val="16"/>
                <w:szCs w:val="16"/>
              </w:rPr>
              <w:t xml:space="preserve"> La producción de largo plazo es un esquema para el desarrollo mixto para generar energía eléctrica y Productos Asociados que son destinados para </w:t>
            </w:r>
            <w:r w:rsidRPr="00D0180E">
              <w:rPr>
                <w:rFonts w:ascii="Verdana" w:hAnsi="Verdana"/>
                <w:sz w:val="16"/>
                <w:szCs w:val="16"/>
              </w:rPr>
              <w:lastRenderedPageBreak/>
              <w:t>su venta exclusiva a la Empresa Pública del Estado o filiales, en los términos establecidos en el contrato correspondiente.</w:t>
            </w:r>
          </w:p>
        </w:tc>
        <w:tc>
          <w:tcPr>
            <w:tcW w:w="4644" w:type="dxa"/>
          </w:tcPr>
          <w:p w14:paraId="456944D9" w14:textId="060C2A73" w:rsidR="003A38FF" w:rsidRPr="00D0180E" w:rsidRDefault="003A38FF" w:rsidP="003A38FF">
            <w:pPr>
              <w:pStyle w:val="Texto"/>
              <w:spacing w:line="230" w:lineRule="exact"/>
              <w:ind w:firstLine="0"/>
              <w:rPr>
                <w:rFonts w:ascii="Verdana" w:hAnsi="Verdana"/>
                <w:b/>
                <w:sz w:val="16"/>
                <w:szCs w:val="16"/>
                <w:lang w:val="en-US"/>
              </w:rPr>
            </w:pPr>
            <w:r w:rsidRPr="006815C5">
              <w:rPr>
                <w:rFonts w:ascii="Verdana" w:hAnsi="Verdana"/>
                <w:b/>
                <w:sz w:val="16"/>
                <w:szCs w:val="16"/>
                <w:lang w:val="en-US"/>
              </w:rPr>
              <w:lastRenderedPageBreak/>
              <w:t xml:space="preserve">Article 76. </w:t>
            </w:r>
            <w:r w:rsidR="009E2B03">
              <w:rPr>
                <w:rFonts w:ascii="Verdana" w:hAnsi="Verdana"/>
                <w:sz w:val="16"/>
                <w:szCs w:val="16"/>
                <w:lang w:val="en-US"/>
              </w:rPr>
              <w:t>Long term</w:t>
            </w:r>
            <w:r w:rsidRPr="006815C5">
              <w:rPr>
                <w:rFonts w:ascii="Verdana" w:hAnsi="Verdana"/>
                <w:sz w:val="16"/>
                <w:szCs w:val="16"/>
                <w:lang w:val="en-US"/>
              </w:rPr>
              <w:t xml:space="preserve"> production is a scheme for mixed development to generate electric energy and associated products that are destined for exclusive sale </w:t>
            </w:r>
            <w:r w:rsidRPr="006815C5">
              <w:rPr>
                <w:rFonts w:ascii="Verdana" w:hAnsi="Verdana"/>
                <w:sz w:val="16"/>
                <w:szCs w:val="16"/>
                <w:lang w:val="en-US"/>
              </w:rPr>
              <w:lastRenderedPageBreak/>
              <w:t xml:space="preserve">to the </w:t>
            </w:r>
            <w:r>
              <w:rPr>
                <w:rFonts w:ascii="Verdana" w:hAnsi="Verdana"/>
                <w:sz w:val="16"/>
                <w:szCs w:val="16"/>
                <w:lang w:val="en-US"/>
              </w:rPr>
              <w:t xml:space="preserve">State Public </w:t>
            </w:r>
            <w:proofErr w:type="gramStart"/>
            <w:r>
              <w:rPr>
                <w:rFonts w:ascii="Verdana" w:hAnsi="Verdana"/>
                <w:sz w:val="16"/>
                <w:szCs w:val="16"/>
                <w:lang w:val="en-US"/>
              </w:rPr>
              <w:t xml:space="preserve">Enterprise </w:t>
            </w:r>
            <w:r w:rsidRPr="006815C5">
              <w:rPr>
                <w:rFonts w:ascii="Verdana" w:hAnsi="Verdana"/>
                <w:sz w:val="16"/>
                <w:szCs w:val="16"/>
                <w:lang w:val="en-US"/>
              </w:rPr>
              <w:t xml:space="preserve"> or</w:t>
            </w:r>
            <w:proofErr w:type="gramEnd"/>
            <w:r w:rsidRPr="006815C5">
              <w:rPr>
                <w:rFonts w:ascii="Verdana" w:hAnsi="Verdana"/>
                <w:sz w:val="16"/>
                <w:szCs w:val="16"/>
                <w:lang w:val="en-US"/>
              </w:rPr>
              <w:t xml:space="preserve"> subsidiaries, under the terms established in the corresponding contract.</w:t>
            </w:r>
          </w:p>
        </w:tc>
      </w:tr>
      <w:tr w:rsidR="003A38FF" w:rsidRPr="00D83DA2" w14:paraId="74A9090F" w14:textId="72830089" w:rsidTr="00FB5DAD">
        <w:tc>
          <w:tcPr>
            <w:tcW w:w="4706" w:type="dxa"/>
          </w:tcPr>
          <w:p w14:paraId="7865CE52"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sz w:val="16"/>
                <w:szCs w:val="16"/>
              </w:rPr>
              <w:lastRenderedPageBreak/>
              <w:t>Las Centrales Eléctricas desarrolladas bajo este esquema, no pueden ser objeto de otro permiso, contratarse en otra modalidad, ni comercializar con terceras personas, cualquier capacidad excedente que pudiera surgir. Asimismo, deben ser representadas en el Mercado Eléctrico Mayorista por la Empresa Pública del Estado.</w:t>
            </w:r>
          </w:p>
        </w:tc>
        <w:tc>
          <w:tcPr>
            <w:tcW w:w="4644" w:type="dxa"/>
          </w:tcPr>
          <w:p w14:paraId="26B88174" w14:textId="3E245FD5" w:rsidR="003A38FF" w:rsidRPr="00D0180E" w:rsidRDefault="003A38FF" w:rsidP="003A38FF">
            <w:pPr>
              <w:pStyle w:val="Texto"/>
              <w:spacing w:line="230" w:lineRule="exact"/>
              <w:ind w:firstLine="0"/>
              <w:rPr>
                <w:rFonts w:ascii="Verdana" w:hAnsi="Verdana"/>
                <w:sz w:val="16"/>
                <w:szCs w:val="16"/>
                <w:lang w:val="en-US"/>
              </w:rPr>
            </w:pPr>
            <w:r w:rsidRPr="006815C5">
              <w:rPr>
                <w:rFonts w:ascii="Verdana" w:hAnsi="Verdana"/>
                <w:sz w:val="16"/>
                <w:szCs w:val="16"/>
                <w:lang w:val="en-US"/>
              </w:rPr>
              <w:t>Power plants developed under this scheme cannot be subject to any other permit, contracted under any other contracting arrangement, or sell any excess capacity that may arise to third parties. They must also be represented in the wholesale electricity market by the state-owned company.</w:t>
            </w:r>
          </w:p>
        </w:tc>
      </w:tr>
      <w:tr w:rsidR="003A38FF" w:rsidRPr="00D83DA2" w14:paraId="4F977EB5" w14:textId="0F4B1862" w:rsidTr="00FB5DAD">
        <w:tc>
          <w:tcPr>
            <w:tcW w:w="4706" w:type="dxa"/>
          </w:tcPr>
          <w:p w14:paraId="13CD8C99" w14:textId="77777777" w:rsidR="003A38FF" w:rsidRPr="00D0180E" w:rsidRDefault="003A38FF" w:rsidP="003A38FF">
            <w:pPr>
              <w:pStyle w:val="Texto"/>
              <w:spacing w:line="230" w:lineRule="exact"/>
              <w:ind w:firstLine="0"/>
              <w:rPr>
                <w:rFonts w:ascii="Verdana" w:hAnsi="Verdana"/>
                <w:sz w:val="16"/>
                <w:szCs w:val="16"/>
              </w:rPr>
            </w:pPr>
            <w:r w:rsidRPr="00D0180E">
              <w:rPr>
                <w:rFonts w:ascii="Verdana" w:hAnsi="Verdana"/>
                <w:b/>
                <w:sz w:val="16"/>
                <w:szCs w:val="16"/>
              </w:rPr>
              <w:t>Artículo 77.</w:t>
            </w:r>
            <w:r w:rsidRPr="00D0180E">
              <w:rPr>
                <w:rFonts w:ascii="Verdana" w:hAnsi="Verdana"/>
                <w:sz w:val="16"/>
                <w:szCs w:val="16"/>
              </w:rPr>
              <w:t xml:space="preserve"> En el esquema de producción de largo plazo, el particular debe construir, financiar, operar y mantener la Central Eléctrica, su infraestructura asociada y obras accesorias, por lo cual, la Empresa Pública del Estado no aporta capital para el desarrollo del proyecto.</w:t>
            </w:r>
          </w:p>
        </w:tc>
        <w:tc>
          <w:tcPr>
            <w:tcW w:w="4644" w:type="dxa"/>
          </w:tcPr>
          <w:p w14:paraId="4EF327E4" w14:textId="7641A4D1" w:rsidR="003A38FF" w:rsidRPr="00D0180E" w:rsidRDefault="003A38FF" w:rsidP="003A38FF">
            <w:pPr>
              <w:pStyle w:val="Texto"/>
              <w:spacing w:line="230" w:lineRule="exact"/>
              <w:ind w:firstLine="0"/>
              <w:rPr>
                <w:rFonts w:ascii="Verdana" w:hAnsi="Verdana"/>
                <w:b/>
                <w:sz w:val="16"/>
                <w:szCs w:val="16"/>
                <w:lang w:val="en-US"/>
              </w:rPr>
            </w:pPr>
            <w:r w:rsidRPr="006815C5">
              <w:rPr>
                <w:rFonts w:ascii="Verdana" w:hAnsi="Verdana"/>
                <w:b/>
                <w:sz w:val="16"/>
                <w:szCs w:val="16"/>
                <w:lang w:val="en-US"/>
              </w:rPr>
              <w:t xml:space="preserve">Article 77. </w:t>
            </w:r>
            <w:r w:rsidRPr="006815C5">
              <w:rPr>
                <w:rFonts w:ascii="Verdana" w:hAnsi="Verdana"/>
                <w:sz w:val="16"/>
                <w:szCs w:val="16"/>
                <w:lang w:val="en-US"/>
              </w:rPr>
              <w:t xml:space="preserve">In the </w:t>
            </w:r>
            <w:proofErr w:type="gramStart"/>
            <w:r w:rsidR="009E2B03">
              <w:rPr>
                <w:rFonts w:ascii="Verdana" w:hAnsi="Verdana"/>
                <w:sz w:val="16"/>
                <w:szCs w:val="16"/>
                <w:lang w:val="en-US"/>
              </w:rPr>
              <w:t>long term</w:t>
            </w:r>
            <w:proofErr w:type="gramEnd"/>
            <w:r w:rsidRPr="006815C5">
              <w:rPr>
                <w:rFonts w:ascii="Verdana" w:hAnsi="Verdana"/>
                <w:sz w:val="16"/>
                <w:szCs w:val="16"/>
                <w:lang w:val="en-US"/>
              </w:rPr>
              <w:t xml:space="preserve"> production scheme, the private party must build, finance, operate and maintain the </w:t>
            </w:r>
            <w:r>
              <w:rPr>
                <w:rFonts w:ascii="Verdana" w:hAnsi="Verdana"/>
                <w:sz w:val="16"/>
                <w:szCs w:val="16"/>
                <w:lang w:val="en-US"/>
              </w:rPr>
              <w:t>power plant</w:t>
            </w:r>
            <w:r w:rsidRPr="006815C5">
              <w:rPr>
                <w:rFonts w:ascii="Verdana" w:hAnsi="Verdana"/>
                <w:sz w:val="16"/>
                <w:szCs w:val="16"/>
                <w:lang w:val="en-US"/>
              </w:rPr>
              <w:t>, its associated infrastructure and accessory works, therefore, the State Public Enterprise does not contribute capital for the development of the project.</w:t>
            </w:r>
          </w:p>
        </w:tc>
      </w:tr>
      <w:tr w:rsidR="003A38FF" w:rsidRPr="00D83DA2" w14:paraId="3E57EA3F" w14:textId="614E29D2" w:rsidTr="00FB5DAD">
        <w:tc>
          <w:tcPr>
            <w:tcW w:w="4706" w:type="dxa"/>
          </w:tcPr>
          <w:p w14:paraId="01E4B748"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Artículo 78.</w:t>
            </w:r>
            <w:r w:rsidRPr="00D0180E">
              <w:rPr>
                <w:rFonts w:ascii="Verdana" w:hAnsi="Verdana"/>
                <w:sz w:val="16"/>
                <w:szCs w:val="16"/>
              </w:rPr>
              <w:t xml:space="preserve"> La Empresa Pública del Estado debe realizar los pagos correspondientes a la energía eléctrica producida, así como por los Productos Asociados a partir de la entrada en operación comercial de la Central Eléctrica.</w:t>
            </w:r>
          </w:p>
        </w:tc>
        <w:tc>
          <w:tcPr>
            <w:tcW w:w="4644" w:type="dxa"/>
          </w:tcPr>
          <w:p w14:paraId="0EA74EE2" w14:textId="305220BF" w:rsidR="003A38FF" w:rsidRPr="00D0180E" w:rsidRDefault="003A38FF" w:rsidP="003A38FF">
            <w:pPr>
              <w:pStyle w:val="Texto"/>
              <w:spacing w:line="228" w:lineRule="exact"/>
              <w:ind w:firstLine="0"/>
              <w:rPr>
                <w:rFonts w:ascii="Verdana" w:hAnsi="Verdana"/>
                <w:b/>
                <w:sz w:val="16"/>
                <w:szCs w:val="16"/>
                <w:lang w:val="en-US"/>
              </w:rPr>
            </w:pPr>
            <w:r w:rsidRPr="006815C5">
              <w:rPr>
                <w:rFonts w:ascii="Verdana" w:hAnsi="Verdana"/>
                <w:b/>
                <w:sz w:val="16"/>
                <w:szCs w:val="16"/>
                <w:lang w:val="en-US"/>
              </w:rPr>
              <w:t xml:space="preserve">Article 78. </w:t>
            </w:r>
            <w:r w:rsidRPr="006815C5">
              <w:rPr>
                <w:rFonts w:ascii="Verdana" w:hAnsi="Verdana"/>
                <w:sz w:val="16"/>
                <w:szCs w:val="16"/>
                <w:lang w:val="en-US"/>
              </w:rPr>
              <w:t xml:space="preserve">The state public enterprise must make the corresponding payments for the electrical energy produced, as well as for the associated products, from the entry into commercial operation of the </w:t>
            </w:r>
            <w:r>
              <w:rPr>
                <w:rFonts w:ascii="Verdana" w:hAnsi="Verdana"/>
                <w:sz w:val="16"/>
                <w:szCs w:val="16"/>
                <w:lang w:val="en-US"/>
              </w:rPr>
              <w:t>power plant</w:t>
            </w:r>
            <w:r w:rsidRPr="006815C5">
              <w:rPr>
                <w:rFonts w:ascii="Verdana" w:hAnsi="Verdana"/>
                <w:sz w:val="16"/>
                <w:szCs w:val="16"/>
                <w:lang w:val="en-US"/>
              </w:rPr>
              <w:t>.</w:t>
            </w:r>
          </w:p>
        </w:tc>
      </w:tr>
      <w:tr w:rsidR="003A38FF" w:rsidRPr="00D83DA2" w14:paraId="31850A11" w14:textId="4389F5AA" w:rsidTr="00FB5DAD">
        <w:tc>
          <w:tcPr>
            <w:tcW w:w="4706" w:type="dxa"/>
          </w:tcPr>
          <w:p w14:paraId="4DC2495B"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Artículo 79.</w:t>
            </w:r>
            <w:r w:rsidRPr="00D0180E">
              <w:rPr>
                <w:rFonts w:ascii="Verdana" w:hAnsi="Verdana"/>
                <w:sz w:val="16"/>
                <w:szCs w:val="16"/>
              </w:rPr>
              <w:t xml:space="preserve"> La transferencia de activos es optativa para la Empresa Pública del Estado, la cual debe ser sin costo y estar sujeta a las condiciones técnicas convenidas.</w:t>
            </w:r>
          </w:p>
        </w:tc>
        <w:tc>
          <w:tcPr>
            <w:tcW w:w="4644" w:type="dxa"/>
          </w:tcPr>
          <w:p w14:paraId="1EA25220" w14:textId="3EE8A2B6" w:rsidR="003A38FF" w:rsidRPr="00D0180E" w:rsidRDefault="003A38FF" w:rsidP="003A38FF">
            <w:pPr>
              <w:pStyle w:val="Texto"/>
              <w:spacing w:line="228" w:lineRule="exact"/>
              <w:ind w:firstLine="0"/>
              <w:rPr>
                <w:rFonts w:ascii="Verdana" w:hAnsi="Verdana"/>
                <w:b/>
                <w:sz w:val="16"/>
                <w:szCs w:val="16"/>
                <w:lang w:val="en-US"/>
              </w:rPr>
            </w:pPr>
            <w:r w:rsidRPr="006815C5">
              <w:rPr>
                <w:rFonts w:ascii="Verdana" w:hAnsi="Verdana"/>
                <w:b/>
                <w:sz w:val="16"/>
                <w:szCs w:val="16"/>
                <w:lang w:val="en-US"/>
              </w:rPr>
              <w:t xml:space="preserve">Article 79. </w:t>
            </w:r>
            <w:r w:rsidRPr="006815C5">
              <w:rPr>
                <w:rFonts w:ascii="Verdana" w:hAnsi="Verdana"/>
                <w:sz w:val="16"/>
                <w:szCs w:val="16"/>
                <w:lang w:val="en-US"/>
              </w:rPr>
              <w:t>The transfer of assets is optional for the State Public Enterprise, which must be free of charge and subject to the agreed technical conditions.</w:t>
            </w:r>
          </w:p>
        </w:tc>
      </w:tr>
      <w:tr w:rsidR="003A38FF" w:rsidRPr="00D83DA2" w14:paraId="463EEE8B" w14:textId="54356785" w:rsidTr="00FB5DAD">
        <w:tc>
          <w:tcPr>
            <w:tcW w:w="4706" w:type="dxa"/>
          </w:tcPr>
          <w:p w14:paraId="57DFF821"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sz w:val="16"/>
                <w:szCs w:val="16"/>
              </w:rPr>
              <w:t>Las partes deben establecer en el contrato las condiciones de transferencia de los activos al término de la vigencia o terminación de este.</w:t>
            </w:r>
          </w:p>
        </w:tc>
        <w:tc>
          <w:tcPr>
            <w:tcW w:w="4644" w:type="dxa"/>
          </w:tcPr>
          <w:p w14:paraId="1FD1479D" w14:textId="7DB6F23C" w:rsidR="003A38FF" w:rsidRPr="00D0180E" w:rsidRDefault="003A38FF" w:rsidP="003A38FF">
            <w:pPr>
              <w:pStyle w:val="Texto"/>
              <w:spacing w:line="228" w:lineRule="exact"/>
              <w:ind w:firstLine="0"/>
              <w:rPr>
                <w:rFonts w:ascii="Verdana" w:hAnsi="Verdana"/>
                <w:sz w:val="16"/>
                <w:szCs w:val="16"/>
                <w:lang w:val="en-US"/>
              </w:rPr>
            </w:pPr>
            <w:r w:rsidRPr="006815C5">
              <w:rPr>
                <w:rFonts w:ascii="Verdana" w:hAnsi="Verdana"/>
                <w:sz w:val="16"/>
                <w:szCs w:val="16"/>
                <w:lang w:val="en-US"/>
              </w:rPr>
              <w:t>The parties must establish in the contract the conditions for the transfer of assets at the end of the term or termination of the contract.</w:t>
            </w:r>
          </w:p>
        </w:tc>
      </w:tr>
      <w:tr w:rsidR="003A38FF" w:rsidRPr="00D83DA2" w14:paraId="23EA18B2" w14:textId="3AB513E6" w:rsidTr="00FB5DAD">
        <w:tc>
          <w:tcPr>
            <w:tcW w:w="4706" w:type="dxa"/>
          </w:tcPr>
          <w:p w14:paraId="77521B31"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Artículo 80.</w:t>
            </w:r>
            <w:r w:rsidRPr="00D0180E">
              <w:rPr>
                <w:rFonts w:ascii="Verdana" w:hAnsi="Verdana"/>
                <w:sz w:val="16"/>
                <w:szCs w:val="16"/>
              </w:rPr>
              <w:t xml:space="preserve"> Los proyectos en el esquema de producción de largo plazo deben desarrollarse con el fin de que el costo económico total de la energía eléctrica producida sea en las mejores condiciones para la Empresa Pública del Estado.</w:t>
            </w:r>
          </w:p>
        </w:tc>
        <w:tc>
          <w:tcPr>
            <w:tcW w:w="4644" w:type="dxa"/>
          </w:tcPr>
          <w:p w14:paraId="4FC92B6E" w14:textId="3A684C90" w:rsidR="003A38FF" w:rsidRPr="00D0180E" w:rsidRDefault="003A38FF" w:rsidP="003A38FF">
            <w:pPr>
              <w:pStyle w:val="Texto"/>
              <w:spacing w:line="228" w:lineRule="exact"/>
              <w:ind w:firstLine="0"/>
              <w:rPr>
                <w:rFonts w:ascii="Verdana" w:hAnsi="Verdana"/>
                <w:b/>
                <w:sz w:val="16"/>
                <w:szCs w:val="16"/>
                <w:lang w:val="en-US"/>
              </w:rPr>
            </w:pPr>
            <w:r w:rsidRPr="006815C5">
              <w:rPr>
                <w:rFonts w:ascii="Verdana" w:hAnsi="Verdana"/>
                <w:b/>
                <w:sz w:val="16"/>
                <w:szCs w:val="16"/>
                <w:lang w:val="en-US"/>
              </w:rPr>
              <w:t xml:space="preserve">Article 80. </w:t>
            </w:r>
            <w:r w:rsidRPr="006815C5">
              <w:rPr>
                <w:rFonts w:ascii="Verdana" w:hAnsi="Verdana"/>
                <w:sz w:val="16"/>
                <w:szCs w:val="16"/>
                <w:lang w:val="en-US"/>
              </w:rPr>
              <w:t xml:space="preserve">Projects in the </w:t>
            </w:r>
            <w:proofErr w:type="gramStart"/>
            <w:r w:rsidR="009E2B03">
              <w:rPr>
                <w:rFonts w:ascii="Verdana" w:hAnsi="Verdana"/>
                <w:sz w:val="16"/>
                <w:szCs w:val="16"/>
                <w:lang w:val="en-US"/>
              </w:rPr>
              <w:t>long term</w:t>
            </w:r>
            <w:proofErr w:type="gramEnd"/>
            <w:r w:rsidRPr="006815C5">
              <w:rPr>
                <w:rFonts w:ascii="Verdana" w:hAnsi="Verdana"/>
                <w:sz w:val="16"/>
                <w:szCs w:val="16"/>
                <w:lang w:val="en-US"/>
              </w:rPr>
              <w:t xml:space="preserve"> production scheme must be developed so that the total economic cost of the electricity produced is in the best </w:t>
            </w:r>
            <w:proofErr w:type="gramStart"/>
            <w:r w:rsidRPr="006815C5">
              <w:rPr>
                <w:rFonts w:ascii="Verdana" w:hAnsi="Verdana"/>
                <w:sz w:val="16"/>
                <w:szCs w:val="16"/>
                <w:lang w:val="en-US"/>
              </w:rPr>
              <w:t>conditions</w:t>
            </w:r>
            <w:proofErr w:type="gramEnd"/>
            <w:r w:rsidRPr="006815C5">
              <w:rPr>
                <w:rFonts w:ascii="Verdana" w:hAnsi="Verdana"/>
                <w:sz w:val="16"/>
                <w:szCs w:val="16"/>
                <w:lang w:val="en-US"/>
              </w:rPr>
              <w:t xml:space="preserve"> for the state public enterprise.</w:t>
            </w:r>
          </w:p>
        </w:tc>
      </w:tr>
      <w:tr w:rsidR="003A38FF" w:rsidRPr="00D83DA2" w14:paraId="3FAEE88B" w14:textId="739402BC" w:rsidTr="00FB5DAD">
        <w:tc>
          <w:tcPr>
            <w:tcW w:w="4706" w:type="dxa"/>
          </w:tcPr>
          <w:p w14:paraId="66C21BBC"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Artículo 81.</w:t>
            </w:r>
            <w:r w:rsidRPr="00D0180E">
              <w:rPr>
                <w:rFonts w:ascii="Verdana" w:hAnsi="Verdana"/>
                <w:sz w:val="16"/>
                <w:szCs w:val="16"/>
              </w:rPr>
              <w:t xml:space="preserve"> Los contratos de producción de largo plazo deben contener al menos lo siguiente:</w:t>
            </w:r>
          </w:p>
        </w:tc>
        <w:tc>
          <w:tcPr>
            <w:tcW w:w="4644" w:type="dxa"/>
          </w:tcPr>
          <w:p w14:paraId="1039D618" w14:textId="222D7440" w:rsidR="003A38FF" w:rsidRPr="00D0180E" w:rsidRDefault="003A38FF" w:rsidP="003A38FF">
            <w:pPr>
              <w:pStyle w:val="Texto"/>
              <w:spacing w:line="228" w:lineRule="exact"/>
              <w:ind w:firstLine="0"/>
              <w:rPr>
                <w:rFonts w:ascii="Verdana" w:hAnsi="Verdana"/>
                <w:b/>
                <w:sz w:val="16"/>
                <w:szCs w:val="16"/>
                <w:lang w:val="en-US"/>
              </w:rPr>
            </w:pPr>
            <w:r w:rsidRPr="006815C5">
              <w:rPr>
                <w:rFonts w:ascii="Verdana" w:hAnsi="Verdana"/>
                <w:b/>
                <w:sz w:val="16"/>
                <w:szCs w:val="16"/>
                <w:lang w:val="en-US"/>
              </w:rPr>
              <w:t xml:space="preserve">Article 81. </w:t>
            </w:r>
            <w:proofErr w:type="gramStart"/>
            <w:r w:rsidR="009E2B03">
              <w:rPr>
                <w:rFonts w:ascii="Verdana" w:hAnsi="Verdana"/>
                <w:sz w:val="16"/>
                <w:szCs w:val="16"/>
                <w:lang w:val="en-US"/>
              </w:rPr>
              <w:t>Long term</w:t>
            </w:r>
            <w:proofErr w:type="gramEnd"/>
            <w:r w:rsidRPr="006815C5">
              <w:rPr>
                <w:rFonts w:ascii="Verdana" w:hAnsi="Verdana"/>
                <w:sz w:val="16"/>
                <w:szCs w:val="16"/>
                <w:lang w:val="en-US"/>
              </w:rPr>
              <w:t xml:space="preserve"> production contracts must contain at least the following:</w:t>
            </w:r>
          </w:p>
        </w:tc>
      </w:tr>
      <w:tr w:rsidR="003A38FF" w:rsidRPr="00D83DA2" w14:paraId="2ECEDE0A" w14:textId="15D70A7F" w:rsidTr="00FB5DAD">
        <w:tc>
          <w:tcPr>
            <w:tcW w:w="4706" w:type="dxa"/>
          </w:tcPr>
          <w:p w14:paraId="341BEFE4"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La capacidad de generación de energía eléctrica que el particular ponga a disposición de la Empresa Pública del Estado a lo largo del plazo que se fije;</w:t>
            </w:r>
          </w:p>
        </w:tc>
        <w:tc>
          <w:tcPr>
            <w:tcW w:w="4644" w:type="dxa"/>
          </w:tcPr>
          <w:p w14:paraId="75BA7151" w14:textId="54B24513" w:rsidR="003A38FF" w:rsidRPr="00D0180E" w:rsidRDefault="003A38FF" w:rsidP="003A38FF">
            <w:pPr>
              <w:pStyle w:val="Texto"/>
              <w:spacing w:line="228" w:lineRule="exact"/>
              <w:ind w:firstLine="0"/>
              <w:rPr>
                <w:rFonts w:ascii="Verdana" w:hAnsi="Verdana"/>
                <w:b/>
                <w:sz w:val="16"/>
                <w:szCs w:val="16"/>
                <w:lang w:val="en-US"/>
              </w:rPr>
            </w:pPr>
            <w:r w:rsidRPr="006815C5">
              <w:rPr>
                <w:rFonts w:ascii="Verdana" w:hAnsi="Verdana"/>
                <w:b/>
                <w:sz w:val="16"/>
                <w:szCs w:val="16"/>
                <w:lang w:val="en-US"/>
              </w:rPr>
              <w:t>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capacity to generate electric energy that the individual makes available to the state public company over the period to be set;</w:t>
            </w:r>
          </w:p>
        </w:tc>
      </w:tr>
      <w:tr w:rsidR="003A38FF" w:rsidRPr="00D83DA2" w14:paraId="286B49D8" w14:textId="0C9A1FB3" w:rsidTr="00FB5DAD">
        <w:tc>
          <w:tcPr>
            <w:tcW w:w="4706" w:type="dxa"/>
          </w:tcPr>
          <w:p w14:paraId="5128E1CD"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Los términos y condiciones aplicables a la capacidad de generación puesta a disposición de la Empresa Pública del Estado, así como a las entregas de energía eléctrica y Productos Asociados a la misma, en situaciones ordinarias o de emergencia;</w:t>
            </w:r>
          </w:p>
        </w:tc>
        <w:tc>
          <w:tcPr>
            <w:tcW w:w="4644" w:type="dxa"/>
          </w:tcPr>
          <w:p w14:paraId="0FBEBF77" w14:textId="3915B30D" w:rsidR="003A38FF" w:rsidRPr="00D0180E" w:rsidRDefault="003A38FF" w:rsidP="003A38FF">
            <w:pPr>
              <w:pStyle w:val="Texto"/>
              <w:spacing w:line="228" w:lineRule="exact"/>
              <w:ind w:firstLine="0"/>
              <w:rPr>
                <w:rFonts w:ascii="Verdana" w:hAnsi="Verdana"/>
                <w:b/>
                <w:sz w:val="16"/>
                <w:szCs w:val="16"/>
                <w:lang w:val="en-US"/>
              </w:rPr>
            </w:pPr>
            <w:r w:rsidRPr="006815C5">
              <w:rPr>
                <w:rFonts w:ascii="Verdana" w:hAnsi="Verdana"/>
                <w:b/>
                <w:sz w:val="16"/>
                <w:szCs w:val="16"/>
                <w:lang w:val="en-US"/>
              </w:rPr>
              <w:t>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terms and conditions applicable to the generation capacity made available to the state public enterprise, as well as to the deliveries of electrical energy and associated products to it, in ordinary or emergency situations;</w:t>
            </w:r>
          </w:p>
        </w:tc>
      </w:tr>
      <w:tr w:rsidR="003A38FF" w:rsidRPr="00D83DA2" w14:paraId="163FB0AC" w14:textId="23C3FCDE" w:rsidTr="00FB5DAD">
        <w:tc>
          <w:tcPr>
            <w:tcW w:w="4706" w:type="dxa"/>
          </w:tcPr>
          <w:p w14:paraId="36FCAB2D"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Las fórmulas relevantes que deben ser aplicadas, así como las reglas y definiciones que se utilizan para la determinación de:</w:t>
            </w:r>
          </w:p>
        </w:tc>
        <w:tc>
          <w:tcPr>
            <w:tcW w:w="4644" w:type="dxa"/>
          </w:tcPr>
          <w:p w14:paraId="30C892D0" w14:textId="094517B4" w:rsidR="003A38FF" w:rsidRPr="00D0180E" w:rsidRDefault="003A38FF" w:rsidP="003A38FF">
            <w:pPr>
              <w:pStyle w:val="Texto"/>
              <w:spacing w:line="228" w:lineRule="exact"/>
              <w:ind w:firstLine="0"/>
              <w:rPr>
                <w:rFonts w:ascii="Verdana" w:hAnsi="Verdana"/>
                <w:b/>
                <w:sz w:val="16"/>
                <w:szCs w:val="16"/>
                <w:lang w:val="en-US"/>
              </w:rPr>
            </w:pPr>
            <w:r w:rsidRPr="006815C5">
              <w:rPr>
                <w:rFonts w:ascii="Verdana" w:hAnsi="Verdana"/>
                <w:b/>
                <w:sz w:val="16"/>
                <w:szCs w:val="16"/>
                <w:lang w:val="en-US"/>
              </w:rPr>
              <w:t>III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relevant formulas to be applied, as well as the rules and definitions used for the determination of:</w:t>
            </w:r>
          </w:p>
        </w:tc>
      </w:tr>
      <w:tr w:rsidR="003A38FF" w:rsidRPr="00D83DA2" w14:paraId="7AFBD512" w14:textId="19B4F7F4" w:rsidTr="00FB5DAD">
        <w:tc>
          <w:tcPr>
            <w:tcW w:w="4706" w:type="dxa"/>
          </w:tcPr>
          <w:p w14:paraId="2469695D"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Los pagos de la Empresa Pública del Estado, por la capacidad de generación puesta a su disposición, mismos que deben de ser uniformes y en ningún caso crecientes;</w:t>
            </w:r>
          </w:p>
        </w:tc>
        <w:tc>
          <w:tcPr>
            <w:tcW w:w="4644" w:type="dxa"/>
          </w:tcPr>
          <w:p w14:paraId="4E98FC91" w14:textId="68413167" w:rsidR="003A38FF" w:rsidRPr="00D0180E" w:rsidRDefault="003A38FF" w:rsidP="003A38FF">
            <w:pPr>
              <w:pStyle w:val="Texto"/>
              <w:spacing w:line="228" w:lineRule="exact"/>
              <w:ind w:firstLine="0"/>
              <w:rPr>
                <w:rFonts w:ascii="Verdana" w:hAnsi="Verdana"/>
                <w:b/>
                <w:sz w:val="16"/>
                <w:szCs w:val="16"/>
                <w:lang w:val="en-US"/>
              </w:rPr>
            </w:pPr>
            <w:r w:rsidRPr="006815C5">
              <w:rPr>
                <w:rFonts w:ascii="Verdana" w:hAnsi="Verdana"/>
                <w:b/>
                <w:sz w:val="16"/>
                <w:szCs w:val="16"/>
                <w:lang w:val="en-US"/>
              </w:rPr>
              <w:t>a</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Payments</w:t>
            </w:r>
            <w:proofErr w:type="gramEnd"/>
            <w:r w:rsidRPr="006815C5">
              <w:rPr>
                <w:rFonts w:ascii="Verdana" w:hAnsi="Verdana"/>
                <w:sz w:val="16"/>
                <w:szCs w:val="16"/>
                <w:lang w:val="en-US"/>
              </w:rPr>
              <w:t xml:space="preserve"> from the state public company for the generation capacity made available to it, which must be uniform and in no case increasing;</w:t>
            </w:r>
          </w:p>
        </w:tc>
      </w:tr>
      <w:tr w:rsidR="003A38FF" w:rsidRPr="00D83DA2" w14:paraId="2A63FBDC" w14:textId="5E1E37F7" w:rsidTr="00FB5DAD">
        <w:tc>
          <w:tcPr>
            <w:tcW w:w="4706" w:type="dxa"/>
          </w:tcPr>
          <w:p w14:paraId="2A2A0DE6"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lastRenderedPageBreak/>
              <w:t>b)</w:t>
            </w:r>
            <w:r w:rsidRPr="00D0180E">
              <w:rPr>
                <w:rFonts w:ascii="Verdana" w:hAnsi="Verdana"/>
                <w:b/>
                <w:sz w:val="16"/>
                <w:szCs w:val="16"/>
              </w:rPr>
              <w:tab/>
            </w:r>
            <w:r w:rsidRPr="00D0180E">
              <w:rPr>
                <w:rFonts w:ascii="Verdana" w:hAnsi="Verdana"/>
                <w:sz w:val="16"/>
                <w:szCs w:val="16"/>
              </w:rPr>
              <w:t>Los pagos de la Empresa Pública del Estado por la energía eléctrica y Productos Asociados que le sean entregados;</w:t>
            </w:r>
          </w:p>
        </w:tc>
        <w:tc>
          <w:tcPr>
            <w:tcW w:w="4644" w:type="dxa"/>
          </w:tcPr>
          <w:p w14:paraId="4855F125" w14:textId="345B9EF5" w:rsidR="003A38FF" w:rsidRPr="00D0180E" w:rsidRDefault="003A38FF" w:rsidP="003A38FF">
            <w:pPr>
              <w:pStyle w:val="Texto"/>
              <w:spacing w:line="228" w:lineRule="exact"/>
              <w:ind w:firstLine="0"/>
              <w:rPr>
                <w:rFonts w:ascii="Verdana" w:hAnsi="Verdana"/>
                <w:b/>
                <w:sz w:val="16"/>
                <w:szCs w:val="16"/>
                <w:lang w:val="en-US"/>
              </w:rPr>
            </w:pPr>
            <w:r w:rsidRPr="006815C5">
              <w:rPr>
                <w:rFonts w:ascii="Verdana" w:hAnsi="Verdana"/>
                <w:b/>
                <w:sz w:val="16"/>
                <w:szCs w:val="16"/>
                <w:lang w:val="en-US"/>
              </w:rPr>
              <w:t>b</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Payments</w:t>
            </w:r>
            <w:proofErr w:type="gramEnd"/>
            <w:r w:rsidRPr="006815C5">
              <w:rPr>
                <w:rFonts w:ascii="Verdana" w:hAnsi="Verdana"/>
                <w:sz w:val="16"/>
                <w:szCs w:val="16"/>
                <w:lang w:val="en-US"/>
              </w:rPr>
              <w:t xml:space="preserve"> by the state public company for the electrical energy and associated products delivered to it;</w:t>
            </w:r>
          </w:p>
        </w:tc>
      </w:tr>
      <w:tr w:rsidR="003A38FF" w:rsidRPr="00D83DA2" w14:paraId="230C0863" w14:textId="2411004B" w:rsidTr="00FB5DAD">
        <w:tc>
          <w:tcPr>
            <w:tcW w:w="4706" w:type="dxa"/>
          </w:tcPr>
          <w:p w14:paraId="58C1EF74"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Los incentivos o ajustes por la disponibilidad de la capacidad que se ponga a disposición de la Empresa Pública del Estado, y</w:t>
            </w:r>
          </w:p>
        </w:tc>
        <w:tc>
          <w:tcPr>
            <w:tcW w:w="4644" w:type="dxa"/>
          </w:tcPr>
          <w:p w14:paraId="3B450DA5" w14:textId="5B393A47" w:rsidR="003A38FF" w:rsidRPr="00D0180E" w:rsidRDefault="003A38FF" w:rsidP="003A38FF">
            <w:pPr>
              <w:pStyle w:val="Texto"/>
              <w:spacing w:line="228" w:lineRule="exact"/>
              <w:ind w:firstLine="0"/>
              <w:rPr>
                <w:rFonts w:ascii="Verdana" w:hAnsi="Verdana"/>
                <w:b/>
                <w:sz w:val="16"/>
                <w:szCs w:val="16"/>
                <w:lang w:val="en-US"/>
              </w:rPr>
            </w:pPr>
            <w:r w:rsidRPr="006815C5">
              <w:rPr>
                <w:rFonts w:ascii="Verdana" w:hAnsi="Verdana"/>
                <w:b/>
                <w:sz w:val="16"/>
                <w:szCs w:val="16"/>
                <w:lang w:val="en-US"/>
              </w:rPr>
              <w:t>c</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Incentives</w:t>
            </w:r>
            <w:proofErr w:type="gramEnd"/>
            <w:r w:rsidRPr="006815C5">
              <w:rPr>
                <w:rFonts w:ascii="Verdana" w:hAnsi="Verdana"/>
                <w:sz w:val="16"/>
                <w:szCs w:val="16"/>
                <w:lang w:val="en-US"/>
              </w:rPr>
              <w:t xml:space="preserve"> or adjustments for the availability of capacity made available to the state public enterprise, and</w:t>
            </w:r>
          </w:p>
        </w:tc>
      </w:tr>
      <w:tr w:rsidR="003A38FF" w:rsidRPr="00D83DA2" w14:paraId="6D6C3891" w14:textId="632948F5" w:rsidTr="00FB5DAD">
        <w:tc>
          <w:tcPr>
            <w:tcW w:w="4706" w:type="dxa"/>
          </w:tcPr>
          <w:p w14:paraId="1FAA903D"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Los factores de actualización a través del tiempo de los pagos mencionados en los incisos a) y b);</w:t>
            </w:r>
          </w:p>
        </w:tc>
        <w:tc>
          <w:tcPr>
            <w:tcW w:w="4644" w:type="dxa"/>
          </w:tcPr>
          <w:p w14:paraId="41E0CCED" w14:textId="5D1DB027" w:rsidR="003A38FF" w:rsidRPr="00D0180E" w:rsidRDefault="003A38FF" w:rsidP="003A38FF">
            <w:pPr>
              <w:pStyle w:val="Texto"/>
              <w:spacing w:line="228" w:lineRule="exact"/>
              <w:ind w:firstLine="0"/>
              <w:rPr>
                <w:rFonts w:ascii="Verdana" w:hAnsi="Verdana"/>
                <w:b/>
                <w:sz w:val="16"/>
                <w:szCs w:val="16"/>
                <w:lang w:val="en-US"/>
              </w:rPr>
            </w:pPr>
            <w:r w:rsidRPr="006815C5">
              <w:rPr>
                <w:rFonts w:ascii="Verdana" w:hAnsi="Verdana"/>
                <w:b/>
                <w:sz w:val="16"/>
                <w:szCs w:val="16"/>
                <w:lang w:val="en-US"/>
              </w:rPr>
              <w:t>d</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update factors over time of the payments mentioned in sections a) and b);</w:t>
            </w:r>
          </w:p>
        </w:tc>
      </w:tr>
      <w:tr w:rsidR="003A38FF" w:rsidRPr="00D83DA2" w14:paraId="34C97E25" w14:textId="6822657B" w:rsidTr="00FB5DAD">
        <w:tc>
          <w:tcPr>
            <w:tcW w:w="4706" w:type="dxa"/>
          </w:tcPr>
          <w:p w14:paraId="6BC30CA8"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Vigencia, misma que no debe exceder la vigencia del permiso otorgado por la CNE;</w:t>
            </w:r>
          </w:p>
        </w:tc>
        <w:tc>
          <w:tcPr>
            <w:tcW w:w="4644" w:type="dxa"/>
          </w:tcPr>
          <w:p w14:paraId="0A9C012B" w14:textId="56FBA84D" w:rsidR="003A38FF" w:rsidRPr="00D0180E" w:rsidRDefault="003A38FF" w:rsidP="003A38FF">
            <w:pPr>
              <w:pStyle w:val="Texto"/>
              <w:spacing w:line="228" w:lineRule="exact"/>
              <w:ind w:firstLine="0"/>
              <w:rPr>
                <w:rFonts w:ascii="Verdana" w:hAnsi="Verdana"/>
                <w:b/>
                <w:sz w:val="16"/>
                <w:szCs w:val="16"/>
                <w:lang w:val="en-US"/>
              </w:rPr>
            </w:pPr>
            <w:r w:rsidRPr="006815C5">
              <w:rPr>
                <w:rFonts w:ascii="Verdana" w:hAnsi="Verdana"/>
                <w:b/>
                <w:sz w:val="16"/>
                <w:szCs w:val="16"/>
                <w:lang w:val="en-US"/>
              </w:rPr>
              <w:t xml:space="preserve">IV. </w:t>
            </w:r>
            <w:r w:rsidRPr="006815C5">
              <w:rPr>
                <w:rFonts w:ascii="Verdana" w:hAnsi="Verdana"/>
                <w:b/>
                <w:sz w:val="16"/>
                <w:szCs w:val="16"/>
                <w:lang w:val="en-US"/>
              </w:rPr>
              <w:tab/>
            </w:r>
            <w:r w:rsidRPr="006815C5">
              <w:rPr>
                <w:rFonts w:ascii="Verdana" w:hAnsi="Verdana"/>
                <w:sz w:val="16"/>
                <w:szCs w:val="16"/>
                <w:lang w:val="en-US"/>
              </w:rPr>
              <w:t>Validity, which must not exceed the validity of the permit granted by the CNE;</w:t>
            </w:r>
          </w:p>
        </w:tc>
      </w:tr>
      <w:tr w:rsidR="003A38FF" w:rsidRPr="00D83DA2" w14:paraId="61744109" w14:textId="1DE58E2A" w:rsidTr="00FB5DAD">
        <w:tc>
          <w:tcPr>
            <w:tcW w:w="4706" w:type="dxa"/>
          </w:tcPr>
          <w:p w14:paraId="30F927AF"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Garantías para el cumplimiento de las obligaciones;</w:t>
            </w:r>
          </w:p>
        </w:tc>
        <w:tc>
          <w:tcPr>
            <w:tcW w:w="4644" w:type="dxa"/>
          </w:tcPr>
          <w:p w14:paraId="0A8B95F0" w14:textId="0F746D8A" w:rsidR="003A38FF" w:rsidRPr="00D0180E" w:rsidRDefault="003A38FF" w:rsidP="003A38FF">
            <w:pPr>
              <w:pStyle w:val="Texto"/>
              <w:spacing w:line="228" w:lineRule="exact"/>
              <w:ind w:firstLine="0"/>
              <w:rPr>
                <w:rFonts w:ascii="Verdana" w:hAnsi="Verdana"/>
                <w:b/>
                <w:sz w:val="16"/>
                <w:szCs w:val="16"/>
                <w:lang w:val="en-US"/>
              </w:rPr>
            </w:pPr>
            <w:r w:rsidRPr="006815C5">
              <w:rPr>
                <w:rFonts w:ascii="Verdana" w:hAnsi="Verdana"/>
                <w:b/>
                <w:sz w:val="16"/>
                <w:szCs w:val="16"/>
                <w:lang w:val="en-US"/>
              </w:rPr>
              <w:t>V</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Guarantees</w:t>
            </w:r>
            <w:proofErr w:type="gramEnd"/>
            <w:r w:rsidRPr="006815C5">
              <w:rPr>
                <w:rFonts w:ascii="Verdana" w:hAnsi="Verdana"/>
                <w:sz w:val="16"/>
                <w:szCs w:val="16"/>
                <w:lang w:val="en-US"/>
              </w:rPr>
              <w:t xml:space="preserve"> for the fulfillment of obligations;</w:t>
            </w:r>
          </w:p>
        </w:tc>
      </w:tr>
      <w:tr w:rsidR="003A38FF" w:rsidRPr="00D83DA2" w14:paraId="62E44A46" w14:textId="2803BFE7" w:rsidTr="00FB5DAD">
        <w:tc>
          <w:tcPr>
            <w:tcW w:w="4706" w:type="dxa"/>
          </w:tcPr>
          <w:p w14:paraId="43EFD5A7"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Las condiciones técnicas que debe satisfacer la energía eléctrica, que deben incluir:</w:t>
            </w:r>
          </w:p>
        </w:tc>
        <w:tc>
          <w:tcPr>
            <w:tcW w:w="4644" w:type="dxa"/>
          </w:tcPr>
          <w:p w14:paraId="32E5BEBC" w14:textId="009AF944" w:rsidR="003A38FF" w:rsidRPr="00D0180E" w:rsidRDefault="003A38FF" w:rsidP="003A38FF">
            <w:pPr>
              <w:pStyle w:val="Texto"/>
              <w:spacing w:line="228" w:lineRule="exact"/>
              <w:ind w:firstLine="0"/>
              <w:rPr>
                <w:rFonts w:ascii="Verdana" w:hAnsi="Verdana"/>
                <w:b/>
                <w:sz w:val="16"/>
                <w:szCs w:val="16"/>
                <w:lang w:val="en-US"/>
              </w:rPr>
            </w:pPr>
            <w:r w:rsidRPr="006815C5">
              <w:rPr>
                <w:rFonts w:ascii="Verdana" w:hAnsi="Verdana"/>
                <w:b/>
                <w:sz w:val="16"/>
                <w:szCs w:val="16"/>
                <w:lang w:val="en-US"/>
              </w:rPr>
              <w:t>VI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technical conditions that electrical energy must meet, which must include:</w:t>
            </w:r>
          </w:p>
        </w:tc>
      </w:tr>
      <w:tr w:rsidR="003A38FF" w:rsidRPr="00D83DA2" w14:paraId="4F955B27" w14:textId="32D30684" w:rsidTr="00FB5DAD">
        <w:tc>
          <w:tcPr>
            <w:tcW w:w="4706" w:type="dxa"/>
          </w:tcPr>
          <w:p w14:paraId="6B023AC4"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La definición del punto de interconexión en donde debe ser entregada dicha energía eléctrica a la red;</w:t>
            </w:r>
          </w:p>
        </w:tc>
        <w:tc>
          <w:tcPr>
            <w:tcW w:w="4644" w:type="dxa"/>
          </w:tcPr>
          <w:p w14:paraId="64ADD616" w14:textId="545946AC" w:rsidR="003A38FF" w:rsidRPr="00D0180E" w:rsidRDefault="003A38FF" w:rsidP="003A38FF">
            <w:pPr>
              <w:pStyle w:val="Texto"/>
              <w:spacing w:line="228" w:lineRule="exact"/>
              <w:ind w:firstLine="0"/>
              <w:rPr>
                <w:rFonts w:ascii="Verdana" w:hAnsi="Verdana"/>
                <w:b/>
                <w:sz w:val="16"/>
                <w:szCs w:val="16"/>
                <w:lang w:val="en-US"/>
              </w:rPr>
            </w:pPr>
            <w:r w:rsidRPr="006815C5">
              <w:rPr>
                <w:rFonts w:ascii="Verdana" w:hAnsi="Verdana"/>
                <w:b/>
                <w:sz w:val="16"/>
                <w:szCs w:val="16"/>
                <w:lang w:val="en-US"/>
              </w:rPr>
              <w:t>a</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definition of the interconnection </w:t>
            </w:r>
            <w:proofErr w:type="gramStart"/>
            <w:r w:rsidRPr="006815C5">
              <w:rPr>
                <w:rFonts w:ascii="Verdana" w:hAnsi="Verdana"/>
                <w:sz w:val="16"/>
                <w:szCs w:val="16"/>
                <w:lang w:val="en-US"/>
              </w:rPr>
              <w:t>point</w:t>
            </w:r>
            <w:proofErr w:type="gramEnd"/>
            <w:r w:rsidRPr="006815C5">
              <w:rPr>
                <w:rFonts w:ascii="Verdana" w:hAnsi="Verdana"/>
                <w:sz w:val="16"/>
                <w:szCs w:val="16"/>
                <w:lang w:val="en-US"/>
              </w:rPr>
              <w:t xml:space="preserve"> where said electrical energy must be delivered to the grid;</w:t>
            </w:r>
          </w:p>
        </w:tc>
      </w:tr>
      <w:tr w:rsidR="003A38FF" w:rsidRPr="00D83DA2" w14:paraId="5BD145BE" w14:textId="7BFAE58D" w:rsidTr="00FB5DAD">
        <w:tc>
          <w:tcPr>
            <w:tcW w:w="4706" w:type="dxa"/>
          </w:tcPr>
          <w:p w14:paraId="2FD6BB04"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 xml:space="preserve">Lo relativo a la medición que se debe hacer de la energía </w:t>
            </w:r>
            <w:proofErr w:type="gramStart"/>
            <w:r w:rsidRPr="00D0180E">
              <w:rPr>
                <w:rFonts w:ascii="Verdana" w:hAnsi="Verdana"/>
                <w:sz w:val="16"/>
                <w:szCs w:val="16"/>
              </w:rPr>
              <w:t>eléctrica  entregada</w:t>
            </w:r>
            <w:proofErr w:type="gramEnd"/>
            <w:r w:rsidRPr="00D0180E">
              <w:rPr>
                <w:rFonts w:ascii="Verdana" w:hAnsi="Verdana"/>
                <w:sz w:val="16"/>
                <w:szCs w:val="16"/>
              </w:rPr>
              <w:t>, en cumplimiento con las disposiciones administrativas de carácter general correspondientes, y</w:t>
            </w:r>
          </w:p>
        </w:tc>
        <w:tc>
          <w:tcPr>
            <w:tcW w:w="4644" w:type="dxa"/>
          </w:tcPr>
          <w:p w14:paraId="63455113" w14:textId="7FF90B53" w:rsidR="003A38FF" w:rsidRPr="00D0180E" w:rsidRDefault="003A38FF" w:rsidP="003A38FF">
            <w:pPr>
              <w:pStyle w:val="Texto"/>
              <w:spacing w:line="228" w:lineRule="exact"/>
              <w:ind w:firstLine="0"/>
              <w:rPr>
                <w:rFonts w:ascii="Verdana" w:hAnsi="Verdana"/>
                <w:b/>
                <w:sz w:val="16"/>
                <w:szCs w:val="16"/>
                <w:lang w:val="en-US"/>
              </w:rPr>
            </w:pPr>
            <w:r w:rsidRPr="006815C5">
              <w:rPr>
                <w:rFonts w:ascii="Verdana" w:hAnsi="Verdana"/>
                <w:b/>
                <w:sz w:val="16"/>
                <w:szCs w:val="16"/>
                <w:lang w:val="en-US"/>
              </w:rPr>
              <w:t>b</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Regarding</w:t>
            </w:r>
            <w:proofErr w:type="gramEnd"/>
            <w:r w:rsidRPr="006815C5">
              <w:rPr>
                <w:rFonts w:ascii="Verdana" w:hAnsi="Verdana"/>
                <w:sz w:val="16"/>
                <w:szCs w:val="16"/>
                <w:lang w:val="en-US"/>
              </w:rPr>
              <w:t xml:space="preserve"> the measurement that must be made of the electrical energy delivered, in compliance with the corresponding general administrative provisions, and</w:t>
            </w:r>
          </w:p>
        </w:tc>
      </w:tr>
      <w:tr w:rsidR="003A38FF" w:rsidRPr="00D83DA2" w14:paraId="30F5806B" w14:textId="754433AB" w:rsidTr="00FB5DAD">
        <w:tc>
          <w:tcPr>
            <w:tcW w:w="4706" w:type="dxa"/>
          </w:tcPr>
          <w:p w14:paraId="066D7A32"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El nivel de tensión;</w:t>
            </w:r>
          </w:p>
        </w:tc>
        <w:tc>
          <w:tcPr>
            <w:tcW w:w="4644" w:type="dxa"/>
          </w:tcPr>
          <w:p w14:paraId="547F2B4B" w14:textId="10346877" w:rsidR="003A38FF" w:rsidRPr="00D0180E" w:rsidRDefault="003A38FF" w:rsidP="003A38FF">
            <w:pPr>
              <w:pStyle w:val="Texto"/>
              <w:spacing w:line="228" w:lineRule="exact"/>
              <w:ind w:firstLine="0"/>
              <w:rPr>
                <w:rFonts w:ascii="Verdana" w:hAnsi="Verdana"/>
                <w:b/>
                <w:sz w:val="16"/>
                <w:szCs w:val="16"/>
                <w:lang w:val="en-US"/>
              </w:rPr>
            </w:pPr>
            <w:r w:rsidRPr="006815C5">
              <w:rPr>
                <w:rFonts w:ascii="Verdana" w:hAnsi="Verdana"/>
                <w:b/>
                <w:sz w:val="16"/>
                <w:szCs w:val="16"/>
                <w:lang w:val="en-US"/>
              </w:rPr>
              <w:t>c</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level of tension;</w:t>
            </w:r>
          </w:p>
        </w:tc>
      </w:tr>
      <w:tr w:rsidR="003A38FF" w:rsidRPr="00D83DA2" w14:paraId="6E513357" w14:textId="2DACC5F9" w:rsidTr="00FB5DAD">
        <w:tc>
          <w:tcPr>
            <w:tcW w:w="4706" w:type="dxa"/>
          </w:tcPr>
          <w:p w14:paraId="554C61CF"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Las cláusulas de exclusividad del compromiso de capacidad y energía eléctrica, donde se especifique la prohibición expresa de la Central Eléctrica de comercializar cualquier capacidad excedente con terceras personas, y participar en la generación de energía eléctrica con otros permisos u otras modalidades de conformidad con el artículo 39 de la Ley;</w:t>
            </w:r>
          </w:p>
        </w:tc>
        <w:tc>
          <w:tcPr>
            <w:tcW w:w="4644" w:type="dxa"/>
          </w:tcPr>
          <w:p w14:paraId="5833A03F" w14:textId="15A84B55" w:rsidR="003A38FF" w:rsidRPr="00D0180E" w:rsidRDefault="003A38FF" w:rsidP="003A38FF">
            <w:pPr>
              <w:pStyle w:val="Texto"/>
              <w:spacing w:line="228" w:lineRule="exact"/>
              <w:ind w:firstLine="0"/>
              <w:rPr>
                <w:rFonts w:ascii="Verdana" w:hAnsi="Verdana"/>
                <w:b/>
                <w:sz w:val="16"/>
                <w:szCs w:val="16"/>
                <w:lang w:val="en-US"/>
              </w:rPr>
            </w:pPr>
            <w:r w:rsidRPr="006815C5">
              <w:rPr>
                <w:rFonts w:ascii="Verdana" w:hAnsi="Verdana"/>
                <w:b/>
                <w:sz w:val="16"/>
                <w:szCs w:val="16"/>
                <w:lang w:val="en-US"/>
              </w:rPr>
              <w:t>VII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exclusivity clauses of the capacity and electric energy commitment, where the express prohibition of the </w:t>
            </w:r>
            <w:r>
              <w:rPr>
                <w:rFonts w:ascii="Verdana" w:hAnsi="Verdana"/>
                <w:sz w:val="16"/>
                <w:szCs w:val="16"/>
                <w:lang w:val="en-US"/>
              </w:rPr>
              <w:t>power plant</w:t>
            </w:r>
            <w:r w:rsidRPr="006815C5">
              <w:rPr>
                <w:rFonts w:ascii="Verdana" w:hAnsi="Verdana"/>
                <w:sz w:val="16"/>
                <w:szCs w:val="16"/>
                <w:lang w:val="en-US"/>
              </w:rPr>
              <w:t xml:space="preserve"> from marketing any excess capacity to third parties is specified, and participating in the generation of electric energy with other permits or other modalities in accordance with article 39 of the Law;</w:t>
            </w:r>
          </w:p>
        </w:tc>
      </w:tr>
      <w:tr w:rsidR="003A38FF" w:rsidRPr="00D83DA2" w14:paraId="6A3796CB" w14:textId="4F9772F8" w:rsidTr="00FB5DAD">
        <w:tc>
          <w:tcPr>
            <w:tcW w:w="4706" w:type="dxa"/>
          </w:tcPr>
          <w:p w14:paraId="3C2B7516"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VIII.</w:t>
            </w:r>
            <w:r w:rsidRPr="00D0180E">
              <w:rPr>
                <w:rFonts w:ascii="Verdana" w:hAnsi="Verdana"/>
                <w:b/>
                <w:sz w:val="16"/>
                <w:szCs w:val="16"/>
              </w:rPr>
              <w:tab/>
            </w:r>
            <w:r w:rsidRPr="00D0180E">
              <w:rPr>
                <w:rFonts w:ascii="Verdana" w:hAnsi="Verdana"/>
                <w:sz w:val="16"/>
                <w:szCs w:val="16"/>
              </w:rPr>
              <w:t>Notificación de cambios en la Ley que modifiquen los costos o el alcance del proyecto;</w:t>
            </w:r>
          </w:p>
        </w:tc>
        <w:tc>
          <w:tcPr>
            <w:tcW w:w="4644" w:type="dxa"/>
          </w:tcPr>
          <w:p w14:paraId="00226505" w14:textId="7FCFFC40" w:rsidR="003A38FF" w:rsidRPr="00D0180E" w:rsidRDefault="003A38FF" w:rsidP="003A38FF">
            <w:pPr>
              <w:pStyle w:val="Texto"/>
              <w:spacing w:line="228" w:lineRule="exact"/>
              <w:ind w:firstLine="0"/>
              <w:rPr>
                <w:rFonts w:ascii="Verdana" w:hAnsi="Verdana"/>
                <w:b/>
                <w:sz w:val="16"/>
                <w:szCs w:val="16"/>
                <w:lang w:val="en-US"/>
              </w:rPr>
            </w:pPr>
            <w:r w:rsidRPr="006815C5">
              <w:rPr>
                <w:rFonts w:ascii="Verdana" w:hAnsi="Verdana"/>
                <w:b/>
                <w:sz w:val="16"/>
                <w:szCs w:val="16"/>
                <w:lang w:val="en-US"/>
              </w:rPr>
              <w:t>VIII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Notification</w:t>
            </w:r>
            <w:proofErr w:type="gramEnd"/>
            <w:r w:rsidRPr="006815C5">
              <w:rPr>
                <w:rFonts w:ascii="Verdana" w:hAnsi="Verdana"/>
                <w:sz w:val="16"/>
                <w:szCs w:val="16"/>
                <w:lang w:val="en-US"/>
              </w:rPr>
              <w:t xml:space="preserve"> of changes in the Law that modify the costs or scope of the project;</w:t>
            </w:r>
          </w:p>
        </w:tc>
      </w:tr>
      <w:tr w:rsidR="003A38FF" w:rsidRPr="00D83DA2" w14:paraId="44C04683" w14:textId="428A2AE3" w:rsidTr="00FB5DAD">
        <w:tc>
          <w:tcPr>
            <w:tcW w:w="4706" w:type="dxa"/>
          </w:tcPr>
          <w:p w14:paraId="71A0E6B9"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IX.</w:t>
            </w:r>
            <w:r w:rsidRPr="00D0180E">
              <w:rPr>
                <w:rFonts w:ascii="Verdana" w:hAnsi="Verdana"/>
                <w:b/>
                <w:sz w:val="16"/>
                <w:szCs w:val="16"/>
              </w:rPr>
              <w:tab/>
            </w:r>
            <w:r w:rsidRPr="00D0180E">
              <w:rPr>
                <w:rFonts w:ascii="Verdana" w:hAnsi="Verdana"/>
                <w:sz w:val="16"/>
                <w:szCs w:val="16"/>
              </w:rPr>
              <w:t>Criterios de confiabilidad que incluyan verificaciones y visitas de inspección de carácter técnico, operativo y normativo;</w:t>
            </w:r>
          </w:p>
        </w:tc>
        <w:tc>
          <w:tcPr>
            <w:tcW w:w="4644" w:type="dxa"/>
          </w:tcPr>
          <w:p w14:paraId="499C178A" w14:textId="690D179D" w:rsidR="003A38FF" w:rsidRPr="00D0180E" w:rsidRDefault="003A38FF" w:rsidP="003A38FF">
            <w:pPr>
              <w:pStyle w:val="Texto"/>
              <w:spacing w:line="228" w:lineRule="exact"/>
              <w:ind w:firstLine="0"/>
              <w:rPr>
                <w:rFonts w:ascii="Verdana" w:hAnsi="Verdana"/>
                <w:b/>
                <w:sz w:val="16"/>
                <w:szCs w:val="16"/>
                <w:lang w:val="en-US"/>
              </w:rPr>
            </w:pPr>
            <w:r w:rsidRPr="006815C5">
              <w:rPr>
                <w:rFonts w:ascii="Verdana" w:hAnsi="Verdana"/>
                <w:b/>
                <w:sz w:val="16"/>
                <w:szCs w:val="16"/>
                <w:lang w:val="en-US"/>
              </w:rPr>
              <w:t>IX</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Reliability</w:t>
            </w:r>
            <w:proofErr w:type="gramEnd"/>
            <w:r w:rsidRPr="006815C5">
              <w:rPr>
                <w:rFonts w:ascii="Verdana" w:hAnsi="Verdana"/>
                <w:sz w:val="16"/>
                <w:szCs w:val="16"/>
                <w:lang w:val="en-US"/>
              </w:rPr>
              <w:t xml:space="preserve"> criteria that include verifications and inspection visits of a technical, operational and regulatory nature;</w:t>
            </w:r>
          </w:p>
        </w:tc>
      </w:tr>
      <w:tr w:rsidR="003A38FF" w:rsidRPr="00D83DA2" w14:paraId="6E920C7F" w14:textId="043FDF87" w:rsidTr="00FB5DAD">
        <w:tc>
          <w:tcPr>
            <w:tcW w:w="4706" w:type="dxa"/>
          </w:tcPr>
          <w:p w14:paraId="1F5DDA72"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X.</w:t>
            </w:r>
            <w:r w:rsidRPr="00D0180E">
              <w:rPr>
                <w:rFonts w:ascii="Verdana" w:hAnsi="Verdana"/>
                <w:b/>
                <w:sz w:val="16"/>
                <w:szCs w:val="16"/>
              </w:rPr>
              <w:tab/>
            </w:r>
            <w:r w:rsidRPr="00D0180E">
              <w:rPr>
                <w:rFonts w:ascii="Verdana" w:hAnsi="Verdana"/>
                <w:sz w:val="16"/>
                <w:szCs w:val="16"/>
              </w:rPr>
              <w:t>Realización de auditorías de calidad, ambientales, de seguridad y salud en el trabajo;</w:t>
            </w:r>
          </w:p>
        </w:tc>
        <w:tc>
          <w:tcPr>
            <w:tcW w:w="4644" w:type="dxa"/>
          </w:tcPr>
          <w:p w14:paraId="78E5751A" w14:textId="364FBF52" w:rsidR="003A38FF" w:rsidRPr="00D0180E" w:rsidRDefault="003A38FF" w:rsidP="003A38FF">
            <w:pPr>
              <w:pStyle w:val="Texto"/>
              <w:spacing w:line="228" w:lineRule="exact"/>
              <w:ind w:firstLine="0"/>
              <w:rPr>
                <w:rFonts w:ascii="Verdana" w:hAnsi="Verdana"/>
                <w:b/>
                <w:sz w:val="16"/>
                <w:szCs w:val="16"/>
                <w:lang w:val="en-US"/>
              </w:rPr>
            </w:pPr>
            <w:r w:rsidRPr="006815C5">
              <w:rPr>
                <w:rFonts w:ascii="Verdana" w:hAnsi="Verdana"/>
                <w:b/>
                <w:sz w:val="16"/>
                <w:szCs w:val="16"/>
                <w:lang w:val="en-US"/>
              </w:rPr>
              <w:t>X</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Carrying</w:t>
            </w:r>
            <w:proofErr w:type="gramEnd"/>
            <w:r w:rsidRPr="006815C5">
              <w:rPr>
                <w:rFonts w:ascii="Verdana" w:hAnsi="Verdana"/>
                <w:sz w:val="16"/>
                <w:szCs w:val="16"/>
                <w:lang w:val="en-US"/>
              </w:rPr>
              <w:t xml:space="preserve"> out quality, environmental, occupational health and safety audits;</w:t>
            </w:r>
          </w:p>
        </w:tc>
      </w:tr>
      <w:tr w:rsidR="003A38FF" w:rsidRPr="00D83DA2" w14:paraId="4B6C1245" w14:textId="3AAF9068" w:rsidTr="00FB5DAD">
        <w:tc>
          <w:tcPr>
            <w:tcW w:w="4706" w:type="dxa"/>
          </w:tcPr>
          <w:p w14:paraId="73F6501B"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XI.</w:t>
            </w:r>
            <w:r w:rsidRPr="00D0180E">
              <w:rPr>
                <w:rFonts w:ascii="Verdana" w:hAnsi="Verdana"/>
                <w:b/>
                <w:sz w:val="16"/>
                <w:szCs w:val="16"/>
              </w:rPr>
              <w:tab/>
            </w:r>
            <w:r w:rsidRPr="00D0180E">
              <w:rPr>
                <w:rFonts w:ascii="Verdana" w:hAnsi="Verdana"/>
                <w:sz w:val="16"/>
                <w:szCs w:val="16"/>
              </w:rPr>
              <w:t>Notificación de la ocurrencia de eventos de caso fortuito o fuerza mayor y fuerza mayor gubernamental;</w:t>
            </w:r>
          </w:p>
        </w:tc>
        <w:tc>
          <w:tcPr>
            <w:tcW w:w="4644" w:type="dxa"/>
          </w:tcPr>
          <w:p w14:paraId="7C43C922" w14:textId="2C6B8C19" w:rsidR="003A38FF" w:rsidRPr="00D0180E" w:rsidRDefault="003A38FF" w:rsidP="003A38FF">
            <w:pPr>
              <w:pStyle w:val="Texto"/>
              <w:spacing w:line="228" w:lineRule="exact"/>
              <w:ind w:firstLine="0"/>
              <w:rPr>
                <w:rFonts w:ascii="Verdana" w:hAnsi="Verdana"/>
                <w:b/>
                <w:sz w:val="16"/>
                <w:szCs w:val="16"/>
                <w:lang w:val="en-US"/>
              </w:rPr>
            </w:pPr>
            <w:r w:rsidRPr="006815C5">
              <w:rPr>
                <w:rFonts w:ascii="Verdana" w:hAnsi="Verdana"/>
                <w:b/>
                <w:sz w:val="16"/>
                <w:szCs w:val="16"/>
                <w:lang w:val="en-US"/>
              </w:rPr>
              <w:t>XI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Notification</w:t>
            </w:r>
            <w:proofErr w:type="gramEnd"/>
            <w:r w:rsidRPr="006815C5">
              <w:rPr>
                <w:rFonts w:ascii="Verdana" w:hAnsi="Verdana"/>
                <w:sz w:val="16"/>
                <w:szCs w:val="16"/>
                <w:lang w:val="en-US"/>
              </w:rPr>
              <w:t xml:space="preserve"> of the occurrence of events of fortuitous event or force majeure and governmental force majeure;</w:t>
            </w:r>
          </w:p>
        </w:tc>
      </w:tr>
      <w:tr w:rsidR="003A38FF" w:rsidRPr="00D83DA2" w14:paraId="53E2DC50" w14:textId="4F881802" w:rsidTr="00FB5DAD">
        <w:tc>
          <w:tcPr>
            <w:tcW w:w="4706" w:type="dxa"/>
          </w:tcPr>
          <w:p w14:paraId="0C05C1A7"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XII.</w:t>
            </w:r>
            <w:r w:rsidRPr="00D0180E">
              <w:rPr>
                <w:rFonts w:ascii="Verdana" w:hAnsi="Verdana"/>
                <w:b/>
                <w:sz w:val="16"/>
                <w:szCs w:val="16"/>
              </w:rPr>
              <w:tab/>
            </w:r>
            <w:r w:rsidRPr="00D0180E">
              <w:rPr>
                <w:rFonts w:ascii="Verdana" w:hAnsi="Verdana"/>
                <w:sz w:val="16"/>
                <w:szCs w:val="16"/>
              </w:rPr>
              <w:t>Notificación y configuración de eventos de incumplimiento de las partes;</w:t>
            </w:r>
          </w:p>
        </w:tc>
        <w:tc>
          <w:tcPr>
            <w:tcW w:w="4644" w:type="dxa"/>
          </w:tcPr>
          <w:p w14:paraId="330DEBE7" w14:textId="34EA76B8" w:rsidR="003A38FF" w:rsidRPr="00D0180E" w:rsidRDefault="003A38FF" w:rsidP="003A38FF">
            <w:pPr>
              <w:pStyle w:val="Texto"/>
              <w:spacing w:line="228" w:lineRule="exact"/>
              <w:ind w:firstLine="0"/>
              <w:rPr>
                <w:rFonts w:ascii="Verdana" w:hAnsi="Verdana"/>
                <w:b/>
                <w:sz w:val="16"/>
                <w:szCs w:val="16"/>
                <w:lang w:val="en-US"/>
              </w:rPr>
            </w:pPr>
            <w:r w:rsidRPr="006815C5">
              <w:rPr>
                <w:rFonts w:ascii="Verdana" w:hAnsi="Verdana"/>
                <w:b/>
                <w:sz w:val="16"/>
                <w:szCs w:val="16"/>
                <w:lang w:val="en-US"/>
              </w:rPr>
              <w:t>XII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Notification</w:t>
            </w:r>
            <w:proofErr w:type="gramEnd"/>
            <w:r w:rsidRPr="006815C5">
              <w:rPr>
                <w:rFonts w:ascii="Verdana" w:hAnsi="Verdana"/>
                <w:sz w:val="16"/>
                <w:szCs w:val="16"/>
                <w:lang w:val="en-US"/>
              </w:rPr>
              <w:t xml:space="preserve"> and configuration of events of non-compliance of the parties;</w:t>
            </w:r>
          </w:p>
        </w:tc>
      </w:tr>
      <w:tr w:rsidR="003A38FF" w:rsidRPr="00D83DA2" w14:paraId="225B5462" w14:textId="381FDB54" w:rsidTr="00FB5DAD">
        <w:tc>
          <w:tcPr>
            <w:tcW w:w="4706" w:type="dxa"/>
          </w:tcPr>
          <w:p w14:paraId="412ACF31"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XIII.</w:t>
            </w:r>
            <w:r w:rsidRPr="00D0180E">
              <w:rPr>
                <w:rFonts w:ascii="Verdana" w:hAnsi="Verdana"/>
                <w:b/>
                <w:sz w:val="16"/>
                <w:szCs w:val="16"/>
              </w:rPr>
              <w:tab/>
            </w:r>
            <w:r w:rsidRPr="00D0180E">
              <w:rPr>
                <w:rFonts w:ascii="Verdana" w:hAnsi="Verdana"/>
                <w:sz w:val="16"/>
                <w:szCs w:val="16"/>
              </w:rPr>
              <w:t>Los supuestos de rescisión y terminación anticipada del contrato y causales de incumplimiento de las partes;</w:t>
            </w:r>
          </w:p>
        </w:tc>
        <w:tc>
          <w:tcPr>
            <w:tcW w:w="4644" w:type="dxa"/>
          </w:tcPr>
          <w:p w14:paraId="392DFA43" w14:textId="21D9504E" w:rsidR="003A38FF" w:rsidRPr="00D0180E" w:rsidRDefault="003A38FF" w:rsidP="003A38FF">
            <w:pPr>
              <w:pStyle w:val="Texto"/>
              <w:spacing w:line="228" w:lineRule="exact"/>
              <w:ind w:firstLine="0"/>
              <w:rPr>
                <w:rFonts w:ascii="Verdana" w:hAnsi="Verdana"/>
                <w:b/>
                <w:sz w:val="16"/>
                <w:szCs w:val="16"/>
                <w:lang w:val="en-US"/>
              </w:rPr>
            </w:pPr>
            <w:r w:rsidRPr="006815C5">
              <w:rPr>
                <w:rFonts w:ascii="Verdana" w:hAnsi="Verdana"/>
                <w:b/>
                <w:sz w:val="16"/>
                <w:szCs w:val="16"/>
                <w:lang w:val="en-US"/>
              </w:rPr>
              <w:t>XIII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cases of rescission and early termination of the contract and causes of non-compliance by the parties;</w:t>
            </w:r>
          </w:p>
        </w:tc>
      </w:tr>
      <w:tr w:rsidR="003A38FF" w:rsidRPr="00D83DA2" w14:paraId="198FE35E" w14:textId="33E6A087" w:rsidTr="00FB5DAD">
        <w:tc>
          <w:tcPr>
            <w:tcW w:w="4706" w:type="dxa"/>
          </w:tcPr>
          <w:p w14:paraId="24C0F551"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XIV.</w:t>
            </w:r>
            <w:r w:rsidRPr="00D0180E">
              <w:rPr>
                <w:rFonts w:ascii="Verdana" w:hAnsi="Verdana"/>
                <w:b/>
                <w:sz w:val="16"/>
                <w:szCs w:val="16"/>
              </w:rPr>
              <w:tab/>
            </w:r>
            <w:r w:rsidRPr="00D0180E">
              <w:rPr>
                <w:rFonts w:ascii="Verdana" w:hAnsi="Verdana"/>
                <w:sz w:val="16"/>
                <w:szCs w:val="16"/>
              </w:rPr>
              <w:t xml:space="preserve">Establecer la metodología para determinar el valor de los activos de las instalaciones del proyecto en caso de terminación anticipada del contrato, ya sea por algún evento de incumplimiento de las obligaciones, o </w:t>
            </w:r>
            <w:r w:rsidRPr="00D0180E">
              <w:rPr>
                <w:rFonts w:ascii="Verdana" w:hAnsi="Verdana"/>
                <w:sz w:val="16"/>
                <w:szCs w:val="16"/>
              </w:rPr>
              <w:lastRenderedPageBreak/>
              <w:t>bien por caso fortuito o fuerza mayor de alguna de las partes;</w:t>
            </w:r>
          </w:p>
        </w:tc>
        <w:tc>
          <w:tcPr>
            <w:tcW w:w="4644" w:type="dxa"/>
          </w:tcPr>
          <w:p w14:paraId="31A919C2" w14:textId="28EA838C"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lastRenderedPageBreak/>
              <w:t xml:space="preserve">XIV. </w:t>
            </w:r>
            <w:r w:rsidRPr="006815C5">
              <w:rPr>
                <w:rFonts w:ascii="Verdana" w:hAnsi="Verdana"/>
                <w:b/>
                <w:sz w:val="16"/>
                <w:szCs w:val="16"/>
                <w:lang w:val="en-US"/>
              </w:rPr>
              <w:tab/>
            </w:r>
            <w:r w:rsidRPr="006815C5">
              <w:rPr>
                <w:rFonts w:ascii="Verdana" w:hAnsi="Verdana"/>
                <w:sz w:val="16"/>
                <w:szCs w:val="16"/>
                <w:lang w:val="en-US"/>
              </w:rPr>
              <w:t xml:space="preserve">Establish the methodology to determine the value of the assets of the project facilities in the event of early termination of the contract, whether due to an </w:t>
            </w:r>
            <w:r w:rsidRPr="006815C5">
              <w:rPr>
                <w:rFonts w:ascii="Verdana" w:hAnsi="Verdana"/>
                <w:sz w:val="16"/>
                <w:szCs w:val="16"/>
                <w:lang w:val="en-US"/>
              </w:rPr>
              <w:lastRenderedPageBreak/>
              <w:t>event of non-compliance with the obligations, or due to an act of God or force majeure of one of the parties;</w:t>
            </w:r>
          </w:p>
        </w:tc>
      </w:tr>
      <w:tr w:rsidR="003A38FF" w:rsidRPr="00D83DA2" w14:paraId="1A98E585" w14:textId="3F4E0297" w:rsidTr="00FB5DAD">
        <w:tc>
          <w:tcPr>
            <w:tcW w:w="4706" w:type="dxa"/>
          </w:tcPr>
          <w:p w14:paraId="401256CE"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lastRenderedPageBreak/>
              <w:t>XV.</w:t>
            </w:r>
            <w:r w:rsidRPr="00D0180E">
              <w:rPr>
                <w:rFonts w:ascii="Verdana" w:hAnsi="Verdana"/>
                <w:b/>
                <w:sz w:val="16"/>
                <w:szCs w:val="16"/>
              </w:rPr>
              <w:tab/>
            </w:r>
            <w:r w:rsidRPr="00D0180E">
              <w:rPr>
                <w:rFonts w:ascii="Verdana" w:hAnsi="Verdana"/>
                <w:sz w:val="16"/>
                <w:szCs w:val="16"/>
              </w:rPr>
              <w:t>Las penas convencionales y sanciones aplicables por el incumplimiento a lo previsto en el contrato, que sea imputable tanto a la persona particular como a la Empresa Pública del Estado, la cual debe incluir el pago por la energía de sustitución;</w:t>
            </w:r>
          </w:p>
        </w:tc>
        <w:tc>
          <w:tcPr>
            <w:tcW w:w="4644" w:type="dxa"/>
          </w:tcPr>
          <w:p w14:paraId="2EC62FE7" w14:textId="553A8AF9"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t>XV</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conventional penalties and sanctions applicable for non-compliance with the provisions of the contract, which is attributable to both the individual and the </w:t>
            </w:r>
            <w:r>
              <w:rPr>
                <w:rFonts w:ascii="Verdana" w:hAnsi="Verdana"/>
                <w:sz w:val="16"/>
                <w:szCs w:val="16"/>
                <w:lang w:val="en-US"/>
              </w:rPr>
              <w:t>State Public Enterprise,</w:t>
            </w:r>
            <w:r w:rsidRPr="006815C5">
              <w:rPr>
                <w:rFonts w:ascii="Verdana" w:hAnsi="Verdana"/>
                <w:sz w:val="16"/>
                <w:szCs w:val="16"/>
                <w:lang w:val="en-US"/>
              </w:rPr>
              <w:t xml:space="preserve"> which must include payment for replacement energy;</w:t>
            </w:r>
          </w:p>
        </w:tc>
      </w:tr>
      <w:tr w:rsidR="003A38FF" w:rsidRPr="00D83DA2" w14:paraId="6D223ABE" w14:textId="04286A9E" w:rsidTr="00FB5DAD">
        <w:tc>
          <w:tcPr>
            <w:tcW w:w="4706" w:type="dxa"/>
          </w:tcPr>
          <w:p w14:paraId="76A9DA22"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XVI.</w:t>
            </w:r>
            <w:r w:rsidRPr="00D0180E">
              <w:rPr>
                <w:rFonts w:ascii="Verdana" w:hAnsi="Verdana"/>
                <w:b/>
                <w:sz w:val="16"/>
                <w:szCs w:val="16"/>
              </w:rPr>
              <w:tab/>
            </w:r>
            <w:r w:rsidRPr="00D0180E">
              <w:rPr>
                <w:rFonts w:ascii="Verdana" w:hAnsi="Verdana"/>
                <w:sz w:val="16"/>
                <w:szCs w:val="16"/>
              </w:rPr>
              <w:t>Pago de daños y perjuicios derivados de incumplimientos a las obligaciones contractuales;</w:t>
            </w:r>
          </w:p>
        </w:tc>
        <w:tc>
          <w:tcPr>
            <w:tcW w:w="4644" w:type="dxa"/>
          </w:tcPr>
          <w:p w14:paraId="1D8EDDA2" w14:textId="7B5CE839"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t>XVI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Payment</w:t>
            </w:r>
            <w:proofErr w:type="gramEnd"/>
            <w:r w:rsidRPr="006815C5">
              <w:rPr>
                <w:rFonts w:ascii="Verdana" w:hAnsi="Verdana"/>
                <w:sz w:val="16"/>
                <w:szCs w:val="16"/>
                <w:lang w:val="en-US"/>
              </w:rPr>
              <w:t xml:space="preserve"> of damages arising from breaches of contractual obligations;</w:t>
            </w:r>
          </w:p>
        </w:tc>
      </w:tr>
      <w:tr w:rsidR="003A38FF" w:rsidRPr="00D83DA2" w14:paraId="58B4A583" w14:textId="0CD9461A" w:rsidTr="00FB5DAD">
        <w:tc>
          <w:tcPr>
            <w:tcW w:w="4706" w:type="dxa"/>
          </w:tcPr>
          <w:p w14:paraId="5534768B"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XVII.</w:t>
            </w:r>
            <w:r w:rsidRPr="00D0180E">
              <w:rPr>
                <w:rFonts w:ascii="Verdana" w:hAnsi="Verdana"/>
                <w:b/>
                <w:sz w:val="16"/>
                <w:szCs w:val="16"/>
              </w:rPr>
              <w:tab/>
            </w:r>
            <w:r w:rsidRPr="00D0180E">
              <w:rPr>
                <w:rFonts w:ascii="Verdana" w:hAnsi="Verdana"/>
                <w:sz w:val="16"/>
                <w:szCs w:val="16"/>
              </w:rPr>
              <w:t>Los procedimientos de solución de controversias, incluida la jurisdicción a que deben someterse las partes y, en su caso, las reglas de arbitraje aplicables, y</w:t>
            </w:r>
          </w:p>
        </w:tc>
        <w:tc>
          <w:tcPr>
            <w:tcW w:w="4644" w:type="dxa"/>
          </w:tcPr>
          <w:p w14:paraId="06631A68" w14:textId="3645C93F"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t>XVII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Dispute</w:t>
            </w:r>
            <w:proofErr w:type="gramEnd"/>
            <w:r w:rsidRPr="006815C5">
              <w:rPr>
                <w:rFonts w:ascii="Verdana" w:hAnsi="Verdana"/>
                <w:sz w:val="16"/>
                <w:szCs w:val="16"/>
                <w:lang w:val="en-US"/>
              </w:rPr>
              <w:t xml:space="preserve"> settlement procedures, including the jurisdiction to which the parties must submit and, where applicable, the applicable arbitration rules, and</w:t>
            </w:r>
          </w:p>
        </w:tc>
      </w:tr>
      <w:tr w:rsidR="003A38FF" w:rsidRPr="00D83DA2" w14:paraId="65C735A8" w14:textId="22F8BBC9" w:rsidTr="00FB5DAD">
        <w:tc>
          <w:tcPr>
            <w:tcW w:w="4706" w:type="dxa"/>
          </w:tcPr>
          <w:p w14:paraId="253E6576"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XVIII.</w:t>
            </w:r>
            <w:r w:rsidRPr="00D0180E">
              <w:rPr>
                <w:rFonts w:ascii="Verdana" w:hAnsi="Verdana"/>
                <w:b/>
                <w:sz w:val="16"/>
                <w:szCs w:val="16"/>
              </w:rPr>
              <w:tab/>
            </w:r>
            <w:r w:rsidRPr="00D0180E">
              <w:rPr>
                <w:rFonts w:ascii="Verdana" w:hAnsi="Verdana"/>
                <w:sz w:val="16"/>
                <w:szCs w:val="16"/>
              </w:rPr>
              <w:t>Lo demás que las partes acuerden necesario.</w:t>
            </w:r>
          </w:p>
        </w:tc>
        <w:tc>
          <w:tcPr>
            <w:tcW w:w="4644" w:type="dxa"/>
          </w:tcPr>
          <w:p w14:paraId="3B48C3BE" w14:textId="2E463727"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t>XVIII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Any</w:t>
            </w:r>
            <w:proofErr w:type="gramEnd"/>
            <w:r w:rsidRPr="006815C5">
              <w:rPr>
                <w:rFonts w:ascii="Verdana" w:hAnsi="Verdana"/>
                <w:sz w:val="16"/>
                <w:szCs w:val="16"/>
                <w:lang w:val="en-US"/>
              </w:rPr>
              <w:t xml:space="preserve"> other matters that the parties agree upon as necessary.</w:t>
            </w:r>
          </w:p>
        </w:tc>
      </w:tr>
      <w:tr w:rsidR="003A38FF" w:rsidRPr="00D83DA2" w14:paraId="290C26E5" w14:textId="718A32ED" w:rsidTr="00FB5DAD">
        <w:tc>
          <w:tcPr>
            <w:tcW w:w="4706" w:type="dxa"/>
          </w:tcPr>
          <w:p w14:paraId="26626D69"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Artículo 82</w:t>
            </w:r>
            <w:r w:rsidRPr="00D0180E">
              <w:rPr>
                <w:rFonts w:ascii="Verdana" w:hAnsi="Verdana"/>
                <w:sz w:val="16"/>
                <w:szCs w:val="16"/>
              </w:rPr>
              <w:t>. En los casos en que las personas particulares, bajo el esquema de producción de largo plazo, no generen ni entreguen energía eléctrica por indisponibilidad de la Central Eléctrica imputable a ellas, la Empresa Pública del Estado se ve obligada a adquirir energía eléctrica de terceras personas o en el Mercado Eléctrico Mayorista para cumplir con sus compromisos y garantizar la confiabilidad y continuidad del suministro eléctrico. Dicho incumplimiento debe ser penalizado conforme a los términos contractuales, por los daños y perjuicios ocasionados. La energía adquirida por la Empresa Pública del Estado bajo este supuesto se entiende como energía de sustitución.</w:t>
            </w:r>
          </w:p>
        </w:tc>
        <w:tc>
          <w:tcPr>
            <w:tcW w:w="4644" w:type="dxa"/>
          </w:tcPr>
          <w:p w14:paraId="5DD0A54F" w14:textId="3166892F"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t xml:space="preserve">Article 82. </w:t>
            </w:r>
            <w:r w:rsidRPr="006815C5">
              <w:rPr>
                <w:rFonts w:ascii="Verdana" w:hAnsi="Verdana"/>
                <w:sz w:val="16"/>
                <w:szCs w:val="16"/>
                <w:lang w:val="en-US"/>
              </w:rPr>
              <w:t xml:space="preserve">In cases where private individuals, under the </w:t>
            </w:r>
            <w:proofErr w:type="gramStart"/>
            <w:r w:rsidR="009E2B03">
              <w:rPr>
                <w:rFonts w:ascii="Verdana" w:hAnsi="Verdana"/>
                <w:sz w:val="16"/>
                <w:szCs w:val="16"/>
                <w:lang w:val="en-US"/>
              </w:rPr>
              <w:t>long term</w:t>
            </w:r>
            <w:proofErr w:type="gramEnd"/>
            <w:r w:rsidRPr="006815C5">
              <w:rPr>
                <w:rFonts w:ascii="Verdana" w:hAnsi="Verdana"/>
                <w:sz w:val="16"/>
                <w:szCs w:val="16"/>
                <w:lang w:val="en-US"/>
              </w:rPr>
              <w:t xml:space="preserve"> production scheme, do not generate or deliver electricity due to the unavailability of the </w:t>
            </w:r>
            <w:r>
              <w:rPr>
                <w:rFonts w:ascii="Verdana" w:hAnsi="Verdana"/>
                <w:sz w:val="16"/>
                <w:szCs w:val="16"/>
                <w:lang w:val="en-US"/>
              </w:rPr>
              <w:t>power plant</w:t>
            </w:r>
            <w:r w:rsidRPr="006815C5">
              <w:rPr>
                <w:rFonts w:ascii="Verdana" w:hAnsi="Verdana"/>
                <w:sz w:val="16"/>
                <w:szCs w:val="16"/>
                <w:lang w:val="en-US"/>
              </w:rPr>
              <w:t xml:space="preserve"> attributable to them, the State-owned Public Enterprise is obligated to purchase electricity from third parties or from the Wholesale Electricity Market to fulfill its commitments and guarantee the reliability and continuity of the electricity supply. Such noncompliance must be penalized in accordance with the contractual terms, for the </w:t>
            </w:r>
            <w:proofErr w:type="gramStart"/>
            <w:r w:rsidRPr="006815C5">
              <w:rPr>
                <w:rFonts w:ascii="Verdana" w:hAnsi="Verdana"/>
                <w:sz w:val="16"/>
                <w:szCs w:val="16"/>
                <w:lang w:val="en-US"/>
              </w:rPr>
              <w:t>damages</w:t>
            </w:r>
            <w:proofErr w:type="gramEnd"/>
            <w:r w:rsidRPr="006815C5">
              <w:rPr>
                <w:rFonts w:ascii="Verdana" w:hAnsi="Verdana"/>
                <w:sz w:val="16"/>
                <w:szCs w:val="16"/>
                <w:lang w:val="en-US"/>
              </w:rPr>
              <w:t xml:space="preserve"> caused. The energy acquired by the State-owned Public Enterprise under this assumption is understood as replacement energy.</w:t>
            </w:r>
          </w:p>
        </w:tc>
      </w:tr>
      <w:tr w:rsidR="003A38FF" w:rsidRPr="00D83DA2" w14:paraId="0364D08C" w14:textId="2862A13E" w:rsidTr="00FB5DAD">
        <w:tc>
          <w:tcPr>
            <w:tcW w:w="4706" w:type="dxa"/>
          </w:tcPr>
          <w:p w14:paraId="523CD92F"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Artículo 83.</w:t>
            </w:r>
            <w:r w:rsidRPr="00D0180E">
              <w:rPr>
                <w:rFonts w:ascii="Verdana" w:hAnsi="Verdana"/>
                <w:sz w:val="16"/>
                <w:szCs w:val="16"/>
              </w:rPr>
              <w:t xml:space="preserve"> El pago por capacidad se debe ajustar cada mes a través de un coeficiente calculado en función del factor de disponibilidad observado para dicho lapso. Dicho coeficiente, de acuerdo con lo que se prevea en los contratos de producción de largo plazo correspondientes, puede ser:</w:t>
            </w:r>
          </w:p>
        </w:tc>
        <w:tc>
          <w:tcPr>
            <w:tcW w:w="4644" w:type="dxa"/>
          </w:tcPr>
          <w:p w14:paraId="6AD07D52" w14:textId="169B0232"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t xml:space="preserve">Article 83. </w:t>
            </w:r>
            <w:r>
              <w:rPr>
                <w:rFonts w:ascii="Verdana" w:hAnsi="Verdana"/>
                <w:sz w:val="16"/>
                <w:szCs w:val="16"/>
                <w:lang w:val="en-US"/>
              </w:rPr>
              <w:t>The c</w:t>
            </w:r>
            <w:r w:rsidRPr="006815C5">
              <w:rPr>
                <w:rFonts w:ascii="Verdana" w:hAnsi="Verdana"/>
                <w:sz w:val="16"/>
                <w:szCs w:val="16"/>
                <w:lang w:val="en-US"/>
              </w:rPr>
              <w:t xml:space="preserve">apacity payment must be adjusted each month by a coefficient calculated based on the availability factor observed for that period. This coefficient, in accordance with the provisions of the corresponding </w:t>
            </w:r>
            <w:proofErr w:type="gramStart"/>
            <w:r w:rsidR="009E2B03">
              <w:rPr>
                <w:rFonts w:ascii="Verdana" w:hAnsi="Verdana"/>
                <w:sz w:val="16"/>
                <w:szCs w:val="16"/>
                <w:lang w:val="en-US"/>
              </w:rPr>
              <w:t>long term</w:t>
            </w:r>
            <w:proofErr w:type="gramEnd"/>
            <w:r w:rsidRPr="006815C5">
              <w:rPr>
                <w:rFonts w:ascii="Verdana" w:hAnsi="Verdana"/>
                <w:sz w:val="16"/>
                <w:szCs w:val="16"/>
                <w:lang w:val="en-US"/>
              </w:rPr>
              <w:t xml:space="preserve"> production contracts, may be:</w:t>
            </w:r>
          </w:p>
        </w:tc>
      </w:tr>
      <w:tr w:rsidR="003A38FF" w:rsidRPr="00D83DA2" w14:paraId="3BD33295" w14:textId="5B649CA9" w:rsidTr="00FB5DAD">
        <w:tc>
          <w:tcPr>
            <w:tcW w:w="4706" w:type="dxa"/>
          </w:tcPr>
          <w:p w14:paraId="4DA1309F"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Idéntico a la unidad, cuando el factor de disponibilidad observado se encuentre dentro de los valores previstos;</w:t>
            </w:r>
          </w:p>
        </w:tc>
        <w:tc>
          <w:tcPr>
            <w:tcW w:w="4644" w:type="dxa"/>
          </w:tcPr>
          <w:p w14:paraId="3DDAF28F" w14:textId="64FF5086"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t>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Identical</w:t>
            </w:r>
            <w:proofErr w:type="gramEnd"/>
            <w:r w:rsidRPr="006815C5">
              <w:rPr>
                <w:rFonts w:ascii="Verdana" w:hAnsi="Verdana"/>
                <w:sz w:val="16"/>
                <w:szCs w:val="16"/>
                <w:lang w:val="en-US"/>
              </w:rPr>
              <w:t xml:space="preserve"> to </w:t>
            </w:r>
            <w:r>
              <w:rPr>
                <w:rFonts w:ascii="Verdana" w:hAnsi="Verdana"/>
                <w:sz w:val="16"/>
                <w:szCs w:val="16"/>
                <w:lang w:val="en-US"/>
              </w:rPr>
              <w:t xml:space="preserve">the </w:t>
            </w:r>
            <w:r w:rsidRPr="006815C5">
              <w:rPr>
                <w:rFonts w:ascii="Verdana" w:hAnsi="Verdana"/>
                <w:sz w:val="16"/>
                <w:szCs w:val="16"/>
                <w:lang w:val="en-US"/>
              </w:rPr>
              <w:t>unit, when the observed availability factor is within the expected values;</w:t>
            </w:r>
          </w:p>
        </w:tc>
      </w:tr>
      <w:tr w:rsidR="003A38FF" w:rsidRPr="00D83DA2" w14:paraId="605B4E2C" w14:textId="139838C2" w:rsidTr="00FB5DAD">
        <w:tc>
          <w:tcPr>
            <w:tcW w:w="4706" w:type="dxa"/>
          </w:tcPr>
          <w:p w14:paraId="30484A68"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Mayor que la unidad, cuando el factor de disponibilidad sea superior al valor alto previsto;</w:t>
            </w:r>
          </w:p>
        </w:tc>
        <w:tc>
          <w:tcPr>
            <w:tcW w:w="4644" w:type="dxa"/>
          </w:tcPr>
          <w:p w14:paraId="51C63807" w14:textId="2D3BD591"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t>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Greater</w:t>
            </w:r>
            <w:proofErr w:type="gramEnd"/>
            <w:r w:rsidRPr="006815C5">
              <w:rPr>
                <w:rFonts w:ascii="Verdana" w:hAnsi="Verdana"/>
                <w:sz w:val="16"/>
                <w:szCs w:val="16"/>
                <w:lang w:val="en-US"/>
              </w:rPr>
              <w:t xml:space="preserve"> than </w:t>
            </w:r>
            <w:r>
              <w:rPr>
                <w:rFonts w:ascii="Verdana" w:hAnsi="Verdana"/>
                <w:sz w:val="16"/>
                <w:szCs w:val="16"/>
                <w:lang w:val="en-US"/>
              </w:rPr>
              <w:t>the unit</w:t>
            </w:r>
            <w:r w:rsidRPr="006815C5">
              <w:rPr>
                <w:rFonts w:ascii="Verdana" w:hAnsi="Verdana"/>
                <w:sz w:val="16"/>
                <w:szCs w:val="16"/>
                <w:lang w:val="en-US"/>
              </w:rPr>
              <w:t>, when the availability factor is higher than the expected high value;</w:t>
            </w:r>
          </w:p>
        </w:tc>
      </w:tr>
      <w:tr w:rsidR="003A38FF" w:rsidRPr="00D83DA2" w14:paraId="18C3FEBF" w14:textId="3C603E4F" w:rsidTr="00FB5DAD">
        <w:tc>
          <w:tcPr>
            <w:tcW w:w="4706" w:type="dxa"/>
          </w:tcPr>
          <w:p w14:paraId="29D2D862"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Menor que la unidad, cuando el factor de disponibilidad sea menor al valor bajo previsto, y</w:t>
            </w:r>
          </w:p>
        </w:tc>
        <w:tc>
          <w:tcPr>
            <w:tcW w:w="4644" w:type="dxa"/>
          </w:tcPr>
          <w:p w14:paraId="53432767" w14:textId="6773CC02"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t>III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Less</w:t>
            </w:r>
            <w:proofErr w:type="gramEnd"/>
            <w:r w:rsidRPr="006815C5">
              <w:rPr>
                <w:rFonts w:ascii="Verdana" w:hAnsi="Verdana"/>
                <w:sz w:val="16"/>
                <w:szCs w:val="16"/>
                <w:lang w:val="en-US"/>
              </w:rPr>
              <w:t xml:space="preserve"> than </w:t>
            </w:r>
            <w:r>
              <w:rPr>
                <w:rFonts w:ascii="Verdana" w:hAnsi="Verdana"/>
                <w:sz w:val="16"/>
                <w:szCs w:val="16"/>
                <w:lang w:val="en-US"/>
              </w:rPr>
              <w:t>the unit</w:t>
            </w:r>
            <w:r w:rsidRPr="006815C5">
              <w:rPr>
                <w:rFonts w:ascii="Verdana" w:hAnsi="Verdana"/>
                <w:sz w:val="16"/>
                <w:szCs w:val="16"/>
                <w:lang w:val="en-US"/>
              </w:rPr>
              <w:t>, when the availability factor is less than the expected low value, and</w:t>
            </w:r>
          </w:p>
        </w:tc>
      </w:tr>
      <w:tr w:rsidR="003A38FF" w:rsidRPr="00D83DA2" w14:paraId="43323788" w14:textId="524B77ED" w:rsidTr="00FB5DAD">
        <w:tc>
          <w:tcPr>
            <w:tcW w:w="4706" w:type="dxa"/>
          </w:tcPr>
          <w:p w14:paraId="3210A261"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Igual a cero, cuando el factor de disponibilidad sea inferior al mínimo previsto.</w:t>
            </w:r>
          </w:p>
        </w:tc>
        <w:tc>
          <w:tcPr>
            <w:tcW w:w="4644" w:type="dxa"/>
          </w:tcPr>
          <w:p w14:paraId="3444B350" w14:textId="4283BEE6"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t>IV</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Equal</w:t>
            </w:r>
            <w:proofErr w:type="gramEnd"/>
            <w:r w:rsidRPr="006815C5">
              <w:rPr>
                <w:rFonts w:ascii="Verdana" w:hAnsi="Verdana"/>
                <w:sz w:val="16"/>
                <w:szCs w:val="16"/>
                <w:lang w:val="en-US"/>
              </w:rPr>
              <w:t xml:space="preserve"> to zero, when the availability factor is lower than the minimum expected.</w:t>
            </w:r>
          </w:p>
        </w:tc>
      </w:tr>
      <w:tr w:rsidR="003A38FF" w:rsidRPr="00D83DA2" w14:paraId="44EFA9AB" w14:textId="4A9FD356" w:rsidTr="00FB5DAD">
        <w:tc>
          <w:tcPr>
            <w:tcW w:w="4706" w:type="dxa"/>
          </w:tcPr>
          <w:p w14:paraId="78894381" w14:textId="77777777" w:rsidR="003A38FF" w:rsidRPr="00D0180E" w:rsidRDefault="003A38FF" w:rsidP="003A38FF">
            <w:pPr>
              <w:pStyle w:val="Texto"/>
              <w:spacing w:line="220" w:lineRule="exact"/>
              <w:ind w:firstLine="0"/>
              <w:rPr>
                <w:rFonts w:ascii="Verdana" w:hAnsi="Verdana"/>
                <w:b/>
                <w:sz w:val="16"/>
                <w:szCs w:val="16"/>
              </w:rPr>
            </w:pPr>
            <w:r w:rsidRPr="00D0180E">
              <w:rPr>
                <w:rFonts w:ascii="Verdana" w:hAnsi="Verdana"/>
                <w:sz w:val="16"/>
                <w:szCs w:val="16"/>
              </w:rPr>
              <w:t>En ningún caso el factor de disponibilidad aplicado puede considerarse como daño, perjuicio o como una pena convencional en términos de los contratos.</w:t>
            </w:r>
          </w:p>
        </w:tc>
        <w:tc>
          <w:tcPr>
            <w:tcW w:w="4644" w:type="dxa"/>
          </w:tcPr>
          <w:p w14:paraId="707B6AD2" w14:textId="533F4EB4" w:rsidR="003A38FF" w:rsidRPr="00D0180E" w:rsidRDefault="003A38FF" w:rsidP="003A38FF">
            <w:pPr>
              <w:pStyle w:val="Texto"/>
              <w:spacing w:line="220" w:lineRule="exact"/>
              <w:ind w:firstLine="0"/>
              <w:rPr>
                <w:rFonts w:ascii="Verdana" w:hAnsi="Verdana"/>
                <w:sz w:val="16"/>
                <w:szCs w:val="16"/>
                <w:lang w:val="en-US"/>
              </w:rPr>
            </w:pPr>
            <w:r w:rsidRPr="006815C5">
              <w:rPr>
                <w:rFonts w:ascii="Verdana" w:hAnsi="Verdana"/>
                <w:sz w:val="16"/>
                <w:szCs w:val="16"/>
                <w:lang w:val="en-US"/>
              </w:rPr>
              <w:t>In no case may the applied availability factor be considered as damage, loss or as a conventional penalty in terms of contracts.</w:t>
            </w:r>
          </w:p>
        </w:tc>
      </w:tr>
      <w:tr w:rsidR="003A38FF" w:rsidRPr="00D0180E" w14:paraId="54EFD697" w14:textId="49BDFFA9" w:rsidTr="00FB5DAD">
        <w:tc>
          <w:tcPr>
            <w:tcW w:w="4706" w:type="dxa"/>
          </w:tcPr>
          <w:p w14:paraId="394CDE10" w14:textId="77777777" w:rsidR="003A38FF" w:rsidRPr="00D0180E" w:rsidRDefault="003A38FF" w:rsidP="003A38FF">
            <w:pPr>
              <w:pStyle w:val="Texto"/>
              <w:spacing w:line="220" w:lineRule="exact"/>
              <w:ind w:firstLine="0"/>
              <w:jc w:val="center"/>
              <w:rPr>
                <w:rFonts w:ascii="Verdana" w:hAnsi="Verdana"/>
                <w:b/>
                <w:sz w:val="16"/>
                <w:szCs w:val="16"/>
              </w:rPr>
            </w:pPr>
            <w:r w:rsidRPr="00D0180E">
              <w:rPr>
                <w:rFonts w:ascii="Verdana" w:hAnsi="Verdana"/>
                <w:b/>
                <w:sz w:val="16"/>
                <w:szCs w:val="16"/>
              </w:rPr>
              <w:t>Sección III</w:t>
            </w:r>
          </w:p>
        </w:tc>
        <w:tc>
          <w:tcPr>
            <w:tcW w:w="4644" w:type="dxa"/>
          </w:tcPr>
          <w:p w14:paraId="1905DC86" w14:textId="3EBB1E5E" w:rsidR="003A38FF" w:rsidRPr="001874B0" w:rsidRDefault="003A38FF" w:rsidP="003A38FF">
            <w:pPr>
              <w:pStyle w:val="Texto"/>
              <w:spacing w:line="220" w:lineRule="exact"/>
              <w:ind w:firstLine="0"/>
              <w:jc w:val="center"/>
              <w:rPr>
                <w:rFonts w:ascii="Verdana" w:hAnsi="Verdana"/>
                <w:b/>
                <w:sz w:val="16"/>
                <w:szCs w:val="16"/>
                <w:lang w:val="en-US"/>
              </w:rPr>
            </w:pPr>
            <w:r w:rsidRPr="001874B0">
              <w:rPr>
                <w:rFonts w:ascii="Verdana" w:hAnsi="Verdana"/>
                <w:b/>
                <w:sz w:val="16"/>
                <w:szCs w:val="16"/>
                <w:lang w:val="en-US"/>
              </w:rPr>
              <w:t>Section III</w:t>
            </w:r>
          </w:p>
        </w:tc>
      </w:tr>
      <w:tr w:rsidR="003A38FF" w:rsidRPr="00D0180E" w14:paraId="280C03F9" w14:textId="10E9CA43" w:rsidTr="00FB5DAD">
        <w:tc>
          <w:tcPr>
            <w:tcW w:w="4706" w:type="dxa"/>
          </w:tcPr>
          <w:p w14:paraId="10084356" w14:textId="77777777" w:rsidR="003A38FF" w:rsidRPr="00D0180E" w:rsidRDefault="003A38FF" w:rsidP="003A38FF">
            <w:pPr>
              <w:pStyle w:val="Texto"/>
              <w:spacing w:line="220" w:lineRule="exact"/>
              <w:ind w:firstLine="0"/>
              <w:jc w:val="center"/>
              <w:rPr>
                <w:rFonts w:ascii="Verdana" w:hAnsi="Verdana"/>
                <w:b/>
                <w:sz w:val="16"/>
                <w:szCs w:val="16"/>
              </w:rPr>
            </w:pPr>
            <w:r w:rsidRPr="00D0180E">
              <w:rPr>
                <w:rFonts w:ascii="Verdana" w:hAnsi="Verdana"/>
                <w:b/>
                <w:sz w:val="16"/>
                <w:szCs w:val="16"/>
              </w:rPr>
              <w:t>Inversión Mixta</w:t>
            </w:r>
          </w:p>
        </w:tc>
        <w:tc>
          <w:tcPr>
            <w:tcW w:w="4644" w:type="dxa"/>
          </w:tcPr>
          <w:p w14:paraId="74012E0D" w14:textId="2B88C0DC" w:rsidR="003A38FF" w:rsidRPr="001874B0" w:rsidRDefault="003A38FF" w:rsidP="003A38FF">
            <w:pPr>
              <w:pStyle w:val="Texto"/>
              <w:spacing w:line="220" w:lineRule="exact"/>
              <w:ind w:firstLine="0"/>
              <w:jc w:val="center"/>
              <w:rPr>
                <w:rFonts w:ascii="Verdana" w:hAnsi="Verdana"/>
                <w:b/>
                <w:sz w:val="16"/>
                <w:szCs w:val="16"/>
                <w:lang w:val="en-US"/>
              </w:rPr>
            </w:pPr>
            <w:r w:rsidRPr="001874B0">
              <w:rPr>
                <w:rFonts w:ascii="Verdana" w:hAnsi="Verdana"/>
                <w:b/>
                <w:sz w:val="16"/>
                <w:szCs w:val="16"/>
                <w:lang w:val="en-US"/>
              </w:rPr>
              <w:t>Mixed Investment</w:t>
            </w:r>
          </w:p>
        </w:tc>
      </w:tr>
      <w:tr w:rsidR="003A38FF" w:rsidRPr="00D83DA2" w14:paraId="79ABE3DE" w14:textId="6C508E06" w:rsidTr="00FB5DAD">
        <w:tc>
          <w:tcPr>
            <w:tcW w:w="4706" w:type="dxa"/>
          </w:tcPr>
          <w:p w14:paraId="7001371A"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 xml:space="preserve">Artículo 84. </w:t>
            </w:r>
            <w:r w:rsidRPr="00D0180E">
              <w:rPr>
                <w:rFonts w:ascii="Verdana" w:hAnsi="Verdana"/>
                <w:sz w:val="16"/>
                <w:szCs w:val="16"/>
              </w:rPr>
              <w:t xml:space="preserve">La inversión mixta es un esquema que se desarrolla de manera conjunta por las personas particulares y la Empresa Pública del Estado, para la construcción, financiamiento, operación y </w:t>
            </w:r>
            <w:r w:rsidRPr="00D0180E">
              <w:rPr>
                <w:rFonts w:ascii="Verdana" w:hAnsi="Verdana"/>
                <w:sz w:val="16"/>
                <w:szCs w:val="16"/>
              </w:rPr>
              <w:lastRenderedPageBreak/>
              <w:t>mantenimiento de Centrales Eléctricas, su infraestructura asociada y obras accesorias que permiten generar energía eléctrica y Productos Asociados.</w:t>
            </w:r>
          </w:p>
        </w:tc>
        <w:tc>
          <w:tcPr>
            <w:tcW w:w="4644" w:type="dxa"/>
          </w:tcPr>
          <w:p w14:paraId="69656C32" w14:textId="44421915"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lastRenderedPageBreak/>
              <w:t xml:space="preserve">Article 84. </w:t>
            </w:r>
            <w:r w:rsidRPr="006815C5">
              <w:rPr>
                <w:rFonts w:ascii="Verdana" w:hAnsi="Verdana"/>
                <w:sz w:val="16"/>
                <w:szCs w:val="16"/>
                <w:lang w:val="en-US"/>
              </w:rPr>
              <w:t xml:space="preserve">Mixed investment is a scheme developed jointly by private individuals and the </w:t>
            </w:r>
            <w:proofErr w:type="gramStart"/>
            <w:r w:rsidRPr="006815C5">
              <w:rPr>
                <w:rFonts w:ascii="Verdana" w:hAnsi="Verdana"/>
                <w:sz w:val="16"/>
                <w:szCs w:val="16"/>
                <w:lang w:val="en-US"/>
              </w:rPr>
              <w:t xml:space="preserve">State </w:t>
            </w:r>
            <w:r>
              <w:rPr>
                <w:rFonts w:ascii="Verdana" w:hAnsi="Verdana"/>
                <w:sz w:val="16"/>
                <w:szCs w:val="16"/>
                <w:lang w:val="en-US"/>
              </w:rPr>
              <w:t>owned</w:t>
            </w:r>
            <w:proofErr w:type="gramEnd"/>
            <w:r w:rsidRPr="006815C5">
              <w:rPr>
                <w:rFonts w:ascii="Verdana" w:hAnsi="Verdana"/>
                <w:sz w:val="16"/>
                <w:szCs w:val="16"/>
                <w:lang w:val="en-US"/>
              </w:rPr>
              <w:t xml:space="preserve"> </w:t>
            </w:r>
            <w:r>
              <w:rPr>
                <w:rFonts w:ascii="Verdana" w:hAnsi="Verdana"/>
                <w:sz w:val="16"/>
                <w:szCs w:val="16"/>
                <w:lang w:val="en-US"/>
              </w:rPr>
              <w:t>e</w:t>
            </w:r>
            <w:r w:rsidRPr="006815C5">
              <w:rPr>
                <w:rFonts w:ascii="Verdana" w:hAnsi="Verdana"/>
                <w:sz w:val="16"/>
                <w:szCs w:val="16"/>
                <w:lang w:val="en-US"/>
              </w:rPr>
              <w:t xml:space="preserve">nterprise, for the construction, financing, operation and maintenance of </w:t>
            </w:r>
            <w:r>
              <w:rPr>
                <w:rFonts w:ascii="Verdana" w:hAnsi="Verdana"/>
                <w:sz w:val="16"/>
                <w:szCs w:val="16"/>
                <w:lang w:val="en-US"/>
              </w:rPr>
              <w:t>power plant</w:t>
            </w:r>
            <w:r w:rsidRPr="006815C5">
              <w:rPr>
                <w:rFonts w:ascii="Verdana" w:hAnsi="Verdana"/>
                <w:sz w:val="16"/>
                <w:szCs w:val="16"/>
                <w:lang w:val="en-US"/>
              </w:rPr>
              <w:t xml:space="preserve">s, their associated </w:t>
            </w:r>
            <w:r w:rsidRPr="006815C5">
              <w:rPr>
                <w:rFonts w:ascii="Verdana" w:hAnsi="Verdana"/>
                <w:sz w:val="16"/>
                <w:szCs w:val="16"/>
                <w:lang w:val="en-US"/>
              </w:rPr>
              <w:lastRenderedPageBreak/>
              <w:t>infrastructure and accessory works that allow the generation of electrical energy and associated products.</w:t>
            </w:r>
          </w:p>
        </w:tc>
      </w:tr>
      <w:tr w:rsidR="003A38FF" w:rsidRPr="00D83DA2" w14:paraId="22560654" w14:textId="72F4A948" w:rsidTr="00FB5DAD">
        <w:tc>
          <w:tcPr>
            <w:tcW w:w="4706" w:type="dxa"/>
          </w:tcPr>
          <w:p w14:paraId="5251AC91"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lastRenderedPageBreak/>
              <w:t xml:space="preserve">Artículo 85. </w:t>
            </w:r>
            <w:r w:rsidRPr="00D0180E">
              <w:rPr>
                <w:rFonts w:ascii="Verdana" w:hAnsi="Verdana"/>
                <w:sz w:val="16"/>
                <w:szCs w:val="16"/>
              </w:rPr>
              <w:t>La Empresa Pública del Estado debe tener una participación directa o indirecta en el proyecto, de al menos el cincuenta y cuatro por ciento del capital social común o figura similar o equiparable, del vehículo jurídico o financiero que se utilice para dicho efecto. Esta participación debe formalizarse a más tardar dentro de los ciento ochenta días hábiles a partir del inicio de la operación comercial del proyecto de inversión mixta.</w:t>
            </w:r>
          </w:p>
        </w:tc>
        <w:tc>
          <w:tcPr>
            <w:tcW w:w="4644" w:type="dxa"/>
          </w:tcPr>
          <w:p w14:paraId="2F0F174F" w14:textId="0E0345A1"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t xml:space="preserve">Article 85. </w:t>
            </w:r>
            <w:r w:rsidRPr="006815C5">
              <w:rPr>
                <w:rFonts w:ascii="Verdana" w:hAnsi="Verdana"/>
                <w:sz w:val="16"/>
                <w:szCs w:val="16"/>
                <w:lang w:val="en-US"/>
              </w:rPr>
              <w:t xml:space="preserve">The </w:t>
            </w:r>
            <w:proofErr w:type="gramStart"/>
            <w:r>
              <w:rPr>
                <w:rFonts w:ascii="Verdana" w:hAnsi="Verdana"/>
                <w:sz w:val="16"/>
                <w:szCs w:val="16"/>
                <w:lang w:val="en-US"/>
              </w:rPr>
              <w:t>s</w:t>
            </w:r>
            <w:r w:rsidRPr="006815C5">
              <w:rPr>
                <w:rFonts w:ascii="Verdana" w:hAnsi="Verdana"/>
                <w:sz w:val="16"/>
                <w:szCs w:val="16"/>
                <w:lang w:val="en-US"/>
              </w:rPr>
              <w:t>tate</w:t>
            </w:r>
            <w:r>
              <w:rPr>
                <w:rFonts w:ascii="Verdana" w:hAnsi="Verdana"/>
                <w:sz w:val="16"/>
                <w:szCs w:val="16"/>
                <w:lang w:val="en-US"/>
              </w:rPr>
              <w:t xml:space="preserve"> </w:t>
            </w:r>
            <w:r w:rsidRPr="006815C5">
              <w:rPr>
                <w:rFonts w:ascii="Verdana" w:hAnsi="Verdana"/>
                <w:sz w:val="16"/>
                <w:szCs w:val="16"/>
                <w:lang w:val="en-US"/>
              </w:rPr>
              <w:t>owned</w:t>
            </w:r>
            <w:proofErr w:type="gramEnd"/>
            <w:r w:rsidRPr="006815C5">
              <w:rPr>
                <w:rFonts w:ascii="Verdana" w:hAnsi="Verdana"/>
                <w:sz w:val="16"/>
                <w:szCs w:val="16"/>
                <w:lang w:val="en-US"/>
              </w:rPr>
              <w:t xml:space="preserve"> </w:t>
            </w:r>
            <w:r>
              <w:rPr>
                <w:rFonts w:ascii="Verdana" w:hAnsi="Verdana"/>
                <w:sz w:val="16"/>
                <w:szCs w:val="16"/>
                <w:lang w:val="en-US"/>
              </w:rPr>
              <w:t>e</w:t>
            </w:r>
            <w:r w:rsidRPr="006815C5">
              <w:rPr>
                <w:rFonts w:ascii="Verdana" w:hAnsi="Verdana"/>
                <w:sz w:val="16"/>
                <w:szCs w:val="16"/>
                <w:lang w:val="en-US"/>
              </w:rPr>
              <w:t>nterprise must have a direct or indirect stake in the project, representing at least fifty-four percent of the common share capital or a similar or comparable entity, in the legal or financial vehicle used for this purpose. This stake must be formalized no later than one hundred and eighty business days after the start of commercial operations of the mixed investment project.</w:t>
            </w:r>
          </w:p>
        </w:tc>
      </w:tr>
      <w:tr w:rsidR="003A38FF" w:rsidRPr="00D83DA2" w14:paraId="26ACB763" w14:textId="70FDF7C1" w:rsidTr="00FB5DAD">
        <w:tc>
          <w:tcPr>
            <w:tcW w:w="4706" w:type="dxa"/>
          </w:tcPr>
          <w:p w14:paraId="593D7B36"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sz w:val="16"/>
                <w:szCs w:val="16"/>
              </w:rPr>
              <w:t>La participación de la Empresa Pública del Estado en la inversión mixta puede realizarse a través de aportaciones líquidas, en especie o intangibles o cualquier otra modalidad pactada entre las partes.</w:t>
            </w:r>
          </w:p>
        </w:tc>
        <w:tc>
          <w:tcPr>
            <w:tcW w:w="4644" w:type="dxa"/>
          </w:tcPr>
          <w:p w14:paraId="5A16A0F2" w14:textId="02F5781D" w:rsidR="003A38FF" w:rsidRPr="00D0180E" w:rsidRDefault="003A38FF" w:rsidP="003A38FF">
            <w:pPr>
              <w:pStyle w:val="Texto"/>
              <w:spacing w:line="220" w:lineRule="exact"/>
              <w:ind w:firstLine="0"/>
              <w:rPr>
                <w:rFonts w:ascii="Verdana" w:hAnsi="Verdana"/>
                <w:sz w:val="16"/>
                <w:szCs w:val="16"/>
                <w:lang w:val="en-US"/>
              </w:rPr>
            </w:pPr>
            <w:r w:rsidRPr="006815C5">
              <w:rPr>
                <w:rFonts w:ascii="Verdana" w:hAnsi="Verdana"/>
                <w:sz w:val="16"/>
                <w:szCs w:val="16"/>
                <w:lang w:val="en-US"/>
              </w:rPr>
              <w:t xml:space="preserve">The </w:t>
            </w:r>
            <w:proofErr w:type="gramStart"/>
            <w:r>
              <w:rPr>
                <w:rFonts w:ascii="Verdana" w:hAnsi="Verdana"/>
                <w:sz w:val="16"/>
                <w:szCs w:val="16"/>
                <w:lang w:val="en-US"/>
              </w:rPr>
              <w:t>s</w:t>
            </w:r>
            <w:r w:rsidRPr="006815C5">
              <w:rPr>
                <w:rFonts w:ascii="Verdana" w:hAnsi="Verdana"/>
                <w:sz w:val="16"/>
                <w:szCs w:val="16"/>
                <w:lang w:val="en-US"/>
              </w:rPr>
              <w:t>tate</w:t>
            </w:r>
            <w:r>
              <w:rPr>
                <w:rFonts w:ascii="Verdana" w:hAnsi="Verdana"/>
                <w:sz w:val="16"/>
                <w:szCs w:val="16"/>
                <w:lang w:val="en-US"/>
              </w:rPr>
              <w:t xml:space="preserve"> </w:t>
            </w:r>
            <w:r w:rsidRPr="006815C5">
              <w:rPr>
                <w:rFonts w:ascii="Verdana" w:hAnsi="Verdana"/>
                <w:sz w:val="16"/>
                <w:szCs w:val="16"/>
                <w:lang w:val="en-US"/>
              </w:rPr>
              <w:t>owned</w:t>
            </w:r>
            <w:proofErr w:type="gramEnd"/>
            <w:r w:rsidRPr="006815C5">
              <w:rPr>
                <w:rFonts w:ascii="Verdana" w:hAnsi="Verdana"/>
                <w:sz w:val="16"/>
                <w:szCs w:val="16"/>
                <w:lang w:val="en-US"/>
              </w:rPr>
              <w:t xml:space="preserve"> </w:t>
            </w:r>
            <w:r>
              <w:rPr>
                <w:rFonts w:ascii="Verdana" w:hAnsi="Verdana"/>
                <w:sz w:val="16"/>
                <w:szCs w:val="16"/>
                <w:lang w:val="en-US"/>
              </w:rPr>
              <w:t>e</w:t>
            </w:r>
            <w:r w:rsidRPr="006815C5">
              <w:rPr>
                <w:rFonts w:ascii="Verdana" w:hAnsi="Verdana"/>
                <w:sz w:val="16"/>
                <w:szCs w:val="16"/>
                <w:lang w:val="en-US"/>
              </w:rPr>
              <w:t>nterprise's participation in the joint venture may be through cash, in-kind, or intangible contributions, or any other form agreed upon by the parties.</w:t>
            </w:r>
          </w:p>
        </w:tc>
      </w:tr>
      <w:tr w:rsidR="003A38FF" w:rsidRPr="00D83DA2" w14:paraId="764A7C47" w14:textId="31294B3E" w:rsidTr="00FB5DAD">
        <w:tc>
          <w:tcPr>
            <w:tcW w:w="4706" w:type="dxa"/>
          </w:tcPr>
          <w:p w14:paraId="4B04129A"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sz w:val="16"/>
                <w:szCs w:val="16"/>
              </w:rPr>
              <w:t>Se entiende por participación directa la aportación de la Empresa Pública del Estado.</w:t>
            </w:r>
          </w:p>
        </w:tc>
        <w:tc>
          <w:tcPr>
            <w:tcW w:w="4644" w:type="dxa"/>
          </w:tcPr>
          <w:p w14:paraId="18384F82" w14:textId="6D23C9B0" w:rsidR="003A38FF" w:rsidRPr="00D0180E" w:rsidRDefault="003A38FF" w:rsidP="003A38FF">
            <w:pPr>
              <w:pStyle w:val="Texto"/>
              <w:spacing w:line="220" w:lineRule="exact"/>
              <w:ind w:firstLine="0"/>
              <w:rPr>
                <w:rFonts w:ascii="Verdana" w:hAnsi="Verdana"/>
                <w:sz w:val="16"/>
                <w:szCs w:val="16"/>
                <w:lang w:val="en-US"/>
              </w:rPr>
            </w:pPr>
            <w:r w:rsidRPr="006815C5">
              <w:rPr>
                <w:rFonts w:ascii="Verdana" w:hAnsi="Verdana"/>
                <w:sz w:val="16"/>
                <w:szCs w:val="16"/>
                <w:lang w:val="en-US"/>
              </w:rPr>
              <w:t xml:space="preserve">Direct participation is understood as the contribution of the </w:t>
            </w:r>
            <w:proofErr w:type="gramStart"/>
            <w:r>
              <w:rPr>
                <w:rFonts w:ascii="Verdana" w:hAnsi="Verdana"/>
                <w:sz w:val="16"/>
                <w:szCs w:val="16"/>
                <w:lang w:val="en-US"/>
              </w:rPr>
              <w:t>s</w:t>
            </w:r>
            <w:r w:rsidRPr="006815C5">
              <w:rPr>
                <w:rFonts w:ascii="Verdana" w:hAnsi="Verdana"/>
                <w:sz w:val="16"/>
                <w:szCs w:val="16"/>
                <w:lang w:val="en-US"/>
              </w:rPr>
              <w:t xml:space="preserve">tate </w:t>
            </w:r>
            <w:r>
              <w:rPr>
                <w:rFonts w:ascii="Verdana" w:hAnsi="Verdana"/>
                <w:sz w:val="16"/>
                <w:szCs w:val="16"/>
                <w:lang w:val="en-US"/>
              </w:rPr>
              <w:t>owned</w:t>
            </w:r>
            <w:proofErr w:type="gramEnd"/>
            <w:r w:rsidRPr="006815C5">
              <w:rPr>
                <w:rFonts w:ascii="Verdana" w:hAnsi="Verdana"/>
                <w:sz w:val="16"/>
                <w:szCs w:val="16"/>
                <w:lang w:val="en-US"/>
              </w:rPr>
              <w:t xml:space="preserve"> enterprise.</w:t>
            </w:r>
          </w:p>
        </w:tc>
      </w:tr>
      <w:tr w:rsidR="003A38FF" w:rsidRPr="00D83DA2" w14:paraId="5533D047" w14:textId="434EFABA" w:rsidTr="00FB5DAD">
        <w:tc>
          <w:tcPr>
            <w:tcW w:w="4706" w:type="dxa"/>
          </w:tcPr>
          <w:p w14:paraId="228EA3EF"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sz w:val="16"/>
                <w:szCs w:val="16"/>
              </w:rPr>
              <w:t>Se entiende por participación indirecta la aportación de la Empresa Pública del Estado realizada a través de sus filiales, así como la proporcionada por fideicomisos o vehículos de propósito específico.</w:t>
            </w:r>
          </w:p>
        </w:tc>
        <w:tc>
          <w:tcPr>
            <w:tcW w:w="4644" w:type="dxa"/>
          </w:tcPr>
          <w:p w14:paraId="47F59CDE" w14:textId="7A330604" w:rsidR="003A38FF" w:rsidRPr="00D0180E" w:rsidRDefault="003A38FF" w:rsidP="003A38FF">
            <w:pPr>
              <w:pStyle w:val="Texto"/>
              <w:spacing w:line="220" w:lineRule="exact"/>
              <w:ind w:firstLine="0"/>
              <w:rPr>
                <w:rFonts w:ascii="Verdana" w:hAnsi="Verdana"/>
                <w:sz w:val="16"/>
                <w:szCs w:val="16"/>
                <w:lang w:val="en-US"/>
              </w:rPr>
            </w:pPr>
            <w:r w:rsidRPr="006815C5">
              <w:rPr>
                <w:rFonts w:ascii="Verdana" w:hAnsi="Verdana"/>
                <w:sz w:val="16"/>
                <w:szCs w:val="16"/>
                <w:lang w:val="en-US"/>
              </w:rPr>
              <w:t xml:space="preserve">Indirect participation is understood to mean the contribution of the </w:t>
            </w:r>
            <w:proofErr w:type="gramStart"/>
            <w:r>
              <w:rPr>
                <w:rFonts w:ascii="Verdana" w:hAnsi="Verdana"/>
                <w:sz w:val="16"/>
                <w:szCs w:val="16"/>
                <w:lang w:val="en-US"/>
              </w:rPr>
              <w:t>s</w:t>
            </w:r>
            <w:r w:rsidRPr="006815C5">
              <w:rPr>
                <w:rFonts w:ascii="Verdana" w:hAnsi="Verdana"/>
                <w:sz w:val="16"/>
                <w:szCs w:val="16"/>
                <w:lang w:val="en-US"/>
              </w:rPr>
              <w:t xml:space="preserve">tate </w:t>
            </w:r>
            <w:r>
              <w:rPr>
                <w:rFonts w:ascii="Verdana" w:hAnsi="Verdana"/>
                <w:sz w:val="16"/>
                <w:szCs w:val="16"/>
                <w:lang w:val="en-US"/>
              </w:rPr>
              <w:t>owned</w:t>
            </w:r>
            <w:proofErr w:type="gramEnd"/>
            <w:r w:rsidRPr="006815C5">
              <w:rPr>
                <w:rFonts w:ascii="Verdana" w:hAnsi="Verdana"/>
                <w:sz w:val="16"/>
                <w:szCs w:val="16"/>
                <w:lang w:val="en-US"/>
              </w:rPr>
              <w:t xml:space="preserve"> enterprise through its subsidiaries, as well as that provided by trusts or special-purpose vehicles.</w:t>
            </w:r>
            <w:r>
              <w:rPr>
                <w:rFonts w:ascii="Verdana" w:hAnsi="Verdana"/>
                <w:sz w:val="16"/>
                <w:szCs w:val="16"/>
                <w:lang w:val="en-US"/>
              </w:rPr>
              <w:t xml:space="preserve"> </w:t>
            </w:r>
          </w:p>
        </w:tc>
      </w:tr>
      <w:tr w:rsidR="003A38FF" w:rsidRPr="00D83DA2" w14:paraId="493146B7" w14:textId="348FCEAF" w:rsidTr="00FB5DAD">
        <w:tc>
          <w:tcPr>
            <w:tcW w:w="4706" w:type="dxa"/>
          </w:tcPr>
          <w:p w14:paraId="3FCA266F"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Artículo 86.</w:t>
            </w:r>
            <w:r w:rsidRPr="00D0180E">
              <w:rPr>
                <w:rFonts w:ascii="Verdana" w:hAnsi="Verdana"/>
                <w:sz w:val="16"/>
                <w:szCs w:val="16"/>
              </w:rPr>
              <w:t xml:space="preserve"> La participación de la Empresa Pública del Estado puede ser mediante aportación o asociación.</w:t>
            </w:r>
          </w:p>
        </w:tc>
        <w:tc>
          <w:tcPr>
            <w:tcW w:w="4644" w:type="dxa"/>
          </w:tcPr>
          <w:p w14:paraId="0BF8E7D8" w14:textId="6709097C"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t xml:space="preserve">Article 86. </w:t>
            </w:r>
            <w:r w:rsidRPr="006815C5">
              <w:rPr>
                <w:rFonts w:ascii="Verdana" w:hAnsi="Verdana"/>
                <w:sz w:val="16"/>
                <w:szCs w:val="16"/>
                <w:lang w:val="en-US"/>
              </w:rPr>
              <w:t xml:space="preserve">The participation of the </w:t>
            </w:r>
            <w:proofErr w:type="gramStart"/>
            <w:r>
              <w:rPr>
                <w:rFonts w:ascii="Verdana" w:hAnsi="Verdana"/>
                <w:sz w:val="16"/>
                <w:szCs w:val="16"/>
                <w:lang w:val="en-US"/>
              </w:rPr>
              <w:t>s</w:t>
            </w:r>
            <w:r w:rsidRPr="006815C5">
              <w:rPr>
                <w:rFonts w:ascii="Verdana" w:hAnsi="Verdana"/>
                <w:sz w:val="16"/>
                <w:szCs w:val="16"/>
                <w:lang w:val="en-US"/>
              </w:rPr>
              <w:t xml:space="preserve">tate </w:t>
            </w:r>
            <w:r>
              <w:rPr>
                <w:rFonts w:ascii="Verdana" w:hAnsi="Verdana"/>
                <w:sz w:val="16"/>
                <w:szCs w:val="16"/>
                <w:lang w:val="en-US"/>
              </w:rPr>
              <w:t>owned</w:t>
            </w:r>
            <w:proofErr w:type="gramEnd"/>
            <w:r w:rsidRPr="006815C5">
              <w:rPr>
                <w:rFonts w:ascii="Verdana" w:hAnsi="Verdana"/>
                <w:sz w:val="16"/>
                <w:szCs w:val="16"/>
                <w:lang w:val="en-US"/>
              </w:rPr>
              <w:t xml:space="preserve"> enterprise may be through contribution or association.</w:t>
            </w:r>
          </w:p>
        </w:tc>
      </w:tr>
      <w:tr w:rsidR="003A38FF" w:rsidRPr="00D83DA2" w14:paraId="07F7C2E2" w14:textId="66E2FBE5" w:rsidTr="00FB5DAD">
        <w:tc>
          <w:tcPr>
            <w:tcW w:w="4706" w:type="dxa"/>
          </w:tcPr>
          <w:p w14:paraId="0272C4E2" w14:textId="46E291AD"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sz w:val="16"/>
                <w:szCs w:val="16"/>
              </w:rPr>
              <w:t>En la primera modalidad puede aportar a un vehículo jurídico o financiero, capital, derechos de uso, aprovechamiento y explotación de los bienes de su propiedad, permisos, autorizaciones y cualquier otro derecho o bien tangible o intangible.</w:t>
            </w:r>
            <w:r>
              <w:rPr>
                <w:rFonts w:ascii="Verdana" w:hAnsi="Verdana"/>
                <w:sz w:val="16"/>
                <w:szCs w:val="16"/>
              </w:rPr>
              <w:t xml:space="preserve"> </w:t>
            </w:r>
          </w:p>
        </w:tc>
        <w:tc>
          <w:tcPr>
            <w:tcW w:w="4644" w:type="dxa"/>
          </w:tcPr>
          <w:p w14:paraId="2CE66366" w14:textId="74A528F2" w:rsidR="003A38FF" w:rsidRPr="00D0180E" w:rsidRDefault="003A38FF" w:rsidP="003A38FF">
            <w:pPr>
              <w:pStyle w:val="Texto"/>
              <w:spacing w:line="220" w:lineRule="exact"/>
              <w:ind w:firstLine="0"/>
              <w:rPr>
                <w:rFonts w:ascii="Verdana" w:hAnsi="Verdana"/>
                <w:sz w:val="16"/>
                <w:szCs w:val="16"/>
                <w:lang w:val="en-US"/>
              </w:rPr>
            </w:pPr>
            <w:r w:rsidRPr="00261EB8">
              <w:rPr>
                <w:rFonts w:ascii="Verdana" w:hAnsi="Verdana"/>
                <w:sz w:val="16"/>
                <w:szCs w:val="16"/>
                <w:lang w:val="en-US"/>
              </w:rPr>
              <w:t xml:space="preserve">In the first modality, </w:t>
            </w:r>
            <w:r>
              <w:rPr>
                <w:rFonts w:ascii="Verdana" w:hAnsi="Verdana"/>
                <w:sz w:val="16"/>
                <w:szCs w:val="16"/>
                <w:lang w:val="en-US"/>
              </w:rPr>
              <w:t xml:space="preserve">a legal or financial vehicle, capital, rights of use, exploitation of their property, permits, authorizations and any other right or tangible or intangible property can be contributed. </w:t>
            </w:r>
          </w:p>
        </w:tc>
      </w:tr>
      <w:tr w:rsidR="003A38FF" w:rsidRPr="00D83DA2" w14:paraId="4FC22502" w14:textId="1D80066A" w:rsidTr="00FB5DAD">
        <w:tc>
          <w:tcPr>
            <w:tcW w:w="4706" w:type="dxa"/>
          </w:tcPr>
          <w:p w14:paraId="46FC1518"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sz w:val="16"/>
                <w:szCs w:val="16"/>
              </w:rPr>
              <w:t>En la segunda modalidad, puede asociarse con personas particulares y determinar sus derechos y obligaciones en el vehículo jurídico o financiero correspondiente.</w:t>
            </w:r>
          </w:p>
        </w:tc>
        <w:tc>
          <w:tcPr>
            <w:tcW w:w="4644" w:type="dxa"/>
          </w:tcPr>
          <w:p w14:paraId="5382D97D" w14:textId="0A4B2121" w:rsidR="003A38FF" w:rsidRPr="00D0180E" w:rsidRDefault="003A38FF" w:rsidP="003A38FF">
            <w:pPr>
              <w:pStyle w:val="Texto"/>
              <w:spacing w:line="220" w:lineRule="exact"/>
              <w:ind w:firstLine="0"/>
              <w:rPr>
                <w:rFonts w:ascii="Verdana" w:hAnsi="Verdana"/>
                <w:sz w:val="16"/>
                <w:szCs w:val="16"/>
                <w:lang w:val="en-US"/>
              </w:rPr>
            </w:pPr>
            <w:r w:rsidRPr="006815C5">
              <w:rPr>
                <w:rFonts w:ascii="Verdana" w:hAnsi="Verdana"/>
                <w:sz w:val="16"/>
                <w:szCs w:val="16"/>
                <w:lang w:val="en-US"/>
              </w:rPr>
              <w:t xml:space="preserve">In the second option, </w:t>
            </w:r>
            <w:r>
              <w:rPr>
                <w:rFonts w:ascii="Verdana" w:hAnsi="Verdana"/>
                <w:sz w:val="16"/>
                <w:szCs w:val="16"/>
                <w:lang w:val="en-US"/>
              </w:rPr>
              <w:t>the enterprise can be associated</w:t>
            </w:r>
            <w:r w:rsidRPr="006815C5">
              <w:rPr>
                <w:rFonts w:ascii="Verdana" w:hAnsi="Verdana"/>
                <w:sz w:val="16"/>
                <w:szCs w:val="16"/>
                <w:lang w:val="en-US"/>
              </w:rPr>
              <w:t xml:space="preserve"> with private individuals and determine rights and obligations within the corresponding legal or financial vehicle.</w:t>
            </w:r>
          </w:p>
        </w:tc>
      </w:tr>
      <w:tr w:rsidR="003A38FF" w:rsidRPr="00D83DA2" w14:paraId="70A3FA7C" w14:textId="5DDE671A" w:rsidTr="00FB5DAD">
        <w:tc>
          <w:tcPr>
            <w:tcW w:w="4706" w:type="dxa"/>
          </w:tcPr>
          <w:p w14:paraId="66128C79" w14:textId="77777777" w:rsidR="003A38FF" w:rsidRPr="00D0180E" w:rsidRDefault="003A38FF" w:rsidP="003A38FF">
            <w:pPr>
              <w:pStyle w:val="Texto"/>
              <w:spacing w:line="226" w:lineRule="exact"/>
              <w:ind w:firstLine="0"/>
              <w:rPr>
                <w:rFonts w:ascii="Verdana" w:hAnsi="Verdana"/>
                <w:sz w:val="16"/>
                <w:szCs w:val="16"/>
              </w:rPr>
            </w:pPr>
            <w:r w:rsidRPr="00D0180E">
              <w:rPr>
                <w:rFonts w:ascii="Verdana" w:hAnsi="Verdana"/>
                <w:b/>
                <w:sz w:val="16"/>
                <w:szCs w:val="16"/>
              </w:rPr>
              <w:t>Artículo 87.</w:t>
            </w:r>
            <w:r w:rsidRPr="00D0180E">
              <w:rPr>
                <w:rFonts w:ascii="Verdana" w:hAnsi="Verdana"/>
                <w:sz w:val="16"/>
                <w:szCs w:val="16"/>
              </w:rPr>
              <w:t xml:space="preserve"> Los proyectos de inversión mixta pueden ejecutarse a través de fideicomisos, asociaciones en participación, sociedades mercantiles o cualquier otro vehículo jurídico o financiero necesario para el desarrollo del esquema que garantice las mejores condiciones para la Empresa Pública del Estado y el Sistema Eléctrico Nacional.</w:t>
            </w:r>
          </w:p>
        </w:tc>
        <w:tc>
          <w:tcPr>
            <w:tcW w:w="4644" w:type="dxa"/>
          </w:tcPr>
          <w:p w14:paraId="3826305B" w14:textId="505EADA4" w:rsidR="003A38FF" w:rsidRPr="00D0180E" w:rsidRDefault="003A38FF" w:rsidP="003A38FF">
            <w:pPr>
              <w:pStyle w:val="Texto"/>
              <w:spacing w:line="226" w:lineRule="exact"/>
              <w:ind w:firstLine="0"/>
              <w:rPr>
                <w:rFonts w:ascii="Verdana" w:hAnsi="Verdana"/>
                <w:b/>
                <w:sz w:val="16"/>
                <w:szCs w:val="16"/>
                <w:lang w:val="en-US"/>
              </w:rPr>
            </w:pPr>
            <w:r w:rsidRPr="006815C5">
              <w:rPr>
                <w:rFonts w:ascii="Verdana" w:hAnsi="Verdana"/>
                <w:b/>
                <w:sz w:val="16"/>
                <w:szCs w:val="16"/>
                <w:lang w:val="en-US"/>
              </w:rPr>
              <w:t xml:space="preserve">Article 87. </w:t>
            </w:r>
            <w:r w:rsidRPr="006815C5">
              <w:rPr>
                <w:rFonts w:ascii="Verdana" w:hAnsi="Verdana"/>
                <w:sz w:val="16"/>
                <w:szCs w:val="16"/>
                <w:lang w:val="en-US"/>
              </w:rPr>
              <w:t xml:space="preserve">Mixed investment projects may be executed through trusts, joint ventures, commercial companies, or any other legal or financial vehicle necessary for the development of the scheme that guarantees the best conditions for the state public enterprise and the </w:t>
            </w:r>
            <w:r>
              <w:rPr>
                <w:rFonts w:ascii="Verdana" w:hAnsi="Verdana"/>
                <w:sz w:val="16"/>
                <w:szCs w:val="16"/>
                <w:lang w:val="en-US"/>
              </w:rPr>
              <w:t>National Electric System</w:t>
            </w:r>
            <w:r w:rsidRPr="006815C5">
              <w:rPr>
                <w:rFonts w:ascii="Verdana" w:hAnsi="Verdana"/>
                <w:sz w:val="16"/>
                <w:szCs w:val="16"/>
                <w:lang w:val="en-US"/>
              </w:rPr>
              <w:t>.</w:t>
            </w:r>
          </w:p>
        </w:tc>
      </w:tr>
      <w:tr w:rsidR="003A38FF" w:rsidRPr="00D83DA2" w14:paraId="2B581B80" w14:textId="2C19D9B8" w:rsidTr="00FB5DAD">
        <w:tc>
          <w:tcPr>
            <w:tcW w:w="4706" w:type="dxa"/>
          </w:tcPr>
          <w:p w14:paraId="5DCD62E7" w14:textId="77777777" w:rsidR="003A38FF" w:rsidRPr="00D0180E" w:rsidRDefault="003A38FF" w:rsidP="003A38FF">
            <w:pPr>
              <w:pStyle w:val="Texto"/>
              <w:spacing w:line="226" w:lineRule="exact"/>
              <w:ind w:firstLine="0"/>
              <w:rPr>
                <w:rFonts w:ascii="Verdana" w:hAnsi="Verdana"/>
                <w:sz w:val="16"/>
                <w:szCs w:val="16"/>
              </w:rPr>
            </w:pPr>
            <w:r w:rsidRPr="00D0180E">
              <w:rPr>
                <w:rFonts w:ascii="Verdana" w:hAnsi="Verdana"/>
                <w:sz w:val="16"/>
                <w:szCs w:val="16"/>
              </w:rPr>
              <w:t>El vehículo correspondiente debe establecer la evaluación y seguimiento de los proyectos, así como el destino de los activos que se tengan en propiedad.</w:t>
            </w:r>
          </w:p>
        </w:tc>
        <w:tc>
          <w:tcPr>
            <w:tcW w:w="4644" w:type="dxa"/>
          </w:tcPr>
          <w:p w14:paraId="76C22655" w14:textId="558D0AD2" w:rsidR="003A38FF" w:rsidRPr="00D0180E" w:rsidRDefault="003A38FF" w:rsidP="003A38FF">
            <w:pPr>
              <w:pStyle w:val="Texto"/>
              <w:spacing w:line="226" w:lineRule="exact"/>
              <w:ind w:firstLine="0"/>
              <w:rPr>
                <w:rFonts w:ascii="Verdana" w:hAnsi="Verdana"/>
                <w:sz w:val="16"/>
                <w:szCs w:val="16"/>
                <w:lang w:val="en-US"/>
              </w:rPr>
            </w:pPr>
            <w:r w:rsidRPr="006815C5">
              <w:rPr>
                <w:rFonts w:ascii="Verdana" w:hAnsi="Verdana"/>
                <w:sz w:val="16"/>
                <w:szCs w:val="16"/>
                <w:lang w:val="en-US"/>
              </w:rPr>
              <w:t>The corresponding vehicle must establish the evaluation and monitoring of projects, as well as the destination of the assets owned.</w:t>
            </w:r>
          </w:p>
        </w:tc>
      </w:tr>
      <w:tr w:rsidR="003A38FF" w:rsidRPr="00D83DA2" w14:paraId="6C967DFA" w14:textId="11457774" w:rsidTr="00FB5DAD">
        <w:tc>
          <w:tcPr>
            <w:tcW w:w="4706" w:type="dxa"/>
          </w:tcPr>
          <w:p w14:paraId="6E23C055" w14:textId="77777777" w:rsidR="003A38FF" w:rsidRPr="00D0180E" w:rsidRDefault="003A38FF" w:rsidP="003A38FF">
            <w:pPr>
              <w:pStyle w:val="Texto"/>
              <w:spacing w:line="226" w:lineRule="exact"/>
              <w:ind w:firstLine="0"/>
              <w:rPr>
                <w:rFonts w:ascii="Verdana" w:hAnsi="Verdana"/>
                <w:sz w:val="16"/>
                <w:szCs w:val="16"/>
              </w:rPr>
            </w:pPr>
            <w:r w:rsidRPr="00D0180E">
              <w:rPr>
                <w:rFonts w:ascii="Verdana" w:hAnsi="Verdana"/>
                <w:sz w:val="16"/>
                <w:szCs w:val="16"/>
              </w:rPr>
              <w:t>Las Centrales Eléctricas, su infraestructura asociada y los demás bienes y derechos relacionados con los proyectos bajo inversión mixta pueden ser afectados en garantía mediante cualquier forma permitida por la ley, para garantizar financiamientos u otras obligaciones asumidas para el desarrollo, operación y mantenimiento del proyecto, en términos de los vehículos jurídicos o financieros correspondientes para su desarrollo e implementación.</w:t>
            </w:r>
          </w:p>
        </w:tc>
        <w:tc>
          <w:tcPr>
            <w:tcW w:w="4644" w:type="dxa"/>
          </w:tcPr>
          <w:p w14:paraId="31045843" w14:textId="077BC1D5" w:rsidR="003A38FF" w:rsidRPr="00D0180E" w:rsidRDefault="003A38FF" w:rsidP="003A38FF">
            <w:pPr>
              <w:pStyle w:val="Texto"/>
              <w:spacing w:line="226" w:lineRule="exact"/>
              <w:ind w:firstLine="0"/>
              <w:rPr>
                <w:rFonts w:ascii="Verdana" w:hAnsi="Verdana"/>
                <w:sz w:val="16"/>
                <w:szCs w:val="16"/>
                <w:lang w:val="en-US"/>
              </w:rPr>
            </w:pPr>
            <w:r>
              <w:rPr>
                <w:rFonts w:ascii="Verdana" w:hAnsi="Verdana"/>
                <w:sz w:val="16"/>
                <w:szCs w:val="16"/>
                <w:lang w:val="en-US"/>
              </w:rPr>
              <w:t>The p</w:t>
            </w:r>
            <w:r w:rsidRPr="006815C5">
              <w:rPr>
                <w:rFonts w:ascii="Verdana" w:hAnsi="Verdana"/>
                <w:sz w:val="16"/>
                <w:szCs w:val="16"/>
                <w:lang w:val="en-US"/>
              </w:rPr>
              <w:t>ower plants, their associated infrastructure, and other assets and rights related to projects under mixed investment may be pledged as collateral in any manner permitted by law to secure financing or other obligations assumed for the development, operation, and maintenance of the project, in accordance with the legal or financial vehicles appropriate for its development and implementation.</w:t>
            </w:r>
          </w:p>
        </w:tc>
      </w:tr>
      <w:tr w:rsidR="003A38FF" w:rsidRPr="00D0180E" w14:paraId="19501A00" w14:textId="0EBAC1E2" w:rsidTr="00FB5DAD">
        <w:tc>
          <w:tcPr>
            <w:tcW w:w="4706" w:type="dxa"/>
          </w:tcPr>
          <w:p w14:paraId="646BDED2" w14:textId="77777777" w:rsidR="003A38FF" w:rsidRPr="00D0180E" w:rsidRDefault="003A38FF" w:rsidP="003A38FF">
            <w:pPr>
              <w:pStyle w:val="Texto"/>
              <w:spacing w:line="226" w:lineRule="exact"/>
              <w:ind w:firstLine="0"/>
              <w:jc w:val="center"/>
              <w:rPr>
                <w:rFonts w:ascii="Verdana" w:hAnsi="Verdana"/>
                <w:b/>
                <w:sz w:val="16"/>
                <w:szCs w:val="16"/>
              </w:rPr>
            </w:pPr>
            <w:r w:rsidRPr="00D0180E">
              <w:rPr>
                <w:rFonts w:ascii="Verdana" w:hAnsi="Verdana"/>
                <w:b/>
                <w:sz w:val="16"/>
                <w:szCs w:val="16"/>
              </w:rPr>
              <w:lastRenderedPageBreak/>
              <w:t>Sección IV</w:t>
            </w:r>
          </w:p>
        </w:tc>
        <w:tc>
          <w:tcPr>
            <w:tcW w:w="4644" w:type="dxa"/>
          </w:tcPr>
          <w:p w14:paraId="2DACAFC7" w14:textId="4F9351E0" w:rsidR="003A38FF" w:rsidRPr="00FC3AB4" w:rsidRDefault="003A38FF" w:rsidP="003A38FF">
            <w:pPr>
              <w:pStyle w:val="Texto"/>
              <w:spacing w:line="226" w:lineRule="exact"/>
              <w:ind w:firstLine="0"/>
              <w:jc w:val="center"/>
              <w:rPr>
                <w:rFonts w:ascii="Verdana" w:hAnsi="Verdana"/>
                <w:b/>
                <w:sz w:val="16"/>
                <w:szCs w:val="16"/>
                <w:lang w:val="en-US"/>
              </w:rPr>
            </w:pPr>
            <w:r w:rsidRPr="00FC3AB4">
              <w:rPr>
                <w:rFonts w:ascii="Verdana" w:hAnsi="Verdana"/>
                <w:b/>
                <w:sz w:val="16"/>
                <w:szCs w:val="16"/>
                <w:lang w:val="en-US"/>
              </w:rPr>
              <w:t>Section IV</w:t>
            </w:r>
          </w:p>
        </w:tc>
      </w:tr>
      <w:tr w:rsidR="003A38FF" w:rsidRPr="00D0180E" w14:paraId="39C0B25D" w14:textId="54E0335E" w:rsidTr="00FB5DAD">
        <w:tc>
          <w:tcPr>
            <w:tcW w:w="4706" w:type="dxa"/>
          </w:tcPr>
          <w:p w14:paraId="31022135" w14:textId="77777777" w:rsidR="003A38FF" w:rsidRPr="00D0180E" w:rsidRDefault="003A38FF" w:rsidP="003A38FF">
            <w:pPr>
              <w:pStyle w:val="Texto"/>
              <w:spacing w:line="226" w:lineRule="exact"/>
              <w:ind w:firstLine="0"/>
              <w:jc w:val="center"/>
              <w:rPr>
                <w:rFonts w:ascii="Verdana" w:hAnsi="Verdana"/>
                <w:b/>
                <w:sz w:val="16"/>
                <w:szCs w:val="16"/>
                <w:lang w:val="es"/>
              </w:rPr>
            </w:pPr>
            <w:r w:rsidRPr="00D0180E">
              <w:rPr>
                <w:rFonts w:ascii="Verdana" w:hAnsi="Verdana"/>
                <w:b/>
                <w:sz w:val="16"/>
                <w:szCs w:val="16"/>
                <w:lang w:val="es"/>
              </w:rPr>
              <w:t>Otros Esquemas de Desarrollo Mixto</w:t>
            </w:r>
          </w:p>
        </w:tc>
        <w:tc>
          <w:tcPr>
            <w:tcW w:w="4644" w:type="dxa"/>
          </w:tcPr>
          <w:p w14:paraId="381F8154" w14:textId="61B8EA6B" w:rsidR="003A38FF" w:rsidRPr="00FC3AB4" w:rsidRDefault="003A38FF" w:rsidP="003A38FF">
            <w:pPr>
              <w:pStyle w:val="Texto"/>
              <w:spacing w:line="226" w:lineRule="exact"/>
              <w:ind w:firstLine="0"/>
              <w:jc w:val="center"/>
              <w:rPr>
                <w:rFonts w:ascii="Verdana" w:hAnsi="Verdana"/>
                <w:b/>
                <w:sz w:val="16"/>
                <w:szCs w:val="16"/>
                <w:lang w:val="en-US"/>
              </w:rPr>
            </w:pPr>
            <w:r w:rsidRPr="00FC3AB4">
              <w:rPr>
                <w:rFonts w:ascii="Verdana" w:hAnsi="Verdana"/>
                <w:b/>
                <w:sz w:val="16"/>
                <w:szCs w:val="16"/>
                <w:lang w:val="en-US"/>
              </w:rPr>
              <w:t>Other Mixed Development Schemes</w:t>
            </w:r>
          </w:p>
        </w:tc>
      </w:tr>
      <w:tr w:rsidR="003A38FF" w:rsidRPr="00D83DA2" w14:paraId="580F6B6D" w14:textId="2BB147BD" w:rsidTr="00FB5DAD">
        <w:tc>
          <w:tcPr>
            <w:tcW w:w="4706" w:type="dxa"/>
          </w:tcPr>
          <w:p w14:paraId="308777E5" w14:textId="77777777" w:rsidR="003A38FF" w:rsidRPr="00597593" w:rsidRDefault="003A38FF" w:rsidP="003A38FF">
            <w:pPr>
              <w:pStyle w:val="Texto"/>
              <w:spacing w:line="226" w:lineRule="exact"/>
              <w:ind w:firstLine="0"/>
              <w:rPr>
                <w:rFonts w:ascii="Verdana" w:hAnsi="Verdana"/>
                <w:sz w:val="16"/>
                <w:szCs w:val="16"/>
              </w:rPr>
            </w:pPr>
            <w:r w:rsidRPr="00597593">
              <w:rPr>
                <w:rFonts w:ascii="Verdana" w:hAnsi="Verdana"/>
                <w:b/>
                <w:sz w:val="16"/>
                <w:szCs w:val="16"/>
              </w:rPr>
              <w:t xml:space="preserve">Artículo 88. </w:t>
            </w:r>
            <w:r w:rsidRPr="00597593">
              <w:rPr>
                <w:rFonts w:ascii="Verdana" w:hAnsi="Verdana"/>
                <w:sz w:val="16"/>
                <w:szCs w:val="16"/>
              </w:rPr>
              <w:t>Los otros esquemas de desarrollo mixto a que se refiere la fracción III del artículo 38 de la Ley, se deben regular mediante disposiciones administrativas de carácter general que emita la Secretaría, solo en el caso que sea necesario para el mejor desarrollo del sector eléctrico y que se atiendan a los principios establecidos en la Ley.</w:t>
            </w:r>
          </w:p>
        </w:tc>
        <w:tc>
          <w:tcPr>
            <w:tcW w:w="4644" w:type="dxa"/>
          </w:tcPr>
          <w:p w14:paraId="4B19D76E" w14:textId="079FFA97" w:rsidR="003A38FF" w:rsidRPr="00597593" w:rsidRDefault="003A38FF" w:rsidP="003A38FF">
            <w:pPr>
              <w:pStyle w:val="Texto"/>
              <w:spacing w:line="226" w:lineRule="exact"/>
              <w:ind w:firstLine="0"/>
              <w:rPr>
                <w:rFonts w:ascii="Verdana" w:hAnsi="Verdana"/>
                <w:b/>
                <w:sz w:val="16"/>
                <w:szCs w:val="16"/>
                <w:lang w:val="en-US"/>
              </w:rPr>
            </w:pPr>
            <w:r w:rsidRPr="00597593">
              <w:rPr>
                <w:rFonts w:ascii="Verdana" w:hAnsi="Verdana"/>
                <w:b/>
                <w:sz w:val="16"/>
                <w:szCs w:val="16"/>
                <w:lang w:val="en-US"/>
              </w:rPr>
              <w:t xml:space="preserve">Article 88. </w:t>
            </w:r>
            <w:r w:rsidRPr="00597593">
              <w:rPr>
                <w:rFonts w:ascii="Verdana" w:hAnsi="Verdana"/>
                <w:sz w:val="16"/>
                <w:szCs w:val="16"/>
                <w:lang w:val="en-US"/>
              </w:rPr>
              <w:t>The other mixed development schemes referred to in Section III of Article 38 of the Law must be regulated by general administrative provisions issued by the Secretary, only if necessary for the best development of the electricity sector and in accordance with the principles established in the Law.</w:t>
            </w:r>
          </w:p>
        </w:tc>
      </w:tr>
      <w:tr w:rsidR="003A38FF" w:rsidRPr="00D0180E" w14:paraId="24055949" w14:textId="396A7286" w:rsidTr="00FB5DAD">
        <w:tc>
          <w:tcPr>
            <w:tcW w:w="4706" w:type="dxa"/>
          </w:tcPr>
          <w:p w14:paraId="62990944" w14:textId="77777777" w:rsidR="003A38FF" w:rsidRPr="00D0180E" w:rsidRDefault="003A38FF" w:rsidP="003A38FF">
            <w:pPr>
              <w:pStyle w:val="Texto"/>
              <w:spacing w:line="226" w:lineRule="exact"/>
              <w:ind w:firstLine="0"/>
              <w:jc w:val="center"/>
              <w:rPr>
                <w:rFonts w:ascii="Verdana" w:hAnsi="Verdana"/>
                <w:b/>
                <w:sz w:val="16"/>
                <w:szCs w:val="16"/>
              </w:rPr>
            </w:pPr>
            <w:r w:rsidRPr="00D0180E">
              <w:rPr>
                <w:rFonts w:ascii="Verdana" w:hAnsi="Verdana"/>
                <w:b/>
                <w:sz w:val="16"/>
                <w:szCs w:val="16"/>
              </w:rPr>
              <w:t>Capítulo V</w:t>
            </w:r>
          </w:p>
        </w:tc>
        <w:tc>
          <w:tcPr>
            <w:tcW w:w="4644" w:type="dxa"/>
          </w:tcPr>
          <w:p w14:paraId="43B8572C" w14:textId="18766E7E" w:rsidR="003A38FF" w:rsidRPr="00FC3AB4" w:rsidRDefault="003A38FF" w:rsidP="003A38FF">
            <w:pPr>
              <w:pStyle w:val="Texto"/>
              <w:spacing w:line="226" w:lineRule="exact"/>
              <w:ind w:firstLine="0"/>
              <w:jc w:val="center"/>
              <w:rPr>
                <w:rFonts w:ascii="Verdana" w:hAnsi="Verdana"/>
                <w:b/>
                <w:sz w:val="16"/>
                <w:szCs w:val="16"/>
                <w:lang w:val="en-US"/>
              </w:rPr>
            </w:pPr>
            <w:r w:rsidRPr="00FC3AB4">
              <w:rPr>
                <w:rFonts w:ascii="Verdana" w:hAnsi="Verdana"/>
                <w:b/>
                <w:sz w:val="16"/>
                <w:szCs w:val="16"/>
                <w:lang w:val="en-US"/>
              </w:rPr>
              <w:t>Chapter V</w:t>
            </w:r>
          </w:p>
        </w:tc>
      </w:tr>
      <w:tr w:rsidR="003A38FF" w:rsidRPr="00D0180E" w14:paraId="193065CD" w14:textId="11F4FA52" w:rsidTr="00FB5DAD">
        <w:tc>
          <w:tcPr>
            <w:tcW w:w="4706" w:type="dxa"/>
          </w:tcPr>
          <w:p w14:paraId="7C3F085A" w14:textId="77777777" w:rsidR="003A38FF" w:rsidRPr="00D0180E" w:rsidRDefault="003A38FF" w:rsidP="003A38FF">
            <w:pPr>
              <w:pStyle w:val="Texto"/>
              <w:spacing w:line="226" w:lineRule="exact"/>
              <w:ind w:firstLine="0"/>
              <w:jc w:val="center"/>
              <w:rPr>
                <w:rFonts w:ascii="Verdana" w:hAnsi="Verdana"/>
                <w:b/>
                <w:sz w:val="16"/>
                <w:szCs w:val="16"/>
              </w:rPr>
            </w:pPr>
            <w:r w:rsidRPr="00D0180E">
              <w:rPr>
                <w:rFonts w:ascii="Verdana" w:hAnsi="Verdana"/>
                <w:b/>
                <w:sz w:val="16"/>
                <w:szCs w:val="16"/>
              </w:rPr>
              <w:t>De la Cogeneración</w:t>
            </w:r>
          </w:p>
        </w:tc>
        <w:tc>
          <w:tcPr>
            <w:tcW w:w="4644" w:type="dxa"/>
          </w:tcPr>
          <w:p w14:paraId="7E33CC44" w14:textId="53FD7C8F" w:rsidR="003A38FF" w:rsidRPr="00FC3AB4" w:rsidRDefault="003A38FF" w:rsidP="003A38FF">
            <w:pPr>
              <w:pStyle w:val="Texto"/>
              <w:spacing w:line="226" w:lineRule="exact"/>
              <w:ind w:firstLine="0"/>
              <w:jc w:val="center"/>
              <w:rPr>
                <w:rFonts w:ascii="Verdana" w:hAnsi="Verdana"/>
                <w:b/>
                <w:sz w:val="16"/>
                <w:szCs w:val="16"/>
                <w:lang w:val="en-US"/>
              </w:rPr>
            </w:pPr>
            <w:r w:rsidRPr="00FC3AB4">
              <w:rPr>
                <w:rFonts w:ascii="Verdana" w:hAnsi="Verdana"/>
                <w:b/>
                <w:sz w:val="16"/>
                <w:szCs w:val="16"/>
                <w:lang w:val="en-US"/>
              </w:rPr>
              <w:t>Cogeneration</w:t>
            </w:r>
          </w:p>
        </w:tc>
      </w:tr>
      <w:tr w:rsidR="003A38FF" w:rsidRPr="00D83DA2" w14:paraId="483B6A05" w14:textId="24303A8D" w:rsidTr="00FB5DAD">
        <w:tc>
          <w:tcPr>
            <w:tcW w:w="4706" w:type="dxa"/>
          </w:tcPr>
          <w:p w14:paraId="70BE1BBF" w14:textId="77777777" w:rsidR="003A38FF" w:rsidRPr="00D0180E" w:rsidRDefault="003A38FF" w:rsidP="003A38FF">
            <w:pPr>
              <w:pStyle w:val="Texto"/>
              <w:spacing w:line="226" w:lineRule="exact"/>
              <w:ind w:firstLine="0"/>
              <w:rPr>
                <w:rFonts w:ascii="Verdana" w:hAnsi="Verdana"/>
                <w:sz w:val="16"/>
                <w:szCs w:val="16"/>
              </w:rPr>
            </w:pPr>
            <w:r w:rsidRPr="00D0180E">
              <w:rPr>
                <w:rFonts w:ascii="Verdana" w:hAnsi="Verdana"/>
                <w:b/>
                <w:sz w:val="16"/>
                <w:szCs w:val="16"/>
              </w:rPr>
              <w:t>Artículo 89.</w:t>
            </w:r>
            <w:r w:rsidRPr="00D0180E">
              <w:rPr>
                <w:rFonts w:ascii="Verdana" w:hAnsi="Verdana"/>
                <w:sz w:val="16"/>
                <w:szCs w:val="16"/>
              </w:rPr>
              <w:t xml:space="preserve"> Para efectos del artículo 41 de la Ley, la cogeneración es una forma de producir energía eléctrica y calor de manera secuencial, a partir de una sola fuente de energía con el objetivo de aumentar sustancialmente la eficiencia del primer proceso, además de reducir el consumo combinado de combustibles y de sus emisiones asociadas, así como los costos de producción y precios de venta de la electricidad. Esta forma de producir energía eléctrica se puede dar en las figuras de Generación Distribuida, autoconsumo y de generación para el Mercado Eléctrico Mayorista.</w:t>
            </w:r>
          </w:p>
        </w:tc>
        <w:tc>
          <w:tcPr>
            <w:tcW w:w="4644" w:type="dxa"/>
          </w:tcPr>
          <w:p w14:paraId="6942F1C9" w14:textId="5C476344" w:rsidR="003A38FF" w:rsidRPr="00D0180E" w:rsidRDefault="003A38FF" w:rsidP="003A38FF">
            <w:pPr>
              <w:pStyle w:val="Texto"/>
              <w:spacing w:line="226" w:lineRule="exact"/>
              <w:ind w:firstLine="0"/>
              <w:rPr>
                <w:rFonts w:ascii="Verdana" w:hAnsi="Verdana"/>
                <w:b/>
                <w:sz w:val="16"/>
                <w:szCs w:val="16"/>
                <w:lang w:val="en-US"/>
              </w:rPr>
            </w:pPr>
            <w:r w:rsidRPr="006815C5">
              <w:rPr>
                <w:rFonts w:ascii="Verdana" w:hAnsi="Verdana"/>
                <w:b/>
                <w:sz w:val="16"/>
                <w:szCs w:val="16"/>
                <w:lang w:val="en-US"/>
              </w:rPr>
              <w:t xml:space="preserve">Article 89. </w:t>
            </w:r>
            <w:r w:rsidRPr="006815C5">
              <w:rPr>
                <w:rFonts w:ascii="Verdana" w:hAnsi="Verdana"/>
                <w:sz w:val="16"/>
                <w:szCs w:val="16"/>
                <w:lang w:val="en-US"/>
              </w:rPr>
              <w:t>For the purposes of Article 41 of the Law, cogeneration is a method of producing electricity and heat sequentially from a single energy source, with the goal of substantially increasing the efficiency of the first process, in addition to reducing combined fuel consumption and associated emissions, as well as electricity production costs and sales prices. This method of producing electricity can occur in the forms of distributed generation, self-consumption, and generation for the wholesale electricity market.</w:t>
            </w:r>
          </w:p>
        </w:tc>
      </w:tr>
      <w:tr w:rsidR="003A38FF" w:rsidRPr="00D83DA2" w14:paraId="1C0B60D9" w14:textId="48429F8F" w:rsidTr="00FB5DAD">
        <w:tc>
          <w:tcPr>
            <w:tcW w:w="4706" w:type="dxa"/>
          </w:tcPr>
          <w:p w14:paraId="2A5F1091" w14:textId="77777777" w:rsidR="003A38FF" w:rsidRPr="00D0180E" w:rsidRDefault="003A38FF" w:rsidP="003A38FF">
            <w:pPr>
              <w:pStyle w:val="Texto"/>
              <w:spacing w:line="226" w:lineRule="exact"/>
              <w:ind w:firstLine="0"/>
              <w:rPr>
                <w:rFonts w:ascii="Verdana" w:hAnsi="Verdana"/>
                <w:sz w:val="16"/>
                <w:szCs w:val="16"/>
              </w:rPr>
            </w:pPr>
            <w:r w:rsidRPr="00D0180E">
              <w:rPr>
                <w:rFonts w:ascii="Verdana" w:hAnsi="Verdana"/>
                <w:b/>
                <w:sz w:val="16"/>
                <w:szCs w:val="16"/>
              </w:rPr>
              <w:t>Artículo 90.</w:t>
            </w:r>
            <w:r w:rsidRPr="00D0180E">
              <w:rPr>
                <w:rFonts w:ascii="Verdana" w:hAnsi="Verdana"/>
                <w:sz w:val="16"/>
                <w:szCs w:val="16"/>
              </w:rPr>
              <w:t xml:space="preserve"> La modalidad de cogeneración en los permisos de generación de energía eléctrica se puede dar en las figuras de autoconsumo y de generación para el Mercado Eléctrico Mayorista.</w:t>
            </w:r>
          </w:p>
        </w:tc>
        <w:tc>
          <w:tcPr>
            <w:tcW w:w="4644" w:type="dxa"/>
          </w:tcPr>
          <w:p w14:paraId="3EF00E3C" w14:textId="0C08CCD4" w:rsidR="003A38FF" w:rsidRPr="00D0180E" w:rsidRDefault="003A38FF" w:rsidP="003A38FF">
            <w:pPr>
              <w:pStyle w:val="Texto"/>
              <w:spacing w:line="226" w:lineRule="exact"/>
              <w:ind w:firstLine="0"/>
              <w:rPr>
                <w:rFonts w:ascii="Verdana" w:hAnsi="Verdana"/>
                <w:b/>
                <w:sz w:val="16"/>
                <w:szCs w:val="16"/>
                <w:lang w:val="en-US"/>
              </w:rPr>
            </w:pPr>
            <w:r w:rsidRPr="006815C5">
              <w:rPr>
                <w:rFonts w:ascii="Verdana" w:hAnsi="Verdana"/>
                <w:b/>
                <w:sz w:val="16"/>
                <w:szCs w:val="16"/>
                <w:lang w:val="en-US"/>
              </w:rPr>
              <w:t xml:space="preserve">Article 90. </w:t>
            </w:r>
            <w:r w:rsidRPr="006815C5">
              <w:rPr>
                <w:rFonts w:ascii="Verdana" w:hAnsi="Verdana"/>
                <w:sz w:val="16"/>
                <w:szCs w:val="16"/>
                <w:lang w:val="en-US"/>
              </w:rPr>
              <w:t>The cogeneration modality in electricity generation permits may occur in the figures of self-consumption and generation for the wholesale electricity market.</w:t>
            </w:r>
          </w:p>
        </w:tc>
      </w:tr>
      <w:tr w:rsidR="003A38FF" w:rsidRPr="00D83DA2" w14:paraId="3AFDA7DF" w14:textId="1A5EF31C" w:rsidTr="00FB5DAD">
        <w:tc>
          <w:tcPr>
            <w:tcW w:w="4706" w:type="dxa"/>
          </w:tcPr>
          <w:p w14:paraId="7B8F13F5" w14:textId="77777777" w:rsidR="003A38FF" w:rsidRPr="00D0180E" w:rsidRDefault="003A38FF" w:rsidP="003A38FF">
            <w:pPr>
              <w:pStyle w:val="Texto"/>
              <w:spacing w:line="226" w:lineRule="exact"/>
              <w:ind w:firstLine="0"/>
              <w:rPr>
                <w:rFonts w:ascii="Verdana" w:hAnsi="Verdana"/>
                <w:sz w:val="16"/>
                <w:szCs w:val="16"/>
              </w:rPr>
            </w:pPr>
            <w:r w:rsidRPr="00D0180E">
              <w:rPr>
                <w:rFonts w:ascii="Verdana" w:hAnsi="Verdana"/>
                <w:sz w:val="16"/>
                <w:szCs w:val="16"/>
              </w:rPr>
              <w:t>En los casos de la modalidad cogeneración en permisos de generación de energía eléctrica para autoconsumo, se considera venta a terceras personas la venta de energía eléctrica de la permisionaria a las personas usuarias de la energía eléctrica, siempre y cuando la energía eléctrica se utilice dentro de la Red Particular.</w:t>
            </w:r>
          </w:p>
        </w:tc>
        <w:tc>
          <w:tcPr>
            <w:tcW w:w="4644" w:type="dxa"/>
          </w:tcPr>
          <w:p w14:paraId="47A12E72" w14:textId="6628D5DB" w:rsidR="003A38FF" w:rsidRPr="00D0180E" w:rsidRDefault="003A38FF" w:rsidP="003A38FF">
            <w:pPr>
              <w:pStyle w:val="Texto"/>
              <w:spacing w:line="226" w:lineRule="exact"/>
              <w:ind w:firstLine="0"/>
              <w:rPr>
                <w:rFonts w:ascii="Verdana" w:hAnsi="Verdana"/>
                <w:sz w:val="16"/>
                <w:szCs w:val="16"/>
                <w:lang w:val="en-US"/>
              </w:rPr>
            </w:pPr>
            <w:r w:rsidRPr="006815C5">
              <w:rPr>
                <w:rFonts w:ascii="Verdana" w:hAnsi="Verdana"/>
                <w:sz w:val="16"/>
                <w:szCs w:val="16"/>
                <w:lang w:val="en-US"/>
              </w:rPr>
              <w:t>In the case of cogeneration in permits for the generation of electricity for self-consumption, the sale of electricity from the permit holder to electricity users is considered a sale to third parties, provided that the electricity is used within the private grid.</w:t>
            </w:r>
          </w:p>
        </w:tc>
      </w:tr>
      <w:tr w:rsidR="003A38FF" w:rsidRPr="00D83DA2" w14:paraId="08C94163" w14:textId="0D7FAAE0" w:rsidTr="00FB5DAD">
        <w:tc>
          <w:tcPr>
            <w:tcW w:w="4706" w:type="dxa"/>
          </w:tcPr>
          <w:p w14:paraId="301DF83E" w14:textId="77777777" w:rsidR="003A38FF" w:rsidRPr="00D0180E" w:rsidRDefault="003A38FF" w:rsidP="003A38FF">
            <w:pPr>
              <w:pStyle w:val="Texto"/>
              <w:spacing w:line="226" w:lineRule="exact"/>
              <w:ind w:firstLine="0"/>
              <w:rPr>
                <w:rFonts w:ascii="Verdana" w:hAnsi="Verdana"/>
                <w:sz w:val="16"/>
                <w:szCs w:val="16"/>
              </w:rPr>
            </w:pPr>
            <w:r w:rsidRPr="00D0180E">
              <w:rPr>
                <w:rFonts w:ascii="Verdana" w:hAnsi="Verdana"/>
                <w:b/>
                <w:sz w:val="16"/>
                <w:szCs w:val="16"/>
              </w:rPr>
              <w:t>Artículo 91.</w:t>
            </w:r>
            <w:r w:rsidRPr="00D0180E">
              <w:rPr>
                <w:rFonts w:ascii="Verdana" w:hAnsi="Verdana"/>
                <w:sz w:val="16"/>
                <w:szCs w:val="16"/>
              </w:rPr>
              <w:t xml:space="preserve"> La capacidad del permiso de generación a la que refiere el artículo 42 de la Ley, corresponde a la capacidad aprobada en la modalidad de cogeneración, la cual se debe definir conforme a las disposiciones administrativas de carácter general en materia de cogeneración que para tal efecto emita la CNE, en coordinación con la Secretaría.</w:t>
            </w:r>
          </w:p>
        </w:tc>
        <w:tc>
          <w:tcPr>
            <w:tcW w:w="4644" w:type="dxa"/>
          </w:tcPr>
          <w:p w14:paraId="75CB1695" w14:textId="5599C545" w:rsidR="003A38FF" w:rsidRPr="00D0180E" w:rsidRDefault="003A38FF" w:rsidP="003A38FF">
            <w:pPr>
              <w:pStyle w:val="Texto"/>
              <w:spacing w:line="226" w:lineRule="exact"/>
              <w:ind w:firstLine="0"/>
              <w:rPr>
                <w:rFonts w:ascii="Verdana" w:hAnsi="Verdana"/>
                <w:b/>
                <w:sz w:val="16"/>
                <w:szCs w:val="16"/>
                <w:lang w:val="en-US"/>
              </w:rPr>
            </w:pPr>
            <w:r w:rsidRPr="006815C5">
              <w:rPr>
                <w:rFonts w:ascii="Verdana" w:hAnsi="Verdana"/>
                <w:b/>
                <w:sz w:val="16"/>
                <w:szCs w:val="16"/>
                <w:lang w:val="en-US"/>
              </w:rPr>
              <w:t xml:space="preserve">Article 91. </w:t>
            </w:r>
            <w:r w:rsidRPr="006815C5">
              <w:rPr>
                <w:rFonts w:ascii="Verdana" w:hAnsi="Verdana"/>
                <w:sz w:val="16"/>
                <w:szCs w:val="16"/>
                <w:lang w:val="en-US"/>
              </w:rPr>
              <w:t>The generation permit capacity referred to in Article 42 of the Law corresponds to the approved capacity in the cogeneration modality, which must be defined in accordance with the general administrative provisions on cogeneration issued for this purpose by the CNE, in coordination with the Secretary.</w:t>
            </w:r>
          </w:p>
        </w:tc>
      </w:tr>
      <w:tr w:rsidR="003A38FF" w:rsidRPr="00D83DA2" w14:paraId="04365192" w14:textId="0B2E4FB6" w:rsidTr="00FB5DAD">
        <w:tc>
          <w:tcPr>
            <w:tcW w:w="4706" w:type="dxa"/>
          </w:tcPr>
          <w:p w14:paraId="2BDE24CB" w14:textId="77777777" w:rsidR="003A38FF" w:rsidRPr="00D0180E" w:rsidRDefault="003A38FF" w:rsidP="003A38FF">
            <w:pPr>
              <w:pStyle w:val="Texto"/>
              <w:spacing w:line="226" w:lineRule="exact"/>
              <w:ind w:firstLine="0"/>
              <w:rPr>
                <w:rFonts w:ascii="Verdana" w:hAnsi="Verdana"/>
                <w:sz w:val="16"/>
                <w:szCs w:val="16"/>
              </w:rPr>
            </w:pPr>
            <w:r w:rsidRPr="00D0180E">
              <w:rPr>
                <w:rFonts w:ascii="Verdana" w:hAnsi="Verdana"/>
                <w:b/>
                <w:sz w:val="16"/>
                <w:szCs w:val="16"/>
              </w:rPr>
              <w:t xml:space="preserve">Artículo 92. </w:t>
            </w:r>
            <w:r w:rsidRPr="00D0180E">
              <w:rPr>
                <w:rFonts w:ascii="Verdana" w:hAnsi="Verdana"/>
                <w:sz w:val="16"/>
                <w:szCs w:val="16"/>
              </w:rPr>
              <w:t>Las Reglas de Mercado deben determinar y establecer las reglas de despacho obligado para las Centrales Eléctricas con permiso de generación de energía eléctrica para el Mercado Eléctrico Mayorista en modalidad de cogeneración.</w:t>
            </w:r>
          </w:p>
        </w:tc>
        <w:tc>
          <w:tcPr>
            <w:tcW w:w="4644" w:type="dxa"/>
          </w:tcPr>
          <w:p w14:paraId="0AB4BD15" w14:textId="00B61E64" w:rsidR="003A38FF" w:rsidRPr="00D0180E" w:rsidRDefault="003A38FF" w:rsidP="003A38FF">
            <w:pPr>
              <w:pStyle w:val="Texto"/>
              <w:spacing w:line="226" w:lineRule="exact"/>
              <w:ind w:firstLine="0"/>
              <w:rPr>
                <w:rFonts w:ascii="Verdana" w:hAnsi="Verdana"/>
                <w:b/>
                <w:sz w:val="16"/>
                <w:szCs w:val="16"/>
                <w:lang w:val="en-US"/>
              </w:rPr>
            </w:pPr>
            <w:r w:rsidRPr="006815C5">
              <w:rPr>
                <w:rFonts w:ascii="Verdana" w:hAnsi="Verdana"/>
                <w:b/>
                <w:sz w:val="16"/>
                <w:szCs w:val="16"/>
                <w:lang w:val="en-US"/>
              </w:rPr>
              <w:t xml:space="preserve">Article 92. </w:t>
            </w:r>
            <w:r w:rsidRPr="006815C5">
              <w:rPr>
                <w:rFonts w:ascii="Verdana" w:hAnsi="Verdana"/>
                <w:sz w:val="16"/>
                <w:szCs w:val="16"/>
                <w:lang w:val="en-US"/>
              </w:rPr>
              <w:t xml:space="preserve">The market rules must determine and establish the mandatory dispatch rules for </w:t>
            </w:r>
            <w:r>
              <w:rPr>
                <w:rFonts w:ascii="Verdana" w:hAnsi="Verdana"/>
                <w:sz w:val="16"/>
                <w:szCs w:val="16"/>
                <w:lang w:val="en-US"/>
              </w:rPr>
              <w:t>power plant</w:t>
            </w:r>
            <w:r w:rsidRPr="006815C5">
              <w:rPr>
                <w:rFonts w:ascii="Verdana" w:hAnsi="Verdana"/>
                <w:sz w:val="16"/>
                <w:szCs w:val="16"/>
                <w:lang w:val="en-US"/>
              </w:rPr>
              <w:t>s with a permit to generate electric energy for the wholesale electricity market in cogeneration mode.</w:t>
            </w:r>
          </w:p>
        </w:tc>
      </w:tr>
      <w:tr w:rsidR="003A38FF" w:rsidRPr="00D83DA2" w14:paraId="72205F58" w14:textId="52C67870" w:rsidTr="00FB5DAD">
        <w:tc>
          <w:tcPr>
            <w:tcW w:w="4706" w:type="dxa"/>
          </w:tcPr>
          <w:p w14:paraId="32E40F01" w14:textId="77777777" w:rsidR="003A38FF" w:rsidRPr="00D0180E" w:rsidRDefault="003A38FF" w:rsidP="003A38FF">
            <w:pPr>
              <w:pStyle w:val="Texto"/>
              <w:spacing w:line="226" w:lineRule="exact"/>
              <w:ind w:firstLine="0"/>
              <w:rPr>
                <w:rFonts w:ascii="Verdana" w:hAnsi="Verdana"/>
                <w:sz w:val="16"/>
                <w:szCs w:val="16"/>
              </w:rPr>
            </w:pPr>
            <w:r w:rsidRPr="00D0180E">
              <w:rPr>
                <w:rFonts w:ascii="Verdana" w:hAnsi="Verdana"/>
                <w:sz w:val="16"/>
                <w:szCs w:val="16"/>
              </w:rPr>
              <w:t>Los términos de despacho obligado y volúmenes de inyección de excedentes para los permisos de generación de energía eléctrica modalidad autoconsumo se sujetan a los criterios de Confiabilidad determinados por el CENACE en términos del artículo 61 del presente reglamento.</w:t>
            </w:r>
          </w:p>
        </w:tc>
        <w:tc>
          <w:tcPr>
            <w:tcW w:w="4644" w:type="dxa"/>
          </w:tcPr>
          <w:p w14:paraId="2307482A" w14:textId="6200A70E" w:rsidR="003A38FF" w:rsidRPr="00D0180E" w:rsidRDefault="003A38FF" w:rsidP="003A38FF">
            <w:pPr>
              <w:pStyle w:val="Texto"/>
              <w:spacing w:line="226" w:lineRule="exact"/>
              <w:ind w:firstLine="0"/>
              <w:rPr>
                <w:rFonts w:ascii="Verdana" w:hAnsi="Verdana"/>
                <w:sz w:val="16"/>
                <w:szCs w:val="16"/>
                <w:lang w:val="en-US"/>
              </w:rPr>
            </w:pPr>
            <w:r w:rsidRPr="006815C5">
              <w:rPr>
                <w:rFonts w:ascii="Verdana" w:hAnsi="Verdana"/>
                <w:sz w:val="16"/>
                <w:szCs w:val="16"/>
                <w:lang w:val="en-US"/>
              </w:rPr>
              <w:t>The terms of mandatory dispatch and surplus injection volumes for self-consumption electricity generation permits are subject to the reliability criteria determined by CENACE in accordance with Article 61 of this regulation.</w:t>
            </w:r>
          </w:p>
        </w:tc>
      </w:tr>
      <w:tr w:rsidR="003A38FF" w:rsidRPr="00D0180E" w14:paraId="3744C7C1" w14:textId="6968472D" w:rsidTr="00FB5DAD">
        <w:tc>
          <w:tcPr>
            <w:tcW w:w="4706" w:type="dxa"/>
          </w:tcPr>
          <w:p w14:paraId="5EF6A5D5" w14:textId="77777777" w:rsidR="003A38FF" w:rsidRPr="00D0180E" w:rsidRDefault="003A38FF" w:rsidP="003A38FF">
            <w:pPr>
              <w:pStyle w:val="Texto"/>
              <w:spacing w:line="226" w:lineRule="exact"/>
              <w:ind w:firstLine="0"/>
              <w:jc w:val="center"/>
              <w:rPr>
                <w:rFonts w:ascii="Verdana" w:hAnsi="Verdana"/>
                <w:b/>
                <w:sz w:val="16"/>
                <w:szCs w:val="16"/>
              </w:rPr>
            </w:pPr>
            <w:r w:rsidRPr="00D0180E">
              <w:rPr>
                <w:rFonts w:ascii="Verdana" w:hAnsi="Verdana"/>
                <w:b/>
                <w:sz w:val="16"/>
                <w:szCs w:val="16"/>
              </w:rPr>
              <w:t>TÍTULO CUARTO</w:t>
            </w:r>
          </w:p>
        </w:tc>
        <w:tc>
          <w:tcPr>
            <w:tcW w:w="4644" w:type="dxa"/>
          </w:tcPr>
          <w:p w14:paraId="607F73F8" w14:textId="5B2BA4E9" w:rsidR="003A38FF" w:rsidRPr="00D0180E" w:rsidRDefault="003A38FF" w:rsidP="003A38FF">
            <w:pPr>
              <w:pStyle w:val="Texto"/>
              <w:spacing w:line="226" w:lineRule="exact"/>
              <w:ind w:firstLine="0"/>
              <w:jc w:val="center"/>
              <w:rPr>
                <w:rFonts w:ascii="Verdana" w:hAnsi="Verdana"/>
                <w:b/>
                <w:sz w:val="16"/>
                <w:szCs w:val="16"/>
                <w:lang w:val="en-US"/>
              </w:rPr>
            </w:pPr>
            <w:r w:rsidRPr="00D0180E">
              <w:rPr>
                <w:rFonts w:ascii="Verdana" w:hAnsi="Verdana"/>
                <w:b/>
                <w:sz w:val="16"/>
                <w:szCs w:val="16"/>
              </w:rPr>
              <w:t>FOUR</w:t>
            </w:r>
            <w:r>
              <w:rPr>
                <w:rFonts w:ascii="Verdana" w:hAnsi="Verdana"/>
                <w:b/>
                <w:sz w:val="16"/>
                <w:szCs w:val="16"/>
              </w:rPr>
              <w:t>TH</w:t>
            </w:r>
            <w:r w:rsidRPr="00D0180E">
              <w:rPr>
                <w:rFonts w:ascii="Verdana" w:hAnsi="Verdana"/>
                <w:b/>
                <w:sz w:val="16"/>
                <w:szCs w:val="16"/>
              </w:rPr>
              <w:t xml:space="preserve"> TITLE </w:t>
            </w:r>
          </w:p>
        </w:tc>
      </w:tr>
      <w:tr w:rsidR="003A38FF" w:rsidRPr="00D83DA2" w14:paraId="4D73C142" w14:textId="1490DD25" w:rsidTr="00FB5DAD">
        <w:tc>
          <w:tcPr>
            <w:tcW w:w="4706" w:type="dxa"/>
          </w:tcPr>
          <w:p w14:paraId="64AFF5C0" w14:textId="77777777" w:rsidR="003A38FF" w:rsidRPr="00D0180E" w:rsidRDefault="003A38FF" w:rsidP="003A38FF">
            <w:pPr>
              <w:pStyle w:val="Texto"/>
              <w:spacing w:line="226" w:lineRule="exact"/>
              <w:ind w:firstLine="0"/>
              <w:jc w:val="center"/>
              <w:rPr>
                <w:rFonts w:ascii="Verdana" w:hAnsi="Verdana"/>
                <w:b/>
                <w:sz w:val="16"/>
                <w:szCs w:val="16"/>
              </w:rPr>
            </w:pPr>
            <w:r w:rsidRPr="00D0180E">
              <w:rPr>
                <w:rFonts w:ascii="Verdana" w:hAnsi="Verdana"/>
                <w:b/>
                <w:sz w:val="16"/>
                <w:szCs w:val="16"/>
              </w:rPr>
              <w:lastRenderedPageBreak/>
              <w:t>DE LA TRANSMISIÓN Y DISTRIBUCIÓN DE ENERGÍA ELÉCTRICA, DEL SUMINISTRO ELÉCTRICO Y LAS TARIFAS ELÉCTRICAS</w:t>
            </w:r>
          </w:p>
        </w:tc>
        <w:tc>
          <w:tcPr>
            <w:tcW w:w="4644" w:type="dxa"/>
          </w:tcPr>
          <w:p w14:paraId="14808513" w14:textId="34625B68" w:rsidR="003A38FF" w:rsidRPr="00D0180E" w:rsidRDefault="003A38FF" w:rsidP="003A38FF">
            <w:pPr>
              <w:pStyle w:val="Texto"/>
              <w:spacing w:line="226" w:lineRule="exact"/>
              <w:ind w:firstLine="0"/>
              <w:jc w:val="center"/>
              <w:rPr>
                <w:rFonts w:ascii="Verdana" w:hAnsi="Verdana"/>
                <w:b/>
                <w:sz w:val="16"/>
                <w:szCs w:val="16"/>
                <w:lang w:val="en-US"/>
              </w:rPr>
            </w:pPr>
            <w:r w:rsidRPr="006815C5">
              <w:rPr>
                <w:rFonts w:ascii="Verdana" w:hAnsi="Verdana"/>
                <w:b/>
                <w:sz w:val="16"/>
                <w:szCs w:val="16"/>
                <w:lang w:val="en-US"/>
              </w:rPr>
              <w:t>THE TRANSMISSION AND DISTRIBUTION OF ELECTRICAL ENERGY, ELECTRICAL SUPPLY AND ELECTRICAL RATES</w:t>
            </w:r>
          </w:p>
        </w:tc>
      </w:tr>
      <w:tr w:rsidR="003A38FF" w:rsidRPr="00D0180E" w14:paraId="16C276C4" w14:textId="217DD8F6" w:rsidTr="00FB5DAD">
        <w:tc>
          <w:tcPr>
            <w:tcW w:w="4706" w:type="dxa"/>
          </w:tcPr>
          <w:p w14:paraId="6CC9DA24" w14:textId="77777777" w:rsidR="003A38FF" w:rsidRPr="00D0180E" w:rsidRDefault="003A38FF" w:rsidP="003A38FF">
            <w:pPr>
              <w:pStyle w:val="Texto"/>
              <w:spacing w:line="226" w:lineRule="exact"/>
              <w:ind w:firstLine="0"/>
              <w:jc w:val="center"/>
              <w:rPr>
                <w:rFonts w:ascii="Verdana" w:hAnsi="Verdana"/>
                <w:b/>
                <w:sz w:val="16"/>
                <w:szCs w:val="16"/>
              </w:rPr>
            </w:pPr>
            <w:r w:rsidRPr="00D0180E">
              <w:rPr>
                <w:rFonts w:ascii="Verdana" w:hAnsi="Verdana"/>
                <w:b/>
                <w:sz w:val="16"/>
                <w:szCs w:val="16"/>
              </w:rPr>
              <w:t>Capítulo I</w:t>
            </w:r>
          </w:p>
        </w:tc>
        <w:tc>
          <w:tcPr>
            <w:tcW w:w="4644" w:type="dxa"/>
          </w:tcPr>
          <w:p w14:paraId="73F90B8A" w14:textId="14CE140B" w:rsidR="003A38FF" w:rsidRPr="003F7B57" w:rsidRDefault="003A38FF" w:rsidP="003A38FF">
            <w:pPr>
              <w:pStyle w:val="Texto"/>
              <w:spacing w:line="226" w:lineRule="exact"/>
              <w:ind w:firstLine="0"/>
              <w:jc w:val="center"/>
              <w:rPr>
                <w:rFonts w:ascii="Verdana" w:hAnsi="Verdana"/>
                <w:b/>
                <w:sz w:val="16"/>
                <w:szCs w:val="16"/>
                <w:lang w:val="en-US"/>
              </w:rPr>
            </w:pPr>
            <w:r w:rsidRPr="003F7B57">
              <w:rPr>
                <w:rFonts w:ascii="Verdana" w:hAnsi="Verdana"/>
                <w:b/>
                <w:sz w:val="16"/>
                <w:szCs w:val="16"/>
                <w:lang w:val="en-US"/>
              </w:rPr>
              <w:t>Chapter I</w:t>
            </w:r>
          </w:p>
        </w:tc>
      </w:tr>
      <w:tr w:rsidR="003A38FF" w:rsidRPr="00D0180E" w14:paraId="31A8D7BB" w14:textId="343C937C" w:rsidTr="00FB5DAD">
        <w:tc>
          <w:tcPr>
            <w:tcW w:w="4706" w:type="dxa"/>
          </w:tcPr>
          <w:p w14:paraId="3D52EF08" w14:textId="77777777" w:rsidR="003A38FF" w:rsidRPr="00D0180E" w:rsidRDefault="003A38FF" w:rsidP="003A38FF">
            <w:pPr>
              <w:pStyle w:val="Texto"/>
              <w:spacing w:line="226" w:lineRule="exact"/>
              <w:ind w:firstLine="0"/>
              <w:jc w:val="center"/>
              <w:rPr>
                <w:rFonts w:ascii="Verdana" w:hAnsi="Verdana"/>
                <w:b/>
                <w:sz w:val="16"/>
                <w:szCs w:val="16"/>
              </w:rPr>
            </w:pPr>
            <w:r w:rsidRPr="00D0180E">
              <w:rPr>
                <w:rFonts w:ascii="Verdana" w:hAnsi="Verdana"/>
                <w:b/>
                <w:sz w:val="16"/>
                <w:szCs w:val="16"/>
              </w:rPr>
              <w:t>De la Transmisión y Distribución</w:t>
            </w:r>
          </w:p>
        </w:tc>
        <w:tc>
          <w:tcPr>
            <w:tcW w:w="4644" w:type="dxa"/>
          </w:tcPr>
          <w:p w14:paraId="12F2DAAF" w14:textId="40E3AC4F" w:rsidR="003A38FF" w:rsidRPr="003F7B57" w:rsidRDefault="003A38FF" w:rsidP="003A38FF">
            <w:pPr>
              <w:pStyle w:val="Texto"/>
              <w:spacing w:line="226" w:lineRule="exact"/>
              <w:ind w:firstLine="0"/>
              <w:jc w:val="center"/>
              <w:rPr>
                <w:rFonts w:ascii="Verdana" w:hAnsi="Verdana"/>
                <w:b/>
                <w:sz w:val="16"/>
                <w:szCs w:val="16"/>
                <w:lang w:val="en-US"/>
              </w:rPr>
            </w:pPr>
            <w:r w:rsidRPr="003F7B57">
              <w:rPr>
                <w:rFonts w:ascii="Verdana" w:hAnsi="Verdana"/>
                <w:b/>
                <w:sz w:val="16"/>
                <w:szCs w:val="16"/>
                <w:lang w:val="en-US"/>
              </w:rPr>
              <w:t>Transmission and Distribution</w:t>
            </w:r>
          </w:p>
        </w:tc>
      </w:tr>
      <w:tr w:rsidR="003A38FF" w:rsidRPr="00D83DA2" w14:paraId="13AEFA8A" w14:textId="09BC2EDD" w:rsidTr="00FB5DAD">
        <w:tc>
          <w:tcPr>
            <w:tcW w:w="4706" w:type="dxa"/>
          </w:tcPr>
          <w:p w14:paraId="3568E1E6" w14:textId="77777777" w:rsidR="003A38FF" w:rsidRPr="00D0180E" w:rsidRDefault="003A38FF" w:rsidP="003A38FF">
            <w:pPr>
              <w:pStyle w:val="Texto"/>
              <w:spacing w:line="226" w:lineRule="exact"/>
              <w:ind w:firstLine="0"/>
              <w:rPr>
                <w:rFonts w:ascii="Verdana" w:hAnsi="Verdana"/>
                <w:sz w:val="16"/>
                <w:szCs w:val="16"/>
              </w:rPr>
            </w:pPr>
            <w:r w:rsidRPr="00D0180E">
              <w:rPr>
                <w:rFonts w:ascii="Verdana" w:hAnsi="Verdana"/>
                <w:b/>
                <w:sz w:val="16"/>
                <w:szCs w:val="16"/>
              </w:rPr>
              <w:t>Artículo 93.</w:t>
            </w:r>
            <w:r w:rsidRPr="00D0180E">
              <w:rPr>
                <w:rFonts w:ascii="Verdana" w:hAnsi="Verdana"/>
                <w:sz w:val="16"/>
                <w:szCs w:val="16"/>
              </w:rPr>
              <w:t xml:space="preserve"> El Servicio Público de Transmisión y Distribución de Energía Eléctrica se debe sujetar a las disposiciones administrativas de carácter general que emita la CNE, en coordinación con la Secretaría, en materia de Accesibilidad, Calidad, Confiabilidad, Continuidad, Eficiencia, Seguridad y Sostenibilidad. La prestación de dicho servicio se debe realizar bajo el correcto funcionamiento e integridad de los equipos y dispositivos de sus redes.</w:t>
            </w:r>
          </w:p>
        </w:tc>
        <w:tc>
          <w:tcPr>
            <w:tcW w:w="4644" w:type="dxa"/>
          </w:tcPr>
          <w:p w14:paraId="135E8C1C" w14:textId="69FB5341" w:rsidR="003A38FF" w:rsidRPr="00D0180E" w:rsidRDefault="003A38FF" w:rsidP="003A38FF">
            <w:pPr>
              <w:pStyle w:val="Texto"/>
              <w:spacing w:line="226" w:lineRule="exact"/>
              <w:ind w:firstLine="0"/>
              <w:rPr>
                <w:rFonts w:ascii="Verdana" w:hAnsi="Verdana"/>
                <w:b/>
                <w:sz w:val="16"/>
                <w:szCs w:val="16"/>
                <w:lang w:val="en-US"/>
              </w:rPr>
            </w:pPr>
            <w:r w:rsidRPr="006815C5">
              <w:rPr>
                <w:rFonts w:ascii="Verdana" w:hAnsi="Verdana"/>
                <w:b/>
                <w:sz w:val="16"/>
                <w:szCs w:val="16"/>
                <w:lang w:val="en-US"/>
              </w:rPr>
              <w:t xml:space="preserve">Article 93. </w:t>
            </w:r>
            <w:r w:rsidRPr="006815C5">
              <w:rPr>
                <w:rFonts w:ascii="Verdana" w:hAnsi="Verdana"/>
                <w:sz w:val="16"/>
                <w:szCs w:val="16"/>
                <w:lang w:val="en-US"/>
              </w:rPr>
              <w:t>The public electric power transmission and distribution service must comply with the general administrative provisions issued by the CNE, in coordination with the Secretary, regarding accessibility, quality, reliability, continuity, efficiency, security, and sustainability. The provision of this service must be carried out under the proper functioning and integrity of the equipment and devices in its networks.</w:t>
            </w:r>
          </w:p>
        </w:tc>
      </w:tr>
      <w:tr w:rsidR="003A38FF" w:rsidRPr="00D83DA2" w14:paraId="175ECE27" w14:textId="2D31CE03" w:rsidTr="00FB5DAD">
        <w:tc>
          <w:tcPr>
            <w:tcW w:w="4706" w:type="dxa"/>
          </w:tcPr>
          <w:p w14:paraId="3ACE4CA3" w14:textId="77777777" w:rsidR="003A38FF" w:rsidRPr="00D0180E" w:rsidRDefault="003A38FF" w:rsidP="003A38FF">
            <w:pPr>
              <w:pStyle w:val="Texto"/>
              <w:spacing w:after="86"/>
              <w:ind w:firstLine="0"/>
              <w:rPr>
                <w:rFonts w:ascii="Verdana" w:hAnsi="Verdana"/>
                <w:sz w:val="16"/>
                <w:szCs w:val="16"/>
              </w:rPr>
            </w:pPr>
            <w:r w:rsidRPr="00D0180E">
              <w:rPr>
                <w:rFonts w:ascii="Verdana" w:hAnsi="Verdana"/>
                <w:sz w:val="16"/>
                <w:szCs w:val="16"/>
              </w:rPr>
              <w:t>El Servicio Público de Transmisión y Distribución de Energía Eléctrica debe</w:t>
            </w:r>
            <w:r w:rsidRPr="00D0180E">
              <w:rPr>
                <w:rFonts w:ascii="Verdana" w:hAnsi="Verdana"/>
                <w:b/>
                <w:sz w:val="16"/>
                <w:szCs w:val="16"/>
              </w:rPr>
              <w:t xml:space="preserve"> </w:t>
            </w:r>
            <w:r w:rsidRPr="00D0180E">
              <w:rPr>
                <w:rFonts w:ascii="Verdana" w:hAnsi="Verdana"/>
                <w:sz w:val="16"/>
                <w:szCs w:val="16"/>
              </w:rPr>
              <w:t>prestarse bajo parámetros aceptables de:</w:t>
            </w:r>
          </w:p>
        </w:tc>
        <w:tc>
          <w:tcPr>
            <w:tcW w:w="4644" w:type="dxa"/>
          </w:tcPr>
          <w:p w14:paraId="6AB919A3" w14:textId="6AD919D7" w:rsidR="003A38FF" w:rsidRPr="00D0180E" w:rsidRDefault="003A38FF" w:rsidP="003A38FF">
            <w:pPr>
              <w:pStyle w:val="Texto"/>
              <w:spacing w:after="86"/>
              <w:ind w:firstLine="0"/>
              <w:rPr>
                <w:rFonts w:ascii="Verdana" w:hAnsi="Verdana"/>
                <w:sz w:val="16"/>
                <w:szCs w:val="16"/>
                <w:lang w:val="en-US"/>
              </w:rPr>
            </w:pPr>
            <w:r w:rsidRPr="006815C5">
              <w:rPr>
                <w:rFonts w:ascii="Verdana" w:hAnsi="Verdana"/>
                <w:sz w:val="16"/>
                <w:szCs w:val="16"/>
                <w:lang w:val="en-US"/>
              </w:rPr>
              <w:t>The public service of transmission and distribution of electric energy must</w:t>
            </w:r>
            <w:r w:rsidRPr="006815C5">
              <w:rPr>
                <w:rFonts w:ascii="Verdana" w:hAnsi="Verdana"/>
                <w:b/>
                <w:sz w:val="16"/>
                <w:szCs w:val="16"/>
                <w:lang w:val="en-US"/>
              </w:rPr>
              <w:t xml:space="preserve"> </w:t>
            </w:r>
            <w:r w:rsidRPr="006815C5">
              <w:rPr>
                <w:rFonts w:ascii="Verdana" w:hAnsi="Verdana"/>
                <w:sz w:val="16"/>
                <w:szCs w:val="16"/>
                <w:lang w:val="en-US"/>
              </w:rPr>
              <w:t>be provided under acceptable parameters of:</w:t>
            </w:r>
          </w:p>
        </w:tc>
      </w:tr>
      <w:tr w:rsidR="003A38FF" w:rsidRPr="00D0180E" w14:paraId="3BAAC15F" w14:textId="5A19662B" w:rsidTr="00FB5DAD">
        <w:tc>
          <w:tcPr>
            <w:tcW w:w="4706" w:type="dxa"/>
          </w:tcPr>
          <w:p w14:paraId="2B1765D7" w14:textId="77777777" w:rsidR="003A38FF" w:rsidRPr="00D0180E" w:rsidRDefault="003A38FF" w:rsidP="003A38FF">
            <w:pPr>
              <w:pStyle w:val="Texto"/>
              <w:spacing w:after="86"/>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Tensión;</w:t>
            </w:r>
          </w:p>
        </w:tc>
        <w:tc>
          <w:tcPr>
            <w:tcW w:w="4644" w:type="dxa"/>
          </w:tcPr>
          <w:p w14:paraId="1B71654D" w14:textId="7166DF2F" w:rsidR="003A38FF" w:rsidRPr="00845F9F" w:rsidRDefault="003A38FF" w:rsidP="003A38FF">
            <w:pPr>
              <w:pStyle w:val="Texto"/>
              <w:spacing w:after="86"/>
              <w:ind w:firstLine="0"/>
              <w:rPr>
                <w:rFonts w:ascii="Verdana" w:hAnsi="Verdana"/>
                <w:b/>
                <w:sz w:val="16"/>
                <w:szCs w:val="16"/>
                <w:lang w:val="en-US"/>
              </w:rPr>
            </w:pPr>
            <w:r w:rsidRPr="00845F9F">
              <w:rPr>
                <w:rFonts w:ascii="Verdana" w:hAnsi="Verdana"/>
                <w:b/>
                <w:sz w:val="16"/>
                <w:szCs w:val="16"/>
                <w:lang w:val="en-US"/>
              </w:rPr>
              <w:t xml:space="preserve">I. </w:t>
            </w:r>
            <w:r w:rsidRPr="00845F9F">
              <w:rPr>
                <w:rFonts w:ascii="Verdana" w:hAnsi="Verdana"/>
                <w:b/>
                <w:sz w:val="16"/>
                <w:szCs w:val="16"/>
                <w:lang w:val="en-US"/>
              </w:rPr>
              <w:tab/>
            </w:r>
            <w:r w:rsidRPr="00845F9F">
              <w:rPr>
                <w:rFonts w:ascii="Verdana" w:hAnsi="Verdana"/>
                <w:sz w:val="16"/>
                <w:szCs w:val="16"/>
                <w:lang w:val="en-US"/>
              </w:rPr>
              <w:t>Tension;</w:t>
            </w:r>
          </w:p>
        </w:tc>
      </w:tr>
      <w:tr w:rsidR="003A38FF" w:rsidRPr="00D83DA2" w14:paraId="619B972D" w14:textId="6848011A" w:rsidTr="00FB5DAD">
        <w:tc>
          <w:tcPr>
            <w:tcW w:w="4706" w:type="dxa"/>
          </w:tcPr>
          <w:p w14:paraId="20C9324E" w14:textId="77777777" w:rsidR="003A38FF" w:rsidRPr="00D0180E" w:rsidRDefault="003A38FF" w:rsidP="003A38FF">
            <w:pPr>
              <w:pStyle w:val="Texto"/>
              <w:spacing w:after="86"/>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Disponibilidad y margen de reserva de los elementos de las redes;</w:t>
            </w:r>
          </w:p>
        </w:tc>
        <w:tc>
          <w:tcPr>
            <w:tcW w:w="4644" w:type="dxa"/>
          </w:tcPr>
          <w:p w14:paraId="2D5F4340" w14:textId="128D007E" w:rsidR="003A38FF" w:rsidRPr="00845F9F" w:rsidRDefault="003A38FF" w:rsidP="003A38FF">
            <w:pPr>
              <w:pStyle w:val="Texto"/>
              <w:spacing w:after="86"/>
              <w:ind w:firstLine="0"/>
              <w:rPr>
                <w:rFonts w:ascii="Verdana" w:hAnsi="Verdana"/>
                <w:b/>
                <w:sz w:val="16"/>
                <w:szCs w:val="16"/>
                <w:lang w:val="en-US"/>
              </w:rPr>
            </w:pPr>
            <w:r w:rsidRPr="00845F9F">
              <w:rPr>
                <w:rFonts w:ascii="Verdana" w:hAnsi="Verdana"/>
                <w:b/>
                <w:sz w:val="16"/>
                <w:szCs w:val="16"/>
                <w:lang w:val="en-US"/>
              </w:rPr>
              <w:t>II</w:t>
            </w:r>
            <w:proofErr w:type="gramStart"/>
            <w:r w:rsidRPr="00845F9F">
              <w:rPr>
                <w:rFonts w:ascii="Verdana" w:hAnsi="Verdana"/>
                <w:b/>
                <w:sz w:val="16"/>
                <w:szCs w:val="16"/>
                <w:lang w:val="en-US"/>
              </w:rPr>
              <w:t xml:space="preserve">. </w:t>
            </w:r>
            <w:r w:rsidRPr="00845F9F">
              <w:rPr>
                <w:rFonts w:ascii="Verdana" w:hAnsi="Verdana"/>
                <w:b/>
                <w:sz w:val="16"/>
                <w:szCs w:val="16"/>
                <w:lang w:val="en-US"/>
              </w:rPr>
              <w:tab/>
            </w:r>
            <w:r w:rsidRPr="00845F9F">
              <w:rPr>
                <w:rFonts w:ascii="Verdana" w:hAnsi="Verdana"/>
                <w:sz w:val="16"/>
                <w:szCs w:val="16"/>
                <w:lang w:val="en-US"/>
              </w:rPr>
              <w:t>Availability</w:t>
            </w:r>
            <w:proofErr w:type="gramEnd"/>
            <w:r w:rsidRPr="00845F9F">
              <w:rPr>
                <w:rFonts w:ascii="Verdana" w:hAnsi="Verdana"/>
                <w:sz w:val="16"/>
                <w:szCs w:val="16"/>
                <w:lang w:val="en-US"/>
              </w:rPr>
              <w:t xml:space="preserve"> and reserve margin of network elements;</w:t>
            </w:r>
          </w:p>
        </w:tc>
      </w:tr>
      <w:tr w:rsidR="003A38FF" w:rsidRPr="00D0180E" w14:paraId="073B2986" w14:textId="3AA3AAF1" w:rsidTr="00FB5DAD">
        <w:tc>
          <w:tcPr>
            <w:tcW w:w="4706" w:type="dxa"/>
          </w:tcPr>
          <w:p w14:paraId="29038612" w14:textId="77777777" w:rsidR="003A38FF" w:rsidRPr="00D0180E" w:rsidRDefault="003A38FF" w:rsidP="003A38FF">
            <w:pPr>
              <w:pStyle w:val="Texto"/>
              <w:spacing w:after="86"/>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Interrupciones del Suministro Eléctrico;</w:t>
            </w:r>
          </w:p>
        </w:tc>
        <w:tc>
          <w:tcPr>
            <w:tcW w:w="4644" w:type="dxa"/>
          </w:tcPr>
          <w:p w14:paraId="33E1BE56" w14:textId="4658A356" w:rsidR="003A38FF" w:rsidRPr="00845F9F" w:rsidRDefault="003A38FF" w:rsidP="003A38FF">
            <w:pPr>
              <w:pStyle w:val="Texto"/>
              <w:spacing w:after="86"/>
              <w:ind w:firstLine="0"/>
              <w:rPr>
                <w:rFonts w:ascii="Verdana" w:hAnsi="Verdana"/>
                <w:b/>
                <w:sz w:val="16"/>
                <w:szCs w:val="16"/>
                <w:lang w:val="en-US"/>
              </w:rPr>
            </w:pPr>
            <w:r w:rsidRPr="00845F9F">
              <w:rPr>
                <w:rFonts w:ascii="Verdana" w:hAnsi="Verdana"/>
                <w:b/>
                <w:sz w:val="16"/>
                <w:szCs w:val="16"/>
                <w:lang w:val="en-US"/>
              </w:rPr>
              <w:t>III</w:t>
            </w:r>
            <w:proofErr w:type="gramStart"/>
            <w:r w:rsidRPr="00845F9F">
              <w:rPr>
                <w:rFonts w:ascii="Verdana" w:hAnsi="Verdana"/>
                <w:b/>
                <w:sz w:val="16"/>
                <w:szCs w:val="16"/>
                <w:lang w:val="en-US"/>
              </w:rPr>
              <w:t xml:space="preserve">. </w:t>
            </w:r>
            <w:r w:rsidRPr="00845F9F">
              <w:rPr>
                <w:rFonts w:ascii="Verdana" w:hAnsi="Verdana"/>
                <w:b/>
                <w:sz w:val="16"/>
                <w:szCs w:val="16"/>
                <w:lang w:val="en-US"/>
              </w:rPr>
              <w:tab/>
            </w:r>
            <w:r w:rsidRPr="00845F9F">
              <w:rPr>
                <w:rFonts w:ascii="Verdana" w:hAnsi="Verdana"/>
                <w:sz w:val="16"/>
                <w:szCs w:val="16"/>
                <w:lang w:val="en-US"/>
              </w:rPr>
              <w:t>Power</w:t>
            </w:r>
            <w:proofErr w:type="gramEnd"/>
            <w:r w:rsidRPr="00845F9F">
              <w:rPr>
                <w:rFonts w:ascii="Verdana" w:hAnsi="Verdana"/>
                <w:sz w:val="16"/>
                <w:szCs w:val="16"/>
                <w:lang w:val="en-US"/>
              </w:rPr>
              <w:t xml:space="preserve"> Supply Interruptions;</w:t>
            </w:r>
          </w:p>
        </w:tc>
      </w:tr>
      <w:tr w:rsidR="003A38FF" w:rsidRPr="00D0180E" w14:paraId="44EAEEA3" w14:textId="764FBA76" w:rsidTr="00FB5DAD">
        <w:tc>
          <w:tcPr>
            <w:tcW w:w="4706" w:type="dxa"/>
          </w:tcPr>
          <w:p w14:paraId="03B4AA03" w14:textId="77777777" w:rsidR="003A38FF" w:rsidRPr="00D0180E" w:rsidRDefault="003A38FF" w:rsidP="003A38FF">
            <w:pPr>
              <w:pStyle w:val="Texto"/>
              <w:spacing w:after="86"/>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Componentes armónicos;</w:t>
            </w:r>
          </w:p>
        </w:tc>
        <w:tc>
          <w:tcPr>
            <w:tcW w:w="4644" w:type="dxa"/>
          </w:tcPr>
          <w:p w14:paraId="6BB13D2C" w14:textId="517EF19C" w:rsidR="003A38FF" w:rsidRPr="00845F9F" w:rsidRDefault="003A38FF" w:rsidP="003A38FF">
            <w:pPr>
              <w:pStyle w:val="Texto"/>
              <w:spacing w:after="86"/>
              <w:ind w:firstLine="0"/>
              <w:rPr>
                <w:rFonts w:ascii="Verdana" w:hAnsi="Verdana"/>
                <w:b/>
                <w:sz w:val="16"/>
                <w:szCs w:val="16"/>
                <w:lang w:val="en-US"/>
              </w:rPr>
            </w:pPr>
            <w:r w:rsidRPr="00845F9F">
              <w:rPr>
                <w:rFonts w:ascii="Verdana" w:hAnsi="Verdana"/>
                <w:b/>
                <w:sz w:val="16"/>
                <w:szCs w:val="16"/>
                <w:lang w:val="en-US"/>
              </w:rPr>
              <w:t>IV</w:t>
            </w:r>
            <w:proofErr w:type="gramStart"/>
            <w:r w:rsidRPr="00845F9F">
              <w:rPr>
                <w:rFonts w:ascii="Verdana" w:hAnsi="Verdana"/>
                <w:b/>
                <w:sz w:val="16"/>
                <w:szCs w:val="16"/>
                <w:lang w:val="en-US"/>
              </w:rPr>
              <w:t xml:space="preserve">. </w:t>
            </w:r>
            <w:r w:rsidRPr="00845F9F">
              <w:rPr>
                <w:rFonts w:ascii="Verdana" w:hAnsi="Verdana"/>
                <w:b/>
                <w:sz w:val="16"/>
                <w:szCs w:val="16"/>
                <w:lang w:val="en-US"/>
              </w:rPr>
              <w:tab/>
            </w:r>
            <w:r w:rsidRPr="00845F9F">
              <w:rPr>
                <w:rFonts w:ascii="Verdana" w:hAnsi="Verdana"/>
                <w:sz w:val="16"/>
                <w:szCs w:val="16"/>
                <w:lang w:val="en-US"/>
              </w:rPr>
              <w:t>Harmonic</w:t>
            </w:r>
            <w:proofErr w:type="gramEnd"/>
            <w:r w:rsidRPr="00845F9F">
              <w:rPr>
                <w:rFonts w:ascii="Verdana" w:hAnsi="Verdana"/>
                <w:sz w:val="16"/>
                <w:szCs w:val="16"/>
                <w:lang w:val="en-US"/>
              </w:rPr>
              <w:t xml:space="preserve"> components;</w:t>
            </w:r>
          </w:p>
        </w:tc>
      </w:tr>
      <w:tr w:rsidR="003A38FF" w:rsidRPr="00D83DA2" w14:paraId="1D6EB4DE" w14:textId="0984A804" w:rsidTr="00FB5DAD">
        <w:tc>
          <w:tcPr>
            <w:tcW w:w="4706" w:type="dxa"/>
          </w:tcPr>
          <w:p w14:paraId="03D1A9E0" w14:textId="77777777" w:rsidR="003A38FF" w:rsidRPr="00D0180E" w:rsidRDefault="003A38FF" w:rsidP="003A38FF">
            <w:pPr>
              <w:pStyle w:val="Texto"/>
              <w:spacing w:after="86"/>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Pérdidas de energía eléctrica, y</w:t>
            </w:r>
          </w:p>
        </w:tc>
        <w:tc>
          <w:tcPr>
            <w:tcW w:w="4644" w:type="dxa"/>
          </w:tcPr>
          <w:p w14:paraId="412E4BA3" w14:textId="0E07BF92" w:rsidR="003A38FF" w:rsidRPr="00845F9F" w:rsidRDefault="003A38FF" w:rsidP="003A38FF">
            <w:pPr>
              <w:pStyle w:val="Texto"/>
              <w:spacing w:after="86"/>
              <w:ind w:firstLine="0"/>
              <w:rPr>
                <w:rFonts w:ascii="Verdana" w:hAnsi="Verdana"/>
                <w:b/>
                <w:sz w:val="16"/>
                <w:szCs w:val="16"/>
                <w:lang w:val="en-US"/>
              </w:rPr>
            </w:pPr>
            <w:r w:rsidRPr="00845F9F">
              <w:rPr>
                <w:rFonts w:ascii="Verdana" w:hAnsi="Verdana"/>
                <w:b/>
                <w:sz w:val="16"/>
                <w:szCs w:val="16"/>
                <w:lang w:val="en-US"/>
              </w:rPr>
              <w:t>V</w:t>
            </w:r>
            <w:proofErr w:type="gramStart"/>
            <w:r w:rsidRPr="00845F9F">
              <w:rPr>
                <w:rFonts w:ascii="Verdana" w:hAnsi="Verdana"/>
                <w:b/>
                <w:sz w:val="16"/>
                <w:szCs w:val="16"/>
                <w:lang w:val="en-US"/>
              </w:rPr>
              <w:t xml:space="preserve">. </w:t>
            </w:r>
            <w:r w:rsidRPr="00845F9F">
              <w:rPr>
                <w:rFonts w:ascii="Verdana" w:hAnsi="Verdana"/>
                <w:b/>
                <w:sz w:val="16"/>
                <w:szCs w:val="16"/>
                <w:lang w:val="en-US"/>
              </w:rPr>
              <w:tab/>
            </w:r>
            <w:r w:rsidRPr="00845F9F">
              <w:rPr>
                <w:rFonts w:ascii="Verdana" w:hAnsi="Verdana"/>
                <w:sz w:val="16"/>
                <w:szCs w:val="16"/>
                <w:lang w:val="en-US"/>
              </w:rPr>
              <w:t>Losses</w:t>
            </w:r>
            <w:proofErr w:type="gramEnd"/>
            <w:r w:rsidRPr="00845F9F">
              <w:rPr>
                <w:rFonts w:ascii="Verdana" w:hAnsi="Verdana"/>
                <w:sz w:val="16"/>
                <w:szCs w:val="16"/>
                <w:lang w:val="en-US"/>
              </w:rPr>
              <w:t xml:space="preserve"> of electrical energy, and</w:t>
            </w:r>
          </w:p>
        </w:tc>
      </w:tr>
      <w:tr w:rsidR="003A38FF" w:rsidRPr="00D83DA2" w14:paraId="7332A8F6" w14:textId="2818902C" w:rsidTr="00FB5DAD">
        <w:tc>
          <w:tcPr>
            <w:tcW w:w="4706" w:type="dxa"/>
          </w:tcPr>
          <w:p w14:paraId="3B1D6EDB" w14:textId="77777777" w:rsidR="003A38FF" w:rsidRPr="00D0180E" w:rsidRDefault="003A38FF" w:rsidP="003A38FF">
            <w:pPr>
              <w:pStyle w:val="Texto"/>
              <w:spacing w:after="86"/>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Cualquier otro aspecto técnico que la CNE considere necesario.</w:t>
            </w:r>
          </w:p>
        </w:tc>
        <w:tc>
          <w:tcPr>
            <w:tcW w:w="4644" w:type="dxa"/>
          </w:tcPr>
          <w:p w14:paraId="515FA74C" w14:textId="5A4D0BF8" w:rsidR="003A38FF" w:rsidRPr="00D0180E" w:rsidRDefault="003A38FF" w:rsidP="003A38FF">
            <w:pPr>
              <w:pStyle w:val="Texto"/>
              <w:spacing w:after="86"/>
              <w:ind w:firstLine="0"/>
              <w:rPr>
                <w:rFonts w:ascii="Verdana" w:hAnsi="Verdana"/>
                <w:b/>
                <w:sz w:val="16"/>
                <w:szCs w:val="16"/>
                <w:lang w:val="en-US"/>
              </w:rPr>
            </w:pPr>
            <w:r w:rsidRPr="006815C5">
              <w:rPr>
                <w:rFonts w:ascii="Verdana" w:hAnsi="Verdana"/>
                <w:b/>
                <w:sz w:val="16"/>
                <w:szCs w:val="16"/>
                <w:lang w:val="en-US"/>
              </w:rPr>
              <w:t>VI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Any</w:t>
            </w:r>
            <w:proofErr w:type="gramEnd"/>
            <w:r w:rsidRPr="006815C5">
              <w:rPr>
                <w:rFonts w:ascii="Verdana" w:hAnsi="Verdana"/>
                <w:sz w:val="16"/>
                <w:szCs w:val="16"/>
                <w:lang w:val="en-US"/>
              </w:rPr>
              <w:t xml:space="preserve"> other technical aspect that the CNE considers necessary.</w:t>
            </w:r>
          </w:p>
        </w:tc>
      </w:tr>
      <w:tr w:rsidR="003A38FF" w:rsidRPr="00D83DA2" w14:paraId="149F5AFF" w14:textId="5DA1FB1B" w:rsidTr="00FB5DAD">
        <w:tc>
          <w:tcPr>
            <w:tcW w:w="4706" w:type="dxa"/>
          </w:tcPr>
          <w:p w14:paraId="7988EAA9" w14:textId="77777777" w:rsidR="003A38FF" w:rsidRPr="00D0180E" w:rsidRDefault="003A38FF" w:rsidP="003A38FF">
            <w:pPr>
              <w:pStyle w:val="Texto"/>
              <w:spacing w:after="86"/>
              <w:ind w:firstLine="0"/>
              <w:rPr>
                <w:rFonts w:ascii="Verdana" w:hAnsi="Verdana"/>
                <w:sz w:val="16"/>
                <w:szCs w:val="16"/>
              </w:rPr>
            </w:pPr>
            <w:bookmarkStart w:id="5" w:name="N_Hlk197098353"/>
            <w:r w:rsidRPr="00D0180E">
              <w:rPr>
                <w:rFonts w:ascii="Verdana" w:hAnsi="Verdana"/>
                <w:sz w:val="16"/>
                <w:szCs w:val="16"/>
              </w:rPr>
              <w:t>Para efectos de lo anterior, la CNE debe definir el valor aceptable de dichos parámetros en las disposiciones administrativas de carácter general a que se refiere el párrafo primero del presente artículo, y tomar en cuenta los aspectos económicos asociados.</w:t>
            </w:r>
            <w:bookmarkEnd w:id="5"/>
          </w:p>
        </w:tc>
        <w:tc>
          <w:tcPr>
            <w:tcW w:w="4644" w:type="dxa"/>
          </w:tcPr>
          <w:p w14:paraId="2A2B1540" w14:textId="6792E11B" w:rsidR="003A38FF" w:rsidRPr="00D0180E" w:rsidRDefault="003A38FF" w:rsidP="003A38FF">
            <w:pPr>
              <w:pStyle w:val="Texto"/>
              <w:spacing w:after="86"/>
              <w:ind w:firstLine="0"/>
              <w:rPr>
                <w:rFonts w:ascii="Verdana" w:hAnsi="Verdana"/>
                <w:sz w:val="16"/>
                <w:szCs w:val="16"/>
                <w:lang w:val="en-US"/>
              </w:rPr>
            </w:pPr>
            <w:r w:rsidRPr="006815C5">
              <w:rPr>
                <w:rFonts w:ascii="Verdana" w:hAnsi="Verdana"/>
                <w:sz w:val="16"/>
                <w:szCs w:val="16"/>
                <w:lang w:val="en-US"/>
              </w:rPr>
              <w:t xml:space="preserve">For the purposes of the above, the CNE must define the acceptable value of said parameters in the general administrative provisions referred to in the first paragraph of this article and </w:t>
            </w:r>
            <w:proofErr w:type="gramStart"/>
            <w:r w:rsidRPr="006815C5">
              <w:rPr>
                <w:rFonts w:ascii="Verdana" w:hAnsi="Verdana"/>
                <w:sz w:val="16"/>
                <w:szCs w:val="16"/>
                <w:lang w:val="en-US"/>
              </w:rPr>
              <w:t>take into account</w:t>
            </w:r>
            <w:proofErr w:type="gramEnd"/>
            <w:r w:rsidRPr="006815C5">
              <w:rPr>
                <w:rFonts w:ascii="Verdana" w:hAnsi="Verdana"/>
                <w:sz w:val="16"/>
                <w:szCs w:val="16"/>
                <w:lang w:val="en-US"/>
              </w:rPr>
              <w:t xml:space="preserve"> the associated economic aspects.</w:t>
            </w:r>
          </w:p>
        </w:tc>
      </w:tr>
      <w:tr w:rsidR="003A38FF" w:rsidRPr="00D0180E" w14:paraId="07185F01" w14:textId="51DAF4F1" w:rsidTr="00FB5DAD">
        <w:tc>
          <w:tcPr>
            <w:tcW w:w="4706" w:type="dxa"/>
          </w:tcPr>
          <w:p w14:paraId="40729705" w14:textId="77777777" w:rsidR="003A38FF" w:rsidRPr="00D0180E" w:rsidRDefault="003A38FF" w:rsidP="003A38FF">
            <w:pPr>
              <w:pStyle w:val="Texto"/>
              <w:spacing w:after="86"/>
              <w:ind w:firstLine="0"/>
              <w:jc w:val="center"/>
              <w:rPr>
                <w:rFonts w:ascii="Verdana" w:hAnsi="Verdana"/>
                <w:b/>
                <w:sz w:val="16"/>
                <w:szCs w:val="16"/>
              </w:rPr>
            </w:pPr>
            <w:r w:rsidRPr="00D0180E">
              <w:rPr>
                <w:rFonts w:ascii="Verdana" w:hAnsi="Verdana"/>
                <w:b/>
                <w:sz w:val="16"/>
                <w:szCs w:val="16"/>
              </w:rPr>
              <w:t>Capítulo II</w:t>
            </w:r>
          </w:p>
        </w:tc>
        <w:tc>
          <w:tcPr>
            <w:tcW w:w="4644" w:type="dxa"/>
          </w:tcPr>
          <w:p w14:paraId="57F3A055" w14:textId="679243AA" w:rsidR="003A38FF" w:rsidRPr="00D0180E" w:rsidRDefault="003A38FF" w:rsidP="003A38FF">
            <w:pPr>
              <w:pStyle w:val="Texto"/>
              <w:spacing w:after="86"/>
              <w:ind w:firstLine="0"/>
              <w:jc w:val="center"/>
              <w:rPr>
                <w:rFonts w:ascii="Verdana" w:hAnsi="Verdana"/>
                <w:b/>
                <w:sz w:val="16"/>
                <w:szCs w:val="16"/>
                <w:lang w:val="en-US"/>
              </w:rPr>
            </w:pPr>
            <w:r w:rsidRPr="00D0180E">
              <w:rPr>
                <w:rFonts w:ascii="Verdana" w:hAnsi="Verdana"/>
                <w:b/>
                <w:sz w:val="16"/>
                <w:szCs w:val="16"/>
              </w:rPr>
              <w:t>Chapter II</w:t>
            </w:r>
          </w:p>
        </w:tc>
      </w:tr>
      <w:tr w:rsidR="003A38FF" w:rsidRPr="00D83DA2" w14:paraId="4A02A261" w14:textId="385AD477" w:rsidTr="00FB5DAD">
        <w:tc>
          <w:tcPr>
            <w:tcW w:w="4706" w:type="dxa"/>
          </w:tcPr>
          <w:p w14:paraId="4D016814" w14:textId="77777777" w:rsidR="003A38FF" w:rsidRPr="00D0180E" w:rsidRDefault="003A38FF" w:rsidP="003A38FF">
            <w:pPr>
              <w:pStyle w:val="Texto"/>
              <w:spacing w:after="86"/>
              <w:ind w:firstLine="0"/>
              <w:jc w:val="center"/>
              <w:rPr>
                <w:rFonts w:ascii="Verdana" w:hAnsi="Verdana"/>
                <w:b/>
                <w:sz w:val="16"/>
                <w:szCs w:val="16"/>
              </w:rPr>
            </w:pPr>
            <w:r w:rsidRPr="00D0180E">
              <w:rPr>
                <w:rFonts w:ascii="Verdana" w:hAnsi="Verdana"/>
                <w:b/>
                <w:sz w:val="16"/>
                <w:szCs w:val="16"/>
              </w:rPr>
              <w:t>Condiciones Generales para la Prestación del Servicio Público de Transmisión y Distribución de Energía Eléctrica y del Suministro Eléctrico</w:t>
            </w:r>
          </w:p>
        </w:tc>
        <w:tc>
          <w:tcPr>
            <w:tcW w:w="4644" w:type="dxa"/>
          </w:tcPr>
          <w:p w14:paraId="0F95AF2D" w14:textId="713AB888" w:rsidR="003A38FF" w:rsidRPr="00D0180E" w:rsidRDefault="003A38FF" w:rsidP="003A38FF">
            <w:pPr>
              <w:pStyle w:val="Texto"/>
              <w:spacing w:after="86"/>
              <w:ind w:firstLine="0"/>
              <w:jc w:val="center"/>
              <w:rPr>
                <w:rFonts w:ascii="Verdana" w:hAnsi="Verdana"/>
                <w:b/>
                <w:sz w:val="16"/>
                <w:szCs w:val="16"/>
                <w:lang w:val="en-US"/>
              </w:rPr>
            </w:pPr>
            <w:r w:rsidRPr="006815C5">
              <w:rPr>
                <w:rFonts w:ascii="Verdana" w:hAnsi="Verdana"/>
                <w:b/>
                <w:sz w:val="16"/>
                <w:szCs w:val="16"/>
                <w:lang w:val="en-US"/>
              </w:rPr>
              <w:t>General Conditions for the Provision of the Public Service of Transmission and Distribution of Electric Energy and Electricity Supply</w:t>
            </w:r>
          </w:p>
        </w:tc>
      </w:tr>
      <w:tr w:rsidR="003A38FF" w:rsidRPr="00D83DA2" w14:paraId="6FA80236" w14:textId="7C6E11EF" w:rsidTr="00FB5DAD">
        <w:tc>
          <w:tcPr>
            <w:tcW w:w="4706" w:type="dxa"/>
          </w:tcPr>
          <w:p w14:paraId="621C3848" w14:textId="77777777" w:rsidR="003A38FF" w:rsidRPr="00D0180E" w:rsidRDefault="003A38FF" w:rsidP="003A38FF">
            <w:pPr>
              <w:pStyle w:val="Texto"/>
              <w:spacing w:after="86"/>
              <w:ind w:firstLine="0"/>
              <w:rPr>
                <w:rFonts w:ascii="Verdana" w:hAnsi="Verdana"/>
                <w:sz w:val="16"/>
                <w:szCs w:val="16"/>
              </w:rPr>
            </w:pPr>
            <w:r w:rsidRPr="00D0180E">
              <w:rPr>
                <w:rFonts w:ascii="Verdana" w:hAnsi="Verdana"/>
                <w:b/>
                <w:sz w:val="16"/>
                <w:szCs w:val="16"/>
              </w:rPr>
              <w:t>Artículo 94.</w:t>
            </w:r>
            <w:r w:rsidRPr="00D0180E">
              <w:rPr>
                <w:rFonts w:ascii="Verdana" w:hAnsi="Verdana"/>
                <w:sz w:val="16"/>
                <w:szCs w:val="16"/>
              </w:rPr>
              <w:t xml:space="preserve"> Las condiciones generales a las que debe sujetarse la prestación del Servicio Público de Transmisión y Distribución de Energía Eléctrica, así como para el Suministro Eléctrico, se deben establecer mediante las disposiciones administrativas de carácter general que emita la CNE en coordinación con la Secretaría, bajo principios que permitan la Justicia Energética y el desarrollo eficiente y competitivo de los mercados, en condiciones de Accesibilidad, Calidad, Confiabilidad, Continuidad, Eficiencia, Seguridad y Sostenibilidad.</w:t>
            </w:r>
          </w:p>
        </w:tc>
        <w:tc>
          <w:tcPr>
            <w:tcW w:w="4644" w:type="dxa"/>
          </w:tcPr>
          <w:p w14:paraId="25B2EDB2" w14:textId="51CD9942" w:rsidR="003A38FF" w:rsidRPr="00D0180E" w:rsidRDefault="003A38FF" w:rsidP="003A38FF">
            <w:pPr>
              <w:pStyle w:val="Texto"/>
              <w:spacing w:after="86"/>
              <w:ind w:firstLine="0"/>
              <w:rPr>
                <w:rFonts w:ascii="Verdana" w:hAnsi="Verdana"/>
                <w:b/>
                <w:sz w:val="16"/>
                <w:szCs w:val="16"/>
                <w:lang w:val="en-US"/>
              </w:rPr>
            </w:pPr>
            <w:r w:rsidRPr="006815C5">
              <w:rPr>
                <w:rFonts w:ascii="Verdana" w:hAnsi="Verdana"/>
                <w:b/>
                <w:sz w:val="16"/>
                <w:szCs w:val="16"/>
                <w:lang w:val="en-US"/>
              </w:rPr>
              <w:t xml:space="preserve">Article 94. </w:t>
            </w:r>
            <w:r w:rsidRPr="006815C5">
              <w:rPr>
                <w:rFonts w:ascii="Verdana" w:hAnsi="Verdana"/>
                <w:sz w:val="16"/>
                <w:szCs w:val="16"/>
                <w:lang w:val="en-US"/>
              </w:rPr>
              <w:t>The general conditions to which the provision of the public service of transmission and distribution of electric energy, as well as for the electric supply, must be subject, must be established through the general administrative provisions issued by the CNE in coordination with the Secretary, under principles that allow energy justice and the efficient and competitive development of markets, in conditions of accessibility, quality, reliability, continuity, efficiency, security and sustainability.</w:t>
            </w:r>
          </w:p>
        </w:tc>
      </w:tr>
      <w:tr w:rsidR="003A38FF" w:rsidRPr="00D83DA2" w14:paraId="44DA0017" w14:textId="5C55807B" w:rsidTr="00FB5DAD">
        <w:tc>
          <w:tcPr>
            <w:tcW w:w="4706" w:type="dxa"/>
          </w:tcPr>
          <w:p w14:paraId="1B69CC94" w14:textId="77777777" w:rsidR="003A38FF" w:rsidRPr="00D0180E" w:rsidRDefault="003A38FF" w:rsidP="003A38FF">
            <w:pPr>
              <w:pStyle w:val="Texto"/>
              <w:spacing w:after="86"/>
              <w:ind w:firstLine="0"/>
              <w:rPr>
                <w:rFonts w:ascii="Verdana" w:hAnsi="Verdana"/>
                <w:sz w:val="16"/>
                <w:szCs w:val="16"/>
              </w:rPr>
            </w:pPr>
            <w:r w:rsidRPr="00D0180E">
              <w:rPr>
                <w:rFonts w:ascii="Verdana" w:hAnsi="Verdana"/>
                <w:sz w:val="16"/>
                <w:szCs w:val="16"/>
              </w:rPr>
              <w:t xml:space="preserve">Asimismo, mediante la instrumentación de un régimen de regulación predecible, estable y transparente, que establezca condiciones bajo principios de proporcionalidad y equidad en la prestación del Servicio Público de Transmisión y Distribución de Energía Eléctrica y del Suministro Eléctrico, se debe evitar que las Suministradoras de Servicios Calificados y de Último Recurso, así como Usuarios Calificados Participantes del </w:t>
            </w:r>
            <w:r w:rsidRPr="00D0180E">
              <w:rPr>
                <w:rFonts w:ascii="Verdana" w:hAnsi="Verdana"/>
                <w:sz w:val="16"/>
                <w:szCs w:val="16"/>
              </w:rPr>
              <w:lastRenderedPageBreak/>
              <w:t>Mercado ejerzan indebidamente poder de mercado en perjuicio de las Usuarias Finales.</w:t>
            </w:r>
          </w:p>
        </w:tc>
        <w:tc>
          <w:tcPr>
            <w:tcW w:w="4644" w:type="dxa"/>
          </w:tcPr>
          <w:p w14:paraId="572EDF13" w14:textId="58A5421A" w:rsidR="003A38FF" w:rsidRPr="00D0180E" w:rsidRDefault="003A38FF" w:rsidP="003A38FF">
            <w:pPr>
              <w:pStyle w:val="Texto"/>
              <w:spacing w:after="86"/>
              <w:ind w:firstLine="0"/>
              <w:rPr>
                <w:rFonts w:ascii="Verdana" w:hAnsi="Verdana"/>
                <w:sz w:val="16"/>
                <w:szCs w:val="16"/>
                <w:lang w:val="en-US"/>
              </w:rPr>
            </w:pPr>
            <w:r>
              <w:rPr>
                <w:rFonts w:ascii="Verdana" w:hAnsi="Verdana"/>
                <w:sz w:val="16"/>
                <w:szCs w:val="16"/>
                <w:lang w:val="en-US"/>
              </w:rPr>
              <w:lastRenderedPageBreak/>
              <w:t>In addition</w:t>
            </w:r>
            <w:r w:rsidRPr="006815C5">
              <w:rPr>
                <w:rFonts w:ascii="Verdana" w:hAnsi="Verdana"/>
                <w:sz w:val="16"/>
                <w:szCs w:val="16"/>
                <w:lang w:val="en-US"/>
              </w:rPr>
              <w:t xml:space="preserve">, through the implementation of a predictable, stable, and transparent regulatory regime that establishes conditions based on principles of proportionality and equity in the provision of the public service of transmission and distribution of electric energy and the electric supply, qualified and last resort service providers, as well as qualified users who are </w:t>
            </w:r>
            <w:r w:rsidRPr="006815C5">
              <w:rPr>
                <w:rFonts w:ascii="Verdana" w:hAnsi="Verdana"/>
                <w:sz w:val="16"/>
                <w:szCs w:val="16"/>
                <w:lang w:val="en-US"/>
              </w:rPr>
              <w:lastRenderedPageBreak/>
              <w:t>market participants, must be prevented from unduly exercising market power to the detriment of end users.</w:t>
            </w:r>
          </w:p>
        </w:tc>
      </w:tr>
      <w:tr w:rsidR="003A38FF" w:rsidRPr="00D83DA2" w14:paraId="5AA8E066" w14:textId="3C30C76D" w:rsidTr="00FB5DAD">
        <w:tc>
          <w:tcPr>
            <w:tcW w:w="4706" w:type="dxa"/>
          </w:tcPr>
          <w:p w14:paraId="7A424047" w14:textId="77777777" w:rsidR="003A38FF" w:rsidRPr="00D0180E" w:rsidRDefault="003A38FF" w:rsidP="003A38FF">
            <w:pPr>
              <w:pStyle w:val="Texto"/>
              <w:spacing w:after="86"/>
              <w:ind w:firstLine="0"/>
              <w:rPr>
                <w:rFonts w:ascii="Verdana" w:hAnsi="Verdana"/>
                <w:sz w:val="16"/>
                <w:szCs w:val="16"/>
              </w:rPr>
            </w:pPr>
            <w:r w:rsidRPr="00D0180E">
              <w:rPr>
                <w:rFonts w:ascii="Verdana" w:hAnsi="Verdana"/>
                <w:b/>
                <w:sz w:val="16"/>
                <w:szCs w:val="16"/>
              </w:rPr>
              <w:lastRenderedPageBreak/>
              <w:t>Artículo 95.</w:t>
            </w:r>
            <w:r w:rsidRPr="00D0180E">
              <w:rPr>
                <w:rFonts w:ascii="Verdana" w:hAnsi="Verdana"/>
                <w:sz w:val="16"/>
                <w:szCs w:val="16"/>
              </w:rPr>
              <w:t xml:space="preserve"> La Transportista, la Distribuidora y las Suministradoras no pueden pactar condiciones distintas a las establecidas en las disposiciones administrativas de carácter general a que se refiere el artículo que antecede. Lo anterior, salvo aquellas condiciones no técnicas que se identifiquen como negociables en las propias disposiciones administrativas de carácter general.</w:t>
            </w:r>
          </w:p>
        </w:tc>
        <w:tc>
          <w:tcPr>
            <w:tcW w:w="4644" w:type="dxa"/>
          </w:tcPr>
          <w:p w14:paraId="365F6D2D" w14:textId="2489F83C" w:rsidR="003A38FF" w:rsidRPr="00D0180E" w:rsidRDefault="003A38FF" w:rsidP="003A38FF">
            <w:pPr>
              <w:pStyle w:val="Texto"/>
              <w:spacing w:after="86"/>
              <w:ind w:firstLine="0"/>
              <w:rPr>
                <w:rFonts w:ascii="Verdana" w:hAnsi="Verdana"/>
                <w:b/>
                <w:sz w:val="16"/>
                <w:szCs w:val="16"/>
                <w:lang w:val="en-US"/>
              </w:rPr>
            </w:pPr>
            <w:r w:rsidRPr="006815C5">
              <w:rPr>
                <w:rFonts w:ascii="Verdana" w:hAnsi="Verdana"/>
                <w:b/>
                <w:sz w:val="16"/>
                <w:szCs w:val="16"/>
                <w:lang w:val="en-US"/>
              </w:rPr>
              <w:t xml:space="preserve">Article 95. </w:t>
            </w:r>
            <w:r w:rsidRPr="006815C5">
              <w:rPr>
                <w:rFonts w:ascii="Verdana" w:hAnsi="Verdana"/>
                <w:sz w:val="16"/>
                <w:szCs w:val="16"/>
                <w:lang w:val="en-US"/>
              </w:rPr>
              <w:t>The carrier, the distributor, and the suppliers may not agree to conditions other than those established in the general administrative provisions referred to in the preceding article. This applies only to non-technical conditions identified as negotiable in the general administrative provisions.</w:t>
            </w:r>
          </w:p>
        </w:tc>
      </w:tr>
      <w:tr w:rsidR="003A38FF" w:rsidRPr="00D83DA2" w14:paraId="1DD2D836" w14:textId="05EC2341" w:rsidTr="00FB5DAD">
        <w:tc>
          <w:tcPr>
            <w:tcW w:w="4706" w:type="dxa"/>
          </w:tcPr>
          <w:p w14:paraId="1BB58598" w14:textId="77777777" w:rsidR="003A38FF" w:rsidRPr="00D0180E" w:rsidRDefault="003A38FF" w:rsidP="003A38FF">
            <w:pPr>
              <w:pStyle w:val="Texto"/>
              <w:spacing w:after="86"/>
              <w:ind w:firstLine="0"/>
              <w:rPr>
                <w:rFonts w:ascii="Verdana" w:hAnsi="Verdana"/>
                <w:sz w:val="16"/>
                <w:szCs w:val="16"/>
              </w:rPr>
            </w:pPr>
            <w:r w:rsidRPr="00D0180E">
              <w:rPr>
                <w:rFonts w:ascii="Verdana" w:hAnsi="Verdana"/>
                <w:sz w:val="16"/>
                <w:szCs w:val="16"/>
              </w:rPr>
              <w:t>En su caso, las condiciones a que se refiere el párrafo anterior deben sujetarse a que las circunstancias de la persona usuaria respectiva lo justifiquen; a que la Transportista, la Distribuidora y las Suministradoras ofrezcan dichas condiciones a cualquier otra persona usuaria que se encuentre en circunstancias similares, sean técnicamente factibles y no afecten su confiabilidad, respecto de los compromisos de prestación de los servicios adquiridos previamente.</w:t>
            </w:r>
          </w:p>
        </w:tc>
        <w:tc>
          <w:tcPr>
            <w:tcW w:w="4644" w:type="dxa"/>
          </w:tcPr>
          <w:p w14:paraId="4F11282A" w14:textId="3E963502" w:rsidR="003A38FF" w:rsidRPr="00D0180E" w:rsidRDefault="003A38FF" w:rsidP="003A38FF">
            <w:pPr>
              <w:pStyle w:val="Texto"/>
              <w:spacing w:after="86"/>
              <w:ind w:firstLine="0"/>
              <w:rPr>
                <w:rFonts w:ascii="Verdana" w:hAnsi="Verdana"/>
                <w:sz w:val="16"/>
                <w:szCs w:val="16"/>
                <w:lang w:val="en-US"/>
              </w:rPr>
            </w:pPr>
            <w:r w:rsidRPr="006815C5">
              <w:rPr>
                <w:rFonts w:ascii="Verdana" w:hAnsi="Verdana"/>
                <w:sz w:val="16"/>
                <w:szCs w:val="16"/>
                <w:lang w:val="en-US"/>
              </w:rPr>
              <w:t>Where applicable, the conditions referred to in the preceding paragraph must be subject to the circumstances of the respective user justifying them; the carrier, distributor, and suppliers must offer such conditions to any other user in similar circumstances, they must be technically feasible, and they must not affect their reliability with respect to the commitments to provide previously acquired services.</w:t>
            </w:r>
          </w:p>
        </w:tc>
      </w:tr>
      <w:tr w:rsidR="003A38FF" w:rsidRPr="00D83DA2" w14:paraId="4475F95F" w14:textId="603EABE5" w:rsidTr="00FB5DAD">
        <w:tc>
          <w:tcPr>
            <w:tcW w:w="4706" w:type="dxa"/>
          </w:tcPr>
          <w:p w14:paraId="3CBD47BD" w14:textId="77777777" w:rsidR="003A38FF" w:rsidRPr="00D0180E" w:rsidRDefault="003A38FF" w:rsidP="003A38FF">
            <w:pPr>
              <w:pStyle w:val="Texto"/>
              <w:spacing w:after="86"/>
              <w:ind w:firstLine="0"/>
              <w:rPr>
                <w:rFonts w:ascii="Verdana" w:hAnsi="Verdana"/>
                <w:sz w:val="16"/>
                <w:szCs w:val="16"/>
              </w:rPr>
            </w:pPr>
            <w:r w:rsidRPr="00D0180E">
              <w:rPr>
                <w:rFonts w:ascii="Verdana" w:hAnsi="Verdana"/>
                <w:sz w:val="16"/>
                <w:szCs w:val="16"/>
              </w:rPr>
              <w:t>Cuando dichas condiciones negociables constituyan una nueva modalidad de prestación de servicio, esta se debe incorporar en las condiciones generales aprobadas por la CNE para dicha modalidad.</w:t>
            </w:r>
          </w:p>
        </w:tc>
        <w:tc>
          <w:tcPr>
            <w:tcW w:w="4644" w:type="dxa"/>
          </w:tcPr>
          <w:p w14:paraId="5F556BD2" w14:textId="1B882703" w:rsidR="003A38FF" w:rsidRPr="00D0180E" w:rsidRDefault="003A38FF" w:rsidP="003A38FF">
            <w:pPr>
              <w:pStyle w:val="Texto"/>
              <w:spacing w:after="86"/>
              <w:ind w:firstLine="0"/>
              <w:rPr>
                <w:rFonts w:ascii="Verdana" w:hAnsi="Verdana"/>
                <w:sz w:val="16"/>
                <w:szCs w:val="16"/>
                <w:lang w:val="en-US"/>
              </w:rPr>
            </w:pPr>
            <w:r w:rsidRPr="006815C5">
              <w:rPr>
                <w:rFonts w:ascii="Verdana" w:hAnsi="Verdana"/>
                <w:sz w:val="16"/>
                <w:szCs w:val="16"/>
                <w:lang w:val="en-US"/>
              </w:rPr>
              <w:t>When these negotiable conditions constitute a new service provision modality, they must be incorporated into the general conditions approved by the CNE for that modality.</w:t>
            </w:r>
          </w:p>
        </w:tc>
      </w:tr>
      <w:tr w:rsidR="003A38FF" w:rsidRPr="00D83DA2" w14:paraId="1B8DB7A5" w14:textId="6B164C40" w:rsidTr="00FB5DAD">
        <w:tc>
          <w:tcPr>
            <w:tcW w:w="4706" w:type="dxa"/>
          </w:tcPr>
          <w:p w14:paraId="7CEC97EF" w14:textId="77777777" w:rsidR="003A38FF" w:rsidRPr="00D0180E" w:rsidRDefault="003A38FF" w:rsidP="003A38FF">
            <w:pPr>
              <w:pStyle w:val="Texto"/>
              <w:spacing w:after="86"/>
              <w:ind w:firstLine="0"/>
              <w:rPr>
                <w:rFonts w:ascii="Verdana" w:hAnsi="Verdana"/>
                <w:sz w:val="16"/>
                <w:szCs w:val="16"/>
              </w:rPr>
            </w:pPr>
            <w:r w:rsidRPr="00D0180E">
              <w:rPr>
                <w:rFonts w:ascii="Verdana" w:hAnsi="Verdana"/>
                <w:b/>
                <w:sz w:val="16"/>
                <w:szCs w:val="16"/>
              </w:rPr>
              <w:t>Artículo 96.</w:t>
            </w:r>
            <w:r w:rsidRPr="00D0180E">
              <w:rPr>
                <w:rFonts w:ascii="Verdana" w:hAnsi="Verdana"/>
                <w:sz w:val="16"/>
                <w:szCs w:val="16"/>
              </w:rPr>
              <w:t xml:space="preserve"> </w:t>
            </w:r>
            <w:bookmarkStart w:id="6" w:name="N_Hlk197099753"/>
            <w:r w:rsidRPr="00D0180E">
              <w:rPr>
                <w:rFonts w:ascii="Verdana" w:hAnsi="Verdana"/>
                <w:sz w:val="16"/>
                <w:szCs w:val="16"/>
              </w:rPr>
              <w:t xml:space="preserve">Las condiciones generales a que se refiere el artículo </w:t>
            </w:r>
            <w:proofErr w:type="gramStart"/>
            <w:r w:rsidRPr="00D0180E">
              <w:rPr>
                <w:rFonts w:ascii="Verdana" w:hAnsi="Verdana"/>
                <w:sz w:val="16"/>
                <w:szCs w:val="16"/>
              </w:rPr>
              <w:t>anterior,</w:t>
            </w:r>
            <w:proofErr w:type="gramEnd"/>
            <w:r w:rsidRPr="00D0180E">
              <w:rPr>
                <w:rFonts w:ascii="Verdana" w:hAnsi="Verdana"/>
                <w:sz w:val="16"/>
                <w:szCs w:val="16"/>
              </w:rPr>
              <w:t xml:space="preserve"> deben contener además de lo previsto en los artículos 45 y 65 de la Ley, como mínimo, según corresponda, lo siguiente</w:t>
            </w:r>
            <w:bookmarkEnd w:id="6"/>
            <w:r w:rsidRPr="00D0180E">
              <w:rPr>
                <w:rFonts w:ascii="Verdana" w:hAnsi="Verdana"/>
                <w:sz w:val="16"/>
                <w:szCs w:val="16"/>
              </w:rPr>
              <w:t>:</w:t>
            </w:r>
          </w:p>
        </w:tc>
        <w:tc>
          <w:tcPr>
            <w:tcW w:w="4644" w:type="dxa"/>
          </w:tcPr>
          <w:p w14:paraId="517821D8" w14:textId="3767CB9F" w:rsidR="003A38FF" w:rsidRPr="00D0180E" w:rsidRDefault="003A38FF" w:rsidP="003A38FF">
            <w:pPr>
              <w:pStyle w:val="Texto"/>
              <w:spacing w:after="86"/>
              <w:ind w:firstLine="0"/>
              <w:rPr>
                <w:rFonts w:ascii="Verdana" w:hAnsi="Verdana"/>
                <w:b/>
                <w:sz w:val="16"/>
                <w:szCs w:val="16"/>
                <w:lang w:val="en-US"/>
              </w:rPr>
            </w:pPr>
            <w:r w:rsidRPr="006815C5">
              <w:rPr>
                <w:rFonts w:ascii="Verdana" w:hAnsi="Verdana"/>
                <w:b/>
                <w:sz w:val="16"/>
                <w:szCs w:val="16"/>
                <w:lang w:val="en-US"/>
              </w:rPr>
              <w:t>Article 96.</w:t>
            </w:r>
            <w:r w:rsidRPr="006815C5">
              <w:rPr>
                <w:rFonts w:ascii="Verdana" w:hAnsi="Verdana"/>
                <w:sz w:val="16"/>
                <w:szCs w:val="16"/>
                <w:lang w:val="en-US"/>
              </w:rPr>
              <w:t xml:space="preserve"> The general conditions referred to in the </w:t>
            </w:r>
            <w:r>
              <w:rPr>
                <w:rFonts w:ascii="Verdana" w:hAnsi="Verdana"/>
                <w:sz w:val="16"/>
                <w:szCs w:val="16"/>
                <w:lang w:val="en-US"/>
              </w:rPr>
              <w:t>preceding article</w:t>
            </w:r>
            <w:r w:rsidRPr="006815C5">
              <w:rPr>
                <w:rFonts w:ascii="Verdana" w:hAnsi="Verdana"/>
                <w:sz w:val="16"/>
                <w:szCs w:val="16"/>
                <w:lang w:val="en-US"/>
              </w:rPr>
              <w:t xml:space="preserve"> must contain, in addition to the provisions of articles 45 and 65 of the Law, at least, as appropriate, the following:</w:t>
            </w:r>
          </w:p>
        </w:tc>
      </w:tr>
      <w:tr w:rsidR="003A38FF" w:rsidRPr="00D83DA2" w14:paraId="50F2A62A" w14:textId="08B73935" w:rsidTr="00FB5DAD">
        <w:tc>
          <w:tcPr>
            <w:tcW w:w="4706" w:type="dxa"/>
          </w:tcPr>
          <w:p w14:paraId="26CAE652" w14:textId="77777777" w:rsidR="003A38FF" w:rsidRPr="00D0180E" w:rsidRDefault="003A38FF" w:rsidP="003A38FF">
            <w:pPr>
              <w:pStyle w:val="Texto"/>
              <w:spacing w:after="86"/>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La forma en que se debe garantizar el acceso a la Red Nacional de Transmisión y a las Redes Generales de Distribución, así como las obligaciones y las condiciones bajo las cuales se debe permitir la interconexión de las Centrales Eléctricas y la conexión de los Centros de Carga para recibir la prestación de los servicios;</w:t>
            </w:r>
          </w:p>
        </w:tc>
        <w:tc>
          <w:tcPr>
            <w:tcW w:w="4644" w:type="dxa"/>
          </w:tcPr>
          <w:p w14:paraId="781A62A5" w14:textId="206CD388" w:rsidR="003A38FF" w:rsidRPr="00D0180E" w:rsidRDefault="003A38FF" w:rsidP="003A38FF">
            <w:pPr>
              <w:pStyle w:val="Texto"/>
              <w:spacing w:after="86"/>
              <w:ind w:firstLine="0"/>
              <w:rPr>
                <w:rFonts w:ascii="Verdana" w:hAnsi="Verdana"/>
                <w:b/>
                <w:sz w:val="16"/>
                <w:szCs w:val="16"/>
                <w:lang w:val="en-US"/>
              </w:rPr>
            </w:pPr>
            <w:r w:rsidRPr="006815C5">
              <w:rPr>
                <w:rFonts w:ascii="Verdana" w:hAnsi="Verdana"/>
                <w:b/>
                <w:sz w:val="16"/>
                <w:szCs w:val="16"/>
                <w:lang w:val="en-US"/>
              </w:rPr>
              <w:t xml:space="preserve">I. </w:t>
            </w:r>
            <w:r w:rsidRPr="006815C5">
              <w:rPr>
                <w:rFonts w:ascii="Verdana" w:hAnsi="Verdana"/>
                <w:b/>
                <w:sz w:val="16"/>
                <w:szCs w:val="16"/>
                <w:lang w:val="en-US"/>
              </w:rPr>
              <w:tab/>
            </w:r>
            <w:r w:rsidRPr="006815C5">
              <w:rPr>
                <w:rFonts w:ascii="Verdana" w:hAnsi="Verdana"/>
                <w:sz w:val="16"/>
                <w:szCs w:val="16"/>
                <w:lang w:val="en-US"/>
              </w:rPr>
              <w:t xml:space="preserve">The </w:t>
            </w:r>
            <w:proofErr w:type="gramStart"/>
            <w:r w:rsidRPr="006815C5">
              <w:rPr>
                <w:rFonts w:ascii="Verdana" w:hAnsi="Verdana"/>
                <w:sz w:val="16"/>
                <w:szCs w:val="16"/>
                <w:lang w:val="en-US"/>
              </w:rPr>
              <w:t>manner in which</w:t>
            </w:r>
            <w:proofErr w:type="gramEnd"/>
            <w:r w:rsidRPr="006815C5">
              <w:rPr>
                <w:rFonts w:ascii="Verdana" w:hAnsi="Verdana"/>
                <w:sz w:val="16"/>
                <w:szCs w:val="16"/>
                <w:lang w:val="en-US"/>
              </w:rPr>
              <w:t xml:space="preserve"> access to the National Transmission network and the general distribution networks must be guaranteed, as well as the obligations and conditions under which the interconnection of the </w:t>
            </w:r>
            <w:r>
              <w:rPr>
                <w:rFonts w:ascii="Verdana" w:hAnsi="Verdana"/>
                <w:sz w:val="16"/>
                <w:szCs w:val="16"/>
                <w:lang w:val="en-US"/>
              </w:rPr>
              <w:t>power plant</w:t>
            </w:r>
            <w:r w:rsidRPr="006815C5">
              <w:rPr>
                <w:rFonts w:ascii="Verdana" w:hAnsi="Verdana"/>
                <w:sz w:val="16"/>
                <w:szCs w:val="16"/>
                <w:lang w:val="en-US"/>
              </w:rPr>
              <w:t>s and the connection of the load centers must be allowed to receive the provision of services;</w:t>
            </w:r>
          </w:p>
        </w:tc>
      </w:tr>
      <w:tr w:rsidR="003A38FF" w:rsidRPr="00D83DA2" w14:paraId="558F9803" w14:textId="27473D38" w:rsidTr="00FB5DAD">
        <w:tc>
          <w:tcPr>
            <w:tcW w:w="4706" w:type="dxa"/>
          </w:tcPr>
          <w:p w14:paraId="07DD72F3" w14:textId="77777777" w:rsidR="003A38FF" w:rsidRPr="00D0180E" w:rsidRDefault="003A38FF" w:rsidP="003A38FF">
            <w:pPr>
              <w:pStyle w:val="Texto"/>
              <w:spacing w:after="86"/>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Los criterios de calidad, medición y facturación;</w:t>
            </w:r>
          </w:p>
        </w:tc>
        <w:tc>
          <w:tcPr>
            <w:tcW w:w="4644" w:type="dxa"/>
          </w:tcPr>
          <w:p w14:paraId="730448C2" w14:textId="59250B19" w:rsidR="003A38FF" w:rsidRPr="00D0180E" w:rsidRDefault="003A38FF" w:rsidP="003A38FF">
            <w:pPr>
              <w:pStyle w:val="Texto"/>
              <w:spacing w:after="86"/>
              <w:ind w:firstLine="0"/>
              <w:rPr>
                <w:rFonts w:ascii="Verdana" w:hAnsi="Verdana"/>
                <w:b/>
                <w:sz w:val="16"/>
                <w:szCs w:val="16"/>
                <w:lang w:val="en-US"/>
              </w:rPr>
            </w:pPr>
            <w:r w:rsidRPr="006815C5">
              <w:rPr>
                <w:rFonts w:ascii="Verdana" w:hAnsi="Verdana"/>
                <w:b/>
                <w:sz w:val="16"/>
                <w:szCs w:val="16"/>
                <w:lang w:val="en-US"/>
              </w:rPr>
              <w:t>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Quality</w:t>
            </w:r>
            <w:proofErr w:type="gramEnd"/>
            <w:r w:rsidRPr="006815C5">
              <w:rPr>
                <w:rFonts w:ascii="Verdana" w:hAnsi="Verdana"/>
                <w:sz w:val="16"/>
                <w:szCs w:val="16"/>
                <w:lang w:val="en-US"/>
              </w:rPr>
              <w:t>, measurement and billing criteria;</w:t>
            </w:r>
          </w:p>
        </w:tc>
      </w:tr>
      <w:tr w:rsidR="003A38FF" w:rsidRPr="00D83DA2" w14:paraId="026E62B0" w14:textId="06683C42" w:rsidTr="00FB5DAD">
        <w:tc>
          <w:tcPr>
            <w:tcW w:w="4706" w:type="dxa"/>
          </w:tcPr>
          <w:p w14:paraId="00C78CBA" w14:textId="77777777" w:rsidR="003A38FF" w:rsidRPr="00D0180E" w:rsidRDefault="003A38FF" w:rsidP="003A38FF">
            <w:pPr>
              <w:pStyle w:val="Texto"/>
              <w:spacing w:after="86"/>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La información que las Suministradoras deben poner a disposición de las Usuarias Finales;</w:t>
            </w:r>
          </w:p>
        </w:tc>
        <w:tc>
          <w:tcPr>
            <w:tcW w:w="4644" w:type="dxa"/>
          </w:tcPr>
          <w:p w14:paraId="67DC542A" w14:textId="3508A9CE" w:rsidR="003A38FF" w:rsidRPr="00D0180E" w:rsidRDefault="003A38FF" w:rsidP="003A38FF">
            <w:pPr>
              <w:pStyle w:val="Texto"/>
              <w:spacing w:after="86"/>
              <w:ind w:firstLine="0"/>
              <w:rPr>
                <w:rFonts w:ascii="Verdana" w:hAnsi="Verdana"/>
                <w:b/>
                <w:sz w:val="16"/>
                <w:szCs w:val="16"/>
                <w:lang w:val="en-US"/>
              </w:rPr>
            </w:pPr>
            <w:r w:rsidRPr="006815C5">
              <w:rPr>
                <w:rFonts w:ascii="Verdana" w:hAnsi="Verdana"/>
                <w:b/>
                <w:sz w:val="16"/>
                <w:szCs w:val="16"/>
                <w:lang w:val="en-US"/>
              </w:rPr>
              <w:t>III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information that suppliers must make available to end users;</w:t>
            </w:r>
          </w:p>
        </w:tc>
      </w:tr>
      <w:tr w:rsidR="003A38FF" w:rsidRPr="00D83DA2" w14:paraId="491764D6" w14:textId="0A95C533" w:rsidTr="00FB5DAD">
        <w:tc>
          <w:tcPr>
            <w:tcW w:w="4706" w:type="dxa"/>
          </w:tcPr>
          <w:p w14:paraId="5FCCA65F" w14:textId="77777777" w:rsidR="003A38FF" w:rsidRPr="00D0180E" w:rsidRDefault="003A38FF" w:rsidP="003A38FF">
            <w:pPr>
              <w:pStyle w:val="Texto"/>
              <w:spacing w:after="86"/>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Las condiciones técnicamente factibles, a que se deben sujetar los servicios, la propiedad de las instalaciones para la interconexión de las Centrales Eléctricas y la conexión de los Centros de Carga;</w:t>
            </w:r>
          </w:p>
        </w:tc>
        <w:tc>
          <w:tcPr>
            <w:tcW w:w="4644" w:type="dxa"/>
          </w:tcPr>
          <w:p w14:paraId="2EBAE542" w14:textId="12F6750C" w:rsidR="003A38FF" w:rsidRPr="00D0180E" w:rsidRDefault="003A38FF" w:rsidP="003A38FF">
            <w:pPr>
              <w:pStyle w:val="Texto"/>
              <w:spacing w:after="86"/>
              <w:ind w:firstLine="0"/>
              <w:rPr>
                <w:rFonts w:ascii="Verdana" w:hAnsi="Verdana"/>
                <w:b/>
                <w:sz w:val="16"/>
                <w:szCs w:val="16"/>
                <w:lang w:val="en-US"/>
              </w:rPr>
            </w:pPr>
            <w:r w:rsidRPr="006815C5">
              <w:rPr>
                <w:rFonts w:ascii="Verdana" w:hAnsi="Verdana"/>
                <w:b/>
                <w:sz w:val="16"/>
                <w:szCs w:val="16"/>
                <w:lang w:val="en-US"/>
              </w:rPr>
              <w:t xml:space="preserve">IV. </w:t>
            </w:r>
            <w:r w:rsidRPr="006815C5">
              <w:rPr>
                <w:rFonts w:ascii="Verdana" w:hAnsi="Verdana"/>
                <w:b/>
                <w:sz w:val="16"/>
                <w:szCs w:val="16"/>
                <w:lang w:val="en-US"/>
              </w:rPr>
              <w:tab/>
            </w:r>
            <w:r w:rsidRPr="006815C5">
              <w:rPr>
                <w:rFonts w:ascii="Verdana" w:hAnsi="Verdana"/>
                <w:sz w:val="16"/>
                <w:szCs w:val="16"/>
                <w:lang w:val="en-US"/>
              </w:rPr>
              <w:t xml:space="preserve">The technically feasible conditions to which the services, the ownership of the facilities for the interconnection of the </w:t>
            </w:r>
            <w:r>
              <w:rPr>
                <w:rFonts w:ascii="Verdana" w:hAnsi="Verdana"/>
                <w:sz w:val="16"/>
                <w:szCs w:val="16"/>
                <w:lang w:val="en-US"/>
              </w:rPr>
              <w:t>power plant</w:t>
            </w:r>
            <w:r w:rsidRPr="006815C5">
              <w:rPr>
                <w:rFonts w:ascii="Verdana" w:hAnsi="Verdana"/>
                <w:sz w:val="16"/>
                <w:szCs w:val="16"/>
                <w:lang w:val="en-US"/>
              </w:rPr>
              <w:t>s and the connection of the load centers must be subject;</w:t>
            </w:r>
          </w:p>
        </w:tc>
      </w:tr>
      <w:tr w:rsidR="003A38FF" w:rsidRPr="00D83DA2" w14:paraId="68C77177" w14:textId="52F9E380" w:rsidTr="00FB5DAD">
        <w:tc>
          <w:tcPr>
            <w:tcW w:w="4706" w:type="dxa"/>
          </w:tcPr>
          <w:p w14:paraId="21843A90" w14:textId="77777777" w:rsidR="003A38FF" w:rsidRPr="00D0180E" w:rsidRDefault="003A38FF" w:rsidP="003A38FF">
            <w:pPr>
              <w:pStyle w:val="Texto"/>
              <w:spacing w:after="86"/>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El procedimiento para llevar a cabo la revisión de los Sistemas de Medición, en los términos del presente reglamento;</w:t>
            </w:r>
          </w:p>
        </w:tc>
        <w:tc>
          <w:tcPr>
            <w:tcW w:w="4644" w:type="dxa"/>
          </w:tcPr>
          <w:p w14:paraId="57998D20" w14:textId="3808B09B" w:rsidR="003A38FF" w:rsidRPr="00D0180E" w:rsidRDefault="003A38FF" w:rsidP="003A38FF">
            <w:pPr>
              <w:pStyle w:val="Texto"/>
              <w:spacing w:after="86"/>
              <w:ind w:firstLine="0"/>
              <w:rPr>
                <w:rFonts w:ascii="Verdana" w:hAnsi="Verdana"/>
                <w:b/>
                <w:sz w:val="16"/>
                <w:szCs w:val="16"/>
                <w:lang w:val="en-US"/>
              </w:rPr>
            </w:pPr>
            <w:r w:rsidRPr="006815C5">
              <w:rPr>
                <w:rFonts w:ascii="Verdana" w:hAnsi="Verdana"/>
                <w:b/>
                <w:sz w:val="16"/>
                <w:szCs w:val="16"/>
                <w:lang w:val="en-US"/>
              </w:rPr>
              <w:t>V</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procedure for carrying out the review of the measurement systems, </w:t>
            </w:r>
            <w:r>
              <w:rPr>
                <w:rFonts w:ascii="Verdana" w:hAnsi="Verdana"/>
                <w:sz w:val="16"/>
                <w:szCs w:val="16"/>
                <w:lang w:val="en-US"/>
              </w:rPr>
              <w:t>under the terms</w:t>
            </w:r>
            <w:r w:rsidRPr="006815C5">
              <w:rPr>
                <w:rFonts w:ascii="Verdana" w:hAnsi="Verdana"/>
                <w:sz w:val="16"/>
                <w:szCs w:val="16"/>
                <w:lang w:val="en-US"/>
              </w:rPr>
              <w:t xml:space="preserve"> of this regulation;</w:t>
            </w:r>
          </w:p>
        </w:tc>
      </w:tr>
      <w:tr w:rsidR="003A38FF" w:rsidRPr="00D83DA2" w14:paraId="5644E3ED" w14:textId="38C7E67B" w:rsidTr="00FB5DAD">
        <w:tc>
          <w:tcPr>
            <w:tcW w:w="4706" w:type="dxa"/>
          </w:tcPr>
          <w:p w14:paraId="4658C330" w14:textId="77777777" w:rsidR="003A38FF" w:rsidRPr="00D0180E" w:rsidRDefault="003A38FF" w:rsidP="003A38FF">
            <w:pPr>
              <w:pStyle w:val="Texto"/>
              <w:spacing w:after="86"/>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El procedimiento aplicable en casos de cambio en el nivel tensión por modificaciones en las instalaciones de la Transportista o la Distribuidora, y</w:t>
            </w:r>
          </w:p>
        </w:tc>
        <w:tc>
          <w:tcPr>
            <w:tcW w:w="4644" w:type="dxa"/>
          </w:tcPr>
          <w:p w14:paraId="67E1DF10" w14:textId="14BFB8D6" w:rsidR="003A38FF" w:rsidRPr="00D0180E" w:rsidRDefault="003A38FF" w:rsidP="003A38FF">
            <w:pPr>
              <w:pStyle w:val="Texto"/>
              <w:spacing w:after="86"/>
              <w:ind w:firstLine="0"/>
              <w:rPr>
                <w:rFonts w:ascii="Verdana" w:hAnsi="Verdana"/>
                <w:b/>
                <w:sz w:val="16"/>
                <w:szCs w:val="16"/>
                <w:lang w:val="en-US"/>
              </w:rPr>
            </w:pPr>
            <w:r w:rsidRPr="006815C5">
              <w:rPr>
                <w:rFonts w:ascii="Verdana" w:hAnsi="Verdana"/>
                <w:b/>
                <w:sz w:val="16"/>
                <w:szCs w:val="16"/>
                <w:lang w:val="en-US"/>
              </w:rPr>
              <w:t>VI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procedure applicable in cases of changes in the voltage level due to modifications in the facilities of the transporter or the distributor, and</w:t>
            </w:r>
          </w:p>
        </w:tc>
      </w:tr>
      <w:tr w:rsidR="003A38FF" w:rsidRPr="00D83DA2" w14:paraId="1CFEBB38" w14:textId="5F37559B" w:rsidTr="00FB5DAD">
        <w:tc>
          <w:tcPr>
            <w:tcW w:w="4706" w:type="dxa"/>
          </w:tcPr>
          <w:p w14:paraId="2BE8CC9F"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Los procedimientos para la solución de controversias derivadas de la prestación de los servicios.</w:t>
            </w:r>
          </w:p>
        </w:tc>
        <w:tc>
          <w:tcPr>
            <w:tcW w:w="4644" w:type="dxa"/>
          </w:tcPr>
          <w:p w14:paraId="68DC119E" w14:textId="1EA0584C" w:rsidR="003A38FF" w:rsidRPr="00D0180E" w:rsidRDefault="003A38FF" w:rsidP="003A38FF">
            <w:pPr>
              <w:pStyle w:val="Texto"/>
              <w:ind w:firstLine="0"/>
              <w:rPr>
                <w:rFonts w:ascii="Verdana" w:hAnsi="Verdana"/>
                <w:b/>
                <w:sz w:val="16"/>
                <w:szCs w:val="16"/>
                <w:lang w:val="en-US"/>
              </w:rPr>
            </w:pPr>
            <w:r w:rsidRPr="006815C5">
              <w:rPr>
                <w:rFonts w:ascii="Verdana" w:hAnsi="Verdana"/>
                <w:b/>
                <w:sz w:val="16"/>
                <w:szCs w:val="16"/>
                <w:lang w:val="en-US"/>
              </w:rPr>
              <w:t>VII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Procedures</w:t>
            </w:r>
            <w:proofErr w:type="gramEnd"/>
            <w:r w:rsidRPr="006815C5">
              <w:rPr>
                <w:rFonts w:ascii="Verdana" w:hAnsi="Verdana"/>
                <w:sz w:val="16"/>
                <w:szCs w:val="16"/>
                <w:lang w:val="en-US"/>
              </w:rPr>
              <w:t xml:space="preserve"> for the resolution of disputes arising from the provision of services.</w:t>
            </w:r>
          </w:p>
        </w:tc>
      </w:tr>
      <w:tr w:rsidR="003A38FF" w:rsidRPr="00D83DA2" w14:paraId="6BCE1DC7" w14:textId="5D9CD355" w:rsidTr="00FB5DAD">
        <w:tc>
          <w:tcPr>
            <w:tcW w:w="4706" w:type="dxa"/>
          </w:tcPr>
          <w:p w14:paraId="73610372" w14:textId="77777777" w:rsidR="003A38FF" w:rsidRPr="00D0180E" w:rsidRDefault="003A38FF" w:rsidP="003A38FF">
            <w:pPr>
              <w:pStyle w:val="Texto"/>
              <w:spacing w:line="244" w:lineRule="exact"/>
              <w:ind w:firstLine="0"/>
              <w:rPr>
                <w:rFonts w:ascii="Verdana" w:hAnsi="Verdana"/>
                <w:sz w:val="16"/>
                <w:szCs w:val="16"/>
              </w:rPr>
            </w:pPr>
            <w:r w:rsidRPr="00D0180E">
              <w:rPr>
                <w:rFonts w:ascii="Verdana" w:hAnsi="Verdana"/>
                <w:b/>
                <w:sz w:val="16"/>
                <w:szCs w:val="16"/>
              </w:rPr>
              <w:t>Artículo 97.</w:t>
            </w:r>
            <w:r w:rsidRPr="00D0180E">
              <w:rPr>
                <w:rFonts w:ascii="Verdana" w:hAnsi="Verdana"/>
                <w:sz w:val="16"/>
                <w:szCs w:val="16"/>
              </w:rPr>
              <w:t xml:space="preserve"> En las condiciones generales para prestación del Servicio Público de Transmisión y Distribución de Energía Eléctrica, así como para el Suministro Eléctrico, se debe incluir el procedimiento para realizar diagnósticos del estado operativo y </w:t>
            </w:r>
            <w:r w:rsidRPr="00D0180E">
              <w:rPr>
                <w:rFonts w:ascii="Verdana" w:hAnsi="Verdana"/>
                <w:sz w:val="16"/>
                <w:szCs w:val="16"/>
              </w:rPr>
              <w:lastRenderedPageBreak/>
              <w:t>funcionamiento de los Sistemas de Medición a solicitud de las Usuarias Finales, cuyo costo es determinado por la Transportista o la Distribuidora, según corresponda.</w:t>
            </w:r>
          </w:p>
        </w:tc>
        <w:tc>
          <w:tcPr>
            <w:tcW w:w="4644" w:type="dxa"/>
          </w:tcPr>
          <w:p w14:paraId="64644429" w14:textId="65517A43" w:rsidR="003A38FF" w:rsidRPr="00D0180E" w:rsidRDefault="003A38FF" w:rsidP="003A38FF">
            <w:pPr>
              <w:pStyle w:val="Texto"/>
              <w:spacing w:line="244" w:lineRule="exact"/>
              <w:ind w:firstLine="0"/>
              <w:rPr>
                <w:rFonts w:ascii="Verdana" w:hAnsi="Verdana"/>
                <w:b/>
                <w:sz w:val="16"/>
                <w:szCs w:val="16"/>
                <w:lang w:val="en-US"/>
              </w:rPr>
            </w:pPr>
            <w:r w:rsidRPr="006815C5">
              <w:rPr>
                <w:rFonts w:ascii="Verdana" w:hAnsi="Verdana"/>
                <w:b/>
                <w:sz w:val="16"/>
                <w:szCs w:val="16"/>
                <w:lang w:val="en-US"/>
              </w:rPr>
              <w:lastRenderedPageBreak/>
              <w:t xml:space="preserve">Article 97. </w:t>
            </w:r>
            <w:r w:rsidRPr="006815C5">
              <w:rPr>
                <w:rFonts w:ascii="Verdana" w:hAnsi="Verdana"/>
                <w:sz w:val="16"/>
                <w:szCs w:val="16"/>
                <w:lang w:val="en-US"/>
              </w:rPr>
              <w:t xml:space="preserve">The general conditions for the provision of the public service of transmission and distribution of electric energy, as well as for the electric supply, must include the procedure for carrying out diagnostics of the operational status and functioning of the measurement </w:t>
            </w:r>
            <w:r w:rsidRPr="006815C5">
              <w:rPr>
                <w:rFonts w:ascii="Verdana" w:hAnsi="Verdana"/>
                <w:sz w:val="16"/>
                <w:szCs w:val="16"/>
                <w:lang w:val="en-US"/>
              </w:rPr>
              <w:lastRenderedPageBreak/>
              <w:t>systems at the request of the end users, the cost of which is determined by the transporter or the distributor, as appropriate.</w:t>
            </w:r>
          </w:p>
        </w:tc>
      </w:tr>
      <w:tr w:rsidR="003A38FF" w:rsidRPr="00D83DA2" w14:paraId="47153486" w14:textId="7597C264" w:rsidTr="00FB5DAD">
        <w:tc>
          <w:tcPr>
            <w:tcW w:w="4706" w:type="dxa"/>
          </w:tcPr>
          <w:p w14:paraId="5D5954C0" w14:textId="77777777" w:rsidR="003A38FF" w:rsidRPr="00D0180E" w:rsidRDefault="003A38FF" w:rsidP="003A38FF">
            <w:pPr>
              <w:pStyle w:val="Texto"/>
              <w:spacing w:line="244" w:lineRule="exact"/>
              <w:ind w:firstLine="0"/>
              <w:rPr>
                <w:rFonts w:ascii="Verdana" w:hAnsi="Verdana"/>
                <w:sz w:val="16"/>
                <w:szCs w:val="16"/>
              </w:rPr>
            </w:pPr>
            <w:r w:rsidRPr="00D0180E">
              <w:rPr>
                <w:rFonts w:ascii="Verdana" w:hAnsi="Verdana"/>
                <w:b/>
                <w:sz w:val="16"/>
                <w:szCs w:val="16"/>
              </w:rPr>
              <w:lastRenderedPageBreak/>
              <w:t xml:space="preserve">Artículo 98. </w:t>
            </w:r>
            <w:r w:rsidRPr="00D0180E">
              <w:rPr>
                <w:rFonts w:ascii="Verdana" w:hAnsi="Verdana"/>
                <w:sz w:val="16"/>
                <w:szCs w:val="16"/>
              </w:rPr>
              <w:t>Los Centros de Carga que reciben el Suministro Eléctrico están sujetos a cumplir las instrucciones operativas del CENACE.</w:t>
            </w:r>
          </w:p>
        </w:tc>
        <w:tc>
          <w:tcPr>
            <w:tcW w:w="4644" w:type="dxa"/>
          </w:tcPr>
          <w:p w14:paraId="5A096CF0" w14:textId="17B0ED0E" w:rsidR="003A38FF" w:rsidRPr="00D0180E" w:rsidRDefault="003A38FF" w:rsidP="003A38FF">
            <w:pPr>
              <w:pStyle w:val="Texto"/>
              <w:spacing w:line="244" w:lineRule="exact"/>
              <w:ind w:firstLine="0"/>
              <w:rPr>
                <w:rFonts w:ascii="Verdana" w:hAnsi="Verdana"/>
                <w:b/>
                <w:sz w:val="16"/>
                <w:szCs w:val="16"/>
                <w:lang w:val="en-US"/>
              </w:rPr>
            </w:pPr>
            <w:r w:rsidRPr="006815C5">
              <w:rPr>
                <w:rFonts w:ascii="Verdana" w:hAnsi="Verdana"/>
                <w:b/>
                <w:sz w:val="16"/>
                <w:szCs w:val="16"/>
                <w:lang w:val="en-US"/>
              </w:rPr>
              <w:t xml:space="preserve">Article 98. </w:t>
            </w:r>
            <w:r w:rsidRPr="006815C5">
              <w:rPr>
                <w:rFonts w:ascii="Verdana" w:hAnsi="Verdana"/>
                <w:sz w:val="16"/>
                <w:szCs w:val="16"/>
                <w:lang w:val="en-US"/>
              </w:rPr>
              <w:t>Load centers that receive the electric supply are subject to complying with the operating instructions of CENACE.</w:t>
            </w:r>
          </w:p>
        </w:tc>
      </w:tr>
      <w:tr w:rsidR="003A38FF" w:rsidRPr="00D83DA2" w14:paraId="1B8674BA" w14:textId="36A521B5" w:rsidTr="00FB5DAD">
        <w:tc>
          <w:tcPr>
            <w:tcW w:w="4706" w:type="dxa"/>
          </w:tcPr>
          <w:p w14:paraId="138CCC4D" w14:textId="77777777" w:rsidR="003A38FF" w:rsidRPr="00D0180E" w:rsidRDefault="003A38FF" w:rsidP="003A38FF">
            <w:pPr>
              <w:pStyle w:val="Texto"/>
              <w:spacing w:line="244" w:lineRule="exact"/>
              <w:ind w:firstLine="0"/>
              <w:rPr>
                <w:rFonts w:ascii="Verdana" w:hAnsi="Verdana"/>
                <w:sz w:val="16"/>
                <w:szCs w:val="16"/>
              </w:rPr>
            </w:pPr>
            <w:r w:rsidRPr="00D0180E">
              <w:rPr>
                <w:rFonts w:ascii="Verdana" w:hAnsi="Verdana"/>
                <w:sz w:val="16"/>
                <w:szCs w:val="16"/>
              </w:rPr>
              <w:t>Las instrucciones las pueden recibir a través de la entidad responsable de carga correspondiente, en los términos de las Reglas del Mercado, o en su caso, directamente del CENACE.</w:t>
            </w:r>
          </w:p>
        </w:tc>
        <w:tc>
          <w:tcPr>
            <w:tcW w:w="4644" w:type="dxa"/>
          </w:tcPr>
          <w:p w14:paraId="780AF385" w14:textId="2D884FAC" w:rsidR="003A38FF" w:rsidRPr="00D0180E" w:rsidRDefault="003A38FF" w:rsidP="003A38FF">
            <w:pPr>
              <w:pStyle w:val="Texto"/>
              <w:spacing w:line="244" w:lineRule="exact"/>
              <w:ind w:firstLine="0"/>
              <w:rPr>
                <w:rFonts w:ascii="Verdana" w:hAnsi="Verdana"/>
                <w:sz w:val="16"/>
                <w:szCs w:val="16"/>
                <w:lang w:val="en-US"/>
              </w:rPr>
            </w:pPr>
            <w:r w:rsidRPr="006815C5">
              <w:rPr>
                <w:rFonts w:ascii="Verdana" w:hAnsi="Verdana"/>
                <w:sz w:val="16"/>
                <w:szCs w:val="16"/>
                <w:lang w:val="en-US"/>
              </w:rPr>
              <w:t>Instructions can be received through the corresponding cargo entity, in accordance with the market rules, or, where appropriate, directly from CENACE.</w:t>
            </w:r>
          </w:p>
        </w:tc>
      </w:tr>
      <w:tr w:rsidR="003A38FF" w:rsidRPr="00D83DA2" w14:paraId="6A463F5E" w14:textId="572D1C31" w:rsidTr="00FB5DAD">
        <w:tc>
          <w:tcPr>
            <w:tcW w:w="4706" w:type="dxa"/>
          </w:tcPr>
          <w:p w14:paraId="1038B361" w14:textId="77777777" w:rsidR="003A38FF" w:rsidRPr="00D0180E" w:rsidRDefault="003A38FF" w:rsidP="003A38FF">
            <w:pPr>
              <w:pStyle w:val="Texto"/>
              <w:spacing w:line="244" w:lineRule="exact"/>
              <w:ind w:firstLine="0"/>
              <w:rPr>
                <w:rFonts w:ascii="Verdana" w:hAnsi="Verdana"/>
                <w:sz w:val="16"/>
                <w:szCs w:val="16"/>
              </w:rPr>
            </w:pPr>
            <w:r w:rsidRPr="00D0180E">
              <w:rPr>
                <w:rFonts w:ascii="Verdana" w:hAnsi="Verdana"/>
                <w:sz w:val="16"/>
                <w:szCs w:val="16"/>
              </w:rPr>
              <w:t>La ejecución de las instrucciones se debe realizar en coordinación con la Transportista y la Distribuidora.</w:t>
            </w:r>
          </w:p>
        </w:tc>
        <w:tc>
          <w:tcPr>
            <w:tcW w:w="4644" w:type="dxa"/>
          </w:tcPr>
          <w:p w14:paraId="789F6CC6" w14:textId="1ADCAB4C" w:rsidR="003A38FF" w:rsidRPr="00D0180E" w:rsidRDefault="003A38FF" w:rsidP="003A38FF">
            <w:pPr>
              <w:pStyle w:val="Texto"/>
              <w:spacing w:line="244" w:lineRule="exact"/>
              <w:ind w:firstLine="0"/>
              <w:rPr>
                <w:rFonts w:ascii="Verdana" w:hAnsi="Verdana"/>
                <w:sz w:val="16"/>
                <w:szCs w:val="16"/>
                <w:lang w:val="en-US"/>
              </w:rPr>
            </w:pPr>
            <w:r w:rsidRPr="006815C5">
              <w:rPr>
                <w:rFonts w:ascii="Verdana" w:hAnsi="Verdana"/>
                <w:sz w:val="16"/>
                <w:szCs w:val="16"/>
                <w:lang w:val="en-US"/>
              </w:rPr>
              <w:t>The execution of the instructions must be carried out in coordination with the carrier and the distributor.</w:t>
            </w:r>
          </w:p>
        </w:tc>
      </w:tr>
      <w:tr w:rsidR="003A38FF" w:rsidRPr="00D83DA2" w14:paraId="4392D4E6" w14:textId="171CD421" w:rsidTr="00FB5DAD">
        <w:tc>
          <w:tcPr>
            <w:tcW w:w="4706" w:type="dxa"/>
          </w:tcPr>
          <w:p w14:paraId="23F9DCA8" w14:textId="77777777" w:rsidR="003A38FF" w:rsidRPr="00D0180E" w:rsidRDefault="003A38FF" w:rsidP="003A38FF">
            <w:pPr>
              <w:pStyle w:val="Texto"/>
              <w:spacing w:line="244" w:lineRule="exact"/>
              <w:ind w:firstLine="0"/>
              <w:rPr>
                <w:rFonts w:ascii="Verdana" w:hAnsi="Verdana"/>
                <w:sz w:val="16"/>
                <w:szCs w:val="16"/>
              </w:rPr>
            </w:pPr>
            <w:r w:rsidRPr="00D0180E">
              <w:rPr>
                <w:rFonts w:ascii="Verdana" w:hAnsi="Verdana"/>
                <w:b/>
                <w:sz w:val="16"/>
                <w:szCs w:val="16"/>
              </w:rPr>
              <w:t xml:space="preserve">Artículo 99. </w:t>
            </w:r>
            <w:r w:rsidRPr="00D0180E">
              <w:rPr>
                <w:rFonts w:ascii="Verdana" w:hAnsi="Verdana"/>
                <w:sz w:val="16"/>
                <w:szCs w:val="16"/>
              </w:rPr>
              <w:t>Los procedimientos de coordinación entre el CENACE, las Integrantes del Sector Eléctrico y Participantes del Mercado, para la atención a fallas, así como las instrucciones operativas del CENACE, deben establecerse en los instrumentos normativos correspondientes relacionados con el Suministro Eléctrico y el Servicio Público de Transmisión y Distribución de Energía Eléctrica.</w:t>
            </w:r>
          </w:p>
        </w:tc>
        <w:tc>
          <w:tcPr>
            <w:tcW w:w="4644" w:type="dxa"/>
          </w:tcPr>
          <w:p w14:paraId="4802B48E" w14:textId="1CC2A15D" w:rsidR="003A38FF" w:rsidRPr="00D0180E" w:rsidRDefault="003A38FF" w:rsidP="003A38FF">
            <w:pPr>
              <w:pStyle w:val="Texto"/>
              <w:spacing w:line="244" w:lineRule="exact"/>
              <w:ind w:firstLine="0"/>
              <w:rPr>
                <w:rFonts w:ascii="Verdana" w:hAnsi="Verdana"/>
                <w:b/>
                <w:sz w:val="16"/>
                <w:szCs w:val="16"/>
                <w:lang w:val="en-US"/>
              </w:rPr>
            </w:pPr>
            <w:r w:rsidRPr="006815C5">
              <w:rPr>
                <w:rFonts w:ascii="Verdana" w:hAnsi="Verdana"/>
                <w:b/>
                <w:sz w:val="16"/>
                <w:szCs w:val="16"/>
                <w:lang w:val="en-US"/>
              </w:rPr>
              <w:t xml:space="preserve">Article 99. </w:t>
            </w:r>
            <w:r w:rsidRPr="006815C5">
              <w:rPr>
                <w:rFonts w:ascii="Verdana" w:hAnsi="Verdana"/>
                <w:sz w:val="16"/>
                <w:szCs w:val="16"/>
                <w:lang w:val="en-US"/>
              </w:rPr>
              <w:t>The coordination procedures between CENACE, the members of the electric sector and market participants for addressing failures, as well as CENACE's operational instructions, must be established in the corresponding regulatory instruments related to the electric supply and the public service of transmission and distribution of electric energy.</w:t>
            </w:r>
          </w:p>
        </w:tc>
      </w:tr>
      <w:tr w:rsidR="003A38FF" w:rsidRPr="00D0180E" w14:paraId="22DF6CB3" w14:textId="2AD578C4" w:rsidTr="00FB5DAD">
        <w:tc>
          <w:tcPr>
            <w:tcW w:w="4706" w:type="dxa"/>
          </w:tcPr>
          <w:p w14:paraId="72FE5A69" w14:textId="77777777" w:rsidR="003A38FF" w:rsidRPr="00D0180E" w:rsidRDefault="003A38FF" w:rsidP="003A38FF">
            <w:pPr>
              <w:pStyle w:val="Texto"/>
              <w:spacing w:line="244" w:lineRule="exact"/>
              <w:ind w:firstLine="0"/>
              <w:jc w:val="center"/>
              <w:rPr>
                <w:rFonts w:ascii="Verdana" w:hAnsi="Verdana"/>
                <w:b/>
                <w:sz w:val="16"/>
                <w:szCs w:val="16"/>
              </w:rPr>
            </w:pPr>
            <w:r w:rsidRPr="00D0180E">
              <w:rPr>
                <w:rFonts w:ascii="Verdana" w:hAnsi="Verdana"/>
                <w:b/>
                <w:sz w:val="16"/>
                <w:szCs w:val="16"/>
              </w:rPr>
              <w:t>Capítulo III</w:t>
            </w:r>
          </w:p>
        </w:tc>
        <w:tc>
          <w:tcPr>
            <w:tcW w:w="4644" w:type="dxa"/>
          </w:tcPr>
          <w:p w14:paraId="5A86AE20" w14:textId="36D207D9" w:rsidR="003A38FF" w:rsidRPr="003618AF" w:rsidRDefault="003A38FF" w:rsidP="003A38FF">
            <w:pPr>
              <w:pStyle w:val="Texto"/>
              <w:spacing w:line="244" w:lineRule="exact"/>
              <w:ind w:firstLine="0"/>
              <w:jc w:val="center"/>
              <w:rPr>
                <w:rFonts w:ascii="Verdana" w:hAnsi="Verdana"/>
                <w:b/>
                <w:sz w:val="16"/>
                <w:szCs w:val="16"/>
                <w:lang w:val="en-US"/>
              </w:rPr>
            </w:pPr>
            <w:r w:rsidRPr="003618AF">
              <w:rPr>
                <w:rFonts w:ascii="Verdana" w:hAnsi="Verdana"/>
                <w:b/>
                <w:sz w:val="16"/>
                <w:szCs w:val="16"/>
                <w:lang w:val="en-US"/>
              </w:rPr>
              <w:t>Chapter III</w:t>
            </w:r>
          </w:p>
        </w:tc>
      </w:tr>
      <w:tr w:rsidR="003A38FF" w:rsidRPr="00D0180E" w14:paraId="4316AC07" w14:textId="7BD2E0EE" w:rsidTr="00FB5DAD">
        <w:tc>
          <w:tcPr>
            <w:tcW w:w="4706" w:type="dxa"/>
          </w:tcPr>
          <w:p w14:paraId="7059E0EC" w14:textId="77777777" w:rsidR="003A38FF" w:rsidRPr="00D0180E" w:rsidRDefault="003A38FF" w:rsidP="003A38FF">
            <w:pPr>
              <w:pStyle w:val="Texto"/>
              <w:spacing w:line="244" w:lineRule="exact"/>
              <w:ind w:firstLine="0"/>
              <w:jc w:val="center"/>
              <w:rPr>
                <w:rFonts w:ascii="Verdana" w:hAnsi="Verdana"/>
                <w:b/>
                <w:sz w:val="16"/>
                <w:szCs w:val="16"/>
              </w:rPr>
            </w:pPr>
            <w:r w:rsidRPr="00D0180E">
              <w:rPr>
                <w:rFonts w:ascii="Verdana" w:hAnsi="Verdana"/>
                <w:b/>
                <w:sz w:val="16"/>
                <w:szCs w:val="16"/>
              </w:rPr>
              <w:t>Del Acceso Local</w:t>
            </w:r>
          </w:p>
        </w:tc>
        <w:tc>
          <w:tcPr>
            <w:tcW w:w="4644" w:type="dxa"/>
          </w:tcPr>
          <w:p w14:paraId="640C0C76" w14:textId="71B522E1" w:rsidR="003A38FF" w:rsidRPr="003618AF" w:rsidRDefault="003A38FF" w:rsidP="003A38FF">
            <w:pPr>
              <w:pStyle w:val="Texto"/>
              <w:spacing w:line="244" w:lineRule="exact"/>
              <w:ind w:firstLine="0"/>
              <w:jc w:val="center"/>
              <w:rPr>
                <w:rFonts w:ascii="Verdana" w:hAnsi="Verdana"/>
                <w:b/>
                <w:sz w:val="16"/>
                <w:szCs w:val="16"/>
                <w:lang w:val="en-US"/>
              </w:rPr>
            </w:pPr>
            <w:r w:rsidRPr="003618AF">
              <w:rPr>
                <w:rFonts w:ascii="Verdana" w:hAnsi="Verdana"/>
                <w:b/>
                <w:sz w:val="16"/>
                <w:szCs w:val="16"/>
                <w:lang w:val="en-US"/>
              </w:rPr>
              <w:t>Local Access</w:t>
            </w:r>
          </w:p>
        </w:tc>
      </w:tr>
      <w:tr w:rsidR="003A38FF" w:rsidRPr="004B7063" w14:paraId="3F3D0271" w14:textId="3D46EA67" w:rsidTr="00FB5DAD">
        <w:tc>
          <w:tcPr>
            <w:tcW w:w="4706" w:type="dxa"/>
          </w:tcPr>
          <w:p w14:paraId="57D270C4" w14:textId="77777777" w:rsidR="003A38FF" w:rsidRPr="00D0180E" w:rsidRDefault="003A38FF" w:rsidP="003A38FF">
            <w:pPr>
              <w:pStyle w:val="Texto"/>
              <w:spacing w:line="244" w:lineRule="exact"/>
              <w:ind w:firstLine="0"/>
              <w:rPr>
                <w:rFonts w:ascii="Verdana" w:hAnsi="Verdana"/>
                <w:sz w:val="16"/>
                <w:szCs w:val="16"/>
              </w:rPr>
            </w:pPr>
            <w:r w:rsidRPr="00D0180E">
              <w:rPr>
                <w:rFonts w:ascii="Verdana" w:hAnsi="Verdana"/>
                <w:b/>
                <w:sz w:val="16"/>
                <w:szCs w:val="16"/>
              </w:rPr>
              <w:t>Artículo 100.</w:t>
            </w:r>
            <w:r w:rsidRPr="00D0180E">
              <w:rPr>
                <w:rFonts w:ascii="Verdana" w:hAnsi="Verdana"/>
                <w:sz w:val="16"/>
                <w:szCs w:val="16"/>
              </w:rPr>
              <w:t xml:space="preserve"> Los Centros de Carga, las Generadoras o sus representantes en el Mercado Eléctrico Mayorista, pueden solicitar a la Transportista o a la Distribuidora, el acceso local al medidor de respaldo, solo para lectura de los datos de medición para liquidación y calidad de la energía eléctrica y, en su caso, la extracción de los datos de medición, sin que dicho acceso y extracción afecten la funcionalidad de los sistemas. Para tal efecto, se debe estar a lo siguiente:</w:t>
            </w:r>
          </w:p>
        </w:tc>
        <w:tc>
          <w:tcPr>
            <w:tcW w:w="4644" w:type="dxa"/>
          </w:tcPr>
          <w:p w14:paraId="649B3B98" w14:textId="4C4FCB1B" w:rsidR="003A38FF" w:rsidRPr="00D0180E" w:rsidRDefault="003A38FF" w:rsidP="003A38FF">
            <w:pPr>
              <w:pStyle w:val="Texto"/>
              <w:spacing w:line="244" w:lineRule="exact"/>
              <w:ind w:firstLine="0"/>
              <w:rPr>
                <w:rFonts w:ascii="Verdana" w:hAnsi="Verdana"/>
                <w:b/>
                <w:sz w:val="16"/>
                <w:szCs w:val="16"/>
                <w:lang w:val="en-US"/>
              </w:rPr>
            </w:pPr>
            <w:r w:rsidRPr="006815C5">
              <w:rPr>
                <w:rFonts w:ascii="Verdana" w:hAnsi="Verdana"/>
                <w:b/>
                <w:sz w:val="16"/>
                <w:szCs w:val="16"/>
                <w:lang w:val="en-US"/>
              </w:rPr>
              <w:t xml:space="preserve">Article 100. </w:t>
            </w:r>
            <w:r w:rsidRPr="006815C5">
              <w:rPr>
                <w:rFonts w:ascii="Verdana" w:hAnsi="Verdana"/>
                <w:sz w:val="16"/>
                <w:szCs w:val="16"/>
                <w:lang w:val="en-US"/>
              </w:rPr>
              <w:t xml:space="preserve">Load Centers, generators, or their representatives in the wholesale electricity market may request local access to the backup meter from the transmission company or the distributor, solely for the reading of measurement data for settlement and quality of electrical energy and, where applicable, the extraction of measurement data, without such access and extraction affecting the functionality of the systems. </w:t>
            </w:r>
            <w:r w:rsidRPr="004B7063">
              <w:rPr>
                <w:rFonts w:ascii="Verdana" w:hAnsi="Verdana"/>
                <w:sz w:val="16"/>
                <w:szCs w:val="16"/>
                <w:lang w:val="en-US"/>
              </w:rPr>
              <w:t>For this purpose, the following must be observed:</w:t>
            </w:r>
          </w:p>
        </w:tc>
      </w:tr>
      <w:tr w:rsidR="003A38FF" w:rsidRPr="00D83DA2" w14:paraId="1227DE73" w14:textId="324A2FAE" w:rsidTr="00FB5DAD">
        <w:tc>
          <w:tcPr>
            <w:tcW w:w="4706" w:type="dxa"/>
          </w:tcPr>
          <w:p w14:paraId="229390D4" w14:textId="77777777" w:rsidR="003A38FF" w:rsidRPr="00D0180E" w:rsidRDefault="003A38FF" w:rsidP="003A38FF">
            <w:pPr>
              <w:pStyle w:val="Texto"/>
              <w:spacing w:line="244"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Solicitarlo por escrito a la Transportista o Distribuidora, según corresponda, con al menos treinta días naturales de anticipación;</w:t>
            </w:r>
          </w:p>
        </w:tc>
        <w:tc>
          <w:tcPr>
            <w:tcW w:w="4644" w:type="dxa"/>
          </w:tcPr>
          <w:p w14:paraId="6313EA8B" w14:textId="625AE86E" w:rsidR="003A38FF" w:rsidRPr="00D0180E" w:rsidRDefault="003A38FF" w:rsidP="003A38FF">
            <w:pPr>
              <w:pStyle w:val="Texto"/>
              <w:spacing w:line="244" w:lineRule="exact"/>
              <w:ind w:firstLine="0"/>
              <w:rPr>
                <w:rFonts w:ascii="Verdana" w:hAnsi="Verdana"/>
                <w:b/>
                <w:sz w:val="16"/>
                <w:szCs w:val="16"/>
                <w:lang w:val="en-US"/>
              </w:rPr>
            </w:pPr>
            <w:r w:rsidRPr="006815C5">
              <w:rPr>
                <w:rFonts w:ascii="Verdana" w:hAnsi="Verdana"/>
                <w:b/>
                <w:sz w:val="16"/>
                <w:szCs w:val="16"/>
                <w:lang w:val="en-US"/>
              </w:rPr>
              <w:t xml:space="preserve">I. </w:t>
            </w:r>
            <w:r w:rsidRPr="006815C5">
              <w:rPr>
                <w:rFonts w:ascii="Verdana" w:hAnsi="Verdana"/>
                <w:b/>
                <w:sz w:val="16"/>
                <w:szCs w:val="16"/>
                <w:lang w:val="en-US"/>
              </w:rPr>
              <w:tab/>
            </w:r>
            <w:r w:rsidRPr="006815C5">
              <w:rPr>
                <w:rFonts w:ascii="Verdana" w:hAnsi="Verdana"/>
                <w:sz w:val="16"/>
                <w:szCs w:val="16"/>
                <w:lang w:val="en-US"/>
              </w:rPr>
              <w:t>Request it in writing to the carrier or distributor, as appropriate, at least thirty calendar days in advance;</w:t>
            </w:r>
          </w:p>
        </w:tc>
      </w:tr>
      <w:tr w:rsidR="003A38FF" w:rsidRPr="00D83DA2" w14:paraId="38AF2FC5" w14:textId="0E19C984" w:rsidTr="00FB5DAD">
        <w:tc>
          <w:tcPr>
            <w:tcW w:w="4706" w:type="dxa"/>
          </w:tcPr>
          <w:p w14:paraId="1E8D958E" w14:textId="77777777" w:rsidR="003A38FF" w:rsidRPr="00D0180E" w:rsidRDefault="003A38FF" w:rsidP="003A38FF">
            <w:pPr>
              <w:pStyle w:val="Texto"/>
              <w:spacing w:line="244"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La Central Eléctrica o el Centro de Carga deben contar con el inicio de operaciones en el Mercado Eléctrico Mayorista instruido por el CENACE y con Sistemas de Medición que cumplan con lo establecido en las Reglas del Mercado y en las normas oficiales mexicanas aplicables, y</w:t>
            </w:r>
          </w:p>
        </w:tc>
        <w:tc>
          <w:tcPr>
            <w:tcW w:w="4644" w:type="dxa"/>
          </w:tcPr>
          <w:p w14:paraId="0E547977" w14:textId="59BC756F" w:rsidR="003A38FF" w:rsidRPr="00D0180E" w:rsidRDefault="003A38FF" w:rsidP="003A38FF">
            <w:pPr>
              <w:pStyle w:val="Texto"/>
              <w:spacing w:line="244" w:lineRule="exact"/>
              <w:ind w:firstLine="0"/>
              <w:rPr>
                <w:rFonts w:ascii="Verdana" w:hAnsi="Verdana"/>
                <w:b/>
                <w:sz w:val="16"/>
                <w:szCs w:val="16"/>
                <w:lang w:val="en-US"/>
              </w:rPr>
            </w:pPr>
            <w:r w:rsidRPr="006815C5">
              <w:rPr>
                <w:rFonts w:ascii="Verdana" w:hAnsi="Verdana"/>
                <w:b/>
                <w:sz w:val="16"/>
                <w:szCs w:val="16"/>
                <w:lang w:val="en-US"/>
              </w:rPr>
              <w:t xml:space="preserve">II. </w:t>
            </w:r>
            <w:r w:rsidRPr="006815C5">
              <w:rPr>
                <w:rFonts w:ascii="Verdana" w:hAnsi="Verdana"/>
                <w:b/>
                <w:sz w:val="16"/>
                <w:szCs w:val="16"/>
                <w:lang w:val="en-US"/>
              </w:rPr>
              <w:tab/>
            </w:r>
            <w:r w:rsidRPr="006815C5">
              <w:rPr>
                <w:rFonts w:ascii="Verdana" w:hAnsi="Verdana"/>
                <w:sz w:val="16"/>
                <w:szCs w:val="16"/>
                <w:lang w:val="en-US"/>
              </w:rPr>
              <w:t xml:space="preserve">The </w:t>
            </w:r>
            <w:r>
              <w:rPr>
                <w:rFonts w:ascii="Verdana" w:hAnsi="Verdana"/>
                <w:sz w:val="16"/>
                <w:szCs w:val="16"/>
                <w:lang w:val="en-US"/>
              </w:rPr>
              <w:t>power plant</w:t>
            </w:r>
            <w:r w:rsidRPr="006815C5">
              <w:rPr>
                <w:rFonts w:ascii="Verdana" w:hAnsi="Verdana"/>
                <w:sz w:val="16"/>
                <w:szCs w:val="16"/>
                <w:lang w:val="en-US"/>
              </w:rPr>
              <w:t xml:space="preserve"> or load center must have the start of operations in the wholesale electricity market instructed by CENACE and with measurement systems that comply with the provisions of the market rules and the applicable Official Mexican Standards, and</w:t>
            </w:r>
          </w:p>
        </w:tc>
      </w:tr>
      <w:tr w:rsidR="003A38FF" w:rsidRPr="00D83DA2" w14:paraId="29502EAF" w14:textId="59C479A9" w:rsidTr="00FB5DAD">
        <w:tc>
          <w:tcPr>
            <w:tcW w:w="4706" w:type="dxa"/>
          </w:tcPr>
          <w:p w14:paraId="33C86179" w14:textId="77777777" w:rsidR="003A38FF" w:rsidRPr="00D0180E" w:rsidRDefault="003A38FF" w:rsidP="003A38FF">
            <w:pPr>
              <w:pStyle w:val="Texto"/>
              <w:spacing w:line="244"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 xml:space="preserve">La Central Eléctrica o el Centro de Carga, o sus representantes en el Mercado Eléctrico Mayorista deben proporcionar el equipamiento necesario para permitir el acceso local y la extracción de datos, entre otros, ruteadores, cableado, switches y demás dispositivos acordados con la Transportista o Distribuidora, así como </w:t>
            </w:r>
            <w:r w:rsidRPr="00D0180E">
              <w:rPr>
                <w:rFonts w:ascii="Verdana" w:hAnsi="Verdana"/>
                <w:sz w:val="16"/>
                <w:szCs w:val="16"/>
              </w:rPr>
              <w:lastRenderedPageBreak/>
              <w:t>cubrir los costos asociados a la instalación y operación del equipo requerido.</w:t>
            </w:r>
          </w:p>
        </w:tc>
        <w:tc>
          <w:tcPr>
            <w:tcW w:w="4644" w:type="dxa"/>
          </w:tcPr>
          <w:p w14:paraId="617C2168" w14:textId="210075DD" w:rsidR="003A38FF" w:rsidRPr="00D0180E" w:rsidRDefault="003A38FF" w:rsidP="003A38FF">
            <w:pPr>
              <w:pStyle w:val="Texto"/>
              <w:spacing w:line="244" w:lineRule="exact"/>
              <w:ind w:firstLine="0"/>
              <w:rPr>
                <w:rFonts w:ascii="Verdana" w:hAnsi="Verdana"/>
                <w:b/>
                <w:sz w:val="16"/>
                <w:szCs w:val="16"/>
                <w:lang w:val="en-US"/>
              </w:rPr>
            </w:pPr>
            <w:r w:rsidRPr="006815C5">
              <w:rPr>
                <w:rFonts w:ascii="Verdana" w:hAnsi="Verdana"/>
                <w:b/>
                <w:sz w:val="16"/>
                <w:szCs w:val="16"/>
                <w:lang w:val="en-US"/>
              </w:rPr>
              <w:lastRenderedPageBreak/>
              <w:t>III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w:t>
            </w:r>
            <w:r>
              <w:rPr>
                <w:rFonts w:ascii="Verdana" w:hAnsi="Verdana"/>
                <w:sz w:val="16"/>
                <w:szCs w:val="16"/>
                <w:lang w:val="en-US"/>
              </w:rPr>
              <w:t>power plant</w:t>
            </w:r>
            <w:r w:rsidRPr="006815C5">
              <w:rPr>
                <w:rFonts w:ascii="Verdana" w:hAnsi="Verdana"/>
                <w:sz w:val="16"/>
                <w:szCs w:val="16"/>
                <w:lang w:val="en-US"/>
              </w:rPr>
              <w:t xml:space="preserve"> or load center, or its representatives in the wholesale electricity market, must provide the necessary equipment to allow local access and data extraction, including routers, cabling, switches, and other devices agreed upon with the carrier or distributor, as well as cover the costs </w:t>
            </w:r>
            <w:r w:rsidRPr="006815C5">
              <w:rPr>
                <w:rFonts w:ascii="Verdana" w:hAnsi="Verdana"/>
                <w:sz w:val="16"/>
                <w:szCs w:val="16"/>
                <w:lang w:val="en-US"/>
              </w:rPr>
              <w:lastRenderedPageBreak/>
              <w:t>associated with the installation and operation of the required equipment.</w:t>
            </w:r>
          </w:p>
        </w:tc>
      </w:tr>
      <w:tr w:rsidR="003A38FF" w:rsidRPr="00D83DA2" w14:paraId="34D1E9CF" w14:textId="721A8AE3" w:rsidTr="00FB5DAD">
        <w:tc>
          <w:tcPr>
            <w:tcW w:w="4706" w:type="dxa"/>
          </w:tcPr>
          <w:p w14:paraId="041BAD3F" w14:textId="77777777" w:rsidR="003A38FF" w:rsidRPr="00D0180E" w:rsidRDefault="003A38FF" w:rsidP="003A38FF">
            <w:pPr>
              <w:pStyle w:val="Texto"/>
              <w:spacing w:line="244" w:lineRule="exact"/>
              <w:ind w:firstLine="0"/>
              <w:rPr>
                <w:rFonts w:ascii="Verdana" w:hAnsi="Verdana"/>
                <w:sz w:val="16"/>
                <w:szCs w:val="16"/>
              </w:rPr>
            </w:pPr>
            <w:r w:rsidRPr="00D0180E">
              <w:rPr>
                <w:rFonts w:ascii="Verdana" w:hAnsi="Verdana"/>
                <w:sz w:val="16"/>
                <w:szCs w:val="16"/>
              </w:rPr>
              <w:lastRenderedPageBreak/>
              <w:t>El acceso local se debe otorgar únicamente cuando sea técnicamente factible y los Sistemas de Medición cuenten con las características establecidas en las Reglas del Mercado.</w:t>
            </w:r>
          </w:p>
        </w:tc>
        <w:tc>
          <w:tcPr>
            <w:tcW w:w="4644" w:type="dxa"/>
          </w:tcPr>
          <w:p w14:paraId="7F4F2D2F" w14:textId="6FB7A872" w:rsidR="003A38FF" w:rsidRPr="00D0180E" w:rsidRDefault="003A38FF" w:rsidP="003A38FF">
            <w:pPr>
              <w:pStyle w:val="Texto"/>
              <w:spacing w:line="244" w:lineRule="exact"/>
              <w:ind w:firstLine="0"/>
              <w:rPr>
                <w:rFonts w:ascii="Verdana" w:hAnsi="Verdana"/>
                <w:sz w:val="16"/>
                <w:szCs w:val="16"/>
                <w:lang w:val="en-US"/>
              </w:rPr>
            </w:pPr>
            <w:r w:rsidRPr="006815C5">
              <w:rPr>
                <w:rFonts w:ascii="Verdana" w:hAnsi="Verdana"/>
                <w:sz w:val="16"/>
                <w:szCs w:val="16"/>
                <w:lang w:val="en-US"/>
              </w:rPr>
              <w:t>Local access should only be granted when technically feasible and the measurement systems meet the characteristics established in the market rules.</w:t>
            </w:r>
          </w:p>
        </w:tc>
      </w:tr>
      <w:tr w:rsidR="003A38FF" w:rsidRPr="00D83DA2" w14:paraId="425B2E6E" w14:textId="1B8554B2" w:rsidTr="00FB5DAD">
        <w:tc>
          <w:tcPr>
            <w:tcW w:w="4706" w:type="dxa"/>
          </w:tcPr>
          <w:p w14:paraId="74036C35" w14:textId="77777777" w:rsidR="003A38FF" w:rsidRPr="00D0180E" w:rsidRDefault="003A38FF" w:rsidP="003A38FF">
            <w:pPr>
              <w:pStyle w:val="Texto"/>
              <w:spacing w:line="244" w:lineRule="exact"/>
              <w:ind w:firstLine="0"/>
              <w:rPr>
                <w:rFonts w:ascii="Verdana" w:hAnsi="Verdana"/>
                <w:sz w:val="16"/>
                <w:szCs w:val="16"/>
              </w:rPr>
            </w:pPr>
            <w:r w:rsidRPr="00D0180E">
              <w:rPr>
                <w:rFonts w:ascii="Verdana" w:hAnsi="Verdana"/>
                <w:sz w:val="16"/>
                <w:szCs w:val="16"/>
              </w:rPr>
              <w:t>El acceso local debe ser siempre a través de un puerto de comunicaciones independiente del puerto al que se conecte la Transportista o la Distribuidora para la extracción de los datos de medición, y a través de un medio o red de comunicaciones independiente del medio o red de comunicaciones que utilicen la Transportista o la Distribuidora para tal efecto.</w:t>
            </w:r>
          </w:p>
        </w:tc>
        <w:tc>
          <w:tcPr>
            <w:tcW w:w="4644" w:type="dxa"/>
          </w:tcPr>
          <w:p w14:paraId="650EE470" w14:textId="2BCE931C" w:rsidR="003A38FF" w:rsidRPr="00D0180E" w:rsidRDefault="003A38FF" w:rsidP="003A38FF">
            <w:pPr>
              <w:pStyle w:val="Texto"/>
              <w:spacing w:line="244" w:lineRule="exact"/>
              <w:ind w:firstLine="0"/>
              <w:rPr>
                <w:rFonts w:ascii="Verdana" w:hAnsi="Verdana"/>
                <w:sz w:val="16"/>
                <w:szCs w:val="16"/>
                <w:lang w:val="en-US"/>
              </w:rPr>
            </w:pPr>
            <w:r w:rsidRPr="006815C5">
              <w:rPr>
                <w:rFonts w:ascii="Verdana" w:hAnsi="Verdana"/>
                <w:sz w:val="16"/>
                <w:szCs w:val="16"/>
                <w:lang w:val="en-US"/>
              </w:rPr>
              <w:t>Local access must always be through a communications port independent of the port to which the transporter or distributor connects for the extraction of measurement data, and through a communications medium or network independent of the communications medium or network used by the transporter or distributor for this purpose.</w:t>
            </w:r>
          </w:p>
        </w:tc>
      </w:tr>
      <w:tr w:rsidR="003A38FF" w:rsidRPr="00D83DA2" w14:paraId="0CD8FF52" w14:textId="075E8A3D" w:rsidTr="00FB5DAD">
        <w:tc>
          <w:tcPr>
            <w:tcW w:w="4706" w:type="dxa"/>
          </w:tcPr>
          <w:p w14:paraId="3F11117F" w14:textId="77777777" w:rsidR="003A38FF" w:rsidRPr="00D0180E" w:rsidRDefault="003A38FF" w:rsidP="003A38FF">
            <w:pPr>
              <w:pStyle w:val="Texto"/>
              <w:spacing w:line="244" w:lineRule="exact"/>
              <w:ind w:firstLine="0"/>
              <w:rPr>
                <w:rFonts w:ascii="Verdana" w:hAnsi="Verdana"/>
                <w:sz w:val="16"/>
                <w:szCs w:val="16"/>
              </w:rPr>
            </w:pPr>
            <w:r w:rsidRPr="00D0180E">
              <w:rPr>
                <w:rFonts w:ascii="Verdana" w:hAnsi="Verdana"/>
                <w:sz w:val="16"/>
                <w:szCs w:val="16"/>
              </w:rPr>
              <w:t>El acceso local está supeditado a cumplir con criterios de ciberseguridad que permitan mantener la integridad de la información contenida en el medidor.</w:t>
            </w:r>
          </w:p>
        </w:tc>
        <w:tc>
          <w:tcPr>
            <w:tcW w:w="4644" w:type="dxa"/>
          </w:tcPr>
          <w:p w14:paraId="50E9E8B4" w14:textId="1CE50216" w:rsidR="003A38FF" w:rsidRPr="00D0180E" w:rsidRDefault="003A38FF" w:rsidP="003A38FF">
            <w:pPr>
              <w:pStyle w:val="Texto"/>
              <w:spacing w:line="244" w:lineRule="exact"/>
              <w:ind w:firstLine="0"/>
              <w:rPr>
                <w:rFonts w:ascii="Verdana" w:hAnsi="Verdana"/>
                <w:sz w:val="16"/>
                <w:szCs w:val="16"/>
                <w:lang w:val="en-US"/>
              </w:rPr>
            </w:pPr>
            <w:r w:rsidRPr="006815C5">
              <w:rPr>
                <w:rFonts w:ascii="Verdana" w:hAnsi="Verdana"/>
                <w:sz w:val="16"/>
                <w:szCs w:val="16"/>
                <w:lang w:val="en-US"/>
              </w:rPr>
              <w:t>Local access is subject to compliance with cybersecurity criteria that maintain the integrity of the information contained in the meter.</w:t>
            </w:r>
          </w:p>
        </w:tc>
      </w:tr>
      <w:tr w:rsidR="003A38FF" w:rsidRPr="00D83DA2" w14:paraId="33596E04" w14:textId="3891111D" w:rsidTr="00FB5DAD">
        <w:tc>
          <w:tcPr>
            <w:tcW w:w="4706" w:type="dxa"/>
          </w:tcPr>
          <w:p w14:paraId="7BC79985" w14:textId="77777777" w:rsidR="003A38FF" w:rsidRPr="00D0180E" w:rsidRDefault="003A38FF" w:rsidP="003A38FF">
            <w:pPr>
              <w:pStyle w:val="Texto"/>
              <w:spacing w:line="244" w:lineRule="exact"/>
              <w:ind w:firstLine="0"/>
              <w:rPr>
                <w:rFonts w:ascii="Verdana" w:hAnsi="Verdana"/>
                <w:sz w:val="16"/>
                <w:szCs w:val="16"/>
              </w:rPr>
            </w:pPr>
            <w:r w:rsidRPr="00D0180E">
              <w:rPr>
                <w:rFonts w:ascii="Verdana" w:hAnsi="Verdana"/>
                <w:sz w:val="16"/>
                <w:szCs w:val="16"/>
              </w:rPr>
              <w:t>La Transportista o la Distribuidora deben notificar a la Secretaría o la CNE los casos en los cuales se detecte un incumplimiento, una situación que afecte el funcionamiento de los Sistemas de Medición o exista riesgo de que se vulnere la integridad de la información. Lo anterior sin perjuicio de lo previsto en los artículos 56, fracción VI y 184, fracciones III, inciso f) y V de la Ley.</w:t>
            </w:r>
          </w:p>
        </w:tc>
        <w:tc>
          <w:tcPr>
            <w:tcW w:w="4644" w:type="dxa"/>
          </w:tcPr>
          <w:p w14:paraId="304A6991" w14:textId="2C6CF9A4" w:rsidR="003A38FF" w:rsidRPr="00D0180E" w:rsidRDefault="003A38FF" w:rsidP="003A38FF">
            <w:pPr>
              <w:pStyle w:val="Texto"/>
              <w:spacing w:line="244" w:lineRule="exact"/>
              <w:ind w:firstLine="0"/>
              <w:rPr>
                <w:rFonts w:ascii="Verdana" w:hAnsi="Verdana"/>
                <w:sz w:val="16"/>
                <w:szCs w:val="16"/>
                <w:lang w:val="en-US"/>
              </w:rPr>
            </w:pPr>
            <w:r w:rsidRPr="006815C5">
              <w:rPr>
                <w:rFonts w:ascii="Verdana" w:hAnsi="Verdana"/>
                <w:sz w:val="16"/>
                <w:szCs w:val="16"/>
                <w:lang w:val="en-US"/>
              </w:rPr>
              <w:t>The transport company or distributor must notify the secretary or the national electoral commission (CNE) of any cases in which noncompliance is detected, a situation affecting the operation of the measurement systems, or a risk of data integrity being compromised. This is without prejudice to the provisions of Articles 56, Section VI and 184, Sections III, subparagraph f) and V of the Law.</w:t>
            </w:r>
          </w:p>
        </w:tc>
      </w:tr>
      <w:tr w:rsidR="003A38FF" w:rsidRPr="00D83DA2" w14:paraId="55804AAE" w14:textId="31C0A5F6" w:rsidTr="00FB5DAD">
        <w:tc>
          <w:tcPr>
            <w:tcW w:w="4706" w:type="dxa"/>
          </w:tcPr>
          <w:p w14:paraId="08DE5C1C" w14:textId="77777777" w:rsidR="003A38FF" w:rsidRPr="00D0180E" w:rsidRDefault="003A38FF" w:rsidP="003A38FF">
            <w:pPr>
              <w:pStyle w:val="Texto"/>
              <w:spacing w:line="244" w:lineRule="exact"/>
              <w:ind w:firstLine="0"/>
              <w:rPr>
                <w:rFonts w:ascii="Verdana" w:hAnsi="Verdana"/>
                <w:sz w:val="16"/>
                <w:szCs w:val="16"/>
              </w:rPr>
            </w:pPr>
            <w:r w:rsidRPr="00D0180E">
              <w:rPr>
                <w:rFonts w:ascii="Verdana" w:hAnsi="Verdana"/>
                <w:sz w:val="16"/>
                <w:szCs w:val="16"/>
              </w:rPr>
              <w:t>Una vez que los representantes en el Mercado Eléctrico Mayorista de las Centrales Eléctricas o Centros de Carga cumplan con lo establecido en el presente artículo, la Transportista o la Distribuidora es la responsable de llevar a cabo las actividades necesarias para otorgar el acceso al medidor de respaldo, a fin de garantizar que dicho acceso no incida sobre el funcionamiento del Sistema de Medición.</w:t>
            </w:r>
          </w:p>
        </w:tc>
        <w:tc>
          <w:tcPr>
            <w:tcW w:w="4644" w:type="dxa"/>
          </w:tcPr>
          <w:p w14:paraId="46AB9061" w14:textId="6B766821" w:rsidR="003A38FF" w:rsidRPr="00D0180E" w:rsidRDefault="003A38FF" w:rsidP="003A38FF">
            <w:pPr>
              <w:pStyle w:val="Texto"/>
              <w:spacing w:line="244" w:lineRule="exact"/>
              <w:ind w:firstLine="0"/>
              <w:rPr>
                <w:rFonts w:ascii="Verdana" w:hAnsi="Verdana"/>
                <w:sz w:val="16"/>
                <w:szCs w:val="16"/>
                <w:lang w:val="en-US"/>
              </w:rPr>
            </w:pPr>
            <w:r w:rsidRPr="006815C5">
              <w:rPr>
                <w:rFonts w:ascii="Verdana" w:hAnsi="Verdana"/>
                <w:sz w:val="16"/>
                <w:szCs w:val="16"/>
                <w:lang w:val="en-US"/>
              </w:rPr>
              <w:t xml:space="preserve">Once the wholesale electricity market representatives of the </w:t>
            </w:r>
            <w:r>
              <w:rPr>
                <w:rFonts w:ascii="Verdana" w:hAnsi="Verdana"/>
                <w:sz w:val="16"/>
                <w:szCs w:val="16"/>
                <w:lang w:val="en-US"/>
              </w:rPr>
              <w:t>power plant</w:t>
            </w:r>
            <w:r w:rsidRPr="006815C5">
              <w:rPr>
                <w:rFonts w:ascii="Verdana" w:hAnsi="Verdana"/>
                <w:sz w:val="16"/>
                <w:szCs w:val="16"/>
                <w:lang w:val="en-US"/>
              </w:rPr>
              <w:t xml:space="preserve">s or load centers comply with the provisions of this article, the transmission company or distributor is responsible for carrying out the necessary activities to grant access to the backup meter, </w:t>
            </w:r>
            <w:proofErr w:type="gramStart"/>
            <w:r w:rsidRPr="006815C5">
              <w:rPr>
                <w:rFonts w:ascii="Verdana" w:hAnsi="Verdana"/>
                <w:sz w:val="16"/>
                <w:szCs w:val="16"/>
                <w:lang w:val="en-US"/>
              </w:rPr>
              <w:t>in order to</w:t>
            </w:r>
            <w:proofErr w:type="gramEnd"/>
            <w:r w:rsidRPr="006815C5">
              <w:rPr>
                <w:rFonts w:ascii="Verdana" w:hAnsi="Verdana"/>
                <w:sz w:val="16"/>
                <w:szCs w:val="16"/>
                <w:lang w:val="en-US"/>
              </w:rPr>
              <w:t xml:space="preserve"> ensure that such access does not impact the operation of the metering system.</w:t>
            </w:r>
          </w:p>
        </w:tc>
      </w:tr>
      <w:tr w:rsidR="003A38FF" w:rsidRPr="00D83DA2" w14:paraId="4D21BE61" w14:textId="3ECEB40D" w:rsidTr="00FB5DAD">
        <w:tc>
          <w:tcPr>
            <w:tcW w:w="4706" w:type="dxa"/>
          </w:tcPr>
          <w:p w14:paraId="35BDCB01" w14:textId="77777777" w:rsidR="003A38FF" w:rsidRPr="00D0180E" w:rsidRDefault="003A38FF" w:rsidP="003A38FF">
            <w:pPr>
              <w:pStyle w:val="Texto"/>
              <w:spacing w:line="244" w:lineRule="exact"/>
              <w:ind w:firstLine="0"/>
              <w:rPr>
                <w:rFonts w:ascii="Verdana" w:hAnsi="Verdana"/>
                <w:sz w:val="16"/>
                <w:szCs w:val="16"/>
              </w:rPr>
            </w:pPr>
            <w:r w:rsidRPr="00D0180E">
              <w:rPr>
                <w:rFonts w:ascii="Verdana" w:hAnsi="Verdana"/>
                <w:sz w:val="16"/>
                <w:szCs w:val="16"/>
              </w:rPr>
              <w:t>Una vez cumplidas las condiciones establecidas en este artículo, la Transportista o la Distribuidora están obligadas a otorgar el acceso local dentro de los diez días hábiles siguientes.</w:t>
            </w:r>
          </w:p>
        </w:tc>
        <w:tc>
          <w:tcPr>
            <w:tcW w:w="4644" w:type="dxa"/>
          </w:tcPr>
          <w:p w14:paraId="1ADE3642" w14:textId="2432B405" w:rsidR="003A38FF" w:rsidRPr="00D0180E" w:rsidRDefault="003A38FF" w:rsidP="003A38FF">
            <w:pPr>
              <w:pStyle w:val="Texto"/>
              <w:spacing w:line="244" w:lineRule="exact"/>
              <w:ind w:firstLine="0"/>
              <w:rPr>
                <w:rFonts w:ascii="Verdana" w:hAnsi="Verdana"/>
                <w:sz w:val="16"/>
                <w:szCs w:val="16"/>
                <w:lang w:val="en-US"/>
              </w:rPr>
            </w:pPr>
            <w:r w:rsidRPr="006815C5">
              <w:rPr>
                <w:rFonts w:ascii="Verdana" w:hAnsi="Verdana"/>
                <w:sz w:val="16"/>
                <w:szCs w:val="16"/>
                <w:lang w:val="en-US"/>
              </w:rPr>
              <w:t>Once the conditions established in this article have been met, the carrier or distributor is oblig</w:t>
            </w:r>
            <w:r>
              <w:rPr>
                <w:rFonts w:ascii="Verdana" w:hAnsi="Verdana"/>
                <w:sz w:val="16"/>
                <w:szCs w:val="16"/>
                <w:lang w:val="en-US"/>
              </w:rPr>
              <w:t>at</w:t>
            </w:r>
            <w:r w:rsidRPr="006815C5">
              <w:rPr>
                <w:rFonts w:ascii="Verdana" w:hAnsi="Verdana"/>
                <w:sz w:val="16"/>
                <w:szCs w:val="16"/>
                <w:lang w:val="en-US"/>
              </w:rPr>
              <w:t>ed to grant local access within the following ten business days.</w:t>
            </w:r>
          </w:p>
        </w:tc>
      </w:tr>
      <w:tr w:rsidR="003A38FF" w:rsidRPr="00D0180E" w14:paraId="3E4283E8" w14:textId="59D44C28" w:rsidTr="00FB5DAD">
        <w:tc>
          <w:tcPr>
            <w:tcW w:w="4706" w:type="dxa"/>
          </w:tcPr>
          <w:p w14:paraId="229160FD" w14:textId="77777777" w:rsidR="003A38FF" w:rsidRPr="00D0180E" w:rsidRDefault="003A38FF" w:rsidP="003A38FF">
            <w:pPr>
              <w:pStyle w:val="Texto"/>
              <w:spacing w:line="232" w:lineRule="exact"/>
              <w:ind w:firstLine="0"/>
              <w:jc w:val="center"/>
              <w:rPr>
                <w:rFonts w:ascii="Verdana" w:hAnsi="Verdana"/>
                <w:b/>
                <w:sz w:val="16"/>
                <w:szCs w:val="16"/>
              </w:rPr>
            </w:pPr>
            <w:r w:rsidRPr="00D0180E">
              <w:rPr>
                <w:rFonts w:ascii="Verdana" w:hAnsi="Verdana"/>
                <w:b/>
                <w:sz w:val="16"/>
                <w:szCs w:val="16"/>
              </w:rPr>
              <w:t>Capítulo IV</w:t>
            </w:r>
          </w:p>
        </w:tc>
        <w:tc>
          <w:tcPr>
            <w:tcW w:w="4644" w:type="dxa"/>
          </w:tcPr>
          <w:p w14:paraId="407A6DA1" w14:textId="2EB32578" w:rsidR="003A38FF" w:rsidRPr="00D0180E" w:rsidRDefault="003A38FF" w:rsidP="003A38FF">
            <w:pPr>
              <w:pStyle w:val="Texto"/>
              <w:spacing w:line="232" w:lineRule="exact"/>
              <w:ind w:firstLine="0"/>
              <w:jc w:val="center"/>
              <w:rPr>
                <w:rFonts w:ascii="Verdana" w:hAnsi="Verdana"/>
                <w:b/>
                <w:sz w:val="16"/>
                <w:szCs w:val="16"/>
                <w:lang w:val="en-US"/>
              </w:rPr>
            </w:pPr>
            <w:r w:rsidRPr="00D0180E">
              <w:rPr>
                <w:rFonts w:ascii="Verdana" w:hAnsi="Verdana"/>
                <w:b/>
                <w:sz w:val="16"/>
                <w:szCs w:val="16"/>
              </w:rPr>
              <w:t>Chapter IV</w:t>
            </w:r>
          </w:p>
        </w:tc>
      </w:tr>
      <w:tr w:rsidR="003A38FF" w:rsidRPr="00D83DA2" w14:paraId="44661318" w14:textId="33CC7DD3" w:rsidTr="00FB5DAD">
        <w:tc>
          <w:tcPr>
            <w:tcW w:w="4706" w:type="dxa"/>
          </w:tcPr>
          <w:p w14:paraId="18CB2563" w14:textId="77777777" w:rsidR="003A38FF" w:rsidRPr="00D0180E" w:rsidRDefault="003A38FF" w:rsidP="003A38FF">
            <w:pPr>
              <w:pStyle w:val="Texto"/>
              <w:spacing w:line="232" w:lineRule="exact"/>
              <w:ind w:firstLine="0"/>
              <w:jc w:val="center"/>
              <w:rPr>
                <w:rFonts w:ascii="Verdana" w:hAnsi="Verdana"/>
                <w:b/>
                <w:sz w:val="16"/>
                <w:szCs w:val="16"/>
              </w:rPr>
            </w:pPr>
            <w:r w:rsidRPr="00D0180E">
              <w:rPr>
                <w:rFonts w:ascii="Verdana" w:hAnsi="Verdana"/>
                <w:b/>
                <w:sz w:val="16"/>
                <w:szCs w:val="16"/>
              </w:rPr>
              <w:t>De la Revisión de los Sistemas de Medición e Instalaciones Eléctricas</w:t>
            </w:r>
          </w:p>
        </w:tc>
        <w:tc>
          <w:tcPr>
            <w:tcW w:w="4644" w:type="dxa"/>
          </w:tcPr>
          <w:p w14:paraId="4703D44E" w14:textId="4830F231" w:rsidR="003A38FF" w:rsidRPr="00D0180E" w:rsidRDefault="003A38FF" w:rsidP="003A38FF">
            <w:pPr>
              <w:pStyle w:val="Texto"/>
              <w:spacing w:line="232" w:lineRule="exact"/>
              <w:ind w:firstLine="0"/>
              <w:jc w:val="center"/>
              <w:rPr>
                <w:rFonts w:ascii="Verdana" w:hAnsi="Verdana"/>
                <w:b/>
                <w:sz w:val="16"/>
                <w:szCs w:val="16"/>
                <w:lang w:val="en-US"/>
              </w:rPr>
            </w:pPr>
            <w:r w:rsidRPr="006815C5">
              <w:rPr>
                <w:rFonts w:ascii="Verdana" w:hAnsi="Verdana"/>
                <w:b/>
                <w:sz w:val="16"/>
                <w:szCs w:val="16"/>
                <w:lang w:val="en-US"/>
              </w:rPr>
              <w:t>Review of Measurement Systems and Electrical Installations</w:t>
            </w:r>
          </w:p>
        </w:tc>
      </w:tr>
      <w:tr w:rsidR="003A38FF" w:rsidRPr="00D83DA2" w14:paraId="1B98B2A1" w14:textId="78F48734" w:rsidTr="00FB5DAD">
        <w:tc>
          <w:tcPr>
            <w:tcW w:w="4706" w:type="dxa"/>
          </w:tcPr>
          <w:p w14:paraId="1AF7482D"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b/>
                <w:sz w:val="16"/>
                <w:szCs w:val="16"/>
              </w:rPr>
              <w:t>Artículo 101.</w:t>
            </w:r>
            <w:r w:rsidRPr="00D0180E">
              <w:rPr>
                <w:rFonts w:ascii="Verdana" w:hAnsi="Verdana"/>
                <w:sz w:val="16"/>
                <w:szCs w:val="16"/>
              </w:rPr>
              <w:t xml:space="preserve"> Como consecuencia de la naturaleza comercial de las actividades que realiza la Transportista o la Distribuidora, estas pueden llevar a cabo la revisión de los Sistemas de Medición vinculados a los servicios que prestan, lo anterior con la finalidad de comprobar el correcto funcionamiento e integridad entre otros, del Sistema de Medición y demás elementos que los componen, así como detectar anomalías por uso indebido, falla de medición o error de facturación.</w:t>
            </w:r>
          </w:p>
        </w:tc>
        <w:tc>
          <w:tcPr>
            <w:tcW w:w="4644" w:type="dxa"/>
          </w:tcPr>
          <w:p w14:paraId="57F3D20C" w14:textId="612CD1BC" w:rsidR="003A38FF" w:rsidRPr="00D0180E" w:rsidRDefault="003A38FF" w:rsidP="003A38FF">
            <w:pPr>
              <w:pStyle w:val="Texto"/>
              <w:spacing w:line="232" w:lineRule="exact"/>
              <w:ind w:firstLine="0"/>
              <w:rPr>
                <w:rFonts w:ascii="Verdana" w:hAnsi="Verdana"/>
                <w:b/>
                <w:sz w:val="16"/>
                <w:szCs w:val="16"/>
                <w:lang w:val="en-US"/>
              </w:rPr>
            </w:pPr>
            <w:r w:rsidRPr="006815C5">
              <w:rPr>
                <w:rFonts w:ascii="Verdana" w:hAnsi="Verdana"/>
                <w:b/>
                <w:sz w:val="16"/>
                <w:szCs w:val="16"/>
                <w:lang w:val="en-US"/>
              </w:rPr>
              <w:t xml:space="preserve">Article 101. </w:t>
            </w:r>
            <w:r w:rsidRPr="006815C5">
              <w:rPr>
                <w:rFonts w:ascii="Verdana" w:hAnsi="Verdana"/>
                <w:sz w:val="16"/>
                <w:szCs w:val="16"/>
                <w:lang w:val="en-US"/>
              </w:rPr>
              <w:t>As a consequence of the commercial nature of the activities carried out by the transporter or the distributor, they may carry out the review of the measurement systems linked to the services they provide, the above with the purpose of verifying the correct functioning and integrity, among others, of the measurement system and other elements that comprise them, as well as detecting anomalies due to improper use, measurement failure or billing error.</w:t>
            </w:r>
          </w:p>
        </w:tc>
      </w:tr>
      <w:tr w:rsidR="003A38FF" w:rsidRPr="00D83DA2" w14:paraId="22AE045A" w14:textId="3FCDEF73" w:rsidTr="00FB5DAD">
        <w:tc>
          <w:tcPr>
            <w:tcW w:w="4706" w:type="dxa"/>
          </w:tcPr>
          <w:p w14:paraId="4C097A84"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sz w:val="16"/>
                <w:szCs w:val="16"/>
              </w:rPr>
              <w:lastRenderedPageBreak/>
              <w:t>Sin perjuicio de su ejercicio directo, para efectuar la revisión a que se refiere este Capítulo, la Transportista o la Distribuidora pueden auxiliarse de terceras personas especialistas, unidades de verificación o inspección.</w:t>
            </w:r>
          </w:p>
        </w:tc>
        <w:tc>
          <w:tcPr>
            <w:tcW w:w="4644" w:type="dxa"/>
          </w:tcPr>
          <w:p w14:paraId="5A67E77E" w14:textId="61E3D3F4" w:rsidR="003A38FF" w:rsidRPr="00D0180E" w:rsidRDefault="003A38FF" w:rsidP="003A38FF">
            <w:pPr>
              <w:pStyle w:val="Texto"/>
              <w:spacing w:line="232" w:lineRule="exact"/>
              <w:ind w:firstLine="0"/>
              <w:rPr>
                <w:rFonts w:ascii="Verdana" w:hAnsi="Verdana"/>
                <w:sz w:val="16"/>
                <w:szCs w:val="16"/>
                <w:lang w:val="en-US"/>
              </w:rPr>
            </w:pPr>
            <w:r w:rsidRPr="006815C5">
              <w:rPr>
                <w:rFonts w:ascii="Verdana" w:hAnsi="Verdana"/>
                <w:sz w:val="16"/>
                <w:szCs w:val="16"/>
                <w:lang w:val="en-US"/>
              </w:rPr>
              <w:t>Without prejudice to its direct exercise, to carry out the review referred to in this Chapter, the carrier or the distributor may be assisted by third-party specialists, verification or inspection units.</w:t>
            </w:r>
          </w:p>
        </w:tc>
      </w:tr>
      <w:tr w:rsidR="003A38FF" w:rsidRPr="00D83DA2" w14:paraId="0BA4401A" w14:textId="5F28A902" w:rsidTr="00FB5DAD">
        <w:tc>
          <w:tcPr>
            <w:tcW w:w="4706" w:type="dxa"/>
          </w:tcPr>
          <w:p w14:paraId="08E9C7D7"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b/>
                <w:sz w:val="16"/>
                <w:szCs w:val="16"/>
              </w:rPr>
              <w:t>Artículo 102.</w:t>
            </w:r>
            <w:r w:rsidRPr="00D0180E">
              <w:rPr>
                <w:rFonts w:ascii="Verdana" w:hAnsi="Verdana"/>
                <w:sz w:val="16"/>
                <w:szCs w:val="16"/>
              </w:rPr>
              <w:t xml:space="preserve"> La realización de las revisiones está sujeta al procedimiento y costos previstos en las condiciones generales para la prestación del Servicio Público de Transmisión y Distribución de Energía Eléctrica y las de Suministro Eléctrico, así como en el contrato, el cual debe considerar, para aquellos casos en los que se identifiquen actividades o circunstancias que impliquen la suspensión del Suministro Eléctrico o el retiro de los Sistemas de Medición, la oportunidad de la persona usuaria del servicio para realizar manifestaciones tendientes a desvirtuar las irregularidades identificadas.</w:t>
            </w:r>
          </w:p>
        </w:tc>
        <w:tc>
          <w:tcPr>
            <w:tcW w:w="4644" w:type="dxa"/>
          </w:tcPr>
          <w:p w14:paraId="35E8A292" w14:textId="17AE76A3" w:rsidR="003A38FF" w:rsidRPr="00D0180E" w:rsidRDefault="003A38FF" w:rsidP="003A38FF">
            <w:pPr>
              <w:pStyle w:val="Texto"/>
              <w:spacing w:line="232" w:lineRule="exact"/>
              <w:ind w:firstLine="0"/>
              <w:rPr>
                <w:rFonts w:ascii="Verdana" w:hAnsi="Verdana"/>
                <w:b/>
                <w:sz w:val="16"/>
                <w:szCs w:val="16"/>
                <w:lang w:val="en-US"/>
              </w:rPr>
            </w:pPr>
            <w:r w:rsidRPr="006815C5">
              <w:rPr>
                <w:rFonts w:ascii="Verdana" w:hAnsi="Verdana"/>
                <w:b/>
                <w:sz w:val="16"/>
                <w:szCs w:val="16"/>
                <w:lang w:val="en-US"/>
              </w:rPr>
              <w:t xml:space="preserve">Article 102. </w:t>
            </w:r>
            <w:r w:rsidRPr="006815C5">
              <w:rPr>
                <w:rFonts w:ascii="Verdana" w:hAnsi="Verdana"/>
                <w:sz w:val="16"/>
                <w:szCs w:val="16"/>
                <w:lang w:val="en-US"/>
              </w:rPr>
              <w:t>The performance of the reviews is subject to the procedure and costs provided for in the general conditions for the provision of the public service of transmission and distribution of electric energy and those of electric supply, as well as in the contract, which must consider, for those cases in which activities or circumstances are identified that imply the suspension of the electric supply or the withdrawal of the measurement systems, the opportunity for the user of the service to make statements aimed at disproving the identified irregularities.</w:t>
            </w:r>
          </w:p>
        </w:tc>
      </w:tr>
      <w:tr w:rsidR="003A38FF" w:rsidRPr="00D83DA2" w14:paraId="0D28F0FB" w14:textId="38B183A5" w:rsidTr="00FB5DAD">
        <w:tc>
          <w:tcPr>
            <w:tcW w:w="4706" w:type="dxa"/>
          </w:tcPr>
          <w:p w14:paraId="373BD361"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sz w:val="16"/>
                <w:szCs w:val="16"/>
              </w:rPr>
              <w:t>Las revisiones se pueden realizar con la presencia de la Usuaria Final o bien con la persona propietaria, poseedora, encargada, ocupante o responsable del inmueble. Lo anterior, sin perjuicio de que en el caso de que ninguna persona atienda la revisión, esta pueda practicarse desde el exterior, sin la presencia de persona alguna, lo cual no afecta su validez.</w:t>
            </w:r>
          </w:p>
        </w:tc>
        <w:tc>
          <w:tcPr>
            <w:tcW w:w="4644" w:type="dxa"/>
          </w:tcPr>
          <w:p w14:paraId="0D142B29" w14:textId="69AA9BE7" w:rsidR="003A38FF" w:rsidRPr="00D0180E" w:rsidRDefault="003A38FF" w:rsidP="003A38FF">
            <w:pPr>
              <w:pStyle w:val="Texto"/>
              <w:spacing w:line="232" w:lineRule="exact"/>
              <w:ind w:firstLine="0"/>
              <w:rPr>
                <w:rFonts w:ascii="Verdana" w:hAnsi="Verdana"/>
                <w:sz w:val="16"/>
                <w:szCs w:val="16"/>
                <w:lang w:val="en-US"/>
              </w:rPr>
            </w:pPr>
            <w:r w:rsidRPr="006815C5">
              <w:rPr>
                <w:rFonts w:ascii="Verdana" w:hAnsi="Verdana"/>
                <w:sz w:val="16"/>
                <w:szCs w:val="16"/>
                <w:lang w:val="en-US"/>
              </w:rPr>
              <w:t>Inspections may be conducted in the presence of the end user or the owner, occupant, manager, or person responsible for the property. This is notwithstanding that if no one attends the inspection, it may be conducted from outside, without the presence of anyone, which does not affect its validity.</w:t>
            </w:r>
          </w:p>
        </w:tc>
      </w:tr>
      <w:tr w:rsidR="003A38FF" w:rsidRPr="00D83DA2" w14:paraId="1245A935" w14:textId="59C86BAE" w:rsidTr="00FB5DAD">
        <w:tc>
          <w:tcPr>
            <w:tcW w:w="4706" w:type="dxa"/>
          </w:tcPr>
          <w:p w14:paraId="76B17E42"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sz w:val="16"/>
                <w:szCs w:val="16"/>
              </w:rPr>
              <w:t>La Transportista y la Distribuidora deben retirar los Sistemas de Medición que durante una revisión se identifiquen que no cumplen con la norma correspondiente y sustituirlos por aquellos que la cumplan.</w:t>
            </w:r>
          </w:p>
        </w:tc>
        <w:tc>
          <w:tcPr>
            <w:tcW w:w="4644" w:type="dxa"/>
          </w:tcPr>
          <w:p w14:paraId="78D7DD5B" w14:textId="259B8E3C" w:rsidR="003A38FF" w:rsidRPr="00D0180E" w:rsidRDefault="003A38FF" w:rsidP="003A38FF">
            <w:pPr>
              <w:pStyle w:val="Texto"/>
              <w:spacing w:line="232" w:lineRule="exact"/>
              <w:ind w:firstLine="0"/>
              <w:rPr>
                <w:rFonts w:ascii="Verdana" w:hAnsi="Verdana"/>
                <w:sz w:val="16"/>
                <w:szCs w:val="16"/>
                <w:lang w:val="en-US"/>
              </w:rPr>
            </w:pPr>
            <w:r w:rsidRPr="006815C5">
              <w:rPr>
                <w:rFonts w:ascii="Verdana" w:hAnsi="Verdana"/>
                <w:sz w:val="16"/>
                <w:szCs w:val="16"/>
                <w:lang w:val="en-US"/>
              </w:rPr>
              <w:t>The transporter and distributor must remove any measurement systems that are found to be non-compliant during an inspection and replace them with those that do.</w:t>
            </w:r>
          </w:p>
        </w:tc>
      </w:tr>
      <w:tr w:rsidR="003A38FF" w:rsidRPr="00D83DA2" w14:paraId="61EF8027" w14:textId="0C53E286" w:rsidTr="00FB5DAD">
        <w:tc>
          <w:tcPr>
            <w:tcW w:w="4706" w:type="dxa"/>
          </w:tcPr>
          <w:p w14:paraId="15791A37"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sz w:val="16"/>
                <w:szCs w:val="16"/>
              </w:rPr>
              <w:t>En el caso de revisiones en instalaciones en Alta Tensión, la Usuaria Final debe proporcionar los Sistemas de Medición, instalaciones y demás elementos, que deben sustituir a aquellos que se retiren por incumplimiento.</w:t>
            </w:r>
          </w:p>
        </w:tc>
        <w:tc>
          <w:tcPr>
            <w:tcW w:w="4644" w:type="dxa"/>
          </w:tcPr>
          <w:p w14:paraId="0925E8E7" w14:textId="3AA6E1E4" w:rsidR="003A38FF" w:rsidRPr="00D0180E" w:rsidRDefault="003A38FF" w:rsidP="003A38FF">
            <w:pPr>
              <w:pStyle w:val="Texto"/>
              <w:spacing w:line="232" w:lineRule="exact"/>
              <w:ind w:firstLine="0"/>
              <w:rPr>
                <w:rFonts w:ascii="Verdana" w:hAnsi="Verdana"/>
                <w:sz w:val="16"/>
                <w:szCs w:val="16"/>
                <w:lang w:val="en-US"/>
              </w:rPr>
            </w:pPr>
            <w:r w:rsidRPr="006815C5">
              <w:rPr>
                <w:rFonts w:ascii="Verdana" w:hAnsi="Verdana"/>
                <w:sz w:val="16"/>
                <w:szCs w:val="16"/>
                <w:lang w:val="en-US"/>
              </w:rPr>
              <w:t>In the case of inspections of high-voltage installations, the end user must provide the measurement systems, installations, and other elements, which must replace those removed due to non-compliance.</w:t>
            </w:r>
          </w:p>
        </w:tc>
      </w:tr>
      <w:tr w:rsidR="003A38FF" w:rsidRPr="00D83DA2" w14:paraId="6FDA70DC" w14:textId="0E649E91" w:rsidTr="00FB5DAD">
        <w:tc>
          <w:tcPr>
            <w:tcW w:w="4706" w:type="dxa"/>
          </w:tcPr>
          <w:p w14:paraId="3C143FA5" w14:textId="77777777" w:rsidR="003A38FF" w:rsidRPr="00F6254C" w:rsidRDefault="003A38FF" w:rsidP="003A38FF">
            <w:pPr>
              <w:pStyle w:val="Texto"/>
              <w:spacing w:line="232" w:lineRule="exact"/>
              <w:ind w:firstLine="0"/>
              <w:rPr>
                <w:rFonts w:ascii="Verdana" w:hAnsi="Verdana"/>
                <w:sz w:val="16"/>
                <w:szCs w:val="16"/>
              </w:rPr>
            </w:pPr>
            <w:r w:rsidRPr="00F6254C">
              <w:rPr>
                <w:rFonts w:ascii="Verdana" w:hAnsi="Verdana"/>
                <w:sz w:val="16"/>
                <w:szCs w:val="16"/>
              </w:rPr>
              <w:t>Si durante la revisión realizada por la Transportista o la Distribuidora se detectan posibles incumplimientos, conforme a lo dispuesto en el artículo 262 del presente reglamento, estas pueden solicitar a la Secretaría o a la CNE la realización de visitas de inspección.</w:t>
            </w:r>
          </w:p>
        </w:tc>
        <w:tc>
          <w:tcPr>
            <w:tcW w:w="4644" w:type="dxa"/>
          </w:tcPr>
          <w:p w14:paraId="4523E071" w14:textId="266A6119" w:rsidR="003A38FF" w:rsidRPr="00F6254C" w:rsidRDefault="003A38FF" w:rsidP="003A38FF">
            <w:pPr>
              <w:pStyle w:val="Texto"/>
              <w:spacing w:line="232" w:lineRule="exact"/>
              <w:ind w:firstLine="0"/>
              <w:rPr>
                <w:rFonts w:ascii="Verdana" w:hAnsi="Verdana"/>
                <w:sz w:val="16"/>
                <w:szCs w:val="16"/>
                <w:lang w:val="en-US"/>
              </w:rPr>
            </w:pPr>
            <w:r w:rsidRPr="00F6254C">
              <w:rPr>
                <w:rFonts w:ascii="Verdana" w:hAnsi="Verdana"/>
                <w:sz w:val="16"/>
                <w:szCs w:val="16"/>
                <w:lang w:val="en-US"/>
              </w:rPr>
              <w:t>If during the review carried out by the transporter or the distributor, possible non-compliances are detected, in accordance with the provisions of article 262 of this regulation, they may request the Secretary or the CNE to carry out inspection visits.</w:t>
            </w:r>
          </w:p>
        </w:tc>
      </w:tr>
      <w:tr w:rsidR="003A38FF" w:rsidRPr="00D83DA2" w14:paraId="718ACA9D" w14:textId="0C6618A2" w:rsidTr="00FB5DAD">
        <w:tc>
          <w:tcPr>
            <w:tcW w:w="4706" w:type="dxa"/>
          </w:tcPr>
          <w:p w14:paraId="2A28928C" w14:textId="77777777" w:rsidR="003A38FF" w:rsidRPr="00F6254C" w:rsidRDefault="003A38FF" w:rsidP="003A38FF">
            <w:pPr>
              <w:pStyle w:val="Texto"/>
              <w:spacing w:line="232" w:lineRule="exact"/>
              <w:ind w:firstLine="0"/>
              <w:rPr>
                <w:rFonts w:ascii="Verdana" w:hAnsi="Verdana"/>
                <w:sz w:val="16"/>
                <w:szCs w:val="16"/>
              </w:rPr>
            </w:pPr>
            <w:r w:rsidRPr="00F6254C">
              <w:rPr>
                <w:rFonts w:ascii="Verdana" w:hAnsi="Verdana"/>
                <w:b/>
                <w:sz w:val="16"/>
                <w:szCs w:val="16"/>
              </w:rPr>
              <w:t>Artículo 103.</w:t>
            </w:r>
            <w:r w:rsidRPr="00F6254C">
              <w:rPr>
                <w:rFonts w:ascii="Verdana" w:hAnsi="Verdana"/>
                <w:sz w:val="16"/>
                <w:szCs w:val="16"/>
              </w:rPr>
              <w:t xml:space="preserve"> En el caso de que como resultado de las revisiones se identifiquen errores en el registro de consumo, fuera de la tolerancia permisible y siempre que no exista alteración o impedimento de la función normal de estos, además de poder actuar en términos del artículo anterior, se debe proceder como se indica a continuación:</w:t>
            </w:r>
          </w:p>
        </w:tc>
        <w:tc>
          <w:tcPr>
            <w:tcW w:w="4644" w:type="dxa"/>
          </w:tcPr>
          <w:p w14:paraId="43CBC090" w14:textId="6C84C171" w:rsidR="003A38FF" w:rsidRPr="00F6254C" w:rsidRDefault="003A38FF" w:rsidP="003A38FF">
            <w:pPr>
              <w:pStyle w:val="Texto"/>
              <w:spacing w:line="232" w:lineRule="exact"/>
              <w:ind w:firstLine="0"/>
              <w:rPr>
                <w:rFonts w:ascii="Verdana" w:hAnsi="Verdana"/>
                <w:b/>
                <w:sz w:val="16"/>
                <w:szCs w:val="16"/>
                <w:lang w:val="en-US"/>
              </w:rPr>
            </w:pPr>
            <w:r w:rsidRPr="00F6254C">
              <w:rPr>
                <w:rFonts w:ascii="Verdana" w:hAnsi="Verdana"/>
                <w:b/>
                <w:sz w:val="16"/>
                <w:szCs w:val="16"/>
                <w:lang w:val="en-US"/>
              </w:rPr>
              <w:t xml:space="preserve">Article 103. </w:t>
            </w:r>
            <w:proofErr w:type="gramStart"/>
            <w:r w:rsidRPr="00F6254C">
              <w:rPr>
                <w:rFonts w:ascii="Verdana" w:hAnsi="Verdana"/>
                <w:sz w:val="16"/>
                <w:szCs w:val="16"/>
                <w:lang w:val="en-US"/>
              </w:rPr>
              <w:t>In the event that</w:t>
            </w:r>
            <w:proofErr w:type="gramEnd"/>
            <w:r w:rsidRPr="00F6254C">
              <w:rPr>
                <w:rFonts w:ascii="Verdana" w:hAnsi="Verdana"/>
                <w:sz w:val="16"/>
                <w:szCs w:val="16"/>
                <w:lang w:val="en-US"/>
              </w:rPr>
              <w:t xml:space="preserve">, </w:t>
            </w:r>
            <w:proofErr w:type="gramStart"/>
            <w:r w:rsidRPr="00F6254C">
              <w:rPr>
                <w:rFonts w:ascii="Verdana" w:hAnsi="Verdana"/>
                <w:sz w:val="16"/>
                <w:szCs w:val="16"/>
                <w:lang w:val="en-US"/>
              </w:rPr>
              <w:t>as a result of</w:t>
            </w:r>
            <w:proofErr w:type="gramEnd"/>
            <w:r w:rsidRPr="00F6254C">
              <w:rPr>
                <w:rFonts w:ascii="Verdana" w:hAnsi="Verdana"/>
                <w:sz w:val="16"/>
                <w:szCs w:val="16"/>
                <w:lang w:val="en-US"/>
              </w:rPr>
              <w:t xml:space="preserve"> the reviews, errors are identified in the consumption record, outside the permissible tolerance and </w:t>
            </w:r>
            <w:proofErr w:type="gramStart"/>
            <w:r w:rsidRPr="00F6254C">
              <w:rPr>
                <w:rFonts w:ascii="Verdana" w:hAnsi="Verdana"/>
                <w:sz w:val="16"/>
                <w:szCs w:val="16"/>
                <w:lang w:val="en-US"/>
              </w:rPr>
              <w:t>provided that</w:t>
            </w:r>
            <w:proofErr w:type="gramEnd"/>
            <w:r w:rsidRPr="00F6254C">
              <w:rPr>
                <w:rFonts w:ascii="Verdana" w:hAnsi="Verdana"/>
                <w:sz w:val="16"/>
                <w:szCs w:val="16"/>
                <w:lang w:val="en-US"/>
              </w:rPr>
              <w:t xml:space="preserve"> there is no alteration or impediment to the normal function of these, in addition to being able to act in terms of the preceding article, the following procedure must be followed:</w:t>
            </w:r>
          </w:p>
        </w:tc>
      </w:tr>
      <w:tr w:rsidR="003A38FF" w:rsidRPr="00D83DA2" w14:paraId="371DB3DF" w14:textId="7AA7399D" w:rsidTr="00FB5DAD">
        <w:tc>
          <w:tcPr>
            <w:tcW w:w="4706" w:type="dxa"/>
          </w:tcPr>
          <w:p w14:paraId="748BED5B"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 xml:space="preserve">Cuando se trate de equipos, aparatos o instrumentos del Sistema de Medición de energía eléctrica, de demandas máximas o de determinación de factor de potencia, se debe obtener las relaciones entre los valores erróneos y los correctos, mismas que deben servir para determinar los nuevos valores de energía </w:t>
            </w:r>
            <w:r w:rsidRPr="00D0180E">
              <w:rPr>
                <w:rFonts w:ascii="Verdana" w:hAnsi="Verdana"/>
                <w:sz w:val="16"/>
                <w:szCs w:val="16"/>
              </w:rPr>
              <w:lastRenderedPageBreak/>
              <w:t>eléctrica consumida, de demandas máximas y determinación del factor de potencia, según sea el caso;</w:t>
            </w:r>
          </w:p>
        </w:tc>
        <w:tc>
          <w:tcPr>
            <w:tcW w:w="4644" w:type="dxa"/>
          </w:tcPr>
          <w:p w14:paraId="7C5A2C0D" w14:textId="16CAA127" w:rsidR="003A38FF" w:rsidRPr="00D0180E" w:rsidRDefault="003A38FF" w:rsidP="003A38FF">
            <w:pPr>
              <w:pStyle w:val="Texto"/>
              <w:spacing w:line="232" w:lineRule="exact"/>
              <w:ind w:firstLine="0"/>
              <w:rPr>
                <w:rFonts w:ascii="Verdana" w:hAnsi="Verdana"/>
                <w:b/>
                <w:sz w:val="16"/>
                <w:szCs w:val="16"/>
                <w:lang w:val="en-US"/>
              </w:rPr>
            </w:pPr>
            <w:proofErr w:type="gramStart"/>
            <w:r w:rsidRPr="006815C5">
              <w:rPr>
                <w:rFonts w:ascii="Verdana" w:hAnsi="Verdana"/>
                <w:b/>
                <w:sz w:val="16"/>
                <w:szCs w:val="16"/>
                <w:lang w:val="en-US"/>
              </w:rPr>
              <w:lastRenderedPageBreak/>
              <w:t xml:space="preserve">I. </w:t>
            </w:r>
            <w:r w:rsidRPr="006815C5">
              <w:rPr>
                <w:rFonts w:ascii="Verdana" w:hAnsi="Verdana"/>
                <w:b/>
                <w:sz w:val="16"/>
                <w:szCs w:val="16"/>
                <w:lang w:val="en-US"/>
              </w:rPr>
              <w:tab/>
            </w:r>
            <w:r w:rsidRPr="006815C5">
              <w:rPr>
                <w:rFonts w:ascii="Verdana" w:hAnsi="Verdana"/>
                <w:sz w:val="16"/>
                <w:szCs w:val="16"/>
                <w:lang w:val="en-US"/>
              </w:rPr>
              <w:t>When</w:t>
            </w:r>
            <w:proofErr w:type="gramEnd"/>
            <w:r w:rsidRPr="006815C5">
              <w:rPr>
                <w:rFonts w:ascii="Verdana" w:hAnsi="Verdana"/>
                <w:sz w:val="16"/>
                <w:szCs w:val="16"/>
                <w:lang w:val="en-US"/>
              </w:rPr>
              <w:t xml:space="preserve"> it comes to equipment, devices or instruments of the electric energy measurement system, maximum demands or determination of power </w:t>
            </w:r>
            <w:proofErr w:type="gramStart"/>
            <w:r w:rsidRPr="006815C5">
              <w:rPr>
                <w:rFonts w:ascii="Verdana" w:hAnsi="Verdana"/>
                <w:sz w:val="16"/>
                <w:szCs w:val="16"/>
                <w:lang w:val="en-US"/>
              </w:rPr>
              <w:t>factor</w:t>
            </w:r>
            <w:proofErr w:type="gramEnd"/>
            <w:r w:rsidRPr="006815C5">
              <w:rPr>
                <w:rFonts w:ascii="Verdana" w:hAnsi="Verdana"/>
                <w:sz w:val="16"/>
                <w:szCs w:val="16"/>
                <w:lang w:val="en-US"/>
              </w:rPr>
              <w:t xml:space="preserve">, the relationships between the erroneous and correct values must be obtained, which must be used to determine the new values of consumed electric </w:t>
            </w:r>
            <w:r w:rsidRPr="006815C5">
              <w:rPr>
                <w:rFonts w:ascii="Verdana" w:hAnsi="Verdana"/>
                <w:sz w:val="16"/>
                <w:szCs w:val="16"/>
                <w:lang w:val="en-US"/>
              </w:rPr>
              <w:lastRenderedPageBreak/>
              <w:t xml:space="preserve">energy, maximum demands and determination of power </w:t>
            </w:r>
            <w:proofErr w:type="gramStart"/>
            <w:r w:rsidRPr="006815C5">
              <w:rPr>
                <w:rFonts w:ascii="Verdana" w:hAnsi="Verdana"/>
                <w:sz w:val="16"/>
                <w:szCs w:val="16"/>
                <w:lang w:val="en-US"/>
              </w:rPr>
              <w:t>factor</w:t>
            </w:r>
            <w:proofErr w:type="gramEnd"/>
            <w:r w:rsidRPr="006815C5">
              <w:rPr>
                <w:rFonts w:ascii="Verdana" w:hAnsi="Verdana"/>
                <w:sz w:val="16"/>
                <w:szCs w:val="16"/>
                <w:lang w:val="en-US"/>
              </w:rPr>
              <w:t>, as the case may be;</w:t>
            </w:r>
          </w:p>
        </w:tc>
      </w:tr>
      <w:tr w:rsidR="003A38FF" w:rsidRPr="00D83DA2" w14:paraId="165C6099" w14:textId="2A58DDD8" w:rsidTr="00FB5DAD">
        <w:tc>
          <w:tcPr>
            <w:tcW w:w="4706" w:type="dxa"/>
          </w:tcPr>
          <w:p w14:paraId="098A3693"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b/>
                <w:sz w:val="16"/>
                <w:szCs w:val="16"/>
              </w:rPr>
              <w:lastRenderedPageBreak/>
              <w:t>II.</w:t>
            </w:r>
            <w:r w:rsidRPr="00D0180E">
              <w:rPr>
                <w:rFonts w:ascii="Verdana" w:hAnsi="Verdana"/>
                <w:b/>
                <w:sz w:val="16"/>
                <w:szCs w:val="16"/>
              </w:rPr>
              <w:tab/>
            </w:r>
            <w:r w:rsidRPr="00D0180E">
              <w:rPr>
                <w:rFonts w:ascii="Verdana" w:hAnsi="Verdana"/>
                <w:sz w:val="16"/>
                <w:szCs w:val="16"/>
              </w:rPr>
              <w:t>Si el equipo, aparato o instrumentos del Sistema de Medición no registra la energía eléctrica activa consumida, la energía eléctrica reactiva consumida, o ambas, estas se deben estimar y determinar con base en los registros anteriores a la descompostura o los posteriores a la corrección;</w:t>
            </w:r>
          </w:p>
        </w:tc>
        <w:tc>
          <w:tcPr>
            <w:tcW w:w="4644" w:type="dxa"/>
          </w:tcPr>
          <w:p w14:paraId="2E436955" w14:textId="78AA5957" w:rsidR="003A38FF" w:rsidRPr="00D0180E" w:rsidRDefault="003A38FF" w:rsidP="003A38FF">
            <w:pPr>
              <w:pStyle w:val="Texto"/>
              <w:spacing w:line="232" w:lineRule="exact"/>
              <w:ind w:firstLine="0"/>
              <w:rPr>
                <w:rFonts w:ascii="Verdana" w:hAnsi="Verdana"/>
                <w:b/>
                <w:sz w:val="16"/>
                <w:szCs w:val="16"/>
                <w:lang w:val="en-US"/>
              </w:rPr>
            </w:pPr>
            <w:r w:rsidRPr="006815C5">
              <w:rPr>
                <w:rFonts w:ascii="Verdana" w:hAnsi="Verdana"/>
                <w:b/>
                <w:sz w:val="16"/>
                <w:szCs w:val="16"/>
                <w:lang w:val="en-US"/>
              </w:rPr>
              <w:t>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If</w:t>
            </w:r>
            <w:proofErr w:type="gramEnd"/>
            <w:r w:rsidRPr="006815C5">
              <w:rPr>
                <w:rFonts w:ascii="Verdana" w:hAnsi="Verdana"/>
                <w:sz w:val="16"/>
                <w:szCs w:val="16"/>
                <w:lang w:val="en-US"/>
              </w:rPr>
              <w:t xml:space="preserve"> the equipment, apparatus or instruments of the measurement system do not record the active electrical energy consumed, the reactive electrical energy consumed, or both, these must be estimated and determined based on the records prior to the breakdown or those after the correction;</w:t>
            </w:r>
          </w:p>
        </w:tc>
      </w:tr>
      <w:tr w:rsidR="003A38FF" w:rsidRPr="00D83DA2" w14:paraId="25280D46" w14:textId="6B2CAEC1" w:rsidTr="00FB5DAD">
        <w:tc>
          <w:tcPr>
            <w:tcW w:w="4706" w:type="dxa"/>
          </w:tcPr>
          <w:p w14:paraId="70F29416"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En el caso de aplicación de una constante de medición diferente a la real o de la aplicación errónea de una tarifa, el consumo de energía eléctrica se debe determinar a través de aplicar la constante de medición real a las diferencias de mediciones y de aplicar la tarifa correspondiente;</w:t>
            </w:r>
          </w:p>
        </w:tc>
        <w:tc>
          <w:tcPr>
            <w:tcW w:w="4644" w:type="dxa"/>
          </w:tcPr>
          <w:p w14:paraId="2C3909E4" w14:textId="7A70A97A" w:rsidR="003A38FF" w:rsidRPr="00D0180E" w:rsidRDefault="003A38FF" w:rsidP="003A38FF">
            <w:pPr>
              <w:pStyle w:val="Texto"/>
              <w:spacing w:line="232" w:lineRule="exact"/>
              <w:ind w:firstLine="0"/>
              <w:rPr>
                <w:rFonts w:ascii="Verdana" w:hAnsi="Verdana"/>
                <w:b/>
                <w:sz w:val="16"/>
                <w:szCs w:val="16"/>
                <w:lang w:val="en-US"/>
              </w:rPr>
            </w:pPr>
            <w:r w:rsidRPr="006815C5">
              <w:rPr>
                <w:rFonts w:ascii="Verdana" w:hAnsi="Verdana"/>
                <w:b/>
                <w:sz w:val="16"/>
                <w:szCs w:val="16"/>
                <w:lang w:val="en-US"/>
              </w:rPr>
              <w:t>III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In</w:t>
            </w:r>
            <w:proofErr w:type="gramEnd"/>
            <w:r w:rsidRPr="006815C5">
              <w:rPr>
                <w:rFonts w:ascii="Verdana" w:hAnsi="Verdana"/>
                <w:sz w:val="16"/>
                <w:szCs w:val="16"/>
                <w:lang w:val="en-US"/>
              </w:rPr>
              <w:t xml:space="preserve"> the case of application of a measurement constant different from the actual one or of the erroneous application of a tariff, the consumption of electric energy must be determined by applying the actual measurement constant to the measurement differences and applying the corresponding tariff;</w:t>
            </w:r>
          </w:p>
        </w:tc>
      </w:tr>
      <w:tr w:rsidR="003A38FF" w:rsidRPr="00D83DA2" w14:paraId="58D20C65" w14:textId="233D3956" w:rsidTr="00FB5DAD">
        <w:tc>
          <w:tcPr>
            <w:tcW w:w="4706" w:type="dxa"/>
          </w:tcPr>
          <w:p w14:paraId="0C9204E2"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Los ajustes mencionados en las fracciones anteriores se deben aplicar al período que resulte menor entre:</w:t>
            </w:r>
          </w:p>
        </w:tc>
        <w:tc>
          <w:tcPr>
            <w:tcW w:w="4644" w:type="dxa"/>
          </w:tcPr>
          <w:p w14:paraId="7ECD52FC" w14:textId="4F2294B9" w:rsidR="003A38FF" w:rsidRPr="00D0180E" w:rsidRDefault="003A38FF" w:rsidP="003A38FF">
            <w:pPr>
              <w:pStyle w:val="Texto"/>
              <w:spacing w:line="232" w:lineRule="exact"/>
              <w:ind w:firstLine="0"/>
              <w:rPr>
                <w:rFonts w:ascii="Verdana" w:hAnsi="Verdana"/>
                <w:b/>
                <w:sz w:val="16"/>
                <w:szCs w:val="16"/>
                <w:lang w:val="en-US"/>
              </w:rPr>
            </w:pPr>
            <w:r w:rsidRPr="006815C5">
              <w:rPr>
                <w:rFonts w:ascii="Verdana" w:hAnsi="Verdana"/>
                <w:b/>
                <w:sz w:val="16"/>
                <w:szCs w:val="16"/>
                <w:lang w:val="en-US"/>
              </w:rPr>
              <w:t>IV</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adjustments mentioned in the preceding sections must be applied to the period that is shorter than:</w:t>
            </w:r>
          </w:p>
        </w:tc>
      </w:tr>
      <w:tr w:rsidR="003A38FF" w:rsidRPr="00D83DA2" w14:paraId="614CD620" w14:textId="25F576F9" w:rsidTr="00FB5DAD">
        <w:tc>
          <w:tcPr>
            <w:tcW w:w="4706" w:type="dxa"/>
          </w:tcPr>
          <w:p w14:paraId="0D3264AC"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El periodo comprendido desde la fecha de la última revisión, siempre y cuando esta hubiera abarcado los mismos elementos del Sistema de Medición y la instalación eléctrica que la revisión en la cual se realizó el hallazgo de la anomalía y la fecha de determinación de la falla, y</w:t>
            </w:r>
          </w:p>
        </w:tc>
        <w:tc>
          <w:tcPr>
            <w:tcW w:w="4644" w:type="dxa"/>
          </w:tcPr>
          <w:p w14:paraId="54E1F7D0" w14:textId="7CB04A28" w:rsidR="003A38FF" w:rsidRPr="00D0180E" w:rsidRDefault="003A38FF" w:rsidP="003A38FF">
            <w:pPr>
              <w:pStyle w:val="Texto"/>
              <w:spacing w:line="232" w:lineRule="exact"/>
              <w:ind w:firstLine="0"/>
              <w:rPr>
                <w:rFonts w:ascii="Verdana" w:hAnsi="Verdana"/>
                <w:b/>
                <w:sz w:val="16"/>
                <w:szCs w:val="16"/>
                <w:lang w:val="en-US"/>
              </w:rPr>
            </w:pPr>
            <w:r w:rsidRPr="006815C5">
              <w:rPr>
                <w:rFonts w:ascii="Verdana" w:hAnsi="Verdana"/>
                <w:b/>
                <w:sz w:val="16"/>
                <w:szCs w:val="16"/>
                <w:lang w:val="en-US"/>
              </w:rPr>
              <w:t>a</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period from the date of the last review, </w:t>
            </w:r>
            <w:proofErr w:type="gramStart"/>
            <w:r w:rsidRPr="006815C5">
              <w:rPr>
                <w:rFonts w:ascii="Verdana" w:hAnsi="Verdana"/>
                <w:sz w:val="16"/>
                <w:szCs w:val="16"/>
                <w:lang w:val="en-US"/>
              </w:rPr>
              <w:t>provided that</w:t>
            </w:r>
            <w:proofErr w:type="gramEnd"/>
            <w:r w:rsidRPr="006815C5">
              <w:rPr>
                <w:rFonts w:ascii="Verdana" w:hAnsi="Verdana"/>
                <w:sz w:val="16"/>
                <w:szCs w:val="16"/>
                <w:lang w:val="en-US"/>
              </w:rPr>
              <w:t xml:space="preserve"> this has covered the same elements of the Measurement System and the electrical installation as the review in which the anomaly was found and the date of determination of the fault, and</w:t>
            </w:r>
          </w:p>
        </w:tc>
      </w:tr>
      <w:tr w:rsidR="003A38FF" w:rsidRPr="00D83DA2" w14:paraId="5BB5F71A" w14:textId="7BECB9BB" w:rsidTr="00FB5DAD">
        <w:tc>
          <w:tcPr>
            <w:tcW w:w="4706" w:type="dxa"/>
          </w:tcPr>
          <w:p w14:paraId="5BBF79F1"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Un periodo de un año;</w:t>
            </w:r>
          </w:p>
        </w:tc>
        <w:tc>
          <w:tcPr>
            <w:tcW w:w="4644" w:type="dxa"/>
          </w:tcPr>
          <w:p w14:paraId="439E2C9A" w14:textId="1219CF47" w:rsidR="003A38FF" w:rsidRPr="00D0180E" w:rsidRDefault="003A38FF" w:rsidP="003A38FF">
            <w:pPr>
              <w:pStyle w:val="Texto"/>
              <w:spacing w:line="232" w:lineRule="exact"/>
              <w:ind w:firstLine="0"/>
              <w:rPr>
                <w:rFonts w:ascii="Verdana" w:hAnsi="Verdana"/>
                <w:b/>
                <w:sz w:val="16"/>
                <w:szCs w:val="16"/>
                <w:lang w:val="en-US"/>
              </w:rPr>
            </w:pPr>
            <w:r w:rsidRPr="006815C5">
              <w:rPr>
                <w:rFonts w:ascii="Verdana" w:hAnsi="Verdana"/>
                <w:b/>
                <w:sz w:val="16"/>
                <w:szCs w:val="16"/>
                <w:lang w:val="en-US"/>
              </w:rPr>
              <w:t>b</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A</w:t>
            </w:r>
            <w:proofErr w:type="gramEnd"/>
            <w:r w:rsidRPr="006815C5">
              <w:rPr>
                <w:rFonts w:ascii="Verdana" w:hAnsi="Verdana"/>
                <w:sz w:val="16"/>
                <w:szCs w:val="16"/>
                <w:lang w:val="en-US"/>
              </w:rPr>
              <w:t xml:space="preserve"> period of one year;</w:t>
            </w:r>
          </w:p>
        </w:tc>
      </w:tr>
      <w:tr w:rsidR="003A38FF" w:rsidRPr="00D83DA2" w14:paraId="132221C2" w14:textId="2621D88D" w:rsidTr="00FB5DAD">
        <w:tc>
          <w:tcPr>
            <w:tcW w:w="4706" w:type="dxa"/>
          </w:tcPr>
          <w:p w14:paraId="6ED59781"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El importe del ajuste respectivo debe incluir los impuestos y derechos aplicables y se calcula al aplicar las cuotas de las tarifas correspondientes vigentes en el lapso que se haya determinado, a los valores correctos de energía eléctrica consumida, demandas y factor de potencia, según sea el caso;</w:t>
            </w:r>
          </w:p>
        </w:tc>
        <w:tc>
          <w:tcPr>
            <w:tcW w:w="4644" w:type="dxa"/>
          </w:tcPr>
          <w:p w14:paraId="7B7D736F" w14:textId="03319C41" w:rsidR="003A38FF" w:rsidRPr="00D0180E" w:rsidRDefault="003A38FF" w:rsidP="003A38FF">
            <w:pPr>
              <w:pStyle w:val="Texto"/>
              <w:spacing w:line="238" w:lineRule="exact"/>
              <w:ind w:firstLine="0"/>
              <w:rPr>
                <w:rFonts w:ascii="Verdana" w:hAnsi="Verdana"/>
                <w:b/>
                <w:sz w:val="16"/>
                <w:szCs w:val="16"/>
                <w:lang w:val="en-US"/>
              </w:rPr>
            </w:pPr>
            <w:r w:rsidRPr="006815C5">
              <w:rPr>
                <w:rFonts w:ascii="Verdana" w:hAnsi="Verdana"/>
                <w:b/>
                <w:sz w:val="16"/>
                <w:szCs w:val="16"/>
                <w:lang w:val="en-US"/>
              </w:rPr>
              <w:t>V</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amount of the respective </w:t>
            </w:r>
            <w:proofErr w:type="gramStart"/>
            <w:r w:rsidRPr="006815C5">
              <w:rPr>
                <w:rFonts w:ascii="Verdana" w:hAnsi="Verdana"/>
                <w:sz w:val="16"/>
                <w:szCs w:val="16"/>
                <w:lang w:val="en-US"/>
              </w:rPr>
              <w:t>adjustment</w:t>
            </w:r>
            <w:proofErr w:type="gramEnd"/>
            <w:r w:rsidRPr="006815C5">
              <w:rPr>
                <w:rFonts w:ascii="Verdana" w:hAnsi="Verdana"/>
                <w:sz w:val="16"/>
                <w:szCs w:val="16"/>
                <w:lang w:val="en-US"/>
              </w:rPr>
              <w:t xml:space="preserve"> must include applicable taxes and duties and is calculated by applying the rates of the corresponding tariffs in force during the period determined, to the correct values of electrical energy consumed, demands and power factor, as applicable;</w:t>
            </w:r>
          </w:p>
        </w:tc>
      </w:tr>
      <w:tr w:rsidR="003A38FF" w:rsidRPr="00D83DA2" w14:paraId="044ED61C" w14:textId="16C25DD7" w:rsidTr="00FB5DAD">
        <w:tc>
          <w:tcPr>
            <w:tcW w:w="4706" w:type="dxa"/>
          </w:tcPr>
          <w:p w14:paraId="1F75C68D"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La cantidad resultante se debe comparar con el importe total de las facturas liquidadas, de conformidad con los registros de la Transportista o la Distribuidora, y la diferencia es la base para el pago correspondiente o la devolución, en términos del presente artículo;</w:t>
            </w:r>
          </w:p>
        </w:tc>
        <w:tc>
          <w:tcPr>
            <w:tcW w:w="4644" w:type="dxa"/>
          </w:tcPr>
          <w:p w14:paraId="3996C5F7" w14:textId="4AD28261" w:rsidR="003A38FF" w:rsidRPr="00D0180E" w:rsidRDefault="003A38FF" w:rsidP="003A38FF">
            <w:pPr>
              <w:pStyle w:val="Texto"/>
              <w:spacing w:line="238" w:lineRule="exact"/>
              <w:ind w:firstLine="0"/>
              <w:rPr>
                <w:rFonts w:ascii="Verdana" w:hAnsi="Verdana"/>
                <w:b/>
                <w:sz w:val="16"/>
                <w:szCs w:val="16"/>
                <w:lang w:val="en-US"/>
              </w:rPr>
            </w:pPr>
            <w:r w:rsidRPr="006815C5">
              <w:rPr>
                <w:rFonts w:ascii="Verdana" w:hAnsi="Verdana"/>
                <w:b/>
                <w:sz w:val="16"/>
                <w:szCs w:val="16"/>
                <w:lang w:val="en-US"/>
              </w:rPr>
              <w:t>VI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resulting amount must be compared with the total amount of the invoices settled, in accordance with the records of the carrier or distributor, and the difference is the basis for the corresponding payment or refund, in terms of this article;</w:t>
            </w:r>
          </w:p>
        </w:tc>
      </w:tr>
      <w:tr w:rsidR="003A38FF" w:rsidRPr="00D83DA2" w14:paraId="3133B41A" w14:textId="68356BCC" w:rsidTr="00FB5DAD">
        <w:tc>
          <w:tcPr>
            <w:tcW w:w="4706" w:type="dxa"/>
          </w:tcPr>
          <w:p w14:paraId="5F789D34"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Si el importe del ajuste a la facturación es inferior a lo pagado por la Usuaria Final, la Suministradora, le debe realizar la devolución de la diferencia entre ambas cantidades mediante bonificación en facturaciones subsecuentes o cualquier otra forma;</w:t>
            </w:r>
          </w:p>
        </w:tc>
        <w:tc>
          <w:tcPr>
            <w:tcW w:w="4644" w:type="dxa"/>
          </w:tcPr>
          <w:p w14:paraId="64754D7E" w14:textId="2EBFB9DE" w:rsidR="003A38FF" w:rsidRPr="00D0180E" w:rsidRDefault="003A38FF" w:rsidP="003A38FF">
            <w:pPr>
              <w:pStyle w:val="Texto"/>
              <w:spacing w:line="238" w:lineRule="exact"/>
              <w:ind w:firstLine="0"/>
              <w:rPr>
                <w:rFonts w:ascii="Verdana" w:hAnsi="Verdana"/>
                <w:b/>
                <w:sz w:val="16"/>
                <w:szCs w:val="16"/>
                <w:lang w:val="en-US"/>
              </w:rPr>
            </w:pPr>
            <w:r w:rsidRPr="006815C5">
              <w:rPr>
                <w:rFonts w:ascii="Verdana" w:hAnsi="Verdana"/>
                <w:b/>
                <w:sz w:val="16"/>
                <w:szCs w:val="16"/>
                <w:lang w:val="en-US"/>
              </w:rPr>
              <w:t>VII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If</w:t>
            </w:r>
            <w:proofErr w:type="gramEnd"/>
            <w:r w:rsidRPr="006815C5">
              <w:rPr>
                <w:rFonts w:ascii="Verdana" w:hAnsi="Verdana"/>
                <w:sz w:val="16"/>
                <w:szCs w:val="16"/>
                <w:lang w:val="en-US"/>
              </w:rPr>
              <w:t xml:space="preserve"> the amount of the adjustment to the billing is lower than the amount paid by the end user, the supplier must refund the difference between both amounts by means of a bonus in subsequent billings or in any other way;</w:t>
            </w:r>
          </w:p>
        </w:tc>
      </w:tr>
      <w:tr w:rsidR="003A38FF" w:rsidRPr="00D83DA2" w14:paraId="01912C69" w14:textId="032AD98E" w:rsidTr="00FB5DAD">
        <w:tc>
          <w:tcPr>
            <w:tcW w:w="4706" w:type="dxa"/>
          </w:tcPr>
          <w:p w14:paraId="2791059D"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b/>
                <w:sz w:val="16"/>
                <w:szCs w:val="16"/>
              </w:rPr>
              <w:t>VIII.</w:t>
            </w:r>
            <w:r w:rsidRPr="00D0180E">
              <w:rPr>
                <w:rFonts w:ascii="Verdana" w:hAnsi="Verdana"/>
                <w:b/>
                <w:sz w:val="16"/>
                <w:szCs w:val="16"/>
              </w:rPr>
              <w:tab/>
            </w:r>
            <w:r w:rsidRPr="00D0180E">
              <w:rPr>
                <w:rFonts w:ascii="Verdana" w:hAnsi="Verdana"/>
                <w:sz w:val="16"/>
                <w:szCs w:val="16"/>
              </w:rPr>
              <w:t>Si el importe del ajuste de la facturación es superior a lo pagado por la Usuaria Final, cuando se trate de Usuarias de Suministro Básico, la Suministradora, le debe cobrar la diferencia entre ambas cantidades, la cual puede ser prorrateada en tantas facturas mensuales como meses transcurrieron en el error;</w:t>
            </w:r>
          </w:p>
        </w:tc>
        <w:tc>
          <w:tcPr>
            <w:tcW w:w="4644" w:type="dxa"/>
          </w:tcPr>
          <w:p w14:paraId="1DE8DCF4" w14:textId="6D60C56B" w:rsidR="003A38FF" w:rsidRPr="00D0180E" w:rsidRDefault="003A38FF" w:rsidP="003A38FF">
            <w:pPr>
              <w:pStyle w:val="Texto"/>
              <w:spacing w:line="238" w:lineRule="exact"/>
              <w:ind w:firstLine="0"/>
              <w:rPr>
                <w:rFonts w:ascii="Verdana" w:hAnsi="Verdana"/>
                <w:b/>
                <w:sz w:val="16"/>
                <w:szCs w:val="16"/>
                <w:lang w:val="en-US"/>
              </w:rPr>
            </w:pPr>
            <w:r w:rsidRPr="006815C5">
              <w:rPr>
                <w:rFonts w:ascii="Verdana" w:hAnsi="Verdana"/>
                <w:b/>
                <w:sz w:val="16"/>
                <w:szCs w:val="16"/>
                <w:lang w:val="en-US"/>
              </w:rPr>
              <w:t>VIII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If</w:t>
            </w:r>
            <w:proofErr w:type="gramEnd"/>
            <w:r w:rsidRPr="006815C5">
              <w:rPr>
                <w:rFonts w:ascii="Verdana" w:hAnsi="Verdana"/>
                <w:sz w:val="16"/>
                <w:szCs w:val="16"/>
                <w:lang w:val="en-US"/>
              </w:rPr>
              <w:t xml:space="preserve"> the amount of the billing adjustment is higher than what was paid by the end user, in the case of basic supply users, the supplier must charge the difference between both amounts, which may be prorated over as many monthly invoices as months elapsed in the error;</w:t>
            </w:r>
          </w:p>
        </w:tc>
      </w:tr>
      <w:tr w:rsidR="003A38FF" w:rsidRPr="00D83DA2" w14:paraId="66B2E3BB" w14:textId="0971313F" w:rsidTr="00FB5DAD">
        <w:tc>
          <w:tcPr>
            <w:tcW w:w="4706" w:type="dxa"/>
          </w:tcPr>
          <w:p w14:paraId="3961597D"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b/>
                <w:sz w:val="16"/>
                <w:szCs w:val="16"/>
              </w:rPr>
              <w:lastRenderedPageBreak/>
              <w:t>IX.</w:t>
            </w:r>
            <w:r w:rsidRPr="00D0180E">
              <w:rPr>
                <w:rFonts w:ascii="Verdana" w:hAnsi="Verdana"/>
                <w:b/>
                <w:sz w:val="16"/>
                <w:szCs w:val="16"/>
              </w:rPr>
              <w:tab/>
            </w:r>
            <w:r w:rsidRPr="00D0180E">
              <w:rPr>
                <w:rFonts w:ascii="Verdana" w:hAnsi="Verdana"/>
                <w:sz w:val="16"/>
                <w:szCs w:val="16"/>
              </w:rPr>
              <w:t>El plazo para efectuar la devolución a la Usuaria Final se debe realizar en términos del consumo de energía eléctrica en facturaciones subsecuentes, hasta su total amortización, y</w:t>
            </w:r>
          </w:p>
        </w:tc>
        <w:tc>
          <w:tcPr>
            <w:tcW w:w="4644" w:type="dxa"/>
          </w:tcPr>
          <w:p w14:paraId="567AF5A2" w14:textId="47C454E3" w:rsidR="003A38FF" w:rsidRPr="00D0180E" w:rsidRDefault="003A38FF" w:rsidP="003A38FF">
            <w:pPr>
              <w:pStyle w:val="Texto"/>
              <w:spacing w:line="238" w:lineRule="exact"/>
              <w:ind w:firstLine="0"/>
              <w:rPr>
                <w:rFonts w:ascii="Verdana" w:hAnsi="Verdana"/>
                <w:b/>
                <w:sz w:val="16"/>
                <w:szCs w:val="16"/>
                <w:lang w:val="en-US"/>
              </w:rPr>
            </w:pPr>
            <w:r w:rsidRPr="006815C5">
              <w:rPr>
                <w:rFonts w:ascii="Verdana" w:hAnsi="Verdana"/>
                <w:b/>
                <w:sz w:val="16"/>
                <w:szCs w:val="16"/>
                <w:lang w:val="en-US"/>
              </w:rPr>
              <w:t>IX</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deadline for refunding the End User must be in terms of </w:t>
            </w:r>
            <w:proofErr w:type="gramStart"/>
            <w:r w:rsidRPr="006815C5">
              <w:rPr>
                <w:rFonts w:ascii="Verdana" w:hAnsi="Verdana"/>
                <w:sz w:val="16"/>
                <w:szCs w:val="16"/>
                <w:lang w:val="en-US"/>
              </w:rPr>
              <w:t>the electricity</w:t>
            </w:r>
            <w:proofErr w:type="gramEnd"/>
            <w:r w:rsidRPr="006815C5">
              <w:rPr>
                <w:rFonts w:ascii="Verdana" w:hAnsi="Verdana"/>
                <w:sz w:val="16"/>
                <w:szCs w:val="16"/>
                <w:lang w:val="en-US"/>
              </w:rPr>
              <w:t xml:space="preserve"> consumption in subsequent billings, until its full amortization, and</w:t>
            </w:r>
          </w:p>
        </w:tc>
      </w:tr>
      <w:tr w:rsidR="003A38FF" w:rsidRPr="00D83DA2" w14:paraId="1CC988DA" w14:textId="462E2716" w:rsidTr="00FB5DAD">
        <w:tc>
          <w:tcPr>
            <w:tcW w:w="4706" w:type="dxa"/>
          </w:tcPr>
          <w:p w14:paraId="77D761A2"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b/>
                <w:sz w:val="16"/>
                <w:szCs w:val="16"/>
              </w:rPr>
              <w:t>X.</w:t>
            </w:r>
            <w:r w:rsidRPr="00D0180E">
              <w:rPr>
                <w:rFonts w:ascii="Verdana" w:hAnsi="Verdana"/>
                <w:b/>
                <w:sz w:val="16"/>
                <w:szCs w:val="16"/>
              </w:rPr>
              <w:tab/>
            </w:r>
            <w:r w:rsidRPr="00D0180E">
              <w:rPr>
                <w:rFonts w:ascii="Verdana" w:hAnsi="Verdana"/>
                <w:sz w:val="16"/>
                <w:szCs w:val="16"/>
              </w:rPr>
              <w:t>En caso de desacuerdo en la devolución, bonificación o el plazo a que se refiere la fracción anterior, la Usuaria Final puede presentar su queja, en términos de lo establecido en el Capítulo V del presente Título de este reglamento.</w:t>
            </w:r>
          </w:p>
        </w:tc>
        <w:tc>
          <w:tcPr>
            <w:tcW w:w="4644" w:type="dxa"/>
          </w:tcPr>
          <w:p w14:paraId="739E4BA9" w14:textId="0E4FBFD4" w:rsidR="003A38FF" w:rsidRPr="00D0180E" w:rsidRDefault="003A38FF" w:rsidP="003A38FF">
            <w:pPr>
              <w:pStyle w:val="Texto"/>
              <w:spacing w:line="238" w:lineRule="exact"/>
              <w:ind w:firstLine="0"/>
              <w:rPr>
                <w:rFonts w:ascii="Verdana" w:hAnsi="Verdana"/>
                <w:b/>
                <w:sz w:val="16"/>
                <w:szCs w:val="16"/>
                <w:lang w:val="en-US"/>
              </w:rPr>
            </w:pPr>
            <w:r w:rsidRPr="006815C5">
              <w:rPr>
                <w:rFonts w:ascii="Verdana" w:hAnsi="Verdana"/>
                <w:b/>
                <w:sz w:val="16"/>
                <w:szCs w:val="16"/>
                <w:lang w:val="en-US"/>
              </w:rPr>
              <w:t>X</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In</w:t>
            </w:r>
            <w:proofErr w:type="gramEnd"/>
            <w:r w:rsidRPr="006815C5">
              <w:rPr>
                <w:rFonts w:ascii="Verdana" w:hAnsi="Verdana"/>
                <w:sz w:val="16"/>
                <w:szCs w:val="16"/>
                <w:lang w:val="en-US"/>
              </w:rPr>
              <w:t xml:space="preserve"> case of disagreement regarding the refund, bonus or the term referred to in the </w:t>
            </w:r>
            <w:r>
              <w:rPr>
                <w:rFonts w:ascii="Verdana" w:hAnsi="Verdana"/>
                <w:sz w:val="16"/>
                <w:szCs w:val="16"/>
                <w:lang w:val="en-US"/>
              </w:rPr>
              <w:t>preceding section</w:t>
            </w:r>
            <w:r w:rsidRPr="006815C5">
              <w:rPr>
                <w:rFonts w:ascii="Verdana" w:hAnsi="Verdana"/>
                <w:sz w:val="16"/>
                <w:szCs w:val="16"/>
                <w:lang w:val="en-US"/>
              </w:rPr>
              <w:t xml:space="preserve">, the end user may file a complaint, in accordance with the provisions of Chapter V of this Title of </w:t>
            </w:r>
            <w:r>
              <w:rPr>
                <w:rFonts w:ascii="Verdana" w:hAnsi="Verdana"/>
                <w:sz w:val="16"/>
                <w:szCs w:val="16"/>
                <w:lang w:val="en-US"/>
              </w:rPr>
              <w:t>this Regulation</w:t>
            </w:r>
            <w:r w:rsidRPr="006815C5">
              <w:rPr>
                <w:rFonts w:ascii="Verdana" w:hAnsi="Verdana"/>
                <w:sz w:val="16"/>
                <w:szCs w:val="16"/>
                <w:lang w:val="en-US"/>
              </w:rPr>
              <w:t>.</w:t>
            </w:r>
          </w:p>
        </w:tc>
      </w:tr>
      <w:tr w:rsidR="003A38FF" w:rsidRPr="00D83DA2" w14:paraId="149AEABE" w14:textId="1AC975FA" w:rsidTr="00FB5DAD">
        <w:tc>
          <w:tcPr>
            <w:tcW w:w="4706" w:type="dxa"/>
          </w:tcPr>
          <w:p w14:paraId="7A93D68D"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sz w:val="16"/>
                <w:szCs w:val="16"/>
              </w:rPr>
              <w:t>Si derivado de la revisión al equipo, aparato o instrumentos del Sistema de Medición se realiza la sustitución de este y se debe ajustar la facturación, la Transportista o la Distribuidora deben elaborar una constancia en la que se describa el desarrollo de la revisión, el estado del equipo, aparato o Sistema de Medición y, en su caso, asentar los motivos que dieron origen al ajuste de la facturación. La Transportista o la Distribuidora debe entregar una copia de la constancia con firma a la Usuaria Final o a la persona con quien se atienda la revisión; la constancia es válida, aunque dicha persona se niegue a firmarla.</w:t>
            </w:r>
          </w:p>
        </w:tc>
        <w:tc>
          <w:tcPr>
            <w:tcW w:w="4644" w:type="dxa"/>
          </w:tcPr>
          <w:p w14:paraId="3DBFBABB" w14:textId="451FB309" w:rsidR="003A38FF" w:rsidRPr="00D0180E" w:rsidRDefault="003A38FF" w:rsidP="003A38FF">
            <w:pPr>
              <w:pStyle w:val="Texto"/>
              <w:spacing w:line="238" w:lineRule="exact"/>
              <w:ind w:firstLine="0"/>
              <w:rPr>
                <w:rFonts w:ascii="Verdana" w:hAnsi="Verdana"/>
                <w:sz w:val="16"/>
                <w:szCs w:val="16"/>
                <w:lang w:val="en-US"/>
              </w:rPr>
            </w:pPr>
            <w:r w:rsidRPr="006815C5">
              <w:rPr>
                <w:rFonts w:ascii="Verdana" w:hAnsi="Verdana"/>
                <w:sz w:val="16"/>
                <w:szCs w:val="16"/>
                <w:lang w:val="en-US"/>
              </w:rPr>
              <w:t>If, as a result of the inspection of the equipment, apparatus, or instruments of the measurement system, it is replaced and the billing must be adjusted, the transporter or distributor must prepare a certificate describing the progress of the inspection, the condition of the equipment, apparatus, or measurement system, and, where applicable, state the reasons that led to the billing adjustment. The transporter or distributor must deliver a signed copy of the certificate to the end user or the person who attended the inspection; the certificate is valid even if that person refuses to sign it.</w:t>
            </w:r>
          </w:p>
        </w:tc>
      </w:tr>
      <w:tr w:rsidR="003A38FF" w:rsidRPr="00D83DA2" w14:paraId="3942A7B0" w14:textId="7F6B79A3" w:rsidTr="00FB5DAD">
        <w:tc>
          <w:tcPr>
            <w:tcW w:w="4706" w:type="dxa"/>
          </w:tcPr>
          <w:p w14:paraId="162C36E5"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sz w:val="16"/>
                <w:szCs w:val="16"/>
              </w:rPr>
              <w:t>En el caso de que la revisión no se hubiera entendido con persona alguna, la constancia debe estar a disposición de la Usuaria Final, en las oficinas de la Transportista o la Distribuidora que la practicó.</w:t>
            </w:r>
          </w:p>
        </w:tc>
        <w:tc>
          <w:tcPr>
            <w:tcW w:w="4644" w:type="dxa"/>
          </w:tcPr>
          <w:p w14:paraId="59265D05" w14:textId="44437C70" w:rsidR="003A38FF" w:rsidRPr="00D0180E" w:rsidRDefault="003A38FF" w:rsidP="003A38FF">
            <w:pPr>
              <w:pStyle w:val="Texto"/>
              <w:spacing w:line="238" w:lineRule="exact"/>
              <w:ind w:firstLine="0"/>
              <w:rPr>
                <w:rFonts w:ascii="Verdana" w:hAnsi="Verdana"/>
                <w:sz w:val="16"/>
                <w:szCs w:val="16"/>
                <w:lang w:val="en-US"/>
              </w:rPr>
            </w:pPr>
            <w:proofErr w:type="gramStart"/>
            <w:r w:rsidRPr="006815C5">
              <w:rPr>
                <w:rFonts w:ascii="Verdana" w:hAnsi="Verdana"/>
                <w:sz w:val="16"/>
                <w:szCs w:val="16"/>
                <w:lang w:val="en-US"/>
              </w:rPr>
              <w:t>In the event that</w:t>
            </w:r>
            <w:proofErr w:type="gramEnd"/>
            <w:r w:rsidRPr="006815C5">
              <w:rPr>
                <w:rFonts w:ascii="Verdana" w:hAnsi="Verdana"/>
                <w:sz w:val="16"/>
                <w:szCs w:val="16"/>
                <w:lang w:val="en-US"/>
              </w:rPr>
              <w:t xml:space="preserve"> the inspection was not conducted with anyone, the record must be made available to the end user at the offices of the carrier or distributor that performed it.</w:t>
            </w:r>
          </w:p>
        </w:tc>
      </w:tr>
      <w:tr w:rsidR="003A38FF" w:rsidRPr="00D83DA2" w14:paraId="0E413AD0" w14:textId="2FCB7DEE" w:rsidTr="00FB5DAD">
        <w:tc>
          <w:tcPr>
            <w:tcW w:w="4706" w:type="dxa"/>
          </w:tcPr>
          <w:p w14:paraId="4D27E321"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b/>
                <w:sz w:val="16"/>
                <w:szCs w:val="16"/>
              </w:rPr>
              <w:t>Artículo 104.</w:t>
            </w:r>
            <w:r w:rsidRPr="00D0180E">
              <w:rPr>
                <w:rFonts w:ascii="Verdana" w:hAnsi="Verdana"/>
                <w:sz w:val="16"/>
                <w:szCs w:val="16"/>
              </w:rPr>
              <w:t xml:space="preserve"> Cuando la Transportista o la Distribuidora efectúen una revisión en términos del artículo anterior, y consideren que la Usuaria Final se encuentra en alguno de los supuestos previstos en la fracción V del artículo 184 de la Ley, se debe asentar dicha situación en la constancia correspondiente.</w:t>
            </w:r>
          </w:p>
        </w:tc>
        <w:tc>
          <w:tcPr>
            <w:tcW w:w="4644" w:type="dxa"/>
          </w:tcPr>
          <w:p w14:paraId="2CAAE9A1" w14:textId="6A354096" w:rsidR="003A38FF" w:rsidRPr="00D0180E" w:rsidRDefault="003A38FF" w:rsidP="003A38FF">
            <w:pPr>
              <w:pStyle w:val="Texto"/>
              <w:spacing w:line="238" w:lineRule="exact"/>
              <w:ind w:firstLine="0"/>
              <w:rPr>
                <w:rFonts w:ascii="Verdana" w:hAnsi="Verdana"/>
                <w:b/>
                <w:sz w:val="16"/>
                <w:szCs w:val="16"/>
                <w:lang w:val="en-US"/>
              </w:rPr>
            </w:pPr>
            <w:r w:rsidRPr="006815C5">
              <w:rPr>
                <w:rFonts w:ascii="Verdana" w:hAnsi="Verdana"/>
                <w:b/>
                <w:sz w:val="16"/>
                <w:szCs w:val="16"/>
                <w:lang w:val="en-US"/>
              </w:rPr>
              <w:t xml:space="preserve">Article 104. </w:t>
            </w:r>
            <w:r w:rsidRPr="006815C5">
              <w:rPr>
                <w:rFonts w:ascii="Verdana" w:hAnsi="Verdana"/>
                <w:sz w:val="16"/>
                <w:szCs w:val="16"/>
                <w:lang w:val="en-US"/>
              </w:rPr>
              <w:t xml:space="preserve">When the carrier or distributor carries out a review in terms of the </w:t>
            </w:r>
            <w:r>
              <w:rPr>
                <w:rFonts w:ascii="Verdana" w:hAnsi="Verdana"/>
                <w:sz w:val="16"/>
                <w:szCs w:val="16"/>
                <w:lang w:val="en-US"/>
              </w:rPr>
              <w:t>preceding article</w:t>
            </w:r>
            <w:r w:rsidRPr="006815C5">
              <w:rPr>
                <w:rFonts w:ascii="Verdana" w:hAnsi="Verdana"/>
                <w:sz w:val="16"/>
                <w:szCs w:val="16"/>
                <w:lang w:val="en-US"/>
              </w:rPr>
              <w:t xml:space="preserve"> and considers that the end user is in any of the situations provided for in section V of article 184 of the Law, said situation must be recorded in the corresponding certificate.</w:t>
            </w:r>
          </w:p>
        </w:tc>
      </w:tr>
      <w:tr w:rsidR="003A38FF" w:rsidRPr="00D83DA2" w14:paraId="1E264707" w14:textId="33D19AFC" w:rsidTr="00FB5DAD">
        <w:tc>
          <w:tcPr>
            <w:tcW w:w="4706" w:type="dxa"/>
          </w:tcPr>
          <w:p w14:paraId="7779FE86"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sz w:val="16"/>
                <w:szCs w:val="16"/>
              </w:rPr>
              <w:t>En este supuesto, el cálculo del ajuste correspondiente se debe determinar conforme a lo siguiente:</w:t>
            </w:r>
          </w:p>
        </w:tc>
        <w:tc>
          <w:tcPr>
            <w:tcW w:w="4644" w:type="dxa"/>
          </w:tcPr>
          <w:p w14:paraId="0B3372B1" w14:textId="6110F1E2" w:rsidR="003A38FF" w:rsidRPr="00D0180E" w:rsidRDefault="003A38FF" w:rsidP="003A38FF">
            <w:pPr>
              <w:pStyle w:val="Texto"/>
              <w:spacing w:line="238" w:lineRule="exact"/>
              <w:ind w:firstLine="0"/>
              <w:rPr>
                <w:rFonts w:ascii="Verdana" w:hAnsi="Verdana"/>
                <w:sz w:val="16"/>
                <w:szCs w:val="16"/>
                <w:lang w:val="en-US"/>
              </w:rPr>
            </w:pPr>
            <w:r w:rsidRPr="006815C5">
              <w:rPr>
                <w:rFonts w:ascii="Verdana" w:hAnsi="Verdana"/>
                <w:sz w:val="16"/>
                <w:szCs w:val="16"/>
                <w:lang w:val="en-US"/>
              </w:rPr>
              <w:t>In this case, the calculation of the corresponding adjustment must be determined according to the following:</w:t>
            </w:r>
          </w:p>
        </w:tc>
      </w:tr>
      <w:tr w:rsidR="003A38FF" w:rsidRPr="00D83DA2" w14:paraId="64CAE508" w14:textId="4FC3AC2B" w:rsidTr="00FB5DAD">
        <w:tc>
          <w:tcPr>
            <w:tcW w:w="4706" w:type="dxa"/>
          </w:tcPr>
          <w:p w14:paraId="3D7FA432"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La Transportista o la Distribuidora pueden determinar los valores de energía eléctrica consumida, de demandas máximas o de determinación del factor de potencia, con base en la información que recopile en el momento de la revisión;</w:t>
            </w:r>
          </w:p>
        </w:tc>
        <w:tc>
          <w:tcPr>
            <w:tcW w:w="4644" w:type="dxa"/>
          </w:tcPr>
          <w:p w14:paraId="20B0CC7C" w14:textId="2F2A90DB" w:rsidR="003A38FF" w:rsidRPr="00D0180E" w:rsidRDefault="003A38FF" w:rsidP="003A38FF">
            <w:pPr>
              <w:pStyle w:val="Texto"/>
              <w:spacing w:line="238" w:lineRule="exact"/>
              <w:ind w:firstLine="0"/>
              <w:rPr>
                <w:rFonts w:ascii="Verdana" w:hAnsi="Verdana"/>
                <w:b/>
                <w:sz w:val="16"/>
                <w:szCs w:val="16"/>
                <w:lang w:val="en-US"/>
              </w:rPr>
            </w:pPr>
            <w:r w:rsidRPr="006815C5">
              <w:rPr>
                <w:rFonts w:ascii="Verdana" w:hAnsi="Verdana"/>
                <w:b/>
                <w:sz w:val="16"/>
                <w:szCs w:val="16"/>
                <w:lang w:val="en-US"/>
              </w:rPr>
              <w:t>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transporter or the distributor may determine the values of consumed electrical energy, maximum demands or determination of the power factor, based on the information collected at the time of the review;</w:t>
            </w:r>
          </w:p>
        </w:tc>
      </w:tr>
      <w:tr w:rsidR="003A38FF" w:rsidRPr="00D83DA2" w14:paraId="538F1ED4" w14:textId="39A162E0" w:rsidTr="00FB5DAD">
        <w:tc>
          <w:tcPr>
            <w:tcW w:w="4706" w:type="dxa"/>
          </w:tcPr>
          <w:p w14:paraId="56C16010"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De la revisión de los equipos o instrumentos del Sistema de Medición, de demandas máximas o de determinación del factor de potencia, según sea el caso, se deben obtener las relaciones entre los valores registrados por los medidores intervenidos y los correctos, mismas que deben servir para determinar los nuevos valores de energía eléctrica consumida, de demandas máximas o de determinación del factor de potencia, según sea el caso, y</w:t>
            </w:r>
          </w:p>
        </w:tc>
        <w:tc>
          <w:tcPr>
            <w:tcW w:w="4644" w:type="dxa"/>
          </w:tcPr>
          <w:p w14:paraId="7F5AFD31" w14:textId="2377B045" w:rsidR="003A38FF" w:rsidRPr="00D0180E" w:rsidRDefault="003A38FF" w:rsidP="003A38FF">
            <w:pPr>
              <w:pStyle w:val="Texto"/>
              <w:spacing w:line="238" w:lineRule="exact"/>
              <w:ind w:firstLine="0"/>
              <w:rPr>
                <w:rFonts w:ascii="Verdana" w:hAnsi="Verdana"/>
                <w:b/>
                <w:sz w:val="16"/>
                <w:szCs w:val="16"/>
                <w:lang w:val="en-US"/>
              </w:rPr>
            </w:pPr>
            <w:r w:rsidRPr="006815C5">
              <w:rPr>
                <w:rFonts w:ascii="Verdana" w:hAnsi="Verdana"/>
                <w:b/>
                <w:sz w:val="16"/>
                <w:szCs w:val="16"/>
                <w:lang w:val="en-US"/>
              </w:rPr>
              <w:t xml:space="preserve">II. </w:t>
            </w:r>
            <w:r w:rsidRPr="006815C5">
              <w:rPr>
                <w:rFonts w:ascii="Verdana" w:hAnsi="Verdana"/>
                <w:b/>
                <w:sz w:val="16"/>
                <w:szCs w:val="16"/>
                <w:lang w:val="en-US"/>
              </w:rPr>
              <w:tab/>
            </w:r>
            <w:r w:rsidRPr="006815C5">
              <w:rPr>
                <w:rFonts w:ascii="Verdana" w:hAnsi="Verdana"/>
                <w:sz w:val="16"/>
                <w:szCs w:val="16"/>
                <w:lang w:val="en-US"/>
              </w:rPr>
              <w:t>From the review of the equipment or instruments of the measurement system, of maximum demands or determination of the power factor, as the case may be, the relationships between the values recorded by the intervened meters and the correct ones must be obtained, which must be used to determine the new values of consumed electrical energy, of maximum demands or determination of the power factor, as the case may be, and</w:t>
            </w:r>
          </w:p>
        </w:tc>
      </w:tr>
      <w:tr w:rsidR="003A38FF" w:rsidRPr="00D83DA2" w14:paraId="3F252533" w14:textId="60B04E7D" w:rsidTr="00FB5DAD">
        <w:tc>
          <w:tcPr>
            <w:tcW w:w="4706" w:type="dxa"/>
          </w:tcPr>
          <w:p w14:paraId="349E7CC3"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 xml:space="preserve">Con los valores determinados se calcula el importe de la energía eléctrica consumida y no facturada, así como de los demás conceptos que </w:t>
            </w:r>
            <w:r w:rsidRPr="00D0180E">
              <w:rPr>
                <w:rFonts w:ascii="Verdana" w:hAnsi="Verdana"/>
                <w:sz w:val="16"/>
                <w:szCs w:val="16"/>
              </w:rPr>
              <w:lastRenderedPageBreak/>
              <w:t>integran la tarifa, al aplicar las cuotas que estuvieron vigentes a partir de la fecha en que se cometió la infracción, más los impuestos y derechos correspondientes. Para los efectos del cálculo, el período comprendido entre la fecha en que se cometió la infracción y la fecha de revisión no puede ser mayor a diez años.</w:t>
            </w:r>
          </w:p>
        </w:tc>
        <w:tc>
          <w:tcPr>
            <w:tcW w:w="4644" w:type="dxa"/>
          </w:tcPr>
          <w:p w14:paraId="66BFFDD4" w14:textId="3C04337E" w:rsidR="003A38FF" w:rsidRPr="00D0180E" w:rsidRDefault="003A38FF" w:rsidP="003A38FF">
            <w:pPr>
              <w:pStyle w:val="Texto"/>
              <w:spacing w:line="238" w:lineRule="exact"/>
              <w:ind w:firstLine="0"/>
              <w:rPr>
                <w:rFonts w:ascii="Verdana" w:hAnsi="Verdana"/>
                <w:b/>
                <w:sz w:val="16"/>
                <w:szCs w:val="16"/>
                <w:lang w:val="en-US"/>
              </w:rPr>
            </w:pPr>
            <w:r w:rsidRPr="006815C5">
              <w:rPr>
                <w:rFonts w:ascii="Verdana" w:hAnsi="Verdana"/>
                <w:b/>
                <w:sz w:val="16"/>
                <w:szCs w:val="16"/>
                <w:lang w:val="en-US"/>
              </w:rPr>
              <w:lastRenderedPageBreak/>
              <w:t>III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values determined are used to calculate the amount of electricity consumed but not billed, as well as the other items included in the tariff, by </w:t>
            </w:r>
            <w:r w:rsidRPr="006815C5">
              <w:rPr>
                <w:rFonts w:ascii="Verdana" w:hAnsi="Verdana"/>
                <w:sz w:val="16"/>
                <w:szCs w:val="16"/>
                <w:lang w:val="en-US"/>
              </w:rPr>
              <w:lastRenderedPageBreak/>
              <w:t xml:space="preserve">applying the rates in effect from the date the violation was committed, plus the corresponding taxes and fees. For the purposes of this calculation, the period between the date the violation was </w:t>
            </w:r>
            <w:proofErr w:type="gramStart"/>
            <w:r w:rsidRPr="006815C5">
              <w:rPr>
                <w:rFonts w:ascii="Verdana" w:hAnsi="Verdana"/>
                <w:sz w:val="16"/>
                <w:szCs w:val="16"/>
                <w:lang w:val="en-US"/>
              </w:rPr>
              <w:t>committed</w:t>
            </w:r>
            <w:proofErr w:type="gramEnd"/>
            <w:r w:rsidRPr="006815C5">
              <w:rPr>
                <w:rFonts w:ascii="Verdana" w:hAnsi="Verdana"/>
                <w:sz w:val="16"/>
                <w:szCs w:val="16"/>
                <w:lang w:val="en-US"/>
              </w:rPr>
              <w:t xml:space="preserve"> and the review date cannot exceed ten years.</w:t>
            </w:r>
          </w:p>
        </w:tc>
      </w:tr>
      <w:tr w:rsidR="003A38FF" w:rsidRPr="00D83DA2" w14:paraId="156015FB" w14:textId="6E79A7D9" w:rsidTr="00FB5DAD">
        <w:tc>
          <w:tcPr>
            <w:tcW w:w="4706" w:type="dxa"/>
          </w:tcPr>
          <w:p w14:paraId="0F10DFA2" w14:textId="77777777" w:rsidR="003A38FF" w:rsidRPr="00D0180E" w:rsidRDefault="003A38FF" w:rsidP="003A38FF">
            <w:pPr>
              <w:pStyle w:val="Texto"/>
              <w:spacing w:line="238" w:lineRule="exact"/>
              <w:ind w:firstLine="0"/>
              <w:rPr>
                <w:rFonts w:ascii="Verdana" w:hAnsi="Verdana"/>
                <w:sz w:val="16"/>
                <w:szCs w:val="16"/>
              </w:rPr>
            </w:pPr>
            <w:r w:rsidRPr="006815C5">
              <w:rPr>
                <w:rFonts w:ascii="Verdana" w:hAnsi="Verdana"/>
                <w:sz w:val="16"/>
                <w:szCs w:val="16"/>
                <w:lang w:val="en-US"/>
              </w:rPr>
              <w:lastRenderedPageBreak/>
              <w:tab/>
            </w:r>
            <w:r w:rsidRPr="00D0180E">
              <w:rPr>
                <w:rFonts w:ascii="Verdana" w:hAnsi="Verdana"/>
                <w:sz w:val="16"/>
                <w:szCs w:val="16"/>
              </w:rPr>
              <w:t>En caso de que, en el periodo de diez años exista una revisión previa, debe constatarse que esta abarcó los mismos elementos del Sistema de Medición y la instalación eléctrica que la revisión en la cual se realizó el hallazgo de la anomalía para efecto de acotar el plazo máximo y calcular el importe de la energía eléctrica consumida y no facturada.</w:t>
            </w:r>
          </w:p>
        </w:tc>
        <w:tc>
          <w:tcPr>
            <w:tcW w:w="4644" w:type="dxa"/>
          </w:tcPr>
          <w:p w14:paraId="4C291702" w14:textId="3C0D78E7" w:rsidR="003A38FF" w:rsidRPr="00D0180E" w:rsidRDefault="003A38FF" w:rsidP="003A38FF">
            <w:pPr>
              <w:pStyle w:val="Texto"/>
              <w:spacing w:line="238" w:lineRule="exact"/>
              <w:ind w:firstLine="0"/>
              <w:rPr>
                <w:rFonts w:ascii="Verdana" w:hAnsi="Verdana"/>
                <w:sz w:val="16"/>
                <w:szCs w:val="16"/>
                <w:lang w:val="en-US"/>
              </w:rPr>
            </w:pPr>
            <w:r w:rsidRPr="00D0180E">
              <w:rPr>
                <w:rFonts w:ascii="Verdana" w:hAnsi="Verdana"/>
                <w:sz w:val="16"/>
                <w:szCs w:val="16"/>
              </w:rPr>
              <w:tab/>
            </w:r>
            <w:r w:rsidRPr="006815C5">
              <w:rPr>
                <w:rFonts w:ascii="Verdana" w:hAnsi="Verdana"/>
                <w:sz w:val="16"/>
                <w:szCs w:val="16"/>
                <w:lang w:val="en-US"/>
              </w:rPr>
              <w:t xml:space="preserve">If a prior review is carried out within the ten-year period, it must be verified that it covered the same elements of the measurement system and the electrical installation as the review in which the anomaly was discovered, </w:t>
            </w:r>
            <w:proofErr w:type="gramStart"/>
            <w:r w:rsidRPr="006815C5">
              <w:rPr>
                <w:rFonts w:ascii="Verdana" w:hAnsi="Verdana"/>
                <w:sz w:val="16"/>
                <w:szCs w:val="16"/>
                <w:lang w:val="en-US"/>
              </w:rPr>
              <w:t>in order to</w:t>
            </w:r>
            <w:proofErr w:type="gramEnd"/>
            <w:r w:rsidRPr="006815C5">
              <w:rPr>
                <w:rFonts w:ascii="Verdana" w:hAnsi="Verdana"/>
                <w:sz w:val="16"/>
                <w:szCs w:val="16"/>
                <w:lang w:val="en-US"/>
              </w:rPr>
              <w:t xml:space="preserve"> limit the maximum period and calculate the amount of electricity consumed but not billed.</w:t>
            </w:r>
          </w:p>
        </w:tc>
      </w:tr>
      <w:tr w:rsidR="003A38FF" w:rsidRPr="00D83DA2" w14:paraId="5A638DDB" w14:textId="5F648636" w:rsidTr="00FB5DAD">
        <w:tc>
          <w:tcPr>
            <w:tcW w:w="4706" w:type="dxa"/>
          </w:tcPr>
          <w:p w14:paraId="223806A4" w14:textId="77777777" w:rsidR="003A38FF" w:rsidRPr="00D0180E" w:rsidRDefault="003A38FF" w:rsidP="003A38FF">
            <w:pPr>
              <w:pStyle w:val="Texto"/>
              <w:spacing w:line="238" w:lineRule="exact"/>
              <w:ind w:firstLine="0"/>
              <w:rPr>
                <w:rFonts w:ascii="Verdana" w:hAnsi="Verdana"/>
                <w:sz w:val="16"/>
                <w:szCs w:val="16"/>
              </w:rPr>
            </w:pPr>
            <w:r w:rsidRPr="00D0180E">
              <w:rPr>
                <w:rFonts w:ascii="Verdana" w:hAnsi="Verdana"/>
                <w:sz w:val="16"/>
                <w:szCs w:val="16"/>
              </w:rPr>
              <w:t>Lo anterior con independencia de las sanciones que correspondan, en términos de la Ley y el presente reglamento.</w:t>
            </w:r>
          </w:p>
        </w:tc>
        <w:tc>
          <w:tcPr>
            <w:tcW w:w="4644" w:type="dxa"/>
          </w:tcPr>
          <w:p w14:paraId="2E7DA155" w14:textId="05E4E243" w:rsidR="003A38FF" w:rsidRPr="00D0180E" w:rsidRDefault="003A38FF" w:rsidP="003A38FF">
            <w:pPr>
              <w:pStyle w:val="Texto"/>
              <w:spacing w:line="238" w:lineRule="exact"/>
              <w:ind w:firstLine="0"/>
              <w:rPr>
                <w:rFonts w:ascii="Verdana" w:hAnsi="Verdana"/>
                <w:sz w:val="16"/>
                <w:szCs w:val="16"/>
                <w:lang w:val="en-US"/>
              </w:rPr>
            </w:pPr>
            <w:r w:rsidRPr="006815C5">
              <w:rPr>
                <w:rFonts w:ascii="Verdana" w:hAnsi="Verdana"/>
                <w:sz w:val="16"/>
                <w:szCs w:val="16"/>
                <w:lang w:val="en-US"/>
              </w:rPr>
              <w:t xml:space="preserve">The above is independent of the corresponding sanctions, in terms of the Law and </w:t>
            </w:r>
            <w:r>
              <w:rPr>
                <w:rFonts w:ascii="Verdana" w:hAnsi="Verdana"/>
                <w:sz w:val="16"/>
                <w:szCs w:val="16"/>
                <w:lang w:val="en-US"/>
              </w:rPr>
              <w:t>this Regulation</w:t>
            </w:r>
            <w:r w:rsidRPr="006815C5">
              <w:rPr>
                <w:rFonts w:ascii="Verdana" w:hAnsi="Verdana"/>
                <w:sz w:val="16"/>
                <w:szCs w:val="16"/>
                <w:lang w:val="en-US"/>
              </w:rPr>
              <w:t>.</w:t>
            </w:r>
          </w:p>
        </w:tc>
      </w:tr>
      <w:tr w:rsidR="003A38FF" w:rsidRPr="00D83DA2" w14:paraId="6BD3B4AC" w14:textId="24A2F9F2" w:rsidTr="00FB5DAD">
        <w:tc>
          <w:tcPr>
            <w:tcW w:w="4706" w:type="dxa"/>
          </w:tcPr>
          <w:p w14:paraId="3845E0F4"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b/>
                <w:sz w:val="16"/>
                <w:szCs w:val="16"/>
              </w:rPr>
              <w:t>Artículo 105.</w:t>
            </w:r>
            <w:r w:rsidRPr="00D0180E">
              <w:rPr>
                <w:rFonts w:ascii="Verdana" w:hAnsi="Verdana"/>
                <w:sz w:val="16"/>
                <w:szCs w:val="16"/>
              </w:rPr>
              <w:t xml:space="preserve"> Cuando la Usuaria Final considere que el aparato, equipo o Sistema de Medición que le instaló la Transportista o la Distribuidora por cuenta de la Suministradora, no mide adecuadamente, puede solicitar a la Suministradora que efectúe las revisiones que procedan en su presencia o de la persona que para tal efecto designe dicha Usuaria Final. En caso de comprobarse errores en los registros de consumo, puede presentar su queja conforme a lo dispuesto en Capítulo V del presente Título.</w:t>
            </w:r>
          </w:p>
        </w:tc>
        <w:tc>
          <w:tcPr>
            <w:tcW w:w="4644" w:type="dxa"/>
          </w:tcPr>
          <w:p w14:paraId="1B5B7802" w14:textId="7EB52EEC" w:rsidR="003A38FF" w:rsidRPr="00D0180E" w:rsidRDefault="003A38FF" w:rsidP="003A38FF">
            <w:pPr>
              <w:pStyle w:val="Texto"/>
              <w:spacing w:line="225" w:lineRule="exact"/>
              <w:ind w:firstLine="0"/>
              <w:rPr>
                <w:rFonts w:ascii="Verdana" w:hAnsi="Verdana"/>
                <w:b/>
                <w:sz w:val="16"/>
                <w:szCs w:val="16"/>
                <w:lang w:val="en-US"/>
              </w:rPr>
            </w:pPr>
            <w:r w:rsidRPr="006815C5">
              <w:rPr>
                <w:rFonts w:ascii="Verdana" w:hAnsi="Verdana"/>
                <w:b/>
                <w:sz w:val="16"/>
                <w:szCs w:val="16"/>
                <w:lang w:val="en-US"/>
              </w:rPr>
              <w:t xml:space="preserve">Article 105. </w:t>
            </w:r>
            <w:r w:rsidRPr="006815C5">
              <w:rPr>
                <w:rFonts w:ascii="Verdana" w:hAnsi="Verdana"/>
                <w:sz w:val="16"/>
                <w:szCs w:val="16"/>
                <w:lang w:val="en-US"/>
              </w:rPr>
              <w:t>When the end user believes that the device, equipment, or metering system installed by the transporter or distributor on behalf of the supplier is not measuring adequately, they may request the supplier to carry out the appropriate inspections in their presence or in the presence of a person designated by the end user for this purpose. If errors are found in the consumption records, they may file a complaint in accordance with the provisions of Chapter V of this Title.</w:t>
            </w:r>
          </w:p>
        </w:tc>
      </w:tr>
      <w:tr w:rsidR="003A38FF" w:rsidRPr="00D83DA2" w14:paraId="7A55F856" w14:textId="1F1795F5" w:rsidTr="00FB5DAD">
        <w:tc>
          <w:tcPr>
            <w:tcW w:w="4706" w:type="dxa"/>
          </w:tcPr>
          <w:p w14:paraId="33C727FE"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sz w:val="16"/>
                <w:szCs w:val="16"/>
              </w:rPr>
              <w:t>Si el aparato, equipo o Sistema de Medición instalado por la Transportista o la Distribuidora se ajusta a la exactitud establecida en la norma oficial mexicana aplicable, o cuando no exista esta, a las especificaciones nacionales e internacionales, las del país de origen o, a falta de estas, las del fabricante, la Usuaria Final debe cubrir a la Transportista o la Distribuidora, a través de la Suministradora, el costo de la revisión realizada en términos del párrafo anterior. En caso contrario, el costo queda a cargo de la Suministradora, la cual tiene derecho a recuperarlo de la Transportista o la Distribuidora mediante solicitud debidamente justificada.</w:t>
            </w:r>
          </w:p>
        </w:tc>
        <w:tc>
          <w:tcPr>
            <w:tcW w:w="4644" w:type="dxa"/>
          </w:tcPr>
          <w:p w14:paraId="66E09871" w14:textId="6F1A0E2A" w:rsidR="003A38FF" w:rsidRPr="00D0180E" w:rsidRDefault="003A38FF" w:rsidP="003A38FF">
            <w:pPr>
              <w:pStyle w:val="Texto"/>
              <w:spacing w:line="225" w:lineRule="exact"/>
              <w:ind w:firstLine="0"/>
              <w:rPr>
                <w:rFonts w:ascii="Verdana" w:hAnsi="Verdana"/>
                <w:sz w:val="16"/>
                <w:szCs w:val="16"/>
                <w:lang w:val="en-US"/>
              </w:rPr>
            </w:pPr>
            <w:r w:rsidRPr="006815C5">
              <w:rPr>
                <w:rFonts w:ascii="Verdana" w:hAnsi="Verdana"/>
                <w:sz w:val="16"/>
                <w:szCs w:val="16"/>
                <w:lang w:val="en-US"/>
              </w:rPr>
              <w:t>If the apparatus, equipment, or measurement system installed by the carrier or distributor conforms to the accuracy established in the applicable Official Mexican Standard, or where this does not exist, to national and international specifications, those of the country of origin, or, in the absence of these, those of the manufacturer, the end user must cover the carrier or distributor, through the supplier, the cost of the inspection performed in accordance with the terms of the preceding paragraph. Otherwise, the cost shall be borne by the supplier, which has the right to recover it from the carrier or distributor upon duly justified request.</w:t>
            </w:r>
          </w:p>
        </w:tc>
      </w:tr>
      <w:tr w:rsidR="003A38FF" w:rsidRPr="00D83DA2" w14:paraId="5905B3C7" w14:textId="514508FB" w:rsidTr="00FB5DAD">
        <w:tc>
          <w:tcPr>
            <w:tcW w:w="4706" w:type="dxa"/>
          </w:tcPr>
          <w:p w14:paraId="4F24FCDE"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b/>
                <w:sz w:val="16"/>
                <w:szCs w:val="16"/>
              </w:rPr>
              <w:t>Artículo 106.</w:t>
            </w:r>
            <w:r w:rsidRPr="00D0180E">
              <w:rPr>
                <w:rFonts w:ascii="Verdana" w:hAnsi="Verdana"/>
                <w:sz w:val="16"/>
                <w:szCs w:val="16"/>
              </w:rPr>
              <w:t xml:space="preserve"> La Usuaria Final debe permitir a la Transportista o la Distribuidora el acceso a los lugares que posea para que lleven a cabo la instalación, conservación, revisión o retiro de las líneas y equipos necesarios para darle la conexión. Asimismo, está obligada a no alterar dichas líneas y equipos.</w:t>
            </w:r>
          </w:p>
        </w:tc>
        <w:tc>
          <w:tcPr>
            <w:tcW w:w="4644" w:type="dxa"/>
          </w:tcPr>
          <w:p w14:paraId="60766E88" w14:textId="2F74B2CC" w:rsidR="003A38FF" w:rsidRPr="00D0180E" w:rsidRDefault="003A38FF" w:rsidP="003A38FF">
            <w:pPr>
              <w:pStyle w:val="Texto"/>
              <w:spacing w:line="225" w:lineRule="exact"/>
              <w:ind w:firstLine="0"/>
              <w:rPr>
                <w:rFonts w:ascii="Verdana" w:hAnsi="Verdana"/>
                <w:b/>
                <w:sz w:val="16"/>
                <w:szCs w:val="16"/>
                <w:lang w:val="en-US"/>
              </w:rPr>
            </w:pPr>
            <w:r w:rsidRPr="006815C5">
              <w:rPr>
                <w:rFonts w:ascii="Verdana" w:hAnsi="Verdana"/>
                <w:b/>
                <w:sz w:val="16"/>
                <w:szCs w:val="16"/>
                <w:lang w:val="en-US"/>
              </w:rPr>
              <w:t xml:space="preserve">Article 106. </w:t>
            </w:r>
            <w:r w:rsidRPr="006815C5">
              <w:rPr>
                <w:rFonts w:ascii="Verdana" w:hAnsi="Verdana"/>
                <w:sz w:val="16"/>
                <w:szCs w:val="16"/>
                <w:lang w:val="en-US"/>
              </w:rPr>
              <w:t>The end user must allow the carrier or distributor access to the sites it owns to carry out the installation, maintenance, inspection, or removal of the lines and equipment necessary to provide the connection. The end user is also obligated not to alter said lines and equipment.</w:t>
            </w:r>
          </w:p>
        </w:tc>
      </w:tr>
      <w:tr w:rsidR="003A38FF" w:rsidRPr="00D83DA2" w14:paraId="7883FC75" w14:textId="3A7B4015" w:rsidTr="00FB5DAD">
        <w:tc>
          <w:tcPr>
            <w:tcW w:w="4706" w:type="dxa"/>
          </w:tcPr>
          <w:p w14:paraId="4ACEBF0C"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sz w:val="16"/>
                <w:szCs w:val="16"/>
              </w:rPr>
              <w:t xml:space="preserve">La Transportista o la Distribuidora pueden efectuar los trabajos necesarios en las obras e instalaciones de su propiedad que se encuentren dentro del inmueble de la Usuaria Final, para lo cual debe informar a esta con anticipación, a fin de causarle las menos afectaciones posibles. Una vez terminados los trabajos, la Transportista o la Distribuidora debe reparar el daño </w:t>
            </w:r>
            <w:r w:rsidRPr="00D0180E">
              <w:rPr>
                <w:rFonts w:ascii="Verdana" w:hAnsi="Verdana"/>
                <w:sz w:val="16"/>
                <w:szCs w:val="16"/>
              </w:rPr>
              <w:lastRenderedPageBreak/>
              <w:t>material que hubiere ocasionado con los mismos y retirar los materiales de desperdicio.</w:t>
            </w:r>
          </w:p>
        </w:tc>
        <w:tc>
          <w:tcPr>
            <w:tcW w:w="4644" w:type="dxa"/>
          </w:tcPr>
          <w:p w14:paraId="255635F4" w14:textId="7AA566BD" w:rsidR="003A38FF" w:rsidRPr="00D0180E" w:rsidRDefault="003A38FF" w:rsidP="003A38FF">
            <w:pPr>
              <w:pStyle w:val="Texto"/>
              <w:spacing w:line="225" w:lineRule="exact"/>
              <w:ind w:firstLine="0"/>
              <w:rPr>
                <w:rFonts w:ascii="Verdana" w:hAnsi="Verdana"/>
                <w:sz w:val="16"/>
                <w:szCs w:val="16"/>
                <w:lang w:val="en-US"/>
              </w:rPr>
            </w:pPr>
            <w:r w:rsidRPr="006815C5">
              <w:rPr>
                <w:rFonts w:ascii="Verdana" w:hAnsi="Verdana"/>
                <w:sz w:val="16"/>
                <w:szCs w:val="16"/>
                <w:lang w:val="en-US"/>
              </w:rPr>
              <w:lastRenderedPageBreak/>
              <w:t xml:space="preserve">The carrier or distributor may carry out necessary work on its own facilities and installations located within the end user's </w:t>
            </w:r>
            <w:proofErr w:type="gramStart"/>
            <w:r w:rsidRPr="006815C5">
              <w:rPr>
                <w:rFonts w:ascii="Verdana" w:hAnsi="Verdana"/>
                <w:sz w:val="16"/>
                <w:szCs w:val="16"/>
                <w:lang w:val="en-US"/>
              </w:rPr>
              <w:t>property, but</w:t>
            </w:r>
            <w:proofErr w:type="gramEnd"/>
            <w:r w:rsidRPr="006815C5">
              <w:rPr>
                <w:rFonts w:ascii="Verdana" w:hAnsi="Verdana"/>
                <w:sz w:val="16"/>
                <w:szCs w:val="16"/>
                <w:lang w:val="en-US"/>
              </w:rPr>
              <w:t xml:space="preserve"> must notify the end user in advance to minimize disruption. Once the work is completed, the Carrier or Distributor must repair any material damage caused and remove any waste materials.</w:t>
            </w:r>
          </w:p>
        </w:tc>
      </w:tr>
      <w:tr w:rsidR="003A38FF" w:rsidRPr="00D83DA2" w14:paraId="11951B82" w14:textId="7760A0B0" w:rsidTr="00FB5DAD">
        <w:tc>
          <w:tcPr>
            <w:tcW w:w="4706" w:type="dxa"/>
          </w:tcPr>
          <w:p w14:paraId="7A79112E"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b/>
                <w:sz w:val="16"/>
                <w:szCs w:val="16"/>
              </w:rPr>
              <w:t xml:space="preserve">Artículo 107. </w:t>
            </w:r>
            <w:r w:rsidRPr="00D0180E">
              <w:rPr>
                <w:rFonts w:ascii="Verdana" w:hAnsi="Verdana"/>
                <w:sz w:val="16"/>
                <w:szCs w:val="16"/>
              </w:rPr>
              <w:t>En los contratos de interconexión y conexión celebrados por la Transportista o la Distribuidora, así como en los de Suministro Básico, se debe fijar como pena convencional, el pago mensual de una prestación para aquellos casos en que no se permita llevar a cabo la revisión de los Sistemas de Medición. Dicho cobro debe continuar hasta en tanto se determine el correcto funcionamiento de los Sistemas de Medición, mediante una revisión realizada a solicitud de la Usuaria Final.</w:t>
            </w:r>
          </w:p>
        </w:tc>
        <w:tc>
          <w:tcPr>
            <w:tcW w:w="4644" w:type="dxa"/>
          </w:tcPr>
          <w:p w14:paraId="510171FA" w14:textId="12B16BDE" w:rsidR="003A38FF" w:rsidRPr="00D0180E" w:rsidRDefault="003A38FF" w:rsidP="003A38FF">
            <w:pPr>
              <w:pStyle w:val="Texto"/>
              <w:spacing w:line="225" w:lineRule="exact"/>
              <w:ind w:firstLine="0"/>
              <w:rPr>
                <w:rFonts w:ascii="Verdana" w:hAnsi="Verdana"/>
                <w:b/>
                <w:sz w:val="16"/>
                <w:szCs w:val="16"/>
                <w:lang w:val="en-US"/>
              </w:rPr>
            </w:pPr>
            <w:r w:rsidRPr="006815C5">
              <w:rPr>
                <w:rFonts w:ascii="Verdana" w:hAnsi="Verdana"/>
                <w:b/>
                <w:sz w:val="16"/>
                <w:szCs w:val="16"/>
                <w:lang w:val="en-US"/>
              </w:rPr>
              <w:t xml:space="preserve">Article 107. </w:t>
            </w:r>
            <w:r w:rsidRPr="006815C5">
              <w:rPr>
                <w:rFonts w:ascii="Verdana" w:hAnsi="Verdana"/>
                <w:sz w:val="16"/>
                <w:szCs w:val="16"/>
                <w:lang w:val="en-US"/>
              </w:rPr>
              <w:t xml:space="preserve">In interconnection and connection contracts </w:t>
            </w:r>
            <w:proofErr w:type="gramStart"/>
            <w:r w:rsidRPr="006815C5">
              <w:rPr>
                <w:rFonts w:ascii="Verdana" w:hAnsi="Verdana"/>
                <w:sz w:val="16"/>
                <w:szCs w:val="16"/>
                <w:lang w:val="en-US"/>
              </w:rPr>
              <w:t>entered into</w:t>
            </w:r>
            <w:proofErr w:type="gramEnd"/>
            <w:r w:rsidRPr="006815C5">
              <w:rPr>
                <w:rFonts w:ascii="Verdana" w:hAnsi="Verdana"/>
                <w:sz w:val="16"/>
                <w:szCs w:val="16"/>
                <w:lang w:val="en-US"/>
              </w:rPr>
              <w:t xml:space="preserve"> by the transmission company or distributor, as well as in basic supply contracts, the contractual penalty must be set at the monthly payment of a benefit for cases in which the inspection of the metering systems is not permitted. This payment must continue until the proper functioning of the metering systems is determined through an inspection conducted at the request of the end user.</w:t>
            </w:r>
          </w:p>
        </w:tc>
      </w:tr>
      <w:tr w:rsidR="003A38FF" w:rsidRPr="00D83DA2" w14:paraId="44E7317A" w14:textId="3F7E6F58" w:rsidTr="00FB5DAD">
        <w:tc>
          <w:tcPr>
            <w:tcW w:w="4706" w:type="dxa"/>
          </w:tcPr>
          <w:p w14:paraId="204CFF34"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sz w:val="16"/>
                <w:szCs w:val="16"/>
              </w:rPr>
              <w:t>Si transcurrido el plazo de seis meses, no media solicitud de la Usuaria Final para llevar a cabo la revisión a que se refiere el párrafo anterior, la Transportista o la Distribuidora, deben efectuar la suspensión del Suministro Eléctrico o el retiro de los Sistemas de Medición, según corresponda.</w:t>
            </w:r>
          </w:p>
        </w:tc>
        <w:tc>
          <w:tcPr>
            <w:tcW w:w="4644" w:type="dxa"/>
          </w:tcPr>
          <w:p w14:paraId="70824F8B" w14:textId="1A111A4A" w:rsidR="003A38FF" w:rsidRPr="00D0180E" w:rsidRDefault="003A38FF" w:rsidP="003A38FF">
            <w:pPr>
              <w:pStyle w:val="Texto"/>
              <w:spacing w:line="225" w:lineRule="exact"/>
              <w:ind w:firstLine="0"/>
              <w:rPr>
                <w:rFonts w:ascii="Verdana" w:hAnsi="Verdana"/>
                <w:sz w:val="16"/>
                <w:szCs w:val="16"/>
                <w:lang w:val="en-US"/>
              </w:rPr>
            </w:pPr>
            <w:r w:rsidRPr="006815C5">
              <w:rPr>
                <w:rFonts w:ascii="Verdana" w:hAnsi="Verdana"/>
                <w:sz w:val="16"/>
                <w:szCs w:val="16"/>
                <w:lang w:val="en-US"/>
              </w:rPr>
              <w:t xml:space="preserve">If, after the six-month period has elapsed, there is no request from the end user to carry out the review referred to in the </w:t>
            </w:r>
            <w:r>
              <w:rPr>
                <w:rFonts w:ascii="Verdana" w:hAnsi="Verdana"/>
                <w:sz w:val="16"/>
                <w:szCs w:val="16"/>
                <w:lang w:val="en-US"/>
              </w:rPr>
              <w:t>preceding paragraph</w:t>
            </w:r>
            <w:r w:rsidRPr="006815C5">
              <w:rPr>
                <w:rFonts w:ascii="Verdana" w:hAnsi="Verdana"/>
                <w:sz w:val="16"/>
                <w:szCs w:val="16"/>
                <w:lang w:val="en-US"/>
              </w:rPr>
              <w:t>, the transporter or the distributor must suspend the electricity supply or remove the measurement systems, as appropriate.</w:t>
            </w:r>
          </w:p>
        </w:tc>
      </w:tr>
      <w:tr w:rsidR="003A38FF" w:rsidRPr="00D83DA2" w14:paraId="6B35142B" w14:textId="523279C3" w:rsidTr="00FB5DAD">
        <w:tc>
          <w:tcPr>
            <w:tcW w:w="4706" w:type="dxa"/>
          </w:tcPr>
          <w:p w14:paraId="7461E903"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sz w:val="16"/>
                <w:szCs w:val="16"/>
              </w:rPr>
              <w:t>En las condiciones generales para la prestación del Servicio Público de Transmisión y Distribución de Energía Eléctrica, se debe establecer la forma en que se fijen las penas convencionales, así como los casos en que, para efectos de lo dispuesto en el párrafo que antecede, proceda el retiro de los Sistemas de Medición.</w:t>
            </w:r>
          </w:p>
        </w:tc>
        <w:tc>
          <w:tcPr>
            <w:tcW w:w="4644" w:type="dxa"/>
          </w:tcPr>
          <w:p w14:paraId="757607D3" w14:textId="0C7B99D4" w:rsidR="003A38FF" w:rsidRPr="00D0180E" w:rsidRDefault="003A38FF" w:rsidP="003A38FF">
            <w:pPr>
              <w:pStyle w:val="Texto"/>
              <w:spacing w:line="225" w:lineRule="exact"/>
              <w:ind w:firstLine="0"/>
              <w:rPr>
                <w:rFonts w:ascii="Verdana" w:hAnsi="Verdana"/>
                <w:sz w:val="16"/>
                <w:szCs w:val="16"/>
                <w:lang w:val="en-US"/>
              </w:rPr>
            </w:pPr>
            <w:r w:rsidRPr="006815C5">
              <w:rPr>
                <w:rFonts w:ascii="Verdana" w:hAnsi="Verdana"/>
                <w:sz w:val="16"/>
                <w:szCs w:val="16"/>
                <w:lang w:val="en-US"/>
              </w:rPr>
              <w:t xml:space="preserve">The general conditions for the provision of the public service of electric power transmission and distribution must establish the </w:t>
            </w:r>
            <w:proofErr w:type="gramStart"/>
            <w:r w:rsidRPr="006815C5">
              <w:rPr>
                <w:rFonts w:ascii="Verdana" w:hAnsi="Verdana"/>
                <w:sz w:val="16"/>
                <w:szCs w:val="16"/>
                <w:lang w:val="en-US"/>
              </w:rPr>
              <w:t>manner in which</w:t>
            </w:r>
            <w:proofErr w:type="gramEnd"/>
            <w:r w:rsidRPr="006815C5">
              <w:rPr>
                <w:rFonts w:ascii="Verdana" w:hAnsi="Verdana"/>
                <w:sz w:val="16"/>
                <w:szCs w:val="16"/>
                <w:lang w:val="en-US"/>
              </w:rPr>
              <w:t xml:space="preserve"> the conventional penalties are set, as well as the cases in which, for the purposes of the provisions in the preceding paragraph, the removal of the measurement systems is appropriate.</w:t>
            </w:r>
          </w:p>
        </w:tc>
      </w:tr>
      <w:tr w:rsidR="003A38FF" w:rsidRPr="00D83DA2" w14:paraId="1B483EDA" w14:textId="4C172FA0" w:rsidTr="00FB5DAD">
        <w:tc>
          <w:tcPr>
            <w:tcW w:w="4706" w:type="dxa"/>
          </w:tcPr>
          <w:p w14:paraId="6E53AE07"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b/>
                <w:sz w:val="16"/>
                <w:szCs w:val="16"/>
              </w:rPr>
              <w:t>Artículo 108.</w:t>
            </w:r>
            <w:r w:rsidRPr="00D0180E">
              <w:rPr>
                <w:rFonts w:ascii="Verdana" w:hAnsi="Verdana"/>
                <w:sz w:val="16"/>
                <w:szCs w:val="16"/>
              </w:rPr>
              <w:t xml:space="preserve"> El desarrollo de las revisiones relacionadas con Centrales Eléctricas y Centros de Carga que están representados por Generadoras o por Usuarios Calificados Participantes del Mercado, debe seguir lo previsto en las Reglas del Mercado y, en las disposiciones administrativas de carácter general que prevean las condiciones generales para la prestación del Servicio Público de Transmisión y Distribución de Energía Eléctrica, así como los contratos que se hayan celebrado para su prestación.</w:t>
            </w:r>
          </w:p>
        </w:tc>
        <w:tc>
          <w:tcPr>
            <w:tcW w:w="4644" w:type="dxa"/>
          </w:tcPr>
          <w:p w14:paraId="308ADE46" w14:textId="30B53430" w:rsidR="003A38FF" w:rsidRPr="00D0180E" w:rsidRDefault="003A38FF" w:rsidP="003A38FF">
            <w:pPr>
              <w:pStyle w:val="Texto"/>
              <w:spacing w:line="225" w:lineRule="exact"/>
              <w:ind w:firstLine="0"/>
              <w:rPr>
                <w:rFonts w:ascii="Verdana" w:hAnsi="Verdana"/>
                <w:b/>
                <w:sz w:val="16"/>
                <w:szCs w:val="16"/>
                <w:lang w:val="en-US"/>
              </w:rPr>
            </w:pPr>
            <w:r w:rsidRPr="006815C5">
              <w:rPr>
                <w:rFonts w:ascii="Verdana" w:hAnsi="Verdana"/>
                <w:b/>
                <w:sz w:val="16"/>
                <w:szCs w:val="16"/>
                <w:lang w:val="en-US"/>
              </w:rPr>
              <w:t xml:space="preserve">Article 108. </w:t>
            </w:r>
            <w:r w:rsidRPr="006815C5">
              <w:rPr>
                <w:rFonts w:ascii="Verdana" w:hAnsi="Verdana"/>
                <w:sz w:val="16"/>
                <w:szCs w:val="16"/>
                <w:lang w:val="en-US"/>
              </w:rPr>
              <w:t xml:space="preserve">The development of the reviews related to </w:t>
            </w:r>
            <w:r>
              <w:rPr>
                <w:rFonts w:ascii="Verdana" w:hAnsi="Verdana"/>
                <w:sz w:val="16"/>
                <w:szCs w:val="16"/>
                <w:lang w:val="en-US"/>
              </w:rPr>
              <w:t>power plant</w:t>
            </w:r>
            <w:r w:rsidRPr="006815C5">
              <w:rPr>
                <w:rFonts w:ascii="Verdana" w:hAnsi="Verdana"/>
                <w:sz w:val="16"/>
                <w:szCs w:val="16"/>
                <w:lang w:val="en-US"/>
              </w:rPr>
              <w:t>s and load centers that are represented by generators or by qualified users participating in the market, must follow the provisions of the market rules and the general administrative provisions that foresee the general conditions for the provision of the public service of transmission and distribution of electric energy, as well as the contracts that have been entered into for its provision.</w:t>
            </w:r>
          </w:p>
        </w:tc>
      </w:tr>
      <w:tr w:rsidR="003A38FF" w:rsidRPr="00D83DA2" w14:paraId="3C0E5565" w14:textId="5A7DF267" w:rsidTr="00FB5DAD">
        <w:tc>
          <w:tcPr>
            <w:tcW w:w="4706" w:type="dxa"/>
          </w:tcPr>
          <w:p w14:paraId="3D9FF1DC"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sz w:val="16"/>
                <w:szCs w:val="16"/>
              </w:rPr>
              <w:t>Si como resultado de la revisión en los Sistemas de Medición e instalaciones eléctricas que operen en el Mercado Eléctrico Mayorista, se detectan diferencias que resulten en la necesidad de realizar ajustes en la liquidación, estos se deben llevar a cabo a través de procesos de reliquidación de conformidad con lo previsto en las Reglas del Mercado y los manuales aplicables. Para lo anterior se debe integrar el expediente correspondiente que soporte las posibles diferencias e incluir la evidencia del ajuste realizado durante el proceso de reliquidación.</w:t>
            </w:r>
          </w:p>
        </w:tc>
        <w:tc>
          <w:tcPr>
            <w:tcW w:w="4644" w:type="dxa"/>
          </w:tcPr>
          <w:p w14:paraId="2CC9447E" w14:textId="4CBFA0B9" w:rsidR="003A38FF" w:rsidRPr="00D0180E" w:rsidRDefault="003A38FF" w:rsidP="003A38FF">
            <w:pPr>
              <w:pStyle w:val="Texto"/>
              <w:spacing w:line="225" w:lineRule="exact"/>
              <w:ind w:firstLine="0"/>
              <w:rPr>
                <w:rFonts w:ascii="Verdana" w:hAnsi="Verdana"/>
                <w:sz w:val="16"/>
                <w:szCs w:val="16"/>
                <w:lang w:val="en-US"/>
              </w:rPr>
            </w:pPr>
            <w:r w:rsidRPr="006815C5">
              <w:rPr>
                <w:rFonts w:ascii="Verdana" w:hAnsi="Verdana"/>
                <w:sz w:val="16"/>
                <w:szCs w:val="16"/>
                <w:lang w:val="en-US"/>
              </w:rPr>
              <w:t xml:space="preserve">If, </w:t>
            </w:r>
            <w:proofErr w:type="gramStart"/>
            <w:r w:rsidRPr="006815C5">
              <w:rPr>
                <w:rFonts w:ascii="Verdana" w:hAnsi="Verdana"/>
                <w:sz w:val="16"/>
                <w:szCs w:val="16"/>
                <w:lang w:val="en-US"/>
              </w:rPr>
              <w:t>as a result of</w:t>
            </w:r>
            <w:proofErr w:type="gramEnd"/>
            <w:r w:rsidRPr="006815C5">
              <w:rPr>
                <w:rFonts w:ascii="Verdana" w:hAnsi="Verdana"/>
                <w:sz w:val="16"/>
                <w:szCs w:val="16"/>
                <w:lang w:val="en-US"/>
              </w:rPr>
              <w:t xml:space="preserve"> the review of the measurement systems and electrical installations operating in the wholesale electricity market, discrepancies are detected that require adjustments to the settlement, these must be carried out through re-settlement processes in accordance with the market rules and applicable manuals. </w:t>
            </w:r>
            <w:proofErr w:type="gramStart"/>
            <w:r w:rsidRPr="006815C5">
              <w:rPr>
                <w:rFonts w:ascii="Verdana" w:hAnsi="Verdana"/>
                <w:sz w:val="16"/>
                <w:szCs w:val="16"/>
                <w:lang w:val="en-US"/>
              </w:rPr>
              <w:t>To this end</w:t>
            </w:r>
            <w:proofErr w:type="gramEnd"/>
            <w:r w:rsidRPr="006815C5">
              <w:rPr>
                <w:rFonts w:ascii="Verdana" w:hAnsi="Verdana"/>
                <w:sz w:val="16"/>
                <w:szCs w:val="16"/>
                <w:lang w:val="en-US"/>
              </w:rPr>
              <w:t>, the corresponding file supporting any discrepancies must be compiled and include evidence of the adjustment made during the re-settlement process.</w:t>
            </w:r>
          </w:p>
        </w:tc>
      </w:tr>
      <w:tr w:rsidR="003A38FF" w:rsidRPr="00D0180E" w14:paraId="432E36A6" w14:textId="40555EE7" w:rsidTr="00FB5DAD">
        <w:tc>
          <w:tcPr>
            <w:tcW w:w="4706" w:type="dxa"/>
          </w:tcPr>
          <w:p w14:paraId="0CEEE0AE" w14:textId="77777777" w:rsidR="003A38FF" w:rsidRPr="00D0180E" w:rsidRDefault="003A38FF" w:rsidP="003A38FF">
            <w:pPr>
              <w:pStyle w:val="Texto"/>
              <w:spacing w:line="225" w:lineRule="exact"/>
              <w:ind w:firstLine="0"/>
              <w:jc w:val="center"/>
              <w:rPr>
                <w:rFonts w:ascii="Verdana" w:hAnsi="Verdana"/>
                <w:b/>
                <w:sz w:val="16"/>
                <w:szCs w:val="16"/>
              </w:rPr>
            </w:pPr>
            <w:r w:rsidRPr="00D0180E">
              <w:rPr>
                <w:rFonts w:ascii="Verdana" w:hAnsi="Verdana"/>
                <w:b/>
                <w:sz w:val="16"/>
                <w:szCs w:val="16"/>
              </w:rPr>
              <w:t>Capítulo V</w:t>
            </w:r>
          </w:p>
        </w:tc>
        <w:tc>
          <w:tcPr>
            <w:tcW w:w="4644" w:type="dxa"/>
          </w:tcPr>
          <w:p w14:paraId="2626A88C" w14:textId="681DC388" w:rsidR="003A38FF" w:rsidRPr="00D0180E" w:rsidRDefault="003A38FF" w:rsidP="003A38FF">
            <w:pPr>
              <w:pStyle w:val="Texto"/>
              <w:spacing w:line="225" w:lineRule="exact"/>
              <w:ind w:firstLine="0"/>
              <w:jc w:val="center"/>
              <w:rPr>
                <w:rFonts w:ascii="Verdana" w:hAnsi="Verdana"/>
                <w:b/>
                <w:sz w:val="16"/>
                <w:szCs w:val="16"/>
                <w:lang w:val="en-US"/>
              </w:rPr>
            </w:pPr>
            <w:r w:rsidRPr="00D0180E">
              <w:rPr>
                <w:rFonts w:ascii="Verdana" w:hAnsi="Verdana"/>
                <w:b/>
                <w:sz w:val="16"/>
                <w:szCs w:val="16"/>
              </w:rPr>
              <w:t>Chapter V</w:t>
            </w:r>
          </w:p>
        </w:tc>
      </w:tr>
      <w:tr w:rsidR="003A38FF" w:rsidRPr="00D83DA2" w14:paraId="3586F7C6" w14:textId="341CDA87" w:rsidTr="00FB5DAD">
        <w:tc>
          <w:tcPr>
            <w:tcW w:w="4706" w:type="dxa"/>
          </w:tcPr>
          <w:p w14:paraId="5EF34410" w14:textId="77777777" w:rsidR="003A38FF" w:rsidRPr="00D0180E" w:rsidRDefault="003A38FF" w:rsidP="003A38FF">
            <w:pPr>
              <w:pStyle w:val="Texto"/>
              <w:spacing w:line="225" w:lineRule="exact"/>
              <w:ind w:firstLine="0"/>
              <w:jc w:val="center"/>
              <w:rPr>
                <w:rFonts w:ascii="Verdana" w:hAnsi="Verdana"/>
                <w:b/>
                <w:sz w:val="16"/>
                <w:szCs w:val="16"/>
              </w:rPr>
            </w:pPr>
            <w:r w:rsidRPr="00D0180E">
              <w:rPr>
                <w:rFonts w:ascii="Verdana" w:hAnsi="Verdana"/>
                <w:b/>
                <w:sz w:val="16"/>
                <w:szCs w:val="16"/>
              </w:rPr>
              <w:t>De las Quejas del Servicio Público de Transmisión y Distribución y de Suministro Eléctrico</w:t>
            </w:r>
          </w:p>
        </w:tc>
        <w:tc>
          <w:tcPr>
            <w:tcW w:w="4644" w:type="dxa"/>
          </w:tcPr>
          <w:p w14:paraId="51F83473" w14:textId="58E322A7" w:rsidR="003A38FF" w:rsidRPr="00D0180E" w:rsidRDefault="003A38FF" w:rsidP="003A38FF">
            <w:pPr>
              <w:pStyle w:val="Texto"/>
              <w:spacing w:line="225" w:lineRule="exact"/>
              <w:ind w:firstLine="0"/>
              <w:jc w:val="center"/>
              <w:rPr>
                <w:rFonts w:ascii="Verdana" w:hAnsi="Verdana"/>
                <w:b/>
                <w:sz w:val="16"/>
                <w:szCs w:val="16"/>
                <w:lang w:val="en-US"/>
              </w:rPr>
            </w:pPr>
            <w:r w:rsidRPr="006815C5">
              <w:rPr>
                <w:rFonts w:ascii="Verdana" w:hAnsi="Verdana"/>
                <w:b/>
                <w:sz w:val="16"/>
                <w:szCs w:val="16"/>
                <w:lang w:val="en-US"/>
              </w:rPr>
              <w:t>Complaints about the Public Transmission and Distribution Service and Electricity Supply</w:t>
            </w:r>
          </w:p>
        </w:tc>
      </w:tr>
      <w:tr w:rsidR="003A38FF" w:rsidRPr="00D83DA2" w14:paraId="3C65E5FB" w14:textId="3A00FD97" w:rsidTr="00FB5DAD">
        <w:tc>
          <w:tcPr>
            <w:tcW w:w="4706" w:type="dxa"/>
          </w:tcPr>
          <w:p w14:paraId="15DC383B"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b/>
                <w:sz w:val="16"/>
                <w:szCs w:val="16"/>
              </w:rPr>
              <w:t>Artículo 109.</w:t>
            </w:r>
            <w:r w:rsidRPr="00D0180E">
              <w:rPr>
                <w:rFonts w:ascii="Verdana" w:hAnsi="Verdana"/>
                <w:sz w:val="16"/>
                <w:szCs w:val="16"/>
              </w:rPr>
              <w:t xml:space="preserve"> Las personas usuarias del Servicio Público de Transmisión y Distribución de Energía Eléctrica, así como de Suministro Eléctrico, pueden interponer quejas relacionadas con dichos servicios, las cuales se pueden presentar dentro del término de un </w:t>
            </w:r>
            <w:r w:rsidRPr="00D0180E">
              <w:rPr>
                <w:rFonts w:ascii="Verdana" w:hAnsi="Verdana"/>
                <w:sz w:val="16"/>
                <w:szCs w:val="16"/>
              </w:rPr>
              <w:lastRenderedPageBreak/>
              <w:t>año, contado a partir de la fecha en que ocurrió el hecho constitutivo de la misma.</w:t>
            </w:r>
          </w:p>
        </w:tc>
        <w:tc>
          <w:tcPr>
            <w:tcW w:w="4644" w:type="dxa"/>
          </w:tcPr>
          <w:p w14:paraId="530D4D37" w14:textId="5CC61FE4" w:rsidR="003A38FF" w:rsidRPr="00D0180E" w:rsidRDefault="003A38FF" w:rsidP="003A38FF">
            <w:pPr>
              <w:pStyle w:val="Texto"/>
              <w:spacing w:line="225" w:lineRule="exact"/>
              <w:ind w:firstLine="0"/>
              <w:rPr>
                <w:rFonts w:ascii="Verdana" w:hAnsi="Verdana"/>
                <w:b/>
                <w:sz w:val="16"/>
                <w:szCs w:val="16"/>
                <w:lang w:val="en-US"/>
              </w:rPr>
            </w:pPr>
            <w:r w:rsidRPr="006815C5">
              <w:rPr>
                <w:rFonts w:ascii="Verdana" w:hAnsi="Verdana"/>
                <w:b/>
                <w:sz w:val="16"/>
                <w:szCs w:val="16"/>
                <w:lang w:val="en-US"/>
              </w:rPr>
              <w:lastRenderedPageBreak/>
              <w:t xml:space="preserve">Article 109. </w:t>
            </w:r>
            <w:r w:rsidRPr="006815C5">
              <w:rPr>
                <w:rFonts w:ascii="Verdana" w:hAnsi="Verdana"/>
                <w:sz w:val="16"/>
                <w:szCs w:val="16"/>
                <w:lang w:val="en-US"/>
              </w:rPr>
              <w:t xml:space="preserve">Users of the public service for the transmission and distribution of electric energy, as well as for the supply of electricity, may file complaints related to said services, which may be submitted within </w:t>
            </w:r>
            <w:r w:rsidRPr="006815C5">
              <w:rPr>
                <w:rFonts w:ascii="Verdana" w:hAnsi="Verdana"/>
                <w:sz w:val="16"/>
                <w:szCs w:val="16"/>
                <w:lang w:val="en-US"/>
              </w:rPr>
              <w:lastRenderedPageBreak/>
              <w:t>a period of one year, counting from the date on which the event constituting the complaint occurred.</w:t>
            </w:r>
          </w:p>
        </w:tc>
      </w:tr>
      <w:tr w:rsidR="003A38FF" w:rsidRPr="00D83DA2" w14:paraId="7C77B054" w14:textId="40581C22" w:rsidTr="00FB5DAD">
        <w:tc>
          <w:tcPr>
            <w:tcW w:w="4706" w:type="dxa"/>
          </w:tcPr>
          <w:p w14:paraId="2C34B104"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sz w:val="16"/>
                <w:szCs w:val="16"/>
              </w:rPr>
              <w:lastRenderedPageBreak/>
              <w:t>La presentación de las quejas, así como las especificaciones para su atención, están sujetas además de lo previsto en el presente reglamento, a lo establecido en las condiciones generales para la prestación de los servicios de que se trate, según corresponda, las cuales deben considerar al menos, lo siguiente:</w:t>
            </w:r>
          </w:p>
        </w:tc>
        <w:tc>
          <w:tcPr>
            <w:tcW w:w="4644" w:type="dxa"/>
          </w:tcPr>
          <w:p w14:paraId="0F3C2670" w14:textId="72D3F964" w:rsidR="003A38FF" w:rsidRPr="00D0180E" w:rsidRDefault="003A38FF" w:rsidP="003A38FF">
            <w:pPr>
              <w:pStyle w:val="Texto"/>
              <w:spacing w:line="225" w:lineRule="exact"/>
              <w:ind w:firstLine="0"/>
              <w:rPr>
                <w:rFonts w:ascii="Verdana" w:hAnsi="Verdana"/>
                <w:sz w:val="16"/>
                <w:szCs w:val="16"/>
                <w:lang w:val="en-US"/>
              </w:rPr>
            </w:pPr>
            <w:r w:rsidRPr="006815C5">
              <w:rPr>
                <w:rFonts w:ascii="Verdana" w:hAnsi="Verdana"/>
                <w:sz w:val="16"/>
                <w:szCs w:val="16"/>
                <w:lang w:val="en-US"/>
              </w:rPr>
              <w:t>The submission of complaints, as well as the specifications for their handling, are subject, in addition to the provisions of this regulation, to the provisions of the general conditions for the provision of the services in question, as applicable, which must consider at least the following:</w:t>
            </w:r>
          </w:p>
        </w:tc>
      </w:tr>
      <w:tr w:rsidR="003A38FF" w:rsidRPr="00D83DA2" w14:paraId="2730CC20" w14:textId="119B4140" w:rsidTr="00FB5DAD">
        <w:tc>
          <w:tcPr>
            <w:tcW w:w="4706" w:type="dxa"/>
          </w:tcPr>
          <w:p w14:paraId="16B48A78"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Los supuestos de procedencia de la queja por tipo de servicio;</w:t>
            </w:r>
          </w:p>
        </w:tc>
        <w:tc>
          <w:tcPr>
            <w:tcW w:w="4644" w:type="dxa"/>
          </w:tcPr>
          <w:p w14:paraId="0C22EE53" w14:textId="49136B3C" w:rsidR="003A38FF" w:rsidRPr="00D0180E" w:rsidRDefault="003A38FF" w:rsidP="003A38FF">
            <w:pPr>
              <w:pStyle w:val="Texto"/>
              <w:spacing w:line="225" w:lineRule="exact"/>
              <w:ind w:firstLine="0"/>
              <w:rPr>
                <w:rFonts w:ascii="Verdana" w:hAnsi="Verdana"/>
                <w:b/>
                <w:sz w:val="16"/>
                <w:szCs w:val="16"/>
                <w:lang w:val="en-US"/>
              </w:rPr>
            </w:pPr>
            <w:r w:rsidRPr="006815C5">
              <w:rPr>
                <w:rFonts w:ascii="Verdana" w:hAnsi="Verdana"/>
                <w:b/>
                <w:sz w:val="16"/>
                <w:szCs w:val="16"/>
                <w:lang w:val="en-US"/>
              </w:rPr>
              <w:t>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reasons for the origin of the complaint by type of service;</w:t>
            </w:r>
          </w:p>
        </w:tc>
      </w:tr>
      <w:tr w:rsidR="003A38FF" w:rsidRPr="00D83DA2" w14:paraId="0DC9B13A" w14:textId="331D90DD" w:rsidTr="00FB5DAD">
        <w:tc>
          <w:tcPr>
            <w:tcW w:w="4706" w:type="dxa"/>
          </w:tcPr>
          <w:p w14:paraId="1613B9C0"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Ante quién se debe presentar la queja;</w:t>
            </w:r>
          </w:p>
        </w:tc>
        <w:tc>
          <w:tcPr>
            <w:tcW w:w="4644" w:type="dxa"/>
          </w:tcPr>
          <w:p w14:paraId="104B364B" w14:textId="0905CB05" w:rsidR="003A38FF" w:rsidRPr="00D0180E" w:rsidRDefault="003A38FF" w:rsidP="003A38FF">
            <w:pPr>
              <w:pStyle w:val="Texto"/>
              <w:spacing w:line="225" w:lineRule="exact"/>
              <w:ind w:firstLine="0"/>
              <w:rPr>
                <w:rFonts w:ascii="Verdana" w:hAnsi="Verdana"/>
                <w:b/>
                <w:sz w:val="16"/>
                <w:szCs w:val="16"/>
                <w:lang w:val="en-US"/>
              </w:rPr>
            </w:pPr>
            <w:r w:rsidRPr="006815C5">
              <w:rPr>
                <w:rFonts w:ascii="Verdana" w:hAnsi="Verdana"/>
                <w:b/>
                <w:sz w:val="16"/>
                <w:szCs w:val="16"/>
                <w:lang w:val="en-US"/>
              </w:rPr>
              <w:t>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To</w:t>
            </w:r>
            <w:proofErr w:type="gramEnd"/>
            <w:r w:rsidRPr="006815C5">
              <w:rPr>
                <w:rFonts w:ascii="Verdana" w:hAnsi="Verdana"/>
                <w:sz w:val="16"/>
                <w:szCs w:val="16"/>
                <w:lang w:val="en-US"/>
              </w:rPr>
              <w:t xml:space="preserve"> whom the complaint should be filed;</w:t>
            </w:r>
          </w:p>
        </w:tc>
      </w:tr>
      <w:tr w:rsidR="003A38FF" w:rsidRPr="00D83DA2" w14:paraId="6915B60A" w14:textId="306EA414" w:rsidTr="00FB5DAD">
        <w:tc>
          <w:tcPr>
            <w:tcW w:w="4706" w:type="dxa"/>
          </w:tcPr>
          <w:p w14:paraId="0DA0B393" w14:textId="77777777" w:rsidR="003A38FF" w:rsidRPr="00D0180E" w:rsidRDefault="003A38FF" w:rsidP="003A38FF">
            <w:pPr>
              <w:pStyle w:val="Texto"/>
              <w:spacing w:after="76"/>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Tipos de queja, según quién la interpone o bien, por el servicio y materia con las que se encuentre vinculada:</w:t>
            </w:r>
          </w:p>
        </w:tc>
        <w:tc>
          <w:tcPr>
            <w:tcW w:w="4644" w:type="dxa"/>
          </w:tcPr>
          <w:p w14:paraId="1F995C06" w14:textId="3E4A39B6" w:rsidR="003A38FF" w:rsidRPr="00D0180E" w:rsidRDefault="003A38FF" w:rsidP="003A38FF">
            <w:pPr>
              <w:pStyle w:val="Texto"/>
              <w:spacing w:after="76"/>
              <w:ind w:firstLine="0"/>
              <w:rPr>
                <w:rFonts w:ascii="Verdana" w:hAnsi="Verdana"/>
                <w:b/>
                <w:sz w:val="16"/>
                <w:szCs w:val="16"/>
                <w:lang w:val="en-US"/>
              </w:rPr>
            </w:pPr>
            <w:r w:rsidRPr="006815C5">
              <w:rPr>
                <w:rFonts w:ascii="Verdana" w:hAnsi="Verdana"/>
                <w:b/>
                <w:sz w:val="16"/>
                <w:szCs w:val="16"/>
                <w:lang w:val="en-US"/>
              </w:rPr>
              <w:t>III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Types</w:t>
            </w:r>
            <w:proofErr w:type="gramEnd"/>
            <w:r w:rsidRPr="006815C5">
              <w:rPr>
                <w:rFonts w:ascii="Verdana" w:hAnsi="Verdana"/>
                <w:sz w:val="16"/>
                <w:szCs w:val="16"/>
                <w:lang w:val="en-US"/>
              </w:rPr>
              <w:t xml:space="preserve"> of complaint, depending on who files it or the service and subject matter to which it is linked:</w:t>
            </w:r>
          </w:p>
        </w:tc>
      </w:tr>
      <w:tr w:rsidR="003A38FF" w:rsidRPr="00D0180E" w14:paraId="647688CF" w14:textId="596C13F7" w:rsidTr="00FB5DAD">
        <w:tc>
          <w:tcPr>
            <w:tcW w:w="4706" w:type="dxa"/>
          </w:tcPr>
          <w:p w14:paraId="00F57AD9" w14:textId="77777777" w:rsidR="003A38FF" w:rsidRPr="00D0180E" w:rsidRDefault="003A38FF" w:rsidP="003A38FF">
            <w:pPr>
              <w:pStyle w:val="Texto"/>
              <w:spacing w:after="76"/>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Suministro Eléctrico;</w:t>
            </w:r>
          </w:p>
        </w:tc>
        <w:tc>
          <w:tcPr>
            <w:tcW w:w="4644" w:type="dxa"/>
          </w:tcPr>
          <w:p w14:paraId="2246D701" w14:textId="4094CC1D" w:rsidR="003A38FF" w:rsidRPr="00972EF7" w:rsidRDefault="003A38FF" w:rsidP="003A38FF">
            <w:pPr>
              <w:pStyle w:val="Texto"/>
              <w:spacing w:after="76"/>
              <w:ind w:firstLine="0"/>
              <w:rPr>
                <w:rFonts w:ascii="Verdana" w:hAnsi="Verdana"/>
                <w:b/>
                <w:sz w:val="16"/>
                <w:szCs w:val="16"/>
                <w:lang w:val="en-US"/>
              </w:rPr>
            </w:pPr>
            <w:r w:rsidRPr="00972EF7">
              <w:rPr>
                <w:rFonts w:ascii="Verdana" w:hAnsi="Verdana"/>
                <w:b/>
                <w:sz w:val="16"/>
                <w:szCs w:val="16"/>
                <w:lang w:val="en-US"/>
              </w:rPr>
              <w:t>a</w:t>
            </w:r>
            <w:proofErr w:type="gramStart"/>
            <w:r w:rsidRPr="00972EF7">
              <w:rPr>
                <w:rFonts w:ascii="Verdana" w:hAnsi="Verdana"/>
                <w:b/>
                <w:sz w:val="16"/>
                <w:szCs w:val="16"/>
                <w:lang w:val="en-US"/>
              </w:rPr>
              <w:t xml:space="preserve">) </w:t>
            </w:r>
            <w:r w:rsidRPr="00972EF7">
              <w:rPr>
                <w:rFonts w:ascii="Verdana" w:hAnsi="Verdana"/>
                <w:b/>
                <w:sz w:val="16"/>
                <w:szCs w:val="16"/>
                <w:lang w:val="en-US"/>
              </w:rPr>
              <w:tab/>
            </w:r>
            <w:r w:rsidRPr="00972EF7">
              <w:rPr>
                <w:rFonts w:ascii="Verdana" w:hAnsi="Verdana"/>
                <w:sz w:val="16"/>
                <w:szCs w:val="16"/>
                <w:lang w:val="en-US"/>
              </w:rPr>
              <w:t>Electrical</w:t>
            </w:r>
            <w:proofErr w:type="gramEnd"/>
            <w:r w:rsidRPr="00972EF7">
              <w:rPr>
                <w:rFonts w:ascii="Verdana" w:hAnsi="Verdana"/>
                <w:sz w:val="16"/>
                <w:szCs w:val="16"/>
                <w:lang w:val="en-US"/>
              </w:rPr>
              <w:t xml:space="preserve"> Supply;</w:t>
            </w:r>
          </w:p>
        </w:tc>
      </w:tr>
      <w:tr w:rsidR="003A38FF" w:rsidRPr="00D0180E" w14:paraId="59743D8D" w14:textId="12B306E6" w:rsidTr="00FB5DAD">
        <w:tc>
          <w:tcPr>
            <w:tcW w:w="4706" w:type="dxa"/>
          </w:tcPr>
          <w:p w14:paraId="326B4CF6" w14:textId="77777777" w:rsidR="003A38FF" w:rsidRPr="00D0180E" w:rsidRDefault="003A38FF" w:rsidP="003A38FF">
            <w:pPr>
              <w:pStyle w:val="Texto"/>
              <w:spacing w:after="76"/>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Transmisión;</w:t>
            </w:r>
          </w:p>
        </w:tc>
        <w:tc>
          <w:tcPr>
            <w:tcW w:w="4644" w:type="dxa"/>
          </w:tcPr>
          <w:p w14:paraId="791C6E9B" w14:textId="27675BF0" w:rsidR="003A38FF" w:rsidRPr="00972EF7" w:rsidRDefault="003A38FF" w:rsidP="003A38FF">
            <w:pPr>
              <w:pStyle w:val="Texto"/>
              <w:spacing w:after="76"/>
              <w:ind w:firstLine="0"/>
              <w:rPr>
                <w:rFonts w:ascii="Verdana" w:hAnsi="Verdana"/>
                <w:b/>
                <w:sz w:val="16"/>
                <w:szCs w:val="16"/>
                <w:lang w:val="en-US"/>
              </w:rPr>
            </w:pPr>
            <w:r w:rsidRPr="00972EF7">
              <w:rPr>
                <w:rFonts w:ascii="Verdana" w:hAnsi="Verdana"/>
                <w:b/>
                <w:sz w:val="16"/>
                <w:szCs w:val="16"/>
                <w:lang w:val="en-US"/>
              </w:rPr>
              <w:t xml:space="preserve">b) </w:t>
            </w:r>
            <w:r w:rsidRPr="00972EF7">
              <w:rPr>
                <w:rFonts w:ascii="Verdana" w:hAnsi="Verdana"/>
                <w:b/>
                <w:sz w:val="16"/>
                <w:szCs w:val="16"/>
                <w:lang w:val="en-US"/>
              </w:rPr>
              <w:tab/>
            </w:r>
            <w:r w:rsidRPr="00972EF7">
              <w:rPr>
                <w:rFonts w:ascii="Verdana" w:hAnsi="Verdana"/>
                <w:sz w:val="16"/>
                <w:szCs w:val="16"/>
                <w:lang w:val="en-US"/>
              </w:rPr>
              <w:t>Transmission;</w:t>
            </w:r>
          </w:p>
        </w:tc>
      </w:tr>
      <w:tr w:rsidR="003A38FF" w:rsidRPr="00D0180E" w14:paraId="13A57817" w14:textId="52CC3455" w:rsidTr="00FB5DAD">
        <w:tc>
          <w:tcPr>
            <w:tcW w:w="4706" w:type="dxa"/>
          </w:tcPr>
          <w:p w14:paraId="5B6A2F4D" w14:textId="77777777" w:rsidR="003A38FF" w:rsidRPr="00D0180E" w:rsidRDefault="003A38FF" w:rsidP="003A38FF">
            <w:pPr>
              <w:pStyle w:val="Texto"/>
              <w:spacing w:after="76"/>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Distribución, y</w:t>
            </w:r>
          </w:p>
        </w:tc>
        <w:tc>
          <w:tcPr>
            <w:tcW w:w="4644" w:type="dxa"/>
          </w:tcPr>
          <w:p w14:paraId="7F007CD0" w14:textId="433ED324" w:rsidR="003A38FF" w:rsidRPr="00972EF7" w:rsidRDefault="003A38FF" w:rsidP="003A38FF">
            <w:pPr>
              <w:pStyle w:val="Texto"/>
              <w:spacing w:after="76"/>
              <w:ind w:firstLine="0"/>
              <w:rPr>
                <w:rFonts w:ascii="Verdana" w:hAnsi="Verdana"/>
                <w:b/>
                <w:sz w:val="16"/>
                <w:szCs w:val="16"/>
                <w:lang w:val="en-US"/>
              </w:rPr>
            </w:pPr>
            <w:r w:rsidRPr="00972EF7">
              <w:rPr>
                <w:rFonts w:ascii="Verdana" w:hAnsi="Verdana"/>
                <w:b/>
                <w:sz w:val="16"/>
                <w:szCs w:val="16"/>
                <w:lang w:val="en-US"/>
              </w:rPr>
              <w:t>c</w:t>
            </w:r>
            <w:proofErr w:type="gramStart"/>
            <w:r w:rsidRPr="00972EF7">
              <w:rPr>
                <w:rFonts w:ascii="Verdana" w:hAnsi="Verdana"/>
                <w:b/>
                <w:sz w:val="16"/>
                <w:szCs w:val="16"/>
                <w:lang w:val="en-US"/>
              </w:rPr>
              <w:t xml:space="preserve">) </w:t>
            </w:r>
            <w:r w:rsidRPr="00972EF7">
              <w:rPr>
                <w:rFonts w:ascii="Verdana" w:hAnsi="Verdana"/>
                <w:b/>
                <w:sz w:val="16"/>
                <w:szCs w:val="16"/>
                <w:lang w:val="en-US"/>
              </w:rPr>
              <w:tab/>
            </w:r>
            <w:r w:rsidRPr="00972EF7">
              <w:rPr>
                <w:rFonts w:ascii="Verdana" w:hAnsi="Verdana"/>
                <w:sz w:val="16"/>
                <w:szCs w:val="16"/>
                <w:lang w:val="en-US"/>
              </w:rPr>
              <w:t>Distribution</w:t>
            </w:r>
            <w:proofErr w:type="gramEnd"/>
            <w:r w:rsidRPr="00972EF7">
              <w:rPr>
                <w:rFonts w:ascii="Verdana" w:hAnsi="Verdana"/>
                <w:sz w:val="16"/>
                <w:szCs w:val="16"/>
                <w:lang w:val="en-US"/>
              </w:rPr>
              <w:t>, and</w:t>
            </w:r>
          </w:p>
        </w:tc>
      </w:tr>
      <w:tr w:rsidR="003A38FF" w:rsidRPr="00D83DA2" w14:paraId="73536E53" w14:textId="50C132E5" w:rsidTr="00FB5DAD">
        <w:tc>
          <w:tcPr>
            <w:tcW w:w="4706" w:type="dxa"/>
          </w:tcPr>
          <w:p w14:paraId="4DFCB909" w14:textId="77777777" w:rsidR="003A38FF" w:rsidRPr="00D0180E" w:rsidRDefault="003A38FF" w:rsidP="003A38FF">
            <w:pPr>
              <w:pStyle w:val="Texto"/>
              <w:spacing w:after="76"/>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Generación o Usuaria Final;</w:t>
            </w:r>
          </w:p>
        </w:tc>
        <w:tc>
          <w:tcPr>
            <w:tcW w:w="4644" w:type="dxa"/>
          </w:tcPr>
          <w:p w14:paraId="1ECA546F" w14:textId="5C36D475" w:rsidR="003A38FF" w:rsidRPr="00972EF7" w:rsidRDefault="003A38FF" w:rsidP="003A38FF">
            <w:pPr>
              <w:pStyle w:val="Texto"/>
              <w:spacing w:after="76"/>
              <w:ind w:firstLine="0"/>
              <w:rPr>
                <w:rFonts w:ascii="Verdana" w:hAnsi="Verdana"/>
                <w:b/>
                <w:sz w:val="16"/>
                <w:szCs w:val="16"/>
                <w:lang w:val="en-US"/>
              </w:rPr>
            </w:pPr>
            <w:r w:rsidRPr="00972EF7">
              <w:rPr>
                <w:rFonts w:ascii="Verdana" w:hAnsi="Verdana"/>
                <w:b/>
                <w:sz w:val="16"/>
                <w:szCs w:val="16"/>
                <w:lang w:val="en-US"/>
              </w:rPr>
              <w:t>d</w:t>
            </w:r>
            <w:proofErr w:type="gramStart"/>
            <w:r w:rsidRPr="00972EF7">
              <w:rPr>
                <w:rFonts w:ascii="Verdana" w:hAnsi="Verdana"/>
                <w:b/>
                <w:sz w:val="16"/>
                <w:szCs w:val="16"/>
                <w:lang w:val="en-US"/>
              </w:rPr>
              <w:t xml:space="preserve">) </w:t>
            </w:r>
            <w:r w:rsidRPr="00972EF7">
              <w:rPr>
                <w:rFonts w:ascii="Verdana" w:hAnsi="Verdana"/>
                <w:b/>
                <w:sz w:val="16"/>
                <w:szCs w:val="16"/>
                <w:lang w:val="en-US"/>
              </w:rPr>
              <w:tab/>
            </w:r>
            <w:r w:rsidRPr="00972EF7">
              <w:rPr>
                <w:rFonts w:ascii="Verdana" w:hAnsi="Verdana"/>
                <w:sz w:val="16"/>
                <w:szCs w:val="16"/>
                <w:lang w:val="en-US"/>
              </w:rPr>
              <w:t>Generation</w:t>
            </w:r>
            <w:proofErr w:type="gramEnd"/>
            <w:r w:rsidRPr="00972EF7">
              <w:rPr>
                <w:rFonts w:ascii="Verdana" w:hAnsi="Verdana"/>
                <w:sz w:val="16"/>
                <w:szCs w:val="16"/>
                <w:lang w:val="en-US"/>
              </w:rPr>
              <w:t xml:space="preserve"> or End User;</w:t>
            </w:r>
          </w:p>
        </w:tc>
      </w:tr>
      <w:tr w:rsidR="003A38FF" w:rsidRPr="00D0180E" w14:paraId="6FE64BDB" w14:textId="5315E69D" w:rsidTr="00FB5DAD">
        <w:tc>
          <w:tcPr>
            <w:tcW w:w="4706" w:type="dxa"/>
          </w:tcPr>
          <w:p w14:paraId="62BC611C" w14:textId="77777777" w:rsidR="003A38FF" w:rsidRPr="00D0180E" w:rsidRDefault="003A38FF" w:rsidP="003A38FF">
            <w:pPr>
              <w:pStyle w:val="Texto"/>
              <w:spacing w:after="76"/>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Medio de presentación;</w:t>
            </w:r>
          </w:p>
        </w:tc>
        <w:tc>
          <w:tcPr>
            <w:tcW w:w="4644" w:type="dxa"/>
          </w:tcPr>
          <w:p w14:paraId="0A3CE909" w14:textId="3E81782D" w:rsidR="003A38FF" w:rsidRPr="00972EF7" w:rsidRDefault="003A38FF" w:rsidP="003A38FF">
            <w:pPr>
              <w:pStyle w:val="Texto"/>
              <w:spacing w:after="76"/>
              <w:ind w:firstLine="0"/>
              <w:rPr>
                <w:rFonts w:ascii="Verdana" w:hAnsi="Verdana"/>
                <w:b/>
                <w:sz w:val="16"/>
                <w:szCs w:val="16"/>
                <w:lang w:val="en-US"/>
              </w:rPr>
            </w:pPr>
            <w:r w:rsidRPr="00972EF7">
              <w:rPr>
                <w:rFonts w:ascii="Verdana" w:hAnsi="Verdana"/>
                <w:b/>
                <w:sz w:val="16"/>
                <w:szCs w:val="16"/>
                <w:lang w:val="en-US"/>
              </w:rPr>
              <w:t>IV</w:t>
            </w:r>
            <w:proofErr w:type="gramStart"/>
            <w:r w:rsidRPr="00972EF7">
              <w:rPr>
                <w:rFonts w:ascii="Verdana" w:hAnsi="Verdana"/>
                <w:b/>
                <w:sz w:val="16"/>
                <w:szCs w:val="16"/>
                <w:lang w:val="en-US"/>
              </w:rPr>
              <w:t xml:space="preserve">. </w:t>
            </w:r>
            <w:r w:rsidRPr="00972EF7">
              <w:rPr>
                <w:rFonts w:ascii="Verdana" w:hAnsi="Verdana"/>
                <w:b/>
                <w:sz w:val="16"/>
                <w:szCs w:val="16"/>
                <w:lang w:val="en-US"/>
              </w:rPr>
              <w:tab/>
            </w:r>
            <w:r w:rsidRPr="00972EF7">
              <w:rPr>
                <w:rFonts w:ascii="Verdana" w:hAnsi="Verdana"/>
                <w:sz w:val="16"/>
                <w:szCs w:val="16"/>
                <w:lang w:val="en-US"/>
              </w:rPr>
              <w:t>Medium</w:t>
            </w:r>
            <w:proofErr w:type="gramEnd"/>
            <w:r w:rsidRPr="00972EF7">
              <w:rPr>
                <w:rFonts w:ascii="Verdana" w:hAnsi="Verdana"/>
                <w:sz w:val="16"/>
                <w:szCs w:val="16"/>
                <w:lang w:val="en-US"/>
              </w:rPr>
              <w:t xml:space="preserve"> of presentation;</w:t>
            </w:r>
          </w:p>
        </w:tc>
      </w:tr>
      <w:tr w:rsidR="003A38FF" w:rsidRPr="00D83DA2" w14:paraId="1C3BCF14" w14:textId="5DC4A322" w:rsidTr="00FB5DAD">
        <w:tc>
          <w:tcPr>
            <w:tcW w:w="4706" w:type="dxa"/>
          </w:tcPr>
          <w:p w14:paraId="70F904D8" w14:textId="77777777" w:rsidR="003A38FF" w:rsidRPr="00D0180E" w:rsidRDefault="003A38FF" w:rsidP="003A38FF">
            <w:pPr>
              <w:pStyle w:val="Texto"/>
              <w:spacing w:after="76"/>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Procedimiento para la participación de la CNE;</w:t>
            </w:r>
          </w:p>
        </w:tc>
        <w:tc>
          <w:tcPr>
            <w:tcW w:w="4644" w:type="dxa"/>
          </w:tcPr>
          <w:p w14:paraId="5BB33747" w14:textId="07EC30DD" w:rsidR="003A38FF" w:rsidRPr="00972EF7" w:rsidRDefault="003A38FF" w:rsidP="003A38FF">
            <w:pPr>
              <w:pStyle w:val="Texto"/>
              <w:spacing w:after="76"/>
              <w:ind w:firstLine="0"/>
              <w:rPr>
                <w:rFonts w:ascii="Verdana" w:hAnsi="Verdana"/>
                <w:b/>
                <w:sz w:val="16"/>
                <w:szCs w:val="16"/>
                <w:lang w:val="en-US"/>
              </w:rPr>
            </w:pPr>
            <w:r w:rsidRPr="00972EF7">
              <w:rPr>
                <w:rFonts w:ascii="Verdana" w:hAnsi="Verdana"/>
                <w:b/>
                <w:sz w:val="16"/>
                <w:szCs w:val="16"/>
                <w:lang w:val="en-US"/>
              </w:rPr>
              <w:t>V</w:t>
            </w:r>
            <w:proofErr w:type="gramStart"/>
            <w:r w:rsidRPr="00972EF7">
              <w:rPr>
                <w:rFonts w:ascii="Verdana" w:hAnsi="Verdana"/>
                <w:b/>
                <w:sz w:val="16"/>
                <w:szCs w:val="16"/>
                <w:lang w:val="en-US"/>
              </w:rPr>
              <w:t xml:space="preserve">. </w:t>
            </w:r>
            <w:r w:rsidRPr="00972EF7">
              <w:rPr>
                <w:rFonts w:ascii="Verdana" w:hAnsi="Verdana"/>
                <w:b/>
                <w:sz w:val="16"/>
                <w:szCs w:val="16"/>
                <w:lang w:val="en-US"/>
              </w:rPr>
              <w:tab/>
            </w:r>
            <w:r w:rsidRPr="00972EF7">
              <w:rPr>
                <w:rFonts w:ascii="Verdana" w:hAnsi="Verdana"/>
                <w:sz w:val="16"/>
                <w:szCs w:val="16"/>
                <w:lang w:val="en-US"/>
              </w:rPr>
              <w:t>Procedure</w:t>
            </w:r>
            <w:proofErr w:type="gramEnd"/>
            <w:r w:rsidRPr="00972EF7">
              <w:rPr>
                <w:rFonts w:ascii="Verdana" w:hAnsi="Verdana"/>
                <w:sz w:val="16"/>
                <w:szCs w:val="16"/>
                <w:lang w:val="en-US"/>
              </w:rPr>
              <w:t xml:space="preserve"> for the participation of the CNE;</w:t>
            </w:r>
          </w:p>
        </w:tc>
      </w:tr>
      <w:tr w:rsidR="003A38FF" w:rsidRPr="00D83DA2" w14:paraId="0878F70B" w14:textId="055C762A" w:rsidTr="00FB5DAD">
        <w:tc>
          <w:tcPr>
            <w:tcW w:w="4706" w:type="dxa"/>
          </w:tcPr>
          <w:p w14:paraId="3D83E870" w14:textId="77777777" w:rsidR="003A38FF" w:rsidRPr="00D0180E" w:rsidRDefault="003A38FF" w:rsidP="003A38FF">
            <w:pPr>
              <w:pStyle w:val="Texto"/>
              <w:spacing w:after="76"/>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Derechos y obligaciones de la Transportista, la Distribuidora o la Suministradora, según corresponda, y</w:t>
            </w:r>
          </w:p>
        </w:tc>
        <w:tc>
          <w:tcPr>
            <w:tcW w:w="4644" w:type="dxa"/>
          </w:tcPr>
          <w:p w14:paraId="472DD4CB" w14:textId="5ACD280B" w:rsidR="003A38FF" w:rsidRPr="00D0180E" w:rsidRDefault="003A38FF" w:rsidP="003A38FF">
            <w:pPr>
              <w:pStyle w:val="Texto"/>
              <w:spacing w:after="76"/>
              <w:ind w:firstLine="0"/>
              <w:rPr>
                <w:rFonts w:ascii="Verdana" w:hAnsi="Verdana"/>
                <w:b/>
                <w:sz w:val="16"/>
                <w:szCs w:val="16"/>
                <w:lang w:val="en-US"/>
              </w:rPr>
            </w:pPr>
            <w:r w:rsidRPr="006815C5">
              <w:rPr>
                <w:rFonts w:ascii="Verdana" w:hAnsi="Verdana"/>
                <w:b/>
                <w:sz w:val="16"/>
                <w:szCs w:val="16"/>
                <w:lang w:val="en-US"/>
              </w:rPr>
              <w:t>VI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Rights</w:t>
            </w:r>
            <w:proofErr w:type="gramEnd"/>
            <w:r w:rsidRPr="006815C5">
              <w:rPr>
                <w:rFonts w:ascii="Verdana" w:hAnsi="Verdana"/>
                <w:sz w:val="16"/>
                <w:szCs w:val="16"/>
                <w:lang w:val="en-US"/>
              </w:rPr>
              <w:t xml:space="preserve"> and obligations of the carrier, the distributor or the supplier, as appropriate, and</w:t>
            </w:r>
          </w:p>
        </w:tc>
      </w:tr>
      <w:tr w:rsidR="003A38FF" w:rsidRPr="00D83DA2" w14:paraId="4F926F9C" w14:textId="444937AD" w:rsidTr="00FB5DAD">
        <w:tc>
          <w:tcPr>
            <w:tcW w:w="4706" w:type="dxa"/>
          </w:tcPr>
          <w:p w14:paraId="23AA191F" w14:textId="77777777" w:rsidR="003A38FF" w:rsidRPr="00D0180E" w:rsidRDefault="003A38FF" w:rsidP="003A38FF">
            <w:pPr>
              <w:pStyle w:val="Texto"/>
              <w:spacing w:after="76"/>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Otros que faciliten su atención.</w:t>
            </w:r>
          </w:p>
        </w:tc>
        <w:tc>
          <w:tcPr>
            <w:tcW w:w="4644" w:type="dxa"/>
          </w:tcPr>
          <w:p w14:paraId="47E9D013" w14:textId="32238B94" w:rsidR="003A38FF" w:rsidRPr="00D0180E" w:rsidRDefault="003A38FF" w:rsidP="003A38FF">
            <w:pPr>
              <w:pStyle w:val="Texto"/>
              <w:spacing w:after="76"/>
              <w:ind w:firstLine="0"/>
              <w:rPr>
                <w:rFonts w:ascii="Verdana" w:hAnsi="Verdana"/>
                <w:b/>
                <w:sz w:val="16"/>
                <w:szCs w:val="16"/>
                <w:lang w:val="en-US"/>
              </w:rPr>
            </w:pPr>
            <w:r w:rsidRPr="006815C5">
              <w:rPr>
                <w:rFonts w:ascii="Verdana" w:hAnsi="Verdana"/>
                <w:b/>
                <w:sz w:val="16"/>
                <w:szCs w:val="16"/>
                <w:lang w:val="en-US"/>
              </w:rPr>
              <w:t>VII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Others</w:t>
            </w:r>
            <w:proofErr w:type="gramEnd"/>
            <w:r w:rsidRPr="006815C5">
              <w:rPr>
                <w:rFonts w:ascii="Verdana" w:hAnsi="Verdana"/>
                <w:sz w:val="16"/>
                <w:szCs w:val="16"/>
                <w:lang w:val="en-US"/>
              </w:rPr>
              <w:t xml:space="preserve"> that facilitate your care.</w:t>
            </w:r>
          </w:p>
        </w:tc>
      </w:tr>
      <w:tr w:rsidR="003A38FF" w:rsidRPr="00D83DA2" w14:paraId="40B49689" w14:textId="6FE035C7" w:rsidTr="00FB5DAD">
        <w:tc>
          <w:tcPr>
            <w:tcW w:w="4706" w:type="dxa"/>
          </w:tcPr>
          <w:p w14:paraId="3FD09A19" w14:textId="77777777" w:rsidR="003A38FF" w:rsidRPr="00D0180E" w:rsidRDefault="003A38FF" w:rsidP="003A38FF">
            <w:pPr>
              <w:pStyle w:val="Texto"/>
              <w:spacing w:after="76"/>
              <w:ind w:firstLine="0"/>
              <w:rPr>
                <w:rFonts w:ascii="Verdana" w:hAnsi="Verdana"/>
                <w:sz w:val="16"/>
                <w:szCs w:val="16"/>
              </w:rPr>
            </w:pPr>
            <w:r w:rsidRPr="00D0180E">
              <w:rPr>
                <w:rFonts w:ascii="Verdana" w:hAnsi="Verdana"/>
                <w:b/>
                <w:sz w:val="16"/>
                <w:szCs w:val="16"/>
              </w:rPr>
              <w:t>Artículo 110.</w:t>
            </w:r>
            <w:r w:rsidRPr="00D0180E">
              <w:rPr>
                <w:rFonts w:ascii="Verdana" w:hAnsi="Verdana"/>
                <w:sz w:val="16"/>
                <w:szCs w:val="16"/>
              </w:rPr>
              <w:t xml:space="preserve"> El procedimiento para la atención de las quejas a que se refiere la fracción VII del artículo 45 de la Ley, relacionadas con la prestación del Servicio Público de Transmisión y Distribución de Energía Eléctrica, se deben sujetar a lo siguiente:</w:t>
            </w:r>
          </w:p>
        </w:tc>
        <w:tc>
          <w:tcPr>
            <w:tcW w:w="4644" w:type="dxa"/>
          </w:tcPr>
          <w:p w14:paraId="077BFB13" w14:textId="2375FA92" w:rsidR="003A38FF" w:rsidRPr="00D0180E" w:rsidRDefault="003A38FF" w:rsidP="003A38FF">
            <w:pPr>
              <w:pStyle w:val="Texto"/>
              <w:spacing w:after="76"/>
              <w:ind w:firstLine="0"/>
              <w:rPr>
                <w:rFonts w:ascii="Verdana" w:hAnsi="Verdana"/>
                <w:b/>
                <w:sz w:val="16"/>
                <w:szCs w:val="16"/>
                <w:lang w:val="en-US"/>
              </w:rPr>
            </w:pPr>
            <w:r w:rsidRPr="006815C5">
              <w:rPr>
                <w:rFonts w:ascii="Verdana" w:hAnsi="Verdana"/>
                <w:b/>
                <w:sz w:val="16"/>
                <w:szCs w:val="16"/>
                <w:lang w:val="en-US"/>
              </w:rPr>
              <w:t xml:space="preserve">Article 110. </w:t>
            </w:r>
            <w:r w:rsidRPr="006815C5">
              <w:rPr>
                <w:rFonts w:ascii="Verdana" w:hAnsi="Verdana"/>
                <w:sz w:val="16"/>
                <w:szCs w:val="16"/>
                <w:lang w:val="en-US"/>
              </w:rPr>
              <w:t>The procedure for addressing complaints referred to in Section VII of Article 45 of the Law, related to the provision of the public service of transmission and distribution of electric energy, must be subject to the following:</w:t>
            </w:r>
          </w:p>
        </w:tc>
      </w:tr>
      <w:tr w:rsidR="003A38FF" w:rsidRPr="00D83DA2" w14:paraId="74DBF938" w14:textId="3A5BAB0B" w:rsidTr="00FB5DAD">
        <w:tc>
          <w:tcPr>
            <w:tcW w:w="4706" w:type="dxa"/>
          </w:tcPr>
          <w:p w14:paraId="6AFFDD5C" w14:textId="77777777" w:rsidR="003A38FF" w:rsidRPr="00D0180E" w:rsidRDefault="003A38FF" w:rsidP="003A38FF">
            <w:pPr>
              <w:pStyle w:val="Texto"/>
              <w:spacing w:after="76"/>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La Transportista o la Distribuidora deben atender y responder las quejas de las personas usuarias del Servicio Público de Transmisión y Distribución de Energía Eléctrica en un término de diez días hábiles contados a partir del día hábil siguiente a la fecha de notificación de la queja a la Transportista o la Distribuidora;</w:t>
            </w:r>
          </w:p>
        </w:tc>
        <w:tc>
          <w:tcPr>
            <w:tcW w:w="4644" w:type="dxa"/>
          </w:tcPr>
          <w:p w14:paraId="69BDA61A" w14:textId="4F08D4B4" w:rsidR="003A38FF" w:rsidRPr="00D0180E" w:rsidRDefault="003A38FF" w:rsidP="003A38FF">
            <w:pPr>
              <w:pStyle w:val="Texto"/>
              <w:spacing w:after="76"/>
              <w:ind w:firstLine="0"/>
              <w:rPr>
                <w:rFonts w:ascii="Verdana" w:hAnsi="Verdana"/>
                <w:b/>
                <w:sz w:val="16"/>
                <w:szCs w:val="16"/>
                <w:lang w:val="en-US"/>
              </w:rPr>
            </w:pPr>
            <w:r w:rsidRPr="006815C5">
              <w:rPr>
                <w:rFonts w:ascii="Verdana" w:hAnsi="Verdana"/>
                <w:b/>
                <w:sz w:val="16"/>
                <w:szCs w:val="16"/>
                <w:lang w:val="en-US"/>
              </w:rPr>
              <w:t>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transporter or the distributor must attend to and respond to complaints from users of the public service of transmission and distribution of electric energy within a period of ten business days counted from the business day following the date of notification of the complaint to the transporter or the distributor;</w:t>
            </w:r>
          </w:p>
        </w:tc>
      </w:tr>
      <w:tr w:rsidR="003A38FF" w:rsidRPr="00D83DA2" w14:paraId="0E8113A4" w14:textId="2B9A1CDF" w:rsidTr="00FB5DAD">
        <w:tc>
          <w:tcPr>
            <w:tcW w:w="4706" w:type="dxa"/>
          </w:tcPr>
          <w:p w14:paraId="35F4E1A4" w14:textId="77777777" w:rsidR="003A38FF" w:rsidRPr="00D0180E" w:rsidRDefault="003A38FF" w:rsidP="003A38FF">
            <w:pPr>
              <w:pStyle w:val="Texto"/>
              <w:spacing w:after="76"/>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Las quejas pueden presentarse por escrito vía electrónica, física o por conducto de las autoridades del sector eléctrico, previa acreditación de su interés y de su personalidad. La Transportista y la Distribuidora también deben habilitar en sus páginas electrónicas sitios para la presentación de quejas;</w:t>
            </w:r>
          </w:p>
        </w:tc>
        <w:tc>
          <w:tcPr>
            <w:tcW w:w="4644" w:type="dxa"/>
          </w:tcPr>
          <w:p w14:paraId="5252604A" w14:textId="51801908" w:rsidR="003A38FF" w:rsidRPr="00D0180E" w:rsidRDefault="003A38FF" w:rsidP="003A38FF">
            <w:pPr>
              <w:pStyle w:val="Texto"/>
              <w:spacing w:after="76"/>
              <w:ind w:firstLine="0"/>
              <w:rPr>
                <w:rFonts w:ascii="Verdana" w:hAnsi="Verdana"/>
                <w:b/>
                <w:sz w:val="16"/>
                <w:szCs w:val="16"/>
                <w:lang w:val="en-US"/>
              </w:rPr>
            </w:pPr>
            <w:r w:rsidRPr="006815C5">
              <w:rPr>
                <w:rFonts w:ascii="Verdana" w:hAnsi="Verdana"/>
                <w:b/>
                <w:sz w:val="16"/>
                <w:szCs w:val="16"/>
                <w:lang w:val="en-US"/>
              </w:rPr>
              <w:t>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Complaints</w:t>
            </w:r>
            <w:proofErr w:type="gramEnd"/>
            <w:r w:rsidRPr="006815C5">
              <w:rPr>
                <w:rFonts w:ascii="Verdana" w:hAnsi="Verdana"/>
                <w:sz w:val="16"/>
                <w:szCs w:val="16"/>
                <w:lang w:val="en-US"/>
              </w:rPr>
              <w:t xml:space="preserve"> may be submitted in writing, electronically, in person, or through the electricity sector authorities, upon proof of interest and identity. The transmission company and the distributor must also enable complaint-filing sites on their websites;</w:t>
            </w:r>
          </w:p>
        </w:tc>
      </w:tr>
      <w:tr w:rsidR="003A38FF" w:rsidRPr="00D83DA2" w14:paraId="5EC71B1F" w14:textId="3D44E973" w:rsidTr="00FB5DAD">
        <w:tc>
          <w:tcPr>
            <w:tcW w:w="4706" w:type="dxa"/>
          </w:tcPr>
          <w:p w14:paraId="08DB43DD" w14:textId="77777777" w:rsidR="003A38FF" w:rsidRPr="00D0180E" w:rsidRDefault="003A38FF" w:rsidP="003A38FF">
            <w:pPr>
              <w:pStyle w:val="Texto"/>
              <w:spacing w:after="76"/>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Si transcurrido el plazo señalado en la fracción I de este artículo la queja no es atendida, se presumen ciertos los hechos contenidos en ella, y la Transportista y la Distribuidora deben atenderla en sus términos;</w:t>
            </w:r>
          </w:p>
        </w:tc>
        <w:tc>
          <w:tcPr>
            <w:tcW w:w="4644" w:type="dxa"/>
          </w:tcPr>
          <w:p w14:paraId="17BCB034" w14:textId="3C8D28A1" w:rsidR="003A38FF" w:rsidRPr="00D0180E" w:rsidRDefault="003A38FF" w:rsidP="003A38FF">
            <w:pPr>
              <w:pStyle w:val="Texto"/>
              <w:spacing w:after="76"/>
              <w:ind w:firstLine="0"/>
              <w:rPr>
                <w:rFonts w:ascii="Verdana" w:hAnsi="Verdana"/>
                <w:b/>
                <w:sz w:val="16"/>
                <w:szCs w:val="16"/>
                <w:lang w:val="en-US"/>
              </w:rPr>
            </w:pPr>
            <w:r w:rsidRPr="006815C5">
              <w:rPr>
                <w:rFonts w:ascii="Verdana" w:hAnsi="Verdana"/>
                <w:b/>
                <w:sz w:val="16"/>
                <w:szCs w:val="16"/>
                <w:lang w:val="en-US"/>
              </w:rPr>
              <w:t>III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If</w:t>
            </w:r>
            <w:proofErr w:type="gramEnd"/>
            <w:r w:rsidRPr="006815C5">
              <w:rPr>
                <w:rFonts w:ascii="Verdana" w:hAnsi="Verdana"/>
                <w:sz w:val="16"/>
                <w:szCs w:val="16"/>
                <w:lang w:val="en-US"/>
              </w:rPr>
              <w:t xml:space="preserve"> the complaint is not attended to within the period specified in Section I of this article, the facts contained therein are presumed to be true, and the carrier and the distributor must address it in its terms;</w:t>
            </w:r>
          </w:p>
        </w:tc>
      </w:tr>
      <w:tr w:rsidR="003A38FF" w:rsidRPr="00D83DA2" w14:paraId="1BB93CE2" w14:textId="3CC0830C" w:rsidTr="00FB5DAD">
        <w:tc>
          <w:tcPr>
            <w:tcW w:w="4706" w:type="dxa"/>
          </w:tcPr>
          <w:p w14:paraId="17686A0D" w14:textId="77777777" w:rsidR="003A38FF" w:rsidRPr="00D0180E" w:rsidRDefault="003A38FF" w:rsidP="003A38FF">
            <w:pPr>
              <w:pStyle w:val="Texto"/>
              <w:spacing w:after="76"/>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 xml:space="preserve">Si las personas usuarias del Servicio Público de Transmisión y Distribución de Energía Eléctrica no están de acuerdo con la respuesta de la Transportista o la Distribuidora pueden solicitar la intervención de la CNE, mediante el procedimiento establecido para tal efecto en </w:t>
            </w:r>
            <w:r w:rsidRPr="00D0180E">
              <w:rPr>
                <w:rFonts w:ascii="Verdana" w:hAnsi="Verdana"/>
                <w:sz w:val="16"/>
                <w:szCs w:val="16"/>
              </w:rPr>
              <w:lastRenderedPageBreak/>
              <w:t>las condiciones generales para la prestación del servicio correspondiente;</w:t>
            </w:r>
          </w:p>
        </w:tc>
        <w:tc>
          <w:tcPr>
            <w:tcW w:w="4644" w:type="dxa"/>
          </w:tcPr>
          <w:p w14:paraId="40703A20" w14:textId="0AFE44DA" w:rsidR="003A38FF" w:rsidRPr="00D0180E" w:rsidRDefault="003A38FF" w:rsidP="003A38FF">
            <w:pPr>
              <w:pStyle w:val="Texto"/>
              <w:spacing w:after="76"/>
              <w:ind w:firstLine="0"/>
              <w:rPr>
                <w:rFonts w:ascii="Verdana" w:hAnsi="Verdana"/>
                <w:b/>
                <w:sz w:val="16"/>
                <w:szCs w:val="16"/>
                <w:lang w:val="en-US"/>
              </w:rPr>
            </w:pPr>
            <w:r w:rsidRPr="006815C5">
              <w:rPr>
                <w:rFonts w:ascii="Verdana" w:hAnsi="Verdana"/>
                <w:b/>
                <w:sz w:val="16"/>
                <w:szCs w:val="16"/>
                <w:lang w:val="en-US"/>
              </w:rPr>
              <w:lastRenderedPageBreak/>
              <w:t>IV</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If</w:t>
            </w:r>
            <w:proofErr w:type="gramEnd"/>
            <w:r w:rsidRPr="006815C5">
              <w:rPr>
                <w:rFonts w:ascii="Verdana" w:hAnsi="Verdana"/>
                <w:sz w:val="16"/>
                <w:szCs w:val="16"/>
                <w:lang w:val="en-US"/>
              </w:rPr>
              <w:t xml:space="preserve"> users of the public electric power transmission and distribution service do not agree with the response of the transmission company or the distributor, they may request the intervention of the CNE, through the procedure established for this </w:t>
            </w:r>
            <w:r w:rsidRPr="006815C5">
              <w:rPr>
                <w:rFonts w:ascii="Verdana" w:hAnsi="Verdana"/>
                <w:sz w:val="16"/>
                <w:szCs w:val="16"/>
                <w:lang w:val="en-US"/>
              </w:rPr>
              <w:lastRenderedPageBreak/>
              <w:t>purpose in the general conditions for the provision of the corresponding service;</w:t>
            </w:r>
          </w:p>
        </w:tc>
      </w:tr>
      <w:tr w:rsidR="003A38FF" w:rsidRPr="00D83DA2" w14:paraId="2DD9EDBE" w14:textId="2C72C481" w:rsidTr="00FB5DAD">
        <w:tc>
          <w:tcPr>
            <w:tcW w:w="4706" w:type="dxa"/>
          </w:tcPr>
          <w:p w14:paraId="2C615A82" w14:textId="77777777" w:rsidR="003A38FF" w:rsidRPr="00D0180E" w:rsidRDefault="003A38FF" w:rsidP="003A38FF">
            <w:pPr>
              <w:pStyle w:val="Texto"/>
              <w:spacing w:after="76"/>
              <w:ind w:firstLine="0"/>
              <w:rPr>
                <w:rFonts w:ascii="Verdana" w:hAnsi="Verdana"/>
                <w:sz w:val="16"/>
                <w:szCs w:val="16"/>
              </w:rPr>
            </w:pPr>
            <w:r w:rsidRPr="00D0180E">
              <w:rPr>
                <w:rFonts w:ascii="Verdana" w:hAnsi="Verdana"/>
                <w:b/>
                <w:sz w:val="16"/>
                <w:szCs w:val="16"/>
              </w:rPr>
              <w:lastRenderedPageBreak/>
              <w:t>V.</w:t>
            </w:r>
            <w:r w:rsidRPr="00D0180E">
              <w:rPr>
                <w:rFonts w:ascii="Verdana" w:hAnsi="Verdana"/>
                <w:b/>
                <w:sz w:val="16"/>
                <w:szCs w:val="16"/>
              </w:rPr>
              <w:tab/>
            </w:r>
            <w:r w:rsidRPr="00D0180E">
              <w:rPr>
                <w:rFonts w:ascii="Verdana" w:hAnsi="Verdana"/>
                <w:sz w:val="16"/>
                <w:szCs w:val="16"/>
              </w:rPr>
              <w:t>La Transportista y la Distribuidora deben elaborar informes públicos de manera trimestral sobre el número de quejas recibidas y la atención brindada a ellas, agrupadas por materia, y</w:t>
            </w:r>
          </w:p>
        </w:tc>
        <w:tc>
          <w:tcPr>
            <w:tcW w:w="4644" w:type="dxa"/>
          </w:tcPr>
          <w:p w14:paraId="49E94B66" w14:textId="4B2570E6" w:rsidR="003A38FF" w:rsidRPr="00D0180E" w:rsidRDefault="003A38FF" w:rsidP="003A38FF">
            <w:pPr>
              <w:pStyle w:val="Texto"/>
              <w:spacing w:after="76"/>
              <w:ind w:firstLine="0"/>
              <w:rPr>
                <w:rFonts w:ascii="Verdana" w:hAnsi="Verdana"/>
                <w:b/>
                <w:sz w:val="16"/>
                <w:szCs w:val="16"/>
                <w:lang w:val="en-US"/>
              </w:rPr>
            </w:pPr>
            <w:r w:rsidRPr="006815C5">
              <w:rPr>
                <w:rFonts w:ascii="Verdana" w:hAnsi="Verdana"/>
                <w:b/>
                <w:sz w:val="16"/>
                <w:szCs w:val="16"/>
                <w:lang w:val="en-US"/>
              </w:rPr>
              <w:t>V</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carrier and the distributor must prepare public reports on a quarterly basis on the number of complaints received and the attention given to them, grouped by subject matter, and</w:t>
            </w:r>
          </w:p>
        </w:tc>
      </w:tr>
      <w:tr w:rsidR="003A38FF" w:rsidRPr="00D83DA2" w14:paraId="4EF2D72D" w14:textId="15FE6D49" w:rsidTr="00FB5DAD">
        <w:tc>
          <w:tcPr>
            <w:tcW w:w="4706" w:type="dxa"/>
          </w:tcPr>
          <w:p w14:paraId="1C825490" w14:textId="77777777" w:rsidR="003A38FF" w:rsidRPr="00D0180E" w:rsidRDefault="003A38FF" w:rsidP="003A38FF">
            <w:pPr>
              <w:pStyle w:val="Texto"/>
              <w:spacing w:after="76"/>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Los informes a que se refiere esta fracción deben ser tomados en cuenta por la CNE para la determinación del cumplimiento de las condiciones generales para la prestación del Servicio Público de Transmisión y Distribución de Energía Eléctrica, por lo que la CNE puede emitir lineamientos respecto al contenido y elaboración de dicho informe.</w:t>
            </w:r>
          </w:p>
        </w:tc>
        <w:tc>
          <w:tcPr>
            <w:tcW w:w="4644" w:type="dxa"/>
          </w:tcPr>
          <w:p w14:paraId="5CB34C34" w14:textId="61FD3C63" w:rsidR="003A38FF" w:rsidRPr="00D0180E" w:rsidRDefault="003A38FF" w:rsidP="003A38FF">
            <w:pPr>
              <w:pStyle w:val="Texto"/>
              <w:spacing w:after="76"/>
              <w:ind w:firstLine="0"/>
              <w:rPr>
                <w:rFonts w:ascii="Verdana" w:hAnsi="Verdana"/>
                <w:b/>
                <w:sz w:val="16"/>
                <w:szCs w:val="16"/>
                <w:lang w:val="en-US"/>
              </w:rPr>
            </w:pPr>
            <w:r w:rsidRPr="006815C5">
              <w:rPr>
                <w:rFonts w:ascii="Verdana" w:hAnsi="Verdana"/>
                <w:b/>
                <w:sz w:val="16"/>
                <w:szCs w:val="16"/>
                <w:lang w:val="en-US"/>
              </w:rPr>
              <w:t>VI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reports referred to in this section must be </w:t>
            </w:r>
            <w:proofErr w:type="gramStart"/>
            <w:r w:rsidRPr="006815C5">
              <w:rPr>
                <w:rFonts w:ascii="Verdana" w:hAnsi="Verdana"/>
                <w:sz w:val="16"/>
                <w:szCs w:val="16"/>
                <w:lang w:val="en-US"/>
              </w:rPr>
              <w:t>taken into account</w:t>
            </w:r>
            <w:proofErr w:type="gramEnd"/>
            <w:r w:rsidRPr="006815C5">
              <w:rPr>
                <w:rFonts w:ascii="Verdana" w:hAnsi="Verdana"/>
                <w:sz w:val="16"/>
                <w:szCs w:val="16"/>
                <w:lang w:val="en-US"/>
              </w:rPr>
              <w:t xml:space="preserve"> by the CNE to determine compliance with the general conditions for the provision of the public service of transmission and distribution of electric energy, so the CNE may issue guidelines regarding the content and preparation of said report.</w:t>
            </w:r>
          </w:p>
        </w:tc>
      </w:tr>
      <w:tr w:rsidR="003A38FF" w:rsidRPr="00D83DA2" w14:paraId="0A6F8FDC" w14:textId="657F5A0E" w:rsidTr="00FB5DAD">
        <w:tc>
          <w:tcPr>
            <w:tcW w:w="4706" w:type="dxa"/>
          </w:tcPr>
          <w:p w14:paraId="5535C265" w14:textId="77777777" w:rsidR="003A38FF" w:rsidRPr="00D0180E" w:rsidRDefault="003A38FF" w:rsidP="003A38FF">
            <w:pPr>
              <w:pStyle w:val="Texto"/>
              <w:spacing w:after="76"/>
              <w:ind w:firstLine="0"/>
              <w:rPr>
                <w:rFonts w:ascii="Verdana" w:hAnsi="Verdana"/>
                <w:sz w:val="16"/>
                <w:szCs w:val="16"/>
              </w:rPr>
            </w:pPr>
            <w:r w:rsidRPr="00D0180E">
              <w:rPr>
                <w:rFonts w:ascii="Verdana" w:hAnsi="Verdana"/>
                <w:b/>
                <w:sz w:val="16"/>
                <w:szCs w:val="16"/>
              </w:rPr>
              <w:t>Artículo 111.</w:t>
            </w:r>
            <w:r w:rsidRPr="00D0180E">
              <w:rPr>
                <w:rFonts w:ascii="Verdana" w:hAnsi="Verdana"/>
                <w:sz w:val="16"/>
                <w:szCs w:val="16"/>
              </w:rPr>
              <w:t xml:space="preserve"> En la atención de las quejas a que se refiere la fracción XLVI del artículo 11 de la Ley, en las que la Procuraduría Federal del Consumidor no pueda actuar como árbitro o que sean improcedentes ante dicha autoridad, y se trate de la prestación del servicio de Suministro Básico, se debe observar lo siguiente:</w:t>
            </w:r>
          </w:p>
        </w:tc>
        <w:tc>
          <w:tcPr>
            <w:tcW w:w="4644" w:type="dxa"/>
          </w:tcPr>
          <w:p w14:paraId="61AEABE4" w14:textId="1F667EAF" w:rsidR="003A38FF" w:rsidRPr="00D0180E" w:rsidRDefault="003A38FF" w:rsidP="003A38FF">
            <w:pPr>
              <w:pStyle w:val="Texto"/>
              <w:spacing w:after="76"/>
              <w:ind w:firstLine="0"/>
              <w:rPr>
                <w:rFonts w:ascii="Verdana" w:hAnsi="Verdana"/>
                <w:b/>
                <w:sz w:val="16"/>
                <w:szCs w:val="16"/>
                <w:lang w:val="en-US"/>
              </w:rPr>
            </w:pPr>
            <w:r w:rsidRPr="006815C5">
              <w:rPr>
                <w:rFonts w:ascii="Verdana" w:hAnsi="Verdana"/>
                <w:b/>
                <w:sz w:val="16"/>
                <w:szCs w:val="16"/>
                <w:lang w:val="en-US"/>
              </w:rPr>
              <w:t xml:space="preserve">Article 111. </w:t>
            </w:r>
            <w:r w:rsidRPr="006815C5">
              <w:rPr>
                <w:rFonts w:ascii="Verdana" w:hAnsi="Verdana"/>
                <w:sz w:val="16"/>
                <w:szCs w:val="16"/>
                <w:lang w:val="en-US"/>
              </w:rPr>
              <w:t xml:space="preserve">In dealing with complaints referred to in Section XLVI of Article 11 of the Law, in which the Federal </w:t>
            </w:r>
            <w:r>
              <w:rPr>
                <w:rFonts w:ascii="Verdana" w:hAnsi="Verdana"/>
                <w:sz w:val="16"/>
                <w:szCs w:val="16"/>
                <w:lang w:val="en-US"/>
              </w:rPr>
              <w:t xml:space="preserve">Prosecutor for the </w:t>
            </w:r>
            <w:r w:rsidRPr="006815C5">
              <w:rPr>
                <w:rFonts w:ascii="Verdana" w:hAnsi="Verdana"/>
                <w:sz w:val="16"/>
                <w:szCs w:val="16"/>
                <w:lang w:val="en-US"/>
              </w:rPr>
              <w:t xml:space="preserve">Consumer cannot act as </w:t>
            </w:r>
            <w:proofErr w:type="gramStart"/>
            <w:r w:rsidRPr="006815C5">
              <w:rPr>
                <w:rFonts w:ascii="Verdana" w:hAnsi="Verdana"/>
                <w:sz w:val="16"/>
                <w:szCs w:val="16"/>
                <w:lang w:val="en-US"/>
              </w:rPr>
              <w:t>arbitrator</w:t>
            </w:r>
            <w:proofErr w:type="gramEnd"/>
            <w:r w:rsidRPr="006815C5">
              <w:rPr>
                <w:rFonts w:ascii="Verdana" w:hAnsi="Verdana"/>
                <w:sz w:val="16"/>
                <w:szCs w:val="16"/>
                <w:lang w:val="en-US"/>
              </w:rPr>
              <w:t xml:space="preserve"> or which are inadmissible before said authority, and which </w:t>
            </w:r>
            <w:proofErr w:type="gramStart"/>
            <w:r w:rsidRPr="006815C5">
              <w:rPr>
                <w:rFonts w:ascii="Verdana" w:hAnsi="Verdana"/>
                <w:sz w:val="16"/>
                <w:szCs w:val="16"/>
                <w:lang w:val="en-US"/>
              </w:rPr>
              <w:t>concern</w:t>
            </w:r>
            <w:proofErr w:type="gramEnd"/>
            <w:r w:rsidRPr="006815C5">
              <w:rPr>
                <w:rFonts w:ascii="Verdana" w:hAnsi="Verdana"/>
                <w:sz w:val="16"/>
                <w:szCs w:val="16"/>
                <w:lang w:val="en-US"/>
              </w:rPr>
              <w:t xml:space="preserve"> the provision of the basic supply service, the following must be observed:</w:t>
            </w:r>
          </w:p>
        </w:tc>
      </w:tr>
      <w:tr w:rsidR="003A38FF" w:rsidRPr="00D83DA2" w14:paraId="024AD4B4" w14:textId="05053DBF" w:rsidTr="00FB5DAD">
        <w:tc>
          <w:tcPr>
            <w:tcW w:w="4706" w:type="dxa"/>
          </w:tcPr>
          <w:p w14:paraId="74EEA55D" w14:textId="77777777" w:rsidR="003A38FF" w:rsidRPr="00D0180E" w:rsidRDefault="003A38FF" w:rsidP="003A38FF">
            <w:pPr>
              <w:pStyle w:val="Texto"/>
              <w:spacing w:after="76"/>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Las quejas se pueden presentar por las Usuarias Finales dentro del término de un año posterior a la fecha en que haya ocurrido el o los hechos que motivan la queja. La Suministradora debe atender y responder las quejas de las Usuarias Finales en un término de diez días hábiles contados a partir del día hábil siguiente a la fecha en que la queja les fue presentada;</w:t>
            </w:r>
          </w:p>
        </w:tc>
        <w:tc>
          <w:tcPr>
            <w:tcW w:w="4644" w:type="dxa"/>
          </w:tcPr>
          <w:p w14:paraId="351E7BCA" w14:textId="2B9E2976" w:rsidR="003A38FF" w:rsidRPr="00D0180E" w:rsidRDefault="003A38FF" w:rsidP="003A38FF">
            <w:pPr>
              <w:pStyle w:val="Texto"/>
              <w:spacing w:after="76"/>
              <w:ind w:firstLine="0"/>
              <w:rPr>
                <w:rFonts w:ascii="Verdana" w:hAnsi="Verdana"/>
                <w:b/>
                <w:sz w:val="16"/>
                <w:szCs w:val="16"/>
                <w:lang w:val="en-US"/>
              </w:rPr>
            </w:pPr>
            <w:r w:rsidRPr="006815C5">
              <w:rPr>
                <w:rFonts w:ascii="Verdana" w:hAnsi="Verdana"/>
                <w:b/>
                <w:sz w:val="16"/>
                <w:szCs w:val="16"/>
                <w:lang w:val="en-US"/>
              </w:rPr>
              <w:t>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Complaints</w:t>
            </w:r>
            <w:proofErr w:type="gramEnd"/>
            <w:r w:rsidRPr="006815C5">
              <w:rPr>
                <w:rFonts w:ascii="Verdana" w:hAnsi="Verdana"/>
                <w:sz w:val="16"/>
                <w:szCs w:val="16"/>
                <w:lang w:val="en-US"/>
              </w:rPr>
              <w:t xml:space="preserve"> may be filed by end users within one year of the date on which the event(s) giving rise to the complaint occurred. The supplier must address and respond to end user complaints within ten business days from the business day following the date on which the complaint was filed;</w:t>
            </w:r>
          </w:p>
        </w:tc>
      </w:tr>
      <w:tr w:rsidR="003A38FF" w:rsidRPr="00D83DA2" w14:paraId="13640653" w14:textId="6D7FBF15" w:rsidTr="00FB5DAD">
        <w:tc>
          <w:tcPr>
            <w:tcW w:w="4706" w:type="dxa"/>
          </w:tcPr>
          <w:p w14:paraId="0BCEB0DF" w14:textId="77777777" w:rsidR="003A38FF" w:rsidRPr="00D0180E" w:rsidRDefault="003A38FF" w:rsidP="003A38FF">
            <w:pPr>
              <w:pStyle w:val="Texto"/>
              <w:spacing w:after="76"/>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Las quejas deben presentarse en la forma y términos establecidos en las condiciones generales para la prestación del servicio, las cuales pueden incluir, la vía electrónica o telefónica, entre otras;</w:t>
            </w:r>
          </w:p>
        </w:tc>
        <w:tc>
          <w:tcPr>
            <w:tcW w:w="4644" w:type="dxa"/>
          </w:tcPr>
          <w:p w14:paraId="58D28C80" w14:textId="3B1288E7" w:rsidR="003A38FF" w:rsidRPr="00D0180E" w:rsidRDefault="003A38FF" w:rsidP="003A38FF">
            <w:pPr>
              <w:pStyle w:val="Texto"/>
              <w:spacing w:after="76"/>
              <w:ind w:firstLine="0"/>
              <w:rPr>
                <w:rFonts w:ascii="Verdana" w:hAnsi="Verdana"/>
                <w:b/>
                <w:sz w:val="16"/>
                <w:szCs w:val="16"/>
                <w:lang w:val="en-US"/>
              </w:rPr>
            </w:pPr>
            <w:r w:rsidRPr="006815C5">
              <w:rPr>
                <w:rFonts w:ascii="Verdana" w:hAnsi="Verdana"/>
                <w:b/>
                <w:sz w:val="16"/>
                <w:szCs w:val="16"/>
                <w:lang w:val="en-US"/>
              </w:rPr>
              <w:t>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Complaints</w:t>
            </w:r>
            <w:proofErr w:type="gramEnd"/>
            <w:r w:rsidRPr="006815C5">
              <w:rPr>
                <w:rFonts w:ascii="Verdana" w:hAnsi="Verdana"/>
                <w:sz w:val="16"/>
                <w:szCs w:val="16"/>
                <w:lang w:val="en-US"/>
              </w:rPr>
              <w:t xml:space="preserve"> must be submitted in the manner and under the terms established in the general conditions for the provision of the service, which may include, among others, electronic or telephone means;</w:t>
            </w:r>
          </w:p>
        </w:tc>
      </w:tr>
      <w:tr w:rsidR="003A38FF" w:rsidRPr="00D83DA2" w14:paraId="3DD03C42" w14:textId="2064FEB7" w:rsidTr="00FB5DAD">
        <w:tc>
          <w:tcPr>
            <w:tcW w:w="4706" w:type="dxa"/>
          </w:tcPr>
          <w:p w14:paraId="7F53682B" w14:textId="77777777" w:rsidR="003A38FF" w:rsidRPr="00D0180E" w:rsidRDefault="003A38FF" w:rsidP="003A38FF">
            <w:pPr>
              <w:pStyle w:val="Texto"/>
              <w:spacing w:after="76"/>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Las Suministradoras deben tener habilitado una sección de quejas y atención a personas usuarias en sus páginas electrónicas;</w:t>
            </w:r>
          </w:p>
        </w:tc>
        <w:tc>
          <w:tcPr>
            <w:tcW w:w="4644" w:type="dxa"/>
          </w:tcPr>
          <w:p w14:paraId="5D8C81C1" w14:textId="511ADF3B" w:rsidR="003A38FF" w:rsidRPr="00D0180E" w:rsidRDefault="003A38FF" w:rsidP="003A38FF">
            <w:pPr>
              <w:pStyle w:val="Texto"/>
              <w:spacing w:after="76"/>
              <w:ind w:firstLine="0"/>
              <w:rPr>
                <w:rFonts w:ascii="Verdana" w:hAnsi="Verdana"/>
                <w:b/>
                <w:sz w:val="16"/>
                <w:szCs w:val="16"/>
                <w:lang w:val="en-US"/>
              </w:rPr>
            </w:pPr>
            <w:r w:rsidRPr="006815C5">
              <w:rPr>
                <w:rFonts w:ascii="Verdana" w:hAnsi="Verdana"/>
                <w:b/>
                <w:sz w:val="16"/>
                <w:szCs w:val="16"/>
                <w:lang w:val="en-US"/>
              </w:rPr>
              <w:t>III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Suppliers</w:t>
            </w:r>
            <w:proofErr w:type="gramEnd"/>
            <w:r w:rsidRPr="006815C5">
              <w:rPr>
                <w:rFonts w:ascii="Verdana" w:hAnsi="Verdana"/>
                <w:sz w:val="16"/>
                <w:szCs w:val="16"/>
                <w:lang w:val="en-US"/>
              </w:rPr>
              <w:t xml:space="preserve"> must have </w:t>
            </w:r>
            <w:proofErr w:type="gramStart"/>
            <w:r w:rsidRPr="006815C5">
              <w:rPr>
                <w:rFonts w:ascii="Verdana" w:hAnsi="Verdana"/>
                <w:sz w:val="16"/>
                <w:szCs w:val="16"/>
                <w:lang w:val="en-US"/>
              </w:rPr>
              <w:t>a complaints</w:t>
            </w:r>
            <w:proofErr w:type="gramEnd"/>
            <w:r w:rsidRPr="006815C5">
              <w:rPr>
                <w:rFonts w:ascii="Verdana" w:hAnsi="Verdana"/>
                <w:sz w:val="16"/>
                <w:szCs w:val="16"/>
                <w:lang w:val="en-US"/>
              </w:rPr>
              <w:t xml:space="preserve"> and user support section enabled on their websites;</w:t>
            </w:r>
          </w:p>
        </w:tc>
      </w:tr>
      <w:tr w:rsidR="003A38FF" w:rsidRPr="00D83DA2" w14:paraId="5C619BEC" w14:textId="725AA9B1" w:rsidTr="00FB5DAD">
        <w:tc>
          <w:tcPr>
            <w:tcW w:w="4706" w:type="dxa"/>
          </w:tcPr>
          <w:p w14:paraId="78A49128" w14:textId="77777777" w:rsidR="003A38FF" w:rsidRPr="00D0180E" w:rsidRDefault="003A38FF" w:rsidP="003A38FF">
            <w:pPr>
              <w:pStyle w:val="Texto"/>
              <w:spacing w:after="76"/>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Si transcurrido el plazo señalado en la fracción I del presente artículo, la queja no es atendida, se deben tener por ciertos los hechos contenidos en ella, y la Transportista, la Distribuidora y, en su caso, la Suministradora, deben atenderla en sus términos;</w:t>
            </w:r>
          </w:p>
        </w:tc>
        <w:tc>
          <w:tcPr>
            <w:tcW w:w="4644" w:type="dxa"/>
          </w:tcPr>
          <w:p w14:paraId="1B2CF0AD" w14:textId="0CF409C5" w:rsidR="003A38FF" w:rsidRPr="00D0180E" w:rsidRDefault="003A38FF" w:rsidP="003A38FF">
            <w:pPr>
              <w:pStyle w:val="Texto"/>
              <w:spacing w:after="76"/>
              <w:ind w:firstLine="0"/>
              <w:rPr>
                <w:rFonts w:ascii="Verdana" w:hAnsi="Verdana"/>
                <w:b/>
                <w:sz w:val="16"/>
                <w:szCs w:val="16"/>
                <w:lang w:val="en-US"/>
              </w:rPr>
            </w:pPr>
            <w:r w:rsidRPr="006815C5">
              <w:rPr>
                <w:rFonts w:ascii="Verdana" w:hAnsi="Verdana"/>
                <w:b/>
                <w:sz w:val="16"/>
                <w:szCs w:val="16"/>
                <w:lang w:val="en-US"/>
              </w:rPr>
              <w:t>IV</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If</w:t>
            </w:r>
            <w:proofErr w:type="gramEnd"/>
            <w:r w:rsidRPr="006815C5">
              <w:rPr>
                <w:rFonts w:ascii="Verdana" w:hAnsi="Verdana"/>
                <w:sz w:val="16"/>
                <w:szCs w:val="16"/>
                <w:lang w:val="en-US"/>
              </w:rPr>
              <w:t>, after the period specified in Section I of this article has elapsed, the complaint is not addressed, the facts contained therein must be considered true, and the carrier, the distributor and, where applicable, the supplier, must address it in its terms;</w:t>
            </w:r>
          </w:p>
        </w:tc>
      </w:tr>
      <w:tr w:rsidR="003A38FF" w:rsidRPr="00D83DA2" w14:paraId="6388E88D" w14:textId="2619DC9D" w:rsidTr="00FB5DAD">
        <w:tc>
          <w:tcPr>
            <w:tcW w:w="4706" w:type="dxa"/>
          </w:tcPr>
          <w:p w14:paraId="27A79842" w14:textId="77777777" w:rsidR="003A38FF" w:rsidRPr="00D0180E" w:rsidRDefault="003A38FF" w:rsidP="003A38FF">
            <w:pPr>
              <w:pStyle w:val="Texto"/>
              <w:spacing w:after="76"/>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Si la Usuaria Final no está de acuerdo con la respuesta de la Suministradora puede solicitar la intervención de la CNE, y</w:t>
            </w:r>
          </w:p>
        </w:tc>
        <w:tc>
          <w:tcPr>
            <w:tcW w:w="4644" w:type="dxa"/>
          </w:tcPr>
          <w:p w14:paraId="49313C9D" w14:textId="498E8F84" w:rsidR="003A38FF" w:rsidRPr="00D0180E" w:rsidRDefault="003A38FF" w:rsidP="003A38FF">
            <w:pPr>
              <w:pStyle w:val="Texto"/>
              <w:spacing w:after="76"/>
              <w:ind w:firstLine="0"/>
              <w:rPr>
                <w:rFonts w:ascii="Verdana" w:hAnsi="Verdana"/>
                <w:b/>
                <w:sz w:val="16"/>
                <w:szCs w:val="16"/>
                <w:lang w:val="en-US"/>
              </w:rPr>
            </w:pPr>
            <w:r w:rsidRPr="006815C5">
              <w:rPr>
                <w:rFonts w:ascii="Verdana" w:hAnsi="Verdana"/>
                <w:b/>
                <w:sz w:val="16"/>
                <w:szCs w:val="16"/>
                <w:lang w:val="en-US"/>
              </w:rPr>
              <w:t>V</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If</w:t>
            </w:r>
            <w:proofErr w:type="gramEnd"/>
            <w:r w:rsidRPr="006815C5">
              <w:rPr>
                <w:rFonts w:ascii="Verdana" w:hAnsi="Verdana"/>
                <w:sz w:val="16"/>
                <w:szCs w:val="16"/>
                <w:lang w:val="en-US"/>
              </w:rPr>
              <w:t xml:space="preserve"> the end user does not agree with the supplier's response, </w:t>
            </w:r>
            <w:r>
              <w:rPr>
                <w:rFonts w:ascii="Verdana" w:hAnsi="Verdana"/>
                <w:sz w:val="16"/>
                <w:szCs w:val="16"/>
                <w:lang w:val="en-US"/>
              </w:rPr>
              <w:t>he or she</w:t>
            </w:r>
            <w:r w:rsidRPr="006815C5">
              <w:rPr>
                <w:rFonts w:ascii="Verdana" w:hAnsi="Verdana"/>
                <w:sz w:val="16"/>
                <w:szCs w:val="16"/>
                <w:lang w:val="en-US"/>
              </w:rPr>
              <w:t xml:space="preserve"> may request the intervention of the CNE, and</w:t>
            </w:r>
          </w:p>
        </w:tc>
      </w:tr>
      <w:tr w:rsidR="003A38FF" w:rsidRPr="00D83DA2" w14:paraId="5718A453" w14:textId="00EF3B1D" w:rsidTr="00FB5DAD">
        <w:tc>
          <w:tcPr>
            <w:tcW w:w="4706" w:type="dxa"/>
          </w:tcPr>
          <w:p w14:paraId="164E5B7E"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Las Suministradoras deben elaborar un informe público del número de quejas recibidas y la atención brindada a ellas agrupadas según el tipo de queja.</w:t>
            </w:r>
          </w:p>
        </w:tc>
        <w:tc>
          <w:tcPr>
            <w:tcW w:w="4644" w:type="dxa"/>
          </w:tcPr>
          <w:p w14:paraId="74BB8679" w14:textId="5852F8F8" w:rsidR="003A38FF" w:rsidRPr="00D0180E" w:rsidRDefault="003A38FF" w:rsidP="003A38FF">
            <w:pPr>
              <w:pStyle w:val="Texto"/>
              <w:ind w:firstLine="0"/>
              <w:rPr>
                <w:rFonts w:ascii="Verdana" w:hAnsi="Verdana"/>
                <w:b/>
                <w:sz w:val="16"/>
                <w:szCs w:val="16"/>
                <w:lang w:val="en-US"/>
              </w:rPr>
            </w:pPr>
            <w:r w:rsidRPr="006815C5">
              <w:rPr>
                <w:rFonts w:ascii="Verdana" w:hAnsi="Verdana"/>
                <w:b/>
                <w:sz w:val="16"/>
                <w:szCs w:val="16"/>
                <w:lang w:val="en-US"/>
              </w:rPr>
              <w:t>VI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Suppliers</w:t>
            </w:r>
            <w:proofErr w:type="gramEnd"/>
            <w:r w:rsidRPr="006815C5">
              <w:rPr>
                <w:rFonts w:ascii="Verdana" w:hAnsi="Verdana"/>
                <w:sz w:val="16"/>
                <w:szCs w:val="16"/>
                <w:lang w:val="en-US"/>
              </w:rPr>
              <w:t xml:space="preserve"> must prepare a public report on the number of complaints received and the attention provided to them, grouped by type of complaint.</w:t>
            </w:r>
          </w:p>
        </w:tc>
      </w:tr>
      <w:tr w:rsidR="003A38FF" w:rsidRPr="00D83DA2" w14:paraId="23772D04" w14:textId="5922BFFA" w:rsidTr="00FB5DAD">
        <w:tc>
          <w:tcPr>
            <w:tcW w:w="4706" w:type="dxa"/>
          </w:tcPr>
          <w:p w14:paraId="6764DCCA" w14:textId="77777777" w:rsidR="003A38FF" w:rsidRPr="00D0180E" w:rsidRDefault="003A38FF" w:rsidP="003A38FF">
            <w:pPr>
              <w:pStyle w:val="Texto"/>
              <w:spacing w:after="92"/>
              <w:ind w:firstLine="0"/>
              <w:rPr>
                <w:rFonts w:ascii="Verdana" w:hAnsi="Verdana"/>
                <w:b/>
                <w:sz w:val="16"/>
                <w:szCs w:val="16"/>
              </w:rPr>
            </w:pPr>
            <w:r w:rsidRPr="00D0180E">
              <w:rPr>
                <w:rFonts w:ascii="Verdana" w:hAnsi="Verdana"/>
                <w:b/>
                <w:sz w:val="16"/>
                <w:szCs w:val="16"/>
              </w:rPr>
              <w:t xml:space="preserve">Artículo 112. </w:t>
            </w:r>
            <w:r w:rsidRPr="00D0180E">
              <w:rPr>
                <w:rFonts w:ascii="Verdana" w:hAnsi="Verdana"/>
                <w:sz w:val="16"/>
                <w:szCs w:val="16"/>
              </w:rPr>
              <w:t>Cuando la Usuaria Final ingrese una queja ante la CNE, esta se debe tener por presentada, siempre y cuando se cumplan con los requisitos en la forma y términos establecidos en las condiciones generales para la prestación del servicio, lo cual se debe hacer constar, en su caso, en el oficio de admisión a trámite que corresponda.</w:t>
            </w:r>
          </w:p>
        </w:tc>
        <w:tc>
          <w:tcPr>
            <w:tcW w:w="4644" w:type="dxa"/>
          </w:tcPr>
          <w:p w14:paraId="252BAE1E" w14:textId="7E590DD4" w:rsidR="003A38FF" w:rsidRPr="00D0180E" w:rsidRDefault="003A38FF" w:rsidP="003A38FF">
            <w:pPr>
              <w:pStyle w:val="Texto"/>
              <w:spacing w:after="92"/>
              <w:ind w:firstLine="0"/>
              <w:rPr>
                <w:rFonts w:ascii="Verdana" w:hAnsi="Verdana"/>
                <w:b/>
                <w:sz w:val="16"/>
                <w:szCs w:val="16"/>
                <w:lang w:val="en-US"/>
              </w:rPr>
            </w:pPr>
            <w:r w:rsidRPr="006815C5">
              <w:rPr>
                <w:rFonts w:ascii="Verdana" w:hAnsi="Verdana"/>
                <w:b/>
                <w:sz w:val="16"/>
                <w:szCs w:val="16"/>
                <w:lang w:val="en-US"/>
              </w:rPr>
              <w:t xml:space="preserve">Article 112. </w:t>
            </w:r>
            <w:r w:rsidRPr="006815C5">
              <w:rPr>
                <w:rFonts w:ascii="Verdana" w:hAnsi="Verdana"/>
                <w:sz w:val="16"/>
                <w:szCs w:val="16"/>
                <w:lang w:val="en-US"/>
              </w:rPr>
              <w:t>When the end user files a complaint with the CNE, it must be considered filed, provided that the requirements are met in the form and terms established in the general conditions for the provision of the service, which must be stated, where applicable, in the corresponding admission letter for processing.</w:t>
            </w:r>
          </w:p>
        </w:tc>
      </w:tr>
      <w:tr w:rsidR="003A38FF" w:rsidRPr="00D83DA2" w14:paraId="5428FE51" w14:textId="17C375A4" w:rsidTr="00FB5DAD">
        <w:tc>
          <w:tcPr>
            <w:tcW w:w="4706" w:type="dxa"/>
          </w:tcPr>
          <w:p w14:paraId="2E06C10E" w14:textId="77777777" w:rsidR="003A38FF" w:rsidRPr="00D0180E" w:rsidRDefault="003A38FF" w:rsidP="003A38FF">
            <w:pPr>
              <w:pStyle w:val="Texto"/>
              <w:spacing w:after="92"/>
              <w:ind w:firstLine="0"/>
              <w:rPr>
                <w:rFonts w:ascii="Verdana" w:hAnsi="Verdana"/>
                <w:sz w:val="16"/>
                <w:szCs w:val="16"/>
              </w:rPr>
            </w:pPr>
            <w:r w:rsidRPr="00D0180E">
              <w:rPr>
                <w:rFonts w:ascii="Verdana" w:hAnsi="Verdana"/>
                <w:b/>
                <w:sz w:val="16"/>
                <w:szCs w:val="16"/>
              </w:rPr>
              <w:t>Artículo 113.</w:t>
            </w:r>
            <w:r w:rsidRPr="00D0180E">
              <w:rPr>
                <w:rFonts w:ascii="Verdana" w:hAnsi="Verdana"/>
                <w:sz w:val="16"/>
                <w:szCs w:val="16"/>
              </w:rPr>
              <w:t xml:space="preserve"> Cuando existan quejas con respecto a la medición, las lecturas de los medidores que la Usuaria Final hubiera instalado para validar las mediciones del </w:t>
            </w:r>
            <w:r w:rsidRPr="00D0180E">
              <w:rPr>
                <w:rFonts w:ascii="Verdana" w:hAnsi="Verdana"/>
                <w:sz w:val="16"/>
                <w:szCs w:val="16"/>
              </w:rPr>
              <w:lastRenderedPageBreak/>
              <w:t>equipo de la Suministradora o del que le instaló la Transportista o la Distribuidora por cuenta de la Suministradora, pueden ser consideradas como elementos de prueba para la CNE o la Procuraduría Federal del Consumidor, según sea el caso, si así lo consideran adecuado, siempre y cuando exista un contrato de Suministro Eléctrico, el medidor cumpla con la normatividad aplicable y sus lecturas no alteren el debido funcionamiento de los equipos instalados por la Distribuidora, la Suministradora o la Transportista.</w:t>
            </w:r>
          </w:p>
        </w:tc>
        <w:tc>
          <w:tcPr>
            <w:tcW w:w="4644" w:type="dxa"/>
          </w:tcPr>
          <w:p w14:paraId="4084C5A8" w14:textId="5B1DB913" w:rsidR="003A38FF" w:rsidRPr="00D0180E" w:rsidRDefault="003A38FF" w:rsidP="003A38FF">
            <w:pPr>
              <w:pStyle w:val="Texto"/>
              <w:spacing w:after="92"/>
              <w:ind w:firstLine="0"/>
              <w:rPr>
                <w:rFonts w:ascii="Verdana" w:hAnsi="Verdana"/>
                <w:b/>
                <w:sz w:val="16"/>
                <w:szCs w:val="16"/>
                <w:lang w:val="en-US"/>
              </w:rPr>
            </w:pPr>
            <w:r w:rsidRPr="006815C5">
              <w:rPr>
                <w:rFonts w:ascii="Verdana" w:hAnsi="Verdana"/>
                <w:b/>
                <w:sz w:val="16"/>
                <w:szCs w:val="16"/>
                <w:lang w:val="en-US"/>
              </w:rPr>
              <w:lastRenderedPageBreak/>
              <w:t xml:space="preserve">Article 113. </w:t>
            </w:r>
            <w:r w:rsidRPr="006815C5">
              <w:rPr>
                <w:rFonts w:ascii="Verdana" w:hAnsi="Verdana"/>
                <w:sz w:val="16"/>
                <w:szCs w:val="16"/>
                <w:lang w:val="en-US"/>
              </w:rPr>
              <w:t xml:space="preserve">When there are complaints regarding the measurement, the readings of the meters that the end user has installed to validate the measurements of the </w:t>
            </w:r>
            <w:r w:rsidRPr="006815C5">
              <w:rPr>
                <w:rFonts w:ascii="Verdana" w:hAnsi="Verdana"/>
                <w:sz w:val="16"/>
                <w:szCs w:val="16"/>
                <w:lang w:val="en-US"/>
              </w:rPr>
              <w:lastRenderedPageBreak/>
              <w:t xml:space="preserve">supplier's equipment or that the transporter or distributor installed on behalf of the supplier, may be considered as evidence for the CNE or the Federal </w:t>
            </w:r>
            <w:r>
              <w:rPr>
                <w:rFonts w:ascii="Verdana" w:hAnsi="Verdana"/>
                <w:sz w:val="16"/>
                <w:szCs w:val="16"/>
                <w:lang w:val="en-US"/>
              </w:rPr>
              <w:t xml:space="preserve">Prosecutor for the </w:t>
            </w:r>
            <w:r w:rsidRPr="006815C5">
              <w:rPr>
                <w:rFonts w:ascii="Verdana" w:hAnsi="Verdana"/>
                <w:sz w:val="16"/>
                <w:szCs w:val="16"/>
                <w:lang w:val="en-US"/>
              </w:rPr>
              <w:t>Consumer</w:t>
            </w:r>
            <w:r>
              <w:rPr>
                <w:rFonts w:ascii="Verdana" w:hAnsi="Verdana"/>
                <w:sz w:val="16"/>
                <w:szCs w:val="16"/>
                <w:lang w:val="en-US"/>
              </w:rPr>
              <w:t xml:space="preserve"> (PROFECO)</w:t>
            </w:r>
            <w:r w:rsidRPr="006815C5">
              <w:rPr>
                <w:rFonts w:ascii="Verdana" w:hAnsi="Verdana"/>
                <w:sz w:val="16"/>
                <w:szCs w:val="16"/>
                <w:lang w:val="en-US"/>
              </w:rPr>
              <w:t xml:space="preserve">, as the case may be, if they deem it appropriate, provided that there is an electricity supply contract, the meter complies with the </w:t>
            </w:r>
            <w:r>
              <w:rPr>
                <w:rFonts w:ascii="Verdana" w:hAnsi="Verdana"/>
                <w:sz w:val="16"/>
                <w:szCs w:val="16"/>
                <w:lang w:val="en-US"/>
              </w:rPr>
              <w:t>applicable legislation</w:t>
            </w:r>
            <w:r w:rsidRPr="006815C5">
              <w:rPr>
                <w:rFonts w:ascii="Verdana" w:hAnsi="Verdana"/>
                <w:sz w:val="16"/>
                <w:szCs w:val="16"/>
                <w:lang w:val="en-US"/>
              </w:rPr>
              <w:t xml:space="preserve"> and its readings do not alter the proper functioning of the equipment installed by the distributor, the supplier or the transporter.</w:t>
            </w:r>
          </w:p>
        </w:tc>
      </w:tr>
      <w:tr w:rsidR="003A38FF" w:rsidRPr="00D83DA2" w14:paraId="0303D2A7" w14:textId="409F96E6" w:rsidTr="00FB5DAD">
        <w:tc>
          <w:tcPr>
            <w:tcW w:w="4706" w:type="dxa"/>
          </w:tcPr>
          <w:p w14:paraId="43B14729" w14:textId="77777777" w:rsidR="003A38FF" w:rsidRPr="00D0180E" w:rsidRDefault="003A38FF" w:rsidP="003A38FF">
            <w:pPr>
              <w:pStyle w:val="Texto"/>
              <w:spacing w:after="92"/>
              <w:ind w:firstLine="0"/>
              <w:rPr>
                <w:rFonts w:ascii="Verdana" w:hAnsi="Verdana"/>
                <w:sz w:val="16"/>
                <w:szCs w:val="16"/>
              </w:rPr>
            </w:pPr>
            <w:r w:rsidRPr="00D0180E">
              <w:rPr>
                <w:rFonts w:ascii="Verdana" w:hAnsi="Verdana"/>
                <w:sz w:val="16"/>
                <w:szCs w:val="16"/>
              </w:rPr>
              <w:lastRenderedPageBreak/>
              <w:t>Dichas autoridades pueden solicitar que una unidad de inspección debidamente acreditada y aprobada realice la revisión de los medidores instalados por la Distribuidora, la Suministradora o la Transportista. Al emitir su resolución sobre la queja, la CNE o la Procuraduría Federal del Consumidor, según corresponda, debe determinar quién debe pagar el costo de la inspección.</w:t>
            </w:r>
          </w:p>
        </w:tc>
        <w:tc>
          <w:tcPr>
            <w:tcW w:w="4644" w:type="dxa"/>
          </w:tcPr>
          <w:p w14:paraId="456CB95D" w14:textId="1B83EFA2" w:rsidR="003A38FF" w:rsidRPr="00D0180E" w:rsidRDefault="003A38FF" w:rsidP="003A38FF">
            <w:pPr>
              <w:pStyle w:val="Texto"/>
              <w:spacing w:after="92"/>
              <w:ind w:firstLine="0"/>
              <w:rPr>
                <w:rFonts w:ascii="Verdana" w:hAnsi="Verdana"/>
                <w:sz w:val="16"/>
                <w:szCs w:val="16"/>
                <w:lang w:val="en-US"/>
              </w:rPr>
            </w:pPr>
            <w:r w:rsidRPr="006815C5">
              <w:rPr>
                <w:rFonts w:ascii="Verdana" w:hAnsi="Verdana"/>
                <w:sz w:val="16"/>
                <w:szCs w:val="16"/>
                <w:lang w:val="en-US"/>
              </w:rPr>
              <w:t xml:space="preserve">These authorities may request that a duly accredited and approved inspection unit inspect the meters installed by the distributor, supplier, or transporter. When issuing their resolution on the complaint, the CNE or the Federal </w:t>
            </w:r>
            <w:r>
              <w:rPr>
                <w:rFonts w:ascii="Verdana" w:hAnsi="Verdana"/>
                <w:sz w:val="16"/>
                <w:szCs w:val="16"/>
                <w:lang w:val="en-US"/>
              </w:rPr>
              <w:t xml:space="preserve">Prosecutor for the </w:t>
            </w:r>
            <w:r w:rsidRPr="006815C5">
              <w:rPr>
                <w:rFonts w:ascii="Verdana" w:hAnsi="Verdana"/>
                <w:sz w:val="16"/>
                <w:szCs w:val="16"/>
                <w:lang w:val="en-US"/>
              </w:rPr>
              <w:t>Consumer</w:t>
            </w:r>
            <w:r>
              <w:rPr>
                <w:rFonts w:ascii="Verdana" w:hAnsi="Verdana"/>
                <w:sz w:val="16"/>
                <w:szCs w:val="16"/>
                <w:lang w:val="en-US"/>
              </w:rPr>
              <w:t xml:space="preserve"> (PROFECO)</w:t>
            </w:r>
            <w:r w:rsidRPr="006815C5">
              <w:rPr>
                <w:rFonts w:ascii="Verdana" w:hAnsi="Verdana"/>
                <w:sz w:val="16"/>
                <w:szCs w:val="16"/>
                <w:lang w:val="en-US"/>
              </w:rPr>
              <w:t>, as appropriate, must determine who should pay the cost of the inspection.</w:t>
            </w:r>
          </w:p>
        </w:tc>
      </w:tr>
      <w:tr w:rsidR="003A38FF" w:rsidRPr="00D0180E" w14:paraId="71BCF679" w14:textId="77100D62" w:rsidTr="00FB5DAD">
        <w:tc>
          <w:tcPr>
            <w:tcW w:w="4706" w:type="dxa"/>
          </w:tcPr>
          <w:p w14:paraId="44B51394" w14:textId="77777777" w:rsidR="003A38FF" w:rsidRPr="00D0180E" w:rsidRDefault="003A38FF" w:rsidP="003A38FF">
            <w:pPr>
              <w:pStyle w:val="Texto"/>
              <w:spacing w:after="92"/>
              <w:ind w:firstLine="0"/>
              <w:jc w:val="center"/>
              <w:rPr>
                <w:rFonts w:ascii="Verdana" w:hAnsi="Verdana"/>
                <w:b/>
                <w:sz w:val="16"/>
                <w:szCs w:val="16"/>
              </w:rPr>
            </w:pPr>
            <w:r w:rsidRPr="00D0180E">
              <w:rPr>
                <w:rFonts w:ascii="Verdana" w:hAnsi="Verdana"/>
                <w:b/>
                <w:sz w:val="16"/>
                <w:szCs w:val="16"/>
              </w:rPr>
              <w:t>Capítulo VI</w:t>
            </w:r>
          </w:p>
        </w:tc>
        <w:tc>
          <w:tcPr>
            <w:tcW w:w="4644" w:type="dxa"/>
          </w:tcPr>
          <w:p w14:paraId="3DDE5852" w14:textId="31C3C2DA" w:rsidR="003A38FF" w:rsidRPr="00D0180E" w:rsidRDefault="003A38FF" w:rsidP="003A38FF">
            <w:pPr>
              <w:pStyle w:val="Texto"/>
              <w:spacing w:after="92"/>
              <w:ind w:firstLine="0"/>
              <w:jc w:val="center"/>
              <w:rPr>
                <w:rFonts w:ascii="Verdana" w:hAnsi="Verdana"/>
                <w:b/>
                <w:sz w:val="16"/>
                <w:szCs w:val="16"/>
                <w:lang w:val="en-US"/>
              </w:rPr>
            </w:pPr>
            <w:r w:rsidRPr="00D0180E">
              <w:rPr>
                <w:rFonts w:ascii="Verdana" w:hAnsi="Verdana"/>
                <w:b/>
                <w:sz w:val="16"/>
                <w:szCs w:val="16"/>
              </w:rPr>
              <w:t>Chapter VI</w:t>
            </w:r>
          </w:p>
        </w:tc>
      </w:tr>
      <w:tr w:rsidR="003A38FF" w:rsidRPr="00D83DA2" w14:paraId="6A4D3A8A" w14:textId="15EF150A" w:rsidTr="00FB5DAD">
        <w:tc>
          <w:tcPr>
            <w:tcW w:w="4706" w:type="dxa"/>
          </w:tcPr>
          <w:p w14:paraId="79486B67" w14:textId="77777777" w:rsidR="003A38FF" w:rsidRPr="00D0180E" w:rsidRDefault="003A38FF" w:rsidP="003A38FF">
            <w:pPr>
              <w:pStyle w:val="Texto"/>
              <w:spacing w:after="92"/>
              <w:ind w:firstLine="0"/>
              <w:jc w:val="center"/>
              <w:rPr>
                <w:rFonts w:ascii="Verdana" w:hAnsi="Verdana"/>
                <w:b/>
                <w:sz w:val="16"/>
                <w:szCs w:val="16"/>
              </w:rPr>
            </w:pPr>
            <w:r w:rsidRPr="00D0180E">
              <w:rPr>
                <w:rFonts w:ascii="Verdana" w:hAnsi="Verdana"/>
                <w:b/>
                <w:sz w:val="16"/>
                <w:szCs w:val="16"/>
              </w:rPr>
              <w:t>Del Acceso a la Red Nacional de Transmisión y a las Redes Generales de Distribución</w:t>
            </w:r>
          </w:p>
        </w:tc>
        <w:tc>
          <w:tcPr>
            <w:tcW w:w="4644" w:type="dxa"/>
          </w:tcPr>
          <w:p w14:paraId="1006CC8B" w14:textId="3E170122" w:rsidR="003A38FF" w:rsidRPr="00D0180E" w:rsidRDefault="003A38FF" w:rsidP="003A38FF">
            <w:pPr>
              <w:pStyle w:val="Texto"/>
              <w:spacing w:after="92"/>
              <w:ind w:firstLine="0"/>
              <w:jc w:val="center"/>
              <w:rPr>
                <w:rFonts w:ascii="Verdana" w:hAnsi="Verdana"/>
                <w:b/>
                <w:sz w:val="16"/>
                <w:szCs w:val="16"/>
                <w:lang w:val="en-US"/>
              </w:rPr>
            </w:pPr>
            <w:r w:rsidRPr="006815C5">
              <w:rPr>
                <w:rFonts w:ascii="Verdana" w:hAnsi="Verdana"/>
                <w:b/>
                <w:sz w:val="16"/>
                <w:szCs w:val="16"/>
                <w:lang w:val="en-US"/>
              </w:rPr>
              <w:t>Access to the National Transmission Network and the General Distribution Networks</w:t>
            </w:r>
          </w:p>
        </w:tc>
      </w:tr>
      <w:tr w:rsidR="003A38FF" w:rsidRPr="00D83DA2" w14:paraId="317FAFE3" w14:textId="6FE1B4E7" w:rsidTr="00FB5DAD">
        <w:tc>
          <w:tcPr>
            <w:tcW w:w="4706" w:type="dxa"/>
          </w:tcPr>
          <w:p w14:paraId="2FCB9E2B" w14:textId="77777777" w:rsidR="003A38FF" w:rsidRPr="00D0180E" w:rsidRDefault="003A38FF" w:rsidP="003A38FF">
            <w:pPr>
              <w:pStyle w:val="Texto"/>
              <w:spacing w:after="92"/>
              <w:ind w:firstLine="0"/>
              <w:rPr>
                <w:rFonts w:ascii="Verdana" w:hAnsi="Verdana"/>
                <w:sz w:val="16"/>
                <w:szCs w:val="16"/>
              </w:rPr>
            </w:pPr>
            <w:r w:rsidRPr="00D0180E">
              <w:rPr>
                <w:rFonts w:ascii="Verdana" w:hAnsi="Verdana"/>
                <w:b/>
                <w:sz w:val="16"/>
                <w:szCs w:val="16"/>
              </w:rPr>
              <w:t>Artículo 114.</w:t>
            </w:r>
            <w:r w:rsidRPr="00D0180E">
              <w:rPr>
                <w:rFonts w:ascii="Verdana" w:hAnsi="Verdana"/>
                <w:sz w:val="16"/>
                <w:szCs w:val="16"/>
              </w:rPr>
              <w:t xml:space="preserve"> La Transportista y la Distribuidora deben prestar el Servicio Público de Transmisión y Distribución de Energía Eléctrica sujeto a lo previsto en las disposiciones administrativas de carácter general, en términos del artículo 94 del presente reglamento, las cuales, en materia de acceso a las redes, deben contener al menos lo siguiente:</w:t>
            </w:r>
          </w:p>
        </w:tc>
        <w:tc>
          <w:tcPr>
            <w:tcW w:w="4644" w:type="dxa"/>
          </w:tcPr>
          <w:p w14:paraId="40E5FBE7" w14:textId="746D3A89" w:rsidR="003A38FF" w:rsidRPr="00D0180E" w:rsidRDefault="003A38FF" w:rsidP="003A38FF">
            <w:pPr>
              <w:pStyle w:val="Texto"/>
              <w:spacing w:after="92"/>
              <w:ind w:firstLine="0"/>
              <w:rPr>
                <w:rFonts w:ascii="Verdana" w:hAnsi="Verdana"/>
                <w:b/>
                <w:sz w:val="16"/>
                <w:szCs w:val="16"/>
                <w:lang w:val="en-US"/>
              </w:rPr>
            </w:pPr>
            <w:r w:rsidRPr="006815C5">
              <w:rPr>
                <w:rFonts w:ascii="Verdana" w:hAnsi="Verdana"/>
                <w:b/>
                <w:sz w:val="16"/>
                <w:szCs w:val="16"/>
                <w:lang w:val="en-US"/>
              </w:rPr>
              <w:t xml:space="preserve">Article 114. </w:t>
            </w:r>
            <w:r w:rsidRPr="006815C5">
              <w:rPr>
                <w:rFonts w:ascii="Verdana" w:hAnsi="Verdana"/>
                <w:sz w:val="16"/>
                <w:szCs w:val="16"/>
                <w:lang w:val="en-US"/>
              </w:rPr>
              <w:t>The transporter and the distributor must provide the public service of transmission and distribution of electric energy subject to the provisions of the general administrative provisions, in terms of article 94 of this regulation, which, in terms of access to the networks, must contain at least the following:</w:t>
            </w:r>
          </w:p>
        </w:tc>
      </w:tr>
      <w:tr w:rsidR="003A38FF" w:rsidRPr="00D83DA2" w14:paraId="225E50D2" w14:textId="51FD9BAB" w:rsidTr="00FB5DAD">
        <w:tc>
          <w:tcPr>
            <w:tcW w:w="4706" w:type="dxa"/>
          </w:tcPr>
          <w:p w14:paraId="0A8B7042" w14:textId="77777777" w:rsidR="003A38FF" w:rsidRPr="00D0180E" w:rsidRDefault="003A38FF" w:rsidP="003A38FF">
            <w:pPr>
              <w:pStyle w:val="Texto"/>
              <w:spacing w:after="92"/>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Los criterios para permitir la interconexión de las Centrales Eléctricas y conexión de los Centros de Carga a la infraestructura de la Red Nacional de Transmisión y a las Redes Generales de Distribución, deben tomar en cuenta la definición de las Especificaciones Técnicas, las características específicas de la infraestructura requerida y las demás que corresponda determinar al CENACE de acuerdo con la Ley, el presente reglamento, las disposiciones administrativas de carácter general aplicables y las Reglas del Mercado, y</w:t>
            </w:r>
          </w:p>
        </w:tc>
        <w:tc>
          <w:tcPr>
            <w:tcW w:w="4644" w:type="dxa"/>
          </w:tcPr>
          <w:p w14:paraId="0949C54B" w14:textId="21449634" w:rsidR="003A38FF" w:rsidRPr="00D0180E" w:rsidRDefault="003A38FF" w:rsidP="003A38FF">
            <w:pPr>
              <w:pStyle w:val="Texto"/>
              <w:spacing w:after="92"/>
              <w:ind w:firstLine="0"/>
              <w:rPr>
                <w:rFonts w:ascii="Verdana" w:hAnsi="Verdana"/>
                <w:b/>
                <w:sz w:val="16"/>
                <w:szCs w:val="16"/>
                <w:lang w:val="en-US"/>
              </w:rPr>
            </w:pPr>
            <w:r w:rsidRPr="006815C5">
              <w:rPr>
                <w:rFonts w:ascii="Verdana" w:hAnsi="Verdana"/>
                <w:b/>
                <w:sz w:val="16"/>
                <w:szCs w:val="16"/>
                <w:lang w:val="en-US"/>
              </w:rPr>
              <w:t xml:space="preserve">I. </w:t>
            </w:r>
            <w:r w:rsidRPr="006815C5">
              <w:rPr>
                <w:rFonts w:ascii="Verdana" w:hAnsi="Verdana"/>
                <w:b/>
                <w:sz w:val="16"/>
                <w:szCs w:val="16"/>
                <w:lang w:val="en-US"/>
              </w:rPr>
              <w:tab/>
            </w:r>
            <w:r w:rsidRPr="006815C5">
              <w:rPr>
                <w:rFonts w:ascii="Verdana" w:hAnsi="Verdana"/>
                <w:sz w:val="16"/>
                <w:szCs w:val="16"/>
                <w:lang w:val="en-US"/>
              </w:rPr>
              <w:t xml:space="preserve">The criteria to allow the interconnection of the </w:t>
            </w:r>
            <w:r>
              <w:rPr>
                <w:rFonts w:ascii="Verdana" w:hAnsi="Verdana"/>
                <w:sz w:val="16"/>
                <w:szCs w:val="16"/>
                <w:lang w:val="en-US"/>
              </w:rPr>
              <w:t>power plant</w:t>
            </w:r>
            <w:r w:rsidRPr="006815C5">
              <w:rPr>
                <w:rFonts w:ascii="Verdana" w:hAnsi="Verdana"/>
                <w:sz w:val="16"/>
                <w:szCs w:val="16"/>
                <w:lang w:val="en-US"/>
              </w:rPr>
              <w:t>s and the connection of the load centers to the infrastructure of the national transmission network and the general distribution networks, must take into account the definition of the technical specifications, the specific characteristics of the required infrastructure and any others that CENACE must determine in accordance with the Law, this regulation, the applicable general administrative provisions and the market rules, and</w:t>
            </w:r>
          </w:p>
        </w:tc>
      </w:tr>
      <w:tr w:rsidR="003A38FF" w:rsidRPr="00D83DA2" w14:paraId="5888FF49" w14:textId="6E227D60" w:rsidTr="00FB5DAD">
        <w:tc>
          <w:tcPr>
            <w:tcW w:w="4706" w:type="dxa"/>
          </w:tcPr>
          <w:p w14:paraId="174F4EA6" w14:textId="77777777" w:rsidR="003A38FF" w:rsidRPr="00D0180E" w:rsidRDefault="003A38FF" w:rsidP="003A38FF">
            <w:pPr>
              <w:pStyle w:val="Texto"/>
              <w:spacing w:after="92"/>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La información sobre el desempeño de la Transportista y la Distribuidora en la prestación del servicio, de sus redes y las condiciones de operación en la Red Nacional de Transmisión y las Redes Generales de Distribución, debe ser pública, mediante boletines electrónicos u otros medios de acceso electrónico.</w:t>
            </w:r>
          </w:p>
        </w:tc>
        <w:tc>
          <w:tcPr>
            <w:tcW w:w="4644" w:type="dxa"/>
          </w:tcPr>
          <w:p w14:paraId="3C30AF61" w14:textId="2CDD5A03" w:rsidR="003A38FF" w:rsidRPr="00D0180E" w:rsidRDefault="003A38FF" w:rsidP="003A38FF">
            <w:pPr>
              <w:pStyle w:val="Texto"/>
              <w:spacing w:after="92"/>
              <w:ind w:firstLine="0"/>
              <w:rPr>
                <w:rFonts w:ascii="Verdana" w:hAnsi="Verdana"/>
                <w:b/>
                <w:sz w:val="16"/>
                <w:szCs w:val="16"/>
                <w:lang w:val="en-US"/>
              </w:rPr>
            </w:pPr>
            <w:r w:rsidRPr="006815C5">
              <w:rPr>
                <w:rFonts w:ascii="Verdana" w:hAnsi="Verdana"/>
                <w:b/>
                <w:sz w:val="16"/>
                <w:szCs w:val="16"/>
                <w:lang w:val="en-US"/>
              </w:rPr>
              <w:t>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Information</w:t>
            </w:r>
            <w:proofErr w:type="gramEnd"/>
            <w:r w:rsidRPr="006815C5">
              <w:rPr>
                <w:rFonts w:ascii="Verdana" w:hAnsi="Verdana"/>
                <w:sz w:val="16"/>
                <w:szCs w:val="16"/>
                <w:lang w:val="en-US"/>
              </w:rPr>
              <w:t xml:space="preserve"> on the performance of the carrier and distributor in providing the service, their networks, and the operating conditions of the national transmission network and the general distribution networks must be made public, through electronic bulletins or other means of electronic access.</w:t>
            </w:r>
          </w:p>
        </w:tc>
      </w:tr>
      <w:tr w:rsidR="003A38FF" w:rsidRPr="00D83DA2" w14:paraId="63157986" w14:textId="32C4FE78" w:rsidTr="00FB5DAD">
        <w:tc>
          <w:tcPr>
            <w:tcW w:w="4706" w:type="dxa"/>
          </w:tcPr>
          <w:p w14:paraId="1AB66A37" w14:textId="77777777" w:rsidR="003A38FF" w:rsidRPr="00D0180E" w:rsidRDefault="003A38FF" w:rsidP="003A38FF">
            <w:pPr>
              <w:pStyle w:val="Texto"/>
              <w:spacing w:after="92"/>
              <w:ind w:firstLine="0"/>
              <w:rPr>
                <w:rFonts w:ascii="Verdana" w:hAnsi="Verdana"/>
                <w:sz w:val="16"/>
                <w:szCs w:val="16"/>
              </w:rPr>
            </w:pPr>
            <w:r w:rsidRPr="00D0180E">
              <w:rPr>
                <w:rFonts w:ascii="Verdana" w:hAnsi="Verdana"/>
                <w:b/>
                <w:sz w:val="16"/>
                <w:szCs w:val="16"/>
              </w:rPr>
              <w:t>Artículo 115.</w:t>
            </w:r>
            <w:r w:rsidRPr="00D0180E">
              <w:rPr>
                <w:rFonts w:ascii="Verdana" w:hAnsi="Verdana"/>
                <w:sz w:val="16"/>
                <w:szCs w:val="16"/>
              </w:rPr>
              <w:t xml:space="preserve"> La Transportista y la Distribuidora se deben sujetar a las Reglas del Mercado y la regulación que establezca la CNE en coordinación con la Secretaría, en relación con el acceso a la Red Nacional de Transmisión y a las Redes Generales de Distribución, de manera que se garanticen la Accesibilidad, Calidad, Confiabilidad, Continuidad, Eficiencia, Seguridad y Sostenibilidad del Sistema Eléctrico Nacional, en concordancia con los estudios elaborados por el CENACE y bajo condiciones efectivas de acceso, factibilidad </w:t>
            </w:r>
            <w:r w:rsidRPr="00D0180E">
              <w:rPr>
                <w:rFonts w:ascii="Verdana" w:hAnsi="Verdana"/>
                <w:sz w:val="16"/>
                <w:szCs w:val="16"/>
              </w:rPr>
              <w:lastRenderedPageBreak/>
              <w:t>técnica y se propicie el desarrollo y operación eficiente del sector eléctrico.</w:t>
            </w:r>
          </w:p>
        </w:tc>
        <w:tc>
          <w:tcPr>
            <w:tcW w:w="4644" w:type="dxa"/>
          </w:tcPr>
          <w:p w14:paraId="4A632074" w14:textId="68324E75" w:rsidR="003A38FF" w:rsidRPr="00D0180E" w:rsidRDefault="003A38FF" w:rsidP="003A38FF">
            <w:pPr>
              <w:pStyle w:val="Texto"/>
              <w:spacing w:after="92"/>
              <w:ind w:firstLine="0"/>
              <w:rPr>
                <w:rFonts w:ascii="Verdana" w:hAnsi="Verdana"/>
                <w:b/>
                <w:sz w:val="16"/>
                <w:szCs w:val="16"/>
                <w:lang w:val="en-US"/>
              </w:rPr>
            </w:pPr>
            <w:r w:rsidRPr="006815C5">
              <w:rPr>
                <w:rFonts w:ascii="Verdana" w:hAnsi="Verdana"/>
                <w:b/>
                <w:sz w:val="16"/>
                <w:szCs w:val="16"/>
                <w:lang w:val="en-US"/>
              </w:rPr>
              <w:lastRenderedPageBreak/>
              <w:t xml:space="preserve">Article 115. </w:t>
            </w:r>
            <w:r w:rsidRPr="006815C5">
              <w:rPr>
                <w:rFonts w:ascii="Verdana" w:hAnsi="Verdana"/>
                <w:sz w:val="16"/>
                <w:szCs w:val="16"/>
                <w:lang w:val="en-US"/>
              </w:rPr>
              <w:t xml:space="preserve">The transporter and the distributor must comply with the market rules and the Regulation established by the CNE in coordination with the Secretary, in relation to access to the National transmission network and the general distribution networks, in such a way as to guarantee </w:t>
            </w:r>
            <w:r>
              <w:rPr>
                <w:rFonts w:ascii="Verdana" w:hAnsi="Verdana"/>
                <w:sz w:val="16"/>
                <w:szCs w:val="16"/>
                <w:lang w:val="en-US"/>
              </w:rPr>
              <w:t>a</w:t>
            </w:r>
            <w:r w:rsidRPr="006815C5">
              <w:rPr>
                <w:rFonts w:ascii="Verdana" w:hAnsi="Verdana"/>
                <w:sz w:val="16"/>
                <w:szCs w:val="16"/>
                <w:lang w:val="en-US"/>
              </w:rPr>
              <w:t xml:space="preserve">ccessibility, quality, reliability, continuity, efficiency, security and sustainability of the national electric system, in accordance with the studies prepared by CENACE and under effective conditions of access, technical </w:t>
            </w:r>
            <w:r w:rsidRPr="006815C5">
              <w:rPr>
                <w:rFonts w:ascii="Verdana" w:hAnsi="Verdana"/>
                <w:sz w:val="16"/>
                <w:szCs w:val="16"/>
                <w:lang w:val="en-US"/>
              </w:rPr>
              <w:lastRenderedPageBreak/>
              <w:t>feasibility and to promote the development and efficient operation of the electric sector.</w:t>
            </w:r>
          </w:p>
        </w:tc>
      </w:tr>
      <w:tr w:rsidR="003A38FF" w:rsidRPr="00D83DA2" w14:paraId="497C15E1" w14:textId="57E0DA55" w:rsidTr="00FB5DAD">
        <w:tc>
          <w:tcPr>
            <w:tcW w:w="4706" w:type="dxa"/>
          </w:tcPr>
          <w:p w14:paraId="49E3F6B3" w14:textId="77777777" w:rsidR="003A38FF" w:rsidRPr="00D0180E" w:rsidRDefault="003A38FF" w:rsidP="003A38FF">
            <w:pPr>
              <w:pStyle w:val="Texto"/>
              <w:spacing w:after="92"/>
              <w:ind w:firstLine="0"/>
              <w:rPr>
                <w:rFonts w:ascii="Verdana" w:hAnsi="Verdana"/>
                <w:sz w:val="16"/>
                <w:szCs w:val="16"/>
              </w:rPr>
            </w:pPr>
            <w:r w:rsidRPr="00D0180E">
              <w:rPr>
                <w:rFonts w:ascii="Verdana" w:hAnsi="Verdana"/>
                <w:sz w:val="16"/>
                <w:szCs w:val="16"/>
              </w:rPr>
              <w:lastRenderedPageBreak/>
              <w:t>Dicha regulación debe prever los acuerdos, procedimientos y requisitos necesarios para mantener la continuidad operativa entre las actividades que realiza la Empresa Pública del Estado en el sector eléctrico.</w:t>
            </w:r>
          </w:p>
        </w:tc>
        <w:tc>
          <w:tcPr>
            <w:tcW w:w="4644" w:type="dxa"/>
          </w:tcPr>
          <w:p w14:paraId="6824C0B3" w14:textId="3E567DE3" w:rsidR="003A38FF" w:rsidRPr="00D0180E" w:rsidRDefault="003A38FF" w:rsidP="003A38FF">
            <w:pPr>
              <w:pStyle w:val="Texto"/>
              <w:spacing w:after="92"/>
              <w:ind w:firstLine="0"/>
              <w:rPr>
                <w:rFonts w:ascii="Verdana" w:hAnsi="Verdana"/>
                <w:sz w:val="16"/>
                <w:szCs w:val="16"/>
                <w:lang w:val="en-US"/>
              </w:rPr>
            </w:pPr>
            <w:r w:rsidRPr="006815C5">
              <w:rPr>
                <w:rFonts w:ascii="Verdana" w:hAnsi="Verdana"/>
                <w:sz w:val="16"/>
                <w:szCs w:val="16"/>
                <w:lang w:val="en-US"/>
              </w:rPr>
              <w:t>Such Regulation must establish the agreements, procedures, and requirements necessary to maintain operational continuity among the activities carried out by the state-owned public company in the electricity sector.</w:t>
            </w:r>
          </w:p>
        </w:tc>
      </w:tr>
      <w:tr w:rsidR="003A38FF" w:rsidRPr="00D83DA2" w14:paraId="604FC91B" w14:textId="65017A5A" w:rsidTr="00FB5DAD">
        <w:tc>
          <w:tcPr>
            <w:tcW w:w="4706" w:type="dxa"/>
          </w:tcPr>
          <w:p w14:paraId="3860454F" w14:textId="77777777" w:rsidR="003A38FF" w:rsidRPr="00D0180E" w:rsidRDefault="003A38FF" w:rsidP="003A38FF">
            <w:pPr>
              <w:pStyle w:val="Texto"/>
              <w:spacing w:after="92"/>
              <w:ind w:firstLine="0"/>
              <w:rPr>
                <w:rFonts w:ascii="Verdana" w:hAnsi="Verdana"/>
                <w:sz w:val="16"/>
                <w:szCs w:val="16"/>
              </w:rPr>
            </w:pPr>
            <w:r w:rsidRPr="00D0180E">
              <w:rPr>
                <w:rFonts w:ascii="Verdana" w:hAnsi="Verdana"/>
                <w:sz w:val="16"/>
                <w:szCs w:val="16"/>
              </w:rPr>
              <w:t>Cuando la Transportista o la Distribuidora nieguen el acceso al servicio a una persona usuaria cuando sea técnicamente factible y no afecte la Confiabilidad del Sistema Eléctrico Nacional bajo los criterios aprobados y expedidos por la CNE y por el CENACE, la parte afectada puede solicitar por escrito la intervención de la Secretaría y de la CNE en el ámbito de sus respectivas atribuciones.</w:t>
            </w:r>
          </w:p>
        </w:tc>
        <w:tc>
          <w:tcPr>
            <w:tcW w:w="4644" w:type="dxa"/>
          </w:tcPr>
          <w:p w14:paraId="04BFBB0C" w14:textId="29B2F168" w:rsidR="003A38FF" w:rsidRPr="00D0180E" w:rsidRDefault="003A38FF" w:rsidP="003A38FF">
            <w:pPr>
              <w:pStyle w:val="Texto"/>
              <w:spacing w:after="92"/>
              <w:ind w:firstLine="0"/>
              <w:rPr>
                <w:rFonts w:ascii="Verdana" w:hAnsi="Verdana"/>
                <w:sz w:val="16"/>
                <w:szCs w:val="16"/>
                <w:lang w:val="en-US"/>
              </w:rPr>
            </w:pPr>
            <w:r w:rsidRPr="006815C5">
              <w:rPr>
                <w:rFonts w:ascii="Verdana" w:hAnsi="Verdana"/>
                <w:sz w:val="16"/>
                <w:szCs w:val="16"/>
                <w:lang w:val="en-US"/>
              </w:rPr>
              <w:t>When the transmission company or the distributor denies access to the service to a user when it is technically feasible and does not affect the reliability of the national electric system under the criteria approved and issued by the CNE and CENACE, the affected party may request in writing the intervention of the Secretary and the CNE within the scope of their respective powers.</w:t>
            </w:r>
          </w:p>
        </w:tc>
      </w:tr>
      <w:tr w:rsidR="003A38FF" w:rsidRPr="00D83DA2" w14:paraId="70142B2E" w14:textId="4A77617F" w:rsidTr="00FB5DAD">
        <w:tc>
          <w:tcPr>
            <w:tcW w:w="4706" w:type="dxa"/>
          </w:tcPr>
          <w:p w14:paraId="6FE2EFBD" w14:textId="77777777" w:rsidR="003A38FF" w:rsidRPr="00D0180E" w:rsidRDefault="003A38FF" w:rsidP="003A38FF">
            <w:pPr>
              <w:pStyle w:val="Texto"/>
              <w:spacing w:after="92"/>
              <w:ind w:firstLine="0"/>
              <w:rPr>
                <w:rFonts w:ascii="Verdana" w:hAnsi="Verdana"/>
                <w:sz w:val="16"/>
                <w:szCs w:val="16"/>
              </w:rPr>
            </w:pPr>
            <w:r w:rsidRPr="00D0180E">
              <w:rPr>
                <w:rFonts w:ascii="Verdana" w:hAnsi="Verdana"/>
                <w:b/>
                <w:sz w:val="16"/>
                <w:szCs w:val="16"/>
              </w:rPr>
              <w:t>Artículo 116.</w:t>
            </w:r>
            <w:r w:rsidRPr="00D0180E">
              <w:rPr>
                <w:rFonts w:ascii="Verdana" w:hAnsi="Verdana"/>
                <w:sz w:val="16"/>
                <w:szCs w:val="16"/>
              </w:rPr>
              <w:t xml:space="preserve"> La Transportista y la Distribuidora deben llevar a cabo la interconexión de Centrales Eléctricas y la conexión de Centros de Carga a la Red Nacional de Transmisión y a las Redes Generales de Distribución, siempre y cuando sea técnicamente factible y no afecte la Confiabilidad del Sistema Eléctrico Nacional, de conformidad con las condiciones generales que apruebe y expida la CNE, en coordinación con la Secretaría, y en términos de las Reglas del Mercado.</w:t>
            </w:r>
          </w:p>
        </w:tc>
        <w:tc>
          <w:tcPr>
            <w:tcW w:w="4644" w:type="dxa"/>
          </w:tcPr>
          <w:p w14:paraId="60E4306F" w14:textId="1C8CFF08" w:rsidR="003A38FF" w:rsidRPr="00D0180E" w:rsidRDefault="003A38FF" w:rsidP="003A38FF">
            <w:pPr>
              <w:pStyle w:val="Texto"/>
              <w:spacing w:after="92"/>
              <w:ind w:firstLine="0"/>
              <w:rPr>
                <w:rFonts w:ascii="Verdana" w:hAnsi="Verdana"/>
                <w:b/>
                <w:sz w:val="16"/>
                <w:szCs w:val="16"/>
                <w:lang w:val="en-US"/>
              </w:rPr>
            </w:pPr>
            <w:r w:rsidRPr="006815C5">
              <w:rPr>
                <w:rFonts w:ascii="Verdana" w:hAnsi="Verdana"/>
                <w:b/>
                <w:sz w:val="16"/>
                <w:szCs w:val="16"/>
                <w:lang w:val="en-US"/>
              </w:rPr>
              <w:t xml:space="preserve">Article 116. </w:t>
            </w:r>
            <w:r w:rsidRPr="006815C5">
              <w:rPr>
                <w:rFonts w:ascii="Verdana" w:hAnsi="Verdana"/>
                <w:sz w:val="16"/>
                <w:szCs w:val="16"/>
                <w:lang w:val="en-US"/>
              </w:rPr>
              <w:t xml:space="preserve">The transporter and the distributor must carry out the interconnection of </w:t>
            </w:r>
            <w:r>
              <w:rPr>
                <w:rFonts w:ascii="Verdana" w:hAnsi="Verdana"/>
                <w:sz w:val="16"/>
                <w:szCs w:val="16"/>
                <w:lang w:val="en-US"/>
              </w:rPr>
              <w:t>power plant</w:t>
            </w:r>
            <w:r w:rsidRPr="006815C5">
              <w:rPr>
                <w:rFonts w:ascii="Verdana" w:hAnsi="Verdana"/>
                <w:sz w:val="16"/>
                <w:szCs w:val="16"/>
                <w:lang w:val="en-US"/>
              </w:rPr>
              <w:t xml:space="preserve">s and the connection of load centers to the national transmission network and the general distribution networks, as long as it is technically feasible and does not affect the reliability of the </w:t>
            </w:r>
            <w:r>
              <w:rPr>
                <w:rFonts w:ascii="Verdana" w:hAnsi="Verdana"/>
                <w:sz w:val="16"/>
                <w:szCs w:val="16"/>
                <w:lang w:val="en-US"/>
              </w:rPr>
              <w:t>National Electric System</w:t>
            </w:r>
            <w:r w:rsidRPr="006815C5">
              <w:rPr>
                <w:rFonts w:ascii="Verdana" w:hAnsi="Verdana"/>
                <w:sz w:val="16"/>
                <w:szCs w:val="16"/>
                <w:lang w:val="en-US"/>
              </w:rPr>
              <w:t>, in accordance with the general conditions approved and issued by the CNE, in coordination with the Secretary, and in terms of the market rules.</w:t>
            </w:r>
          </w:p>
        </w:tc>
      </w:tr>
      <w:tr w:rsidR="003A38FF" w:rsidRPr="00D83DA2" w14:paraId="5C0A8E72" w14:textId="2D22F05C" w:rsidTr="00FB5DAD">
        <w:tc>
          <w:tcPr>
            <w:tcW w:w="4706" w:type="dxa"/>
          </w:tcPr>
          <w:p w14:paraId="50C977ED" w14:textId="77777777" w:rsidR="003A38FF" w:rsidRPr="00D0180E" w:rsidRDefault="003A38FF" w:rsidP="003A38FF">
            <w:pPr>
              <w:pStyle w:val="Texto"/>
              <w:spacing w:after="92"/>
              <w:ind w:firstLine="0"/>
              <w:rPr>
                <w:rFonts w:ascii="Verdana" w:hAnsi="Verdana"/>
                <w:sz w:val="16"/>
                <w:szCs w:val="16"/>
              </w:rPr>
            </w:pPr>
            <w:r w:rsidRPr="00D0180E">
              <w:rPr>
                <w:rFonts w:ascii="Verdana" w:hAnsi="Verdana"/>
                <w:b/>
                <w:sz w:val="16"/>
                <w:szCs w:val="16"/>
              </w:rPr>
              <w:t>Artículo 117.</w:t>
            </w:r>
            <w:r w:rsidRPr="00D0180E">
              <w:rPr>
                <w:rFonts w:ascii="Verdana" w:hAnsi="Verdana"/>
                <w:sz w:val="16"/>
                <w:szCs w:val="16"/>
              </w:rPr>
              <w:t xml:space="preserve"> La Transportista o la Distribuidora pueden suspender temporalmente los trabajos de conexión o interconexión, conforme a las condiciones generales para la prestación del servicio correspondiente.</w:t>
            </w:r>
          </w:p>
        </w:tc>
        <w:tc>
          <w:tcPr>
            <w:tcW w:w="4644" w:type="dxa"/>
          </w:tcPr>
          <w:p w14:paraId="306BD1B0" w14:textId="733A6359" w:rsidR="003A38FF" w:rsidRPr="00D0180E" w:rsidRDefault="003A38FF" w:rsidP="003A38FF">
            <w:pPr>
              <w:pStyle w:val="Texto"/>
              <w:spacing w:after="92"/>
              <w:ind w:firstLine="0"/>
              <w:rPr>
                <w:rFonts w:ascii="Verdana" w:hAnsi="Verdana"/>
                <w:b/>
                <w:sz w:val="16"/>
                <w:szCs w:val="16"/>
                <w:lang w:val="en-US"/>
              </w:rPr>
            </w:pPr>
            <w:r w:rsidRPr="006815C5">
              <w:rPr>
                <w:rFonts w:ascii="Verdana" w:hAnsi="Verdana"/>
                <w:b/>
                <w:sz w:val="16"/>
                <w:szCs w:val="16"/>
                <w:lang w:val="en-US"/>
              </w:rPr>
              <w:t xml:space="preserve">Article 117. </w:t>
            </w:r>
            <w:r w:rsidRPr="006815C5">
              <w:rPr>
                <w:rFonts w:ascii="Verdana" w:hAnsi="Verdana"/>
                <w:sz w:val="16"/>
                <w:szCs w:val="16"/>
                <w:lang w:val="en-US"/>
              </w:rPr>
              <w:t>The carrier or distributor may temporarily suspend connection or interconnection work, in accordance with the general conditions for the provision of the corresponding service.</w:t>
            </w:r>
          </w:p>
        </w:tc>
      </w:tr>
      <w:tr w:rsidR="003A38FF" w:rsidRPr="00D83DA2" w14:paraId="699DE89E" w14:textId="335825BB" w:rsidTr="00FB5DAD">
        <w:tc>
          <w:tcPr>
            <w:tcW w:w="4706" w:type="dxa"/>
          </w:tcPr>
          <w:p w14:paraId="1C0792F8" w14:textId="77777777" w:rsidR="003A38FF" w:rsidRPr="00D0180E" w:rsidRDefault="003A38FF" w:rsidP="003A38FF">
            <w:pPr>
              <w:pStyle w:val="Texto"/>
              <w:spacing w:after="92"/>
              <w:ind w:firstLine="0"/>
              <w:rPr>
                <w:rFonts w:ascii="Verdana" w:hAnsi="Verdana"/>
                <w:sz w:val="16"/>
                <w:szCs w:val="16"/>
                <w:lang w:val="es"/>
              </w:rPr>
            </w:pPr>
            <w:r w:rsidRPr="00D0180E">
              <w:rPr>
                <w:rFonts w:ascii="Verdana" w:hAnsi="Verdana"/>
                <w:sz w:val="16"/>
                <w:szCs w:val="16"/>
              </w:rPr>
              <w:t xml:space="preserve">Para efectos de lo anterior, la CNE puede iniciar la investigación sobre las causas que originaron la suspensión de los trabajos </w:t>
            </w:r>
            <w:r w:rsidRPr="00D0180E">
              <w:rPr>
                <w:rFonts w:ascii="Verdana" w:hAnsi="Verdana"/>
                <w:sz w:val="16"/>
                <w:szCs w:val="16"/>
                <w:lang w:val="es"/>
              </w:rPr>
              <w:t>y solicitar a estos la información necesaria que permita realizar el análisis correspondiente.</w:t>
            </w:r>
          </w:p>
        </w:tc>
        <w:tc>
          <w:tcPr>
            <w:tcW w:w="4644" w:type="dxa"/>
          </w:tcPr>
          <w:p w14:paraId="57AC33C6" w14:textId="4158DD74" w:rsidR="003A38FF" w:rsidRPr="00D0180E" w:rsidRDefault="003A38FF" w:rsidP="003A38FF">
            <w:pPr>
              <w:pStyle w:val="Texto"/>
              <w:spacing w:after="92"/>
              <w:ind w:firstLine="0"/>
              <w:rPr>
                <w:rFonts w:ascii="Verdana" w:hAnsi="Verdana"/>
                <w:sz w:val="16"/>
                <w:szCs w:val="16"/>
                <w:lang w:val="en-US"/>
              </w:rPr>
            </w:pPr>
            <w:r w:rsidRPr="006815C5">
              <w:rPr>
                <w:rFonts w:ascii="Verdana" w:hAnsi="Verdana"/>
                <w:sz w:val="16"/>
                <w:szCs w:val="16"/>
                <w:lang w:val="en-US"/>
              </w:rPr>
              <w:t>For the purposes of the foregoing, the CNE may initiate an investigation into the causes that led to the suspension of the work and request the necessary information to conduct the corresponding analysis.</w:t>
            </w:r>
          </w:p>
        </w:tc>
      </w:tr>
      <w:tr w:rsidR="003A38FF" w:rsidRPr="00D83DA2" w14:paraId="7E8DF2F9" w14:textId="044B1FA8" w:rsidTr="00FB5DAD">
        <w:tc>
          <w:tcPr>
            <w:tcW w:w="4706" w:type="dxa"/>
          </w:tcPr>
          <w:p w14:paraId="69F1DBE6" w14:textId="77777777" w:rsidR="003A38FF" w:rsidRPr="00D0180E" w:rsidRDefault="003A38FF" w:rsidP="003A38FF">
            <w:pPr>
              <w:pStyle w:val="Texto"/>
              <w:ind w:firstLine="0"/>
              <w:rPr>
                <w:rFonts w:ascii="Verdana" w:hAnsi="Verdana"/>
                <w:sz w:val="16"/>
                <w:szCs w:val="16"/>
              </w:rPr>
            </w:pPr>
            <w:r w:rsidRPr="00D0180E">
              <w:rPr>
                <w:rFonts w:ascii="Verdana" w:hAnsi="Verdana"/>
                <w:sz w:val="16"/>
                <w:szCs w:val="16"/>
              </w:rPr>
              <w:t>La Transportista o la Distribuidora deben aportar la información solicitada en un plazo de diez días hábiles, contado a partir del día en que se le haya notificado el requerimiento de información.</w:t>
            </w:r>
          </w:p>
        </w:tc>
        <w:tc>
          <w:tcPr>
            <w:tcW w:w="4644" w:type="dxa"/>
          </w:tcPr>
          <w:p w14:paraId="510A12A6" w14:textId="44B7B80E" w:rsidR="003A38FF" w:rsidRPr="00D0180E" w:rsidRDefault="003A38FF" w:rsidP="003A38FF">
            <w:pPr>
              <w:pStyle w:val="Texto"/>
              <w:ind w:firstLine="0"/>
              <w:rPr>
                <w:rFonts w:ascii="Verdana" w:hAnsi="Verdana"/>
                <w:sz w:val="16"/>
                <w:szCs w:val="16"/>
                <w:lang w:val="en-US"/>
              </w:rPr>
            </w:pPr>
            <w:r w:rsidRPr="006815C5">
              <w:rPr>
                <w:rFonts w:ascii="Verdana" w:hAnsi="Verdana"/>
                <w:sz w:val="16"/>
                <w:szCs w:val="16"/>
                <w:lang w:val="en-US"/>
              </w:rPr>
              <w:t>The carrier or distributor must provide the requested information within ten business days, counting from the day on which they were notified of the information request.</w:t>
            </w:r>
          </w:p>
        </w:tc>
      </w:tr>
      <w:tr w:rsidR="003A38FF" w:rsidRPr="00D0180E" w14:paraId="2A75E236" w14:textId="0A7A4100" w:rsidTr="00FB5DAD">
        <w:tc>
          <w:tcPr>
            <w:tcW w:w="4706" w:type="dxa"/>
          </w:tcPr>
          <w:p w14:paraId="26AF344B" w14:textId="77777777" w:rsidR="003A38FF" w:rsidRPr="00D0180E" w:rsidRDefault="003A38FF" w:rsidP="003A38FF">
            <w:pPr>
              <w:pStyle w:val="Texto"/>
              <w:spacing w:after="86"/>
              <w:ind w:firstLine="0"/>
              <w:jc w:val="center"/>
              <w:rPr>
                <w:rFonts w:ascii="Verdana" w:hAnsi="Verdana"/>
                <w:b/>
                <w:sz w:val="16"/>
                <w:szCs w:val="16"/>
              </w:rPr>
            </w:pPr>
            <w:r w:rsidRPr="00D0180E">
              <w:rPr>
                <w:rFonts w:ascii="Verdana" w:hAnsi="Verdana"/>
                <w:b/>
                <w:sz w:val="16"/>
                <w:szCs w:val="16"/>
              </w:rPr>
              <w:t>Capítulo VII</w:t>
            </w:r>
          </w:p>
        </w:tc>
        <w:tc>
          <w:tcPr>
            <w:tcW w:w="4644" w:type="dxa"/>
          </w:tcPr>
          <w:p w14:paraId="0F1C568C" w14:textId="3CEFF91A" w:rsidR="003A38FF" w:rsidRPr="00D0180E" w:rsidRDefault="003A38FF" w:rsidP="003A38FF">
            <w:pPr>
              <w:pStyle w:val="Texto"/>
              <w:spacing w:after="86"/>
              <w:ind w:firstLine="0"/>
              <w:jc w:val="center"/>
              <w:rPr>
                <w:rFonts w:ascii="Verdana" w:hAnsi="Verdana"/>
                <w:b/>
                <w:sz w:val="16"/>
                <w:szCs w:val="16"/>
                <w:lang w:val="en-US"/>
              </w:rPr>
            </w:pPr>
            <w:r w:rsidRPr="00D0180E">
              <w:rPr>
                <w:rFonts w:ascii="Verdana" w:hAnsi="Verdana"/>
                <w:b/>
                <w:sz w:val="16"/>
                <w:szCs w:val="16"/>
              </w:rPr>
              <w:t>Chapter VII</w:t>
            </w:r>
          </w:p>
        </w:tc>
      </w:tr>
      <w:tr w:rsidR="003A38FF" w:rsidRPr="00D83DA2" w14:paraId="06EE9B73" w14:textId="4D30FF84" w:rsidTr="00FB5DAD">
        <w:tc>
          <w:tcPr>
            <w:tcW w:w="4706" w:type="dxa"/>
          </w:tcPr>
          <w:p w14:paraId="0773F79B" w14:textId="77777777" w:rsidR="003A38FF" w:rsidRPr="00D0180E" w:rsidRDefault="003A38FF" w:rsidP="003A38FF">
            <w:pPr>
              <w:pStyle w:val="Texto"/>
              <w:spacing w:after="86"/>
              <w:ind w:firstLine="0"/>
              <w:jc w:val="center"/>
              <w:rPr>
                <w:rFonts w:ascii="Verdana" w:hAnsi="Verdana"/>
                <w:b/>
                <w:sz w:val="16"/>
                <w:szCs w:val="16"/>
              </w:rPr>
            </w:pPr>
            <w:r w:rsidRPr="00D0180E">
              <w:rPr>
                <w:rFonts w:ascii="Verdana" w:hAnsi="Verdana"/>
                <w:b/>
                <w:sz w:val="16"/>
                <w:szCs w:val="16"/>
              </w:rPr>
              <w:t>De las Tarifas Eléctricas, los Precios, las Contraprestaciones y los Costos</w:t>
            </w:r>
          </w:p>
        </w:tc>
        <w:tc>
          <w:tcPr>
            <w:tcW w:w="4644" w:type="dxa"/>
          </w:tcPr>
          <w:p w14:paraId="6BC74FCE" w14:textId="571CCA2D" w:rsidR="003A38FF" w:rsidRPr="00D0180E" w:rsidRDefault="003A38FF" w:rsidP="003A38FF">
            <w:pPr>
              <w:pStyle w:val="Texto"/>
              <w:spacing w:after="86"/>
              <w:ind w:firstLine="0"/>
              <w:jc w:val="center"/>
              <w:rPr>
                <w:rFonts w:ascii="Verdana" w:hAnsi="Verdana"/>
                <w:b/>
                <w:sz w:val="16"/>
                <w:szCs w:val="16"/>
                <w:lang w:val="en-US"/>
              </w:rPr>
            </w:pPr>
            <w:r w:rsidRPr="006815C5">
              <w:rPr>
                <w:rFonts w:ascii="Verdana" w:hAnsi="Verdana"/>
                <w:b/>
                <w:sz w:val="16"/>
                <w:szCs w:val="16"/>
                <w:lang w:val="en-US"/>
              </w:rPr>
              <w:t>Electricity Rates, Prices, Considerations and Costs</w:t>
            </w:r>
          </w:p>
        </w:tc>
      </w:tr>
      <w:tr w:rsidR="003A38FF" w:rsidRPr="00D83DA2" w14:paraId="27D4D727" w14:textId="584D7E68" w:rsidTr="00FB5DAD">
        <w:tc>
          <w:tcPr>
            <w:tcW w:w="4706" w:type="dxa"/>
          </w:tcPr>
          <w:p w14:paraId="0ACE4FB7" w14:textId="77777777" w:rsidR="003A38FF" w:rsidRPr="00D0180E" w:rsidRDefault="003A38FF" w:rsidP="003A38FF">
            <w:pPr>
              <w:pStyle w:val="Texto"/>
              <w:spacing w:after="86"/>
              <w:ind w:firstLine="0"/>
              <w:rPr>
                <w:rFonts w:ascii="Verdana" w:hAnsi="Verdana"/>
                <w:sz w:val="16"/>
                <w:szCs w:val="16"/>
              </w:rPr>
            </w:pPr>
            <w:r w:rsidRPr="00D0180E">
              <w:rPr>
                <w:rFonts w:ascii="Verdana" w:hAnsi="Verdana"/>
                <w:b/>
                <w:sz w:val="16"/>
                <w:szCs w:val="16"/>
              </w:rPr>
              <w:t>Artículo 118.</w:t>
            </w:r>
            <w:r w:rsidRPr="00D0180E">
              <w:rPr>
                <w:rFonts w:ascii="Verdana" w:hAnsi="Verdana"/>
                <w:sz w:val="16"/>
                <w:szCs w:val="16"/>
              </w:rPr>
              <w:t xml:space="preserve"> Las Tarifas Eléctricas deben considerar el reconocimiento de los costos de operación, usos propios, mantenimiento, fallas, modernización, inversión, ampliación, expansión del Sistema Eléctrico Nacional y la Justicia Energética, que reflejen Prácticas Prudentes del sector eléctrico. Para lo anterior se debe tomar en cuenta, entre otros, la política en materia de Accesibilidad, Calidad, Confiabilidad, Continuidad, Eficiencia, Seguridad y Sostenibilidad del Sistema Eléctrico Nacional y la planeación vinculante que determine la Secretaría, así como la regulación que emita la CNE.</w:t>
            </w:r>
          </w:p>
        </w:tc>
        <w:tc>
          <w:tcPr>
            <w:tcW w:w="4644" w:type="dxa"/>
          </w:tcPr>
          <w:p w14:paraId="2FF73D44" w14:textId="6E6AAD13" w:rsidR="003A38FF" w:rsidRPr="00D0180E" w:rsidRDefault="003A38FF" w:rsidP="003A38FF">
            <w:pPr>
              <w:pStyle w:val="Texto"/>
              <w:spacing w:after="86"/>
              <w:ind w:firstLine="0"/>
              <w:rPr>
                <w:rFonts w:ascii="Verdana" w:hAnsi="Verdana"/>
                <w:b/>
                <w:sz w:val="16"/>
                <w:szCs w:val="16"/>
                <w:lang w:val="en-US"/>
              </w:rPr>
            </w:pPr>
            <w:r w:rsidRPr="006815C5">
              <w:rPr>
                <w:rFonts w:ascii="Verdana" w:hAnsi="Verdana"/>
                <w:b/>
                <w:sz w:val="16"/>
                <w:szCs w:val="16"/>
                <w:lang w:val="en-US"/>
              </w:rPr>
              <w:t xml:space="preserve">Article 118. </w:t>
            </w:r>
            <w:r w:rsidRPr="006815C5">
              <w:rPr>
                <w:rFonts w:ascii="Verdana" w:hAnsi="Verdana"/>
                <w:sz w:val="16"/>
                <w:szCs w:val="16"/>
                <w:lang w:val="en-US"/>
              </w:rPr>
              <w:t xml:space="preserve">Electricity </w:t>
            </w:r>
            <w:r>
              <w:rPr>
                <w:rFonts w:ascii="Verdana" w:hAnsi="Verdana"/>
                <w:sz w:val="16"/>
                <w:szCs w:val="16"/>
                <w:lang w:val="en-US"/>
              </w:rPr>
              <w:t>r</w:t>
            </w:r>
            <w:r w:rsidRPr="006815C5">
              <w:rPr>
                <w:rFonts w:ascii="Verdana" w:hAnsi="Verdana"/>
                <w:sz w:val="16"/>
                <w:szCs w:val="16"/>
                <w:lang w:val="en-US"/>
              </w:rPr>
              <w:t xml:space="preserve">ates must consider the costs of operation, own uses, maintenance, failures, modernization, investment, expansion, and the expansion of the </w:t>
            </w:r>
            <w:r>
              <w:rPr>
                <w:rFonts w:ascii="Verdana" w:hAnsi="Verdana"/>
                <w:sz w:val="16"/>
                <w:szCs w:val="16"/>
                <w:lang w:val="en-US"/>
              </w:rPr>
              <w:t>National Electric System</w:t>
            </w:r>
            <w:r w:rsidRPr="006815C5">
              <w:rPr>
                <w:rFonts w:ascii="Verdana" w:hAnsi="Verdana"/>
                <w:sz w:val="16"/>
                <w:szCs w:val="16"/>
                <w:lang w:val="en-US"/>
              </w:rPr>
              <w:t xml:space="preserve"> and energy justice, reflecting prudent practices in the electricity sector. </w:t>
            </w:r>
            <w:proofErr w:type="gramStart"/>
            <w:r w:rsidRPr="006815C5">
              <w:rPr>
                <w:rFonts w:ascii="Verdana" w:hAnsi="Verdana"/>
                <w:sz w:val="16"/>
                <w:szCs w:val="16"/>
                <w:lang w:val="en-US"/>
              </w:rPr>
              <w:t>to</w:t>
            </w:r>
            <w:proofErr w:type="gramEnd"/>
            <w:r w:rsidRPr="006815C5">
              <w:rPr>
                <w:rFonts w:ascii="Verdana" w:hAnsi="Verdana"/>
                <w:sz w:val="16"/>
                <w:szCs w:val="16"/>
                <w:lang w:val="en-US"/>
              </w:rPr>
              <w:t xml:space="preserve"> this end, consideration must be given to, among other things, the policy on accessibility, quality, reliability, continuity, efficiency, security, and sustainability of the </w:t>
            </w:r>
            <w:r>
              <w:rPr>
                <w:rFonts w:ascii="Verdana" w:hAnsi="Verdana"/>
                <w:sz w:val="16"/>
                <w:szCs w:val="16"/>
                <w:lang w:val="en-US"/>
              </w:rPr>
              <w:t>National Electric System</w:t>
            </w:r>
            <w:r w:rsidRPr="006815C5">
              <w:rPr>
                <w:rFonts w:ascii="Verdana" w:hAnsi="Verdana"/>
                <w:sz w:val="16"/>
                <w:szCs w:val="16"/>
                <w:lang w:val="en-US"/>
              </w:rPr>
              <w:t xml:space="preserve"> and the binding planning determined by the Secretary, as well as the Regulation issued by the CNE.</w:t>
            </w:r>
          </w:p>
        </w:tc>
      </w:tr>
      <w:tr w:rsidR="003A38FF" w:rsidRPr="00D83DA2" w14:paraId="08DF3A1E" w14:textId="3AF6193E" w:rsidTr="00FB5DAD">
        <w:tc>
          <w:tcPr>
            <w:tcW w:w="4706" w:type="dxa"/>
          </w:tcPr>
          <w:p w14:paraId="2B4ECB6F" w14:textId="77777777" w:rsidR="003A38FF" w:rsidRPr="00D0180E" w:rsidRDefault="003A38FF" w:rsidP="003A38FF">
            <w:pPr>
              <w:pStyle w:val="Texto"/>
              <w:spacing w:after="86"/>
              <w:ind w:firstLine="0"/>
              <w:rPr>
                <w:rFonts w:ascii="Verdana" w:hAnsi="Verdana"/>
                <w:sz w:val="16"/>
                <w:szCs w:val="16"/>
              </w:rPr>
            </w:pPr>
            <w:r w:rsidRPr="00D0180E">
              <w:rPr>
                <w:rFonts w:ascii="Verdana" w:hAnsi="Verdana"/>
                <w:sz w:val="16"/>
                <w:szCs w:val="16"/>
              </w:rPr>
              <w:t xml:space="preserve">La CNE debe expedir, en coordinación con la Secretaría, las disposiciones administrativas de carácter general, </w:t>
            </w:r>
            <w:r w:rsidRPr="00D0180E">
              <w:rPr>
                <w:rFonts w:ascii="Verdana" w:hAnsi="Verdana"/>
                <w:sz w:val="16"/>
                <w:szCs w:val="16"/>
              </w:rPr>
              <w:lastRenderedPageBreak/>
              <w:t>mediante las cuales se establezcan las metodologías para la determinación de las Tarifas Eléctricas, los precios, los costos y los lineamientos de contabilidad regulatoria para la prestación del Servicio Público de Transmisión y Distribución de Energía Eléctrica, así como del Suministro Eléctrico en las modalidades de Suministro Básico y Suministro de Último Recurso y los costos del servicio de operación, investigación, actualización y desarrollo del CENACE.</w:t>
            </w:r>
          </w:p>
        </w:tc>
        <w:tc>
          <w:tcPr>
            <w:tcW w:w="4644" w:type="dxa"/>
          </w:tcPr>
          <w:p w14:paraId="0E333A91" w14:textId="2B34DA03" w:rsidR="003A38FF" w:rsidRPr="00D0180E" w:rsidRDefault="003A38FF" w:rsidP="003A38FF">
            <w:pPr>
              <w:pStyle w:val="Texto"/>
              <w:spacing w:after="86"/>
              <w:ind w:firstLine="0"/>
              <w:rPr>
                <w:rFonts w:ascii="Verdana" w:hAnsi="Verdana"/>
                <w:sz w:val="16"/>
                <w:szCs w:val="16"/>
                <w:lang w:val="en-US"/>
              </w:rPr>
            </w:pPr>
            <w:r w:rsidRPr="006815C5">
              <w:rPr>
                <w:rFonts w:ascii="Verdana" w:hAnsi="Verdana"/>
                <w:sz w:val="16"/>
                <w:szCs w:val="16"/>
                <w:lang w:val="en-US"/>
              </w:rPr>
              <w:lastRenderedPageBreak/>
              <w:t xml:space="preserve">The CNE must issue, in coordination with the Secretary, the general administrative provisions establishing the </w:t>
            </w:r>
            <w:r w:rsidRPr="006815C5">
              <w:rPr>
                <w:rFonts w:ascii="Verdana" w:hAnsi="Verdana"/>
                <w:sz w:val="16"/>
                <w:szCs w:val="16"/>
                <w:lang w:val="en-US"/>
              </w:rPr>
              <w:lastRenderedPageBreak/>
              <w:t>methodologies for determining electricity rates, prices, costs, and regulatory accounting guidelines for the provision of the public service of transmission and distribution of electricity, as well as the electricity supply in the modalities of basic supply and supply of last resort and the costs of the operation, research, updating, and development service of CENACE.</w:t>
            </w:r>
          </w:p>
        </w:tc>
      </w:tr>
      <w:tr w:rsidR="003A38FF" w:rsidRPr="00D83DA2" w14:paraId="0A443862" w14:textId="5E5A7463" w:rsidTr="00FB5DAD">
        <w:tc>
          <w:tcPr>
            <w:tcW w:w="4706" w:type="dxa"/>
          </w:tcPr>
          <w:p w14:paraId="76C54DBD" w14:textId="77777777" w:rsidR="003A38FF" w:rsidRPr="00D0180E" w:rsidRDefault="003A38FF" w:rsidP="003A38FF">
            <w:pPr>
              <w:pStyle w:val="Texto"/>
              <w:spacing w:after="86"/>
              <w:ind w:firstLine="0"/>
              <w:rPr>
                <w:rFonts w:ascii="Verdana" w:hAnsi="Verdana"/>
                <w:sz w:val="16"/>
                <w:szCs w:val="16"/>
              </w:rPr>
            </w:pPr>
            <w:bookmarkStart w:id="7" w:name="N_Hlk206532860"/>
            <w:r w:rsidRPr="00D0180E">
              <w:rPr>
                <w:rFonts w:ascii="Verdana" w:hAnsi="Verdana"/>
                <w:sz w:val="16"/>
                <w:szCs w:val="16"/>
              </w:rPr>
              <w:lastRenderedPageBreak/>
              <w:t>Asimismo, la CNE debe expedir, en coordinación con la Secretaría, las disposiciones administrativas de carácter general, mediante las cuales determine la metodología para establecer las Tarifas Reguladas aplicables a los Servicios Conexos no incluidos en el Mercado Eléctrico Mayorista. El CENACE debe reportar a la CNE los costos de los Servicios Conexos no incluidos en el Mercado Eléctrico Mayorista</w:t>
            </w:r>
            <w:bookmarkEnd w:id="7"/>
            <w:r w:rsidRPr="00D0180E">
              <w:rPr>
                <w:rFonts w:ascii="Verdana" w:hAnsi="Verdana"/>
                <w:sz w:val="16"/>
                <w:szCs w:val="16"/>
              </w:rPr>
              <w:t>.</w:t>
            </w:r>
          </w:p>
        </w:tc>
        <w:tc>
          <w:tcPr>
            <w:tcW w:w="4644" w:type="dxa"/>
          </w:tcPr>
          <w:p w14:paraId="4F2FDE25" w14:textId="3F413B7A" w:rsidR="003A38FF" w:rsidRPr="00D0180E" w:rsidRDefault="003A38FF" w:rsidP="003A38FF">
            <w:pPr>
              <w:pStyle w:val="Texto"/>
              <w:spacing w:after="86"/>
              <w:ind w:firstLine="0"/>
              <w:rPr>
                <w:rFonts w:ascii="Verdana" w:hAnsi="Verdana"/>
                <w:sz w:val="16"/>
                <w:szCs w:val="16"/>
                <w:lang w:val="en-US"/>
              </w:rPr>
            </w:pPr>
            <w:r w:rsidRPr="006815C5">
              <w:rPr>
                <w:rFonts w:ascii="Verdana" w:hAnsi="Verdana"/>
                <w:sz w:val="16"/>
                <w:szCs w:val="16"/>
                <w:lang w:val="en-US"/>
              </w:rPr>
              <w:t>Likewise, the CNE, in coordination with the Secretary, must issue general administrative provisions determining the methodology for establishing the regulated tariffs applicable to related services not included in the wholesale electricity market. CENACE must report to the CNE the costs of related services not included in the wholesale electricity market.</w:t>
            </w:r>
          </w:p>
        </w:tc>
      </w:tr>
      <w:tr w:rsidR="003A38FF" w:rsidRPr="00D83DA2" w14:paraId="3CD89AB1" w14:textId="7A6A05A8" w:rsidTr="00FB5DAD">
        <w:tc>
          <w:tcPr>
            <w:tcW w:w="4706" w:type="dxa"/>
          </w:tcPr>
          <w:p w14:paraId="7633D0A7" w14:textId="77777777" w:rsidR="003A38FF" w:rsidRPr="00D0180E" w:rsidRDefault="003A38FF" w:rsidP="003A38FF">
            <w:pPr>
              <w:pStyle w:val="Texto"/>
              <w:spacing w:after="86"/>
              <w:ind w:firstLine="0"/>
              <w:rPr>
                <w:rFonts w:ascii="Verdana" w:hAnsi="Verdana"/>
                <w:sz w:val="16"/>
                <w:szCs w:val="16"/>
              </w:rPr>
            </w:pPr>
            <w:r w:rsidRPr="00D0180E">
              <w:rPr>
                <w:rFonts w:ascii="Verdana" w:hAnsi="Verdana"/>
                <w:sz w:val="16"/>
                <w:szCs w:val="16"/>
              </w:rPr>
              <w:t>Para las Tarifas Eléctricas, precios, contraprestaciones y costos, la CNE debe establecer, en el ámbito de su competencia, la regulación bajo principios que permitan el desarrollo eficiente y la Confiabilidad del Sistema Eléctrico Nacional, así como un régimen de competencia, que reflejen eficacia, eficiencia, honestidad, productividad, transparencia, rendición de cuentas y Prácticas Prudentes en las decisiones de inversión y operación, que protejan los intereses de las Usuarias Finales. La CNE no debe reconocer las Tarifas Eléctricas, contraprestaciones, precios o costos que se aparten de dichos principios.</w:t>
            </w:r>
          </w:p>
        </w:tc>
        <w:tc>
          <w:tcPr>
            <w:tcW w:w="4644" w:type="dxa"/>
          </w:tcPr>
          <w:p w14:paraId="50680487" w14:textId="73A370D8" w:rsidR="003A38FF" w:rsidRPr="00D0180E" w:rsidRDefault="003A38FF" w:rsidP="003A38FF">
            <w:pPr>
              <w:pStyle w:val="Texto"/>
              <w:spacing w:after="86"/>
              <w:ind w:firstLine="0"/>
              <w:rPr>
                <w:rFonts w:ascii="Verdana" w:hAnsi="Verdana"/>
                <w:sz w:val="16"/>
                <w:szCs w:val="16"/>
                <w:lang w:val="en-US"/>
              </w:rPr>
            </w:pPr>
            <w:r w:rsidRPr="006815C5">
              <w:rPr>
                <w:rFonts w:ascii="Verdana" w:hAnsi="Verdana"/>
                <w:sz w:val="16"/>
                <w:szCs w:val="16"/>
                <w:lang w:val="en-US"/>
              </w:rPr>
              <w:t xml:space="preserve">For electricity rates, prices, compensation, and costs, the CNE must establish, within its jurisdiction, </w:t>
            </w:r>
            <w:r>
              <w:rPr>
                <w:rFonts w:ascii="Verdana" w:hAnsi="Verdana"/>
                <w:sz w:val="16"/>
                <w:szCs w:val="16"/>
                <w:lang w:val="en-US"/>
              </w:rPr>
              <w:t xml:space="preserve">the </w:t>
            </w:r>
            <w:r w:rsidRPr="006815C5">
              <w:rPr>
                <w:rFonts w:ascii="Verdana" w:hAnsi="Verdana"/>
                <w:sz w:val="16"/>
                <w:szCs w:val="16"/>
                <w:lang w:val="en-US"/>
              </w:rPr>
              <w:t xml:space="preserve">Regulation based on principles that allow for the efficient development and reliability of the </w:t>
            </w:r>
            <w:r>
              <w:rPr>
                <w:rFonts w:ascii="Verdana" w:hAnsi="Verdana"/>
                <w:sz w:val="16"/>
                <w:szCs w:val="16"/>
                <w:lang w:val="en-US"/>
              </w:rPr>
              <w:t>National Electric System</w:t>
            </w:r>
            <w:r w:rsidRPr="006815C5">
              <w:rPr>
                <w:rFonts w:ascii="Verdana" w:hAnsi="Verdana"/>
                <w:sz w:val="16"/>
                <w:szCs w:val="16"/>
                <w:lang w:val="en-US"/>
              </w:rPr>
              <w:t>, as well as a competitive regime that reflects effectiveness, efficiency, honesty, productivity, transparency, accountability, and prudent practices in investment and operating decisions, which protect the interests of end users. The CNE must not recognize electricity rates, compensation, prices, or costs that deviate from these principles.</w:t>
            </w:r>
          </w:p>
        </w:tc>
      </w:tr>
      <w:tr w:rsidR="003A38FF" w:rsidRPr="00D83DA2" w14:paraId="66B37D20" w14:textId="41828AAE" w:rsidTr="00FB5DAD">
        <w:tc>
          <w:tcPr>
            <w:tcW w:w="4706" w:type="dxa"/>
          </w:tcPr>
          <w:p w14:paraId="5CB3543D" w14:textId="77777777" w:rsidR="003A38FF" w:rsidRPr="00D0180E" w:rsidRDefault="003A38FF" w:rsidP="003A38FF">
            <w:pPr>
              <w:pStyle w:val="Texto"/>
              <w:spacing w:after="86"/>
              <w:ind w:firstLine="0"/>
              <w:rPr>
                <w:rFonts w:ascii="Verdana" w:hAnsi="Verdana"/>
                <w:sz w:val="16"/>
                <w:szCs w:val="16"/>
              </w:rPr>
            </w:pPr>
            <w:r w:rsidRPr="00D0180E">
              <w:rPr>
                <w:rFonts w:ascii="Verdana" w:hAnsi="Verdana"/>
                <w:sz w:val="16"/>
                <w:szCs w:val="16"/>
              </w:rPr>
              <w:t>Las disposiciones administrativas a que se refiere el párrafo segundo de este artículo deben considerar la contabilidad regulatoria, especificar el catálogo de cuentas y las reglas para el registro contable que, de manera independiente de la contabilidad fiscal, gubernamental o corporativa de las personas reguladas, resulten necesarias para la evaluación del desempeño y verificación en materia de Tarifas Eléctricas, precios, contraprestaciones y costos.</w:t>
            </w:r>
          </w:p>
        </w:tc>
        <w:tc>
          <w:tcPr>
            <w:tcW w:w="4644" w:type="dxa"/>
          </w:tcPr>
          <w:p w14:paraId="480F14AB" w14:textId="4D6FDC3C" w:rsidR="003A38FF" w:rsidRPr="00D0180E" w:rsidRDefault="003A38FF" w:rsidP="003A38FF">
            <w:pPr>
              <w:pStyle w:val="Texto"/>
              <w:spacing w:after="86"/>
              <w:ind w:firstLine="0"/>
              <w:rPr>
                <w:rFonts w:ascii="Verdana" w:hAnsi="Verdana"/>
                <w:sz w:val="16"/>
                <w:szCs w:val="16"/>
                <w:lang w:val="en-US"/>
              </w:rPr>
            </w:pPr>
            <w:r w:rsidRPr="006815C5">
              <w:rPr>
                <w:rFonts w:ascii="Verdana" w:hAnsi="Verdana"/>
                <w:sz w:val="16"/>
                <w:szCs w:val="16"/>
                <w:lang w:val="en-US"/>
              </w:rPr>
              <w:t>The administrative provisions referred to in the second paragraph of this article must consider regulatory accounting, specify the chart of accounts and the rules for accounting records that, independently of the fiscal, governmental or corporate accounting of the regulated persons, are necessary for the evaluation of performance and verification in matters of electricity rates, prices, compensation and costs.</w:t>
            </w:r>
          </w:p>
        </w:tc>
      </w:tr>
      <w:tr w:rsidR="003A38FF" w:rsidRPr="00D83DA2" w14:paraId="7DDEBBFA" w14:textId="0598CDB3" w:rsidTr="00FB5DAD">
        <w:tc>
          <w:tcPr>
            <w:tcW w:w="4706" w:type="dxa"/>
          </w:tcPr>
          <w:p w14:paraId="0ED43415" w14:textId="77777777" w:rsidR="003A38FF" w:rsidRPr="00D0180E" w:rsidRDefault="003A38FF" w:rsidP="003A38FF">
            <w:pPr>
              <w:pStyle w:val="Texto"/>
              <w:spacing w:after="86"/>
              <w:ind w:firstLine="0"/>
              <w:rPr>
                <w:rFonts w:ascii="Verdana" w:hAnsi="Verdana"/>
                <w:sz w:val="16"/>
                <w:szCs w:val="16"/>
              </w:rPr>
            </w:pPr>
            <w:r w:rsidRPr="00D0180E">
              <w:rPr>
                <w:rFonts w:ascii="Verdana" w:hAnsi="Verdana"/>
                <w:sz w:val="16"/>
                <w:szCs w:val="16"/>
              </w:rPr>
              <w:t>En la determinación de las Tarifas Eléctricas, contraprestaciones, precios y costos, la CNE debe emplear las herramientas de evaluación que estime necesarias para lograr sus objetivos regulatorios, para lo cual puede realizar ejercicios comparativos y aplicar los ajustes que estime oportunos, así como emplear indicadores de desempeño, los cuales deben servir para que la Secretaría realice el seguimiento a los valores económicos correspondientes para garantizar la congruencia de los cálculos.</w:t>
            </w:r>
          </w:p>
        </w:tc>
        <w:tc>
          <w:tcPr>
            <w:tcW w:w="4644" w:type="dxa"/>
          </w:tcPr>
          <w:p w14:paraId="5217FCE1" w14:textId="1E08A924" w:rsidR="003A38FF" w:rsidRPr="00D0180E" w:rsidRDefault="003A38FF" w:rsidP="003A38FF">
            <w:pPr>
              <w:pStyle w:val="Texto"/>
              <w:spacing w:after="86"/>
              <w:ind w:firstLine="0"/>
              <w:rPr>
                <w:rFonts w:ascii="Verdana" w:hAnsi="Verdana"/>
                <w:sz w:val="16"/>
                <w:szCs w:val="16"/>
                <w:lang w:val="en-US"/>
              </w:rPr>
            </w:pPr>
            <w:r w:rsidRPr="006815C5">
              <w:rPr>
                <w:rFonts w:ascii="Verdana" w:hAnsi="Verdana"/>
                <w:sz w:val="16"/>
                <w:szCs w:val="16"/>
                <w:lang w:val="en-US"/>
              </w:rPr>
              <w:t>In determining electricity rates, compensation, prices, and costs, the CNE must employ the evaluation tools it deems necessary to achieve its regulatory objectives. To this end, it may conduct comparative exercises and apply any adjustments it deems appropriate. It may also use performance indicators, which the Secretary must use to monitor the corresponding economic values to ensure the consistency of its calculations.</w:t>
            </w:r>
          </w:p>
        </w:tc>
      </w:tr>
      <w:tr w:rsidR="003A38FF" w:rsidRPr="00D83DA2" w14:paraId="4358C1CA" w14:textId="7D4D2E0F" w:rsidTr="00FB5DAD">
        <w:tc>
          <w:tcPr>
            <w:tcW w:w="4706" w:type="dxa"/>
          </w:tcPr>
          <w:p w14:paraId="64DE686B" w14:textId="77777777" w:rsidR="003A38FF" w:rsidRPr="00D0180E" w:rsidRDefault="003A38FF" w:rsidP="003A38FF">
            <w:pPr>
              <w:pStyle w:val="Texto"/>
              <w:spacing w:after="86"/>
              <w:ind w:firstLine="0"/>
              <w:rPr>
                <w:rFonts w:ascii="Verdana" w:hAnsi="Verdana"/>
                <w:sz w:val="16"/>
                <w:szCs w:val="16"/>
              </w:rPr>
            </w:pPr>
            <w:r w:rsidRPr="00D0180E">
              <w:rPr>
                <w:rFonts w:ascii="Verdana" w:hAnsi="Verdana"/>
                <w:sz w:val="16"/>
                <w:szCs w:val="16"/>
              </w:rPr>
              <w:t>La determinación de Tarifas Eléctricas, precios, contraprestaciones o costos que apruebe la CNE, con la validación de la Secretaría, debe permitir que las Usuarias Finales tengan acceso a los servicios en condiciones de Accesibilidad, Calidad, Confiabilidad, Continuidad, Eficiencia, Seguridad y Sostenibilidad, y debe establecer mecanismos que promuevan una demanda y uso racional de los bienes y servicios.</w:t>
            </w:r>
          </w:p>
        </w:tc>
        <w:tc>
          <w:tcPr>
            <w:tcW w:w="4644" w:type="dxa"/>
          </w:tcPr>
          <w:p w14:paraId="14ECEBFD" w14:textId="3399A272" w:rsidR="003A38FF" w:rsidRPr="00D0180E" w:rsidRDefault="003A38FF" w:rsidP="003A38FF">
            <w:pPr>
              <w:pStyle w:val="Texto"/>
              <w:spacing w:after="86"/>
              <w:ind w:firstLine="0"/>
              <w:rPr>
                <w:rFonts w:ascii="Verdana" w:hAnsi="Verdana"/>
                <w:sz w:val="16"/>
                <w:szCs w:val="16"/>
                <w:lang w:val="en-US"/>
              </w:rPr>
            </w:pPr>
            <w:r w:rsidRPr="006815C5">
              <w:rPr>
                <w:rFonts w:ascii="Verdana" w:hAnsi="Verdana"/>
                <w:sz w:val="16"/>
                <w:szCs w:val="16"/>
                <w:lang w:val="en-US"/>
              </w:rPr>
              <w:t xml:space="preserve">The determination of electricity rates, prices, compensation, or costs approved by the CNE, with the validation of the Secretary, must allow end users to access services under conditions of accessibility, quality, </w:t>
            </w:r>
            <w:proofErr w:type="gramStart"/>
            <w:r w:rsidRPr="006815C5">
              <w:rPr>
                <w:rFonts w:ascii="Verdana" w:hAnsi="Verdana"/>
                <w:sz w:val="16"/>
                <w:szCs w:val="16"/>
                <w:lang w:val="en-US"/>
              </w:rPr>
              <w:t>reliability</w:t>
            </w:r>
            <w:proofErr w:type="gramEnd"/>
            <w:r w:rsidRPr="006815C5">
              <w:rPr>
                <w:rFonts w:ascii="Verdana" w:hAnsi="Verdana"/>
                <w:sz w:val="16"/>
                <w:szCs w:val="16"/>
                <w:lang w:val="en-US"/>
              </w:rPr>
              <w:t>, continuity, efficiency, security, and sustainability, and must establish mechanisms that promote rational demand and use of goods and services.</w:t>
            </w:r>
          </w:p>
        </w:tc>
      </w:tr>
      <w:tr w:rsidR="003A38FF" w:rsidRPr="00D83DA2" w14:paraId="44FC5A19" w14:textId="60260A2C" w:rsidTr="00FB5DAD">
        <w:tc>
          <w:tcPr>
            <w:tcW w:w="4706" w:type="dxa"/>
          </w:tcPr>
          <w:p w14:paraId="3F0F31F5" w14:textId="77777777" w:rsidR="003A38FF" w:rsidRPr="00D0180E" w:rsidRDefault="003A38FF" w:rsidP="003A38FF">
            <w:pPr>
              <w:pStyle w:val="Texto"/>
              <w:spacing w:after="86"/>
              <w:ind w:firstLine="0"/>
              <w:rPr>
                <w:rFonts w:ascii="Verdana" w:hAnsi="Verdana"/>
                <w:sz w:val="16"/>
                <w:szCs w:val="16"/>
              </w:rPr>
            </w:pPr>
            <w:r w:rsidRPr="00D0180E">
              <w:rPr>
                <w:rFonts w:ascii="Verdana" w:hAnsi="Verdana"/>
                <w:sz w:val="16"/>
                <w:szCs w:val="16"/>
              </w:rPr>
              <w:lastRenderedPageBreak/>
              <w:t>La CNE debe establecer la regulación a que se refiere el presente artículo y, de ser el caso, puede aplicar Tarifas Eléctricas, precios y contraprestaciones, basados en condiciones de mercado, de acuerdo con las mejores prácticas regulatorias, si ello contribuye con el cumplimiento de los objetivos a que se refiere el párrafo anterior.</w:t>
            </w:r>
          </w:p>
        </w:tc>
        <w:tc>
          <w:tcPr>
            <w:tcW w:w="4644" w:type="dxa"/>
          </w:tcPr>
          <w:p w14:paraId="2E611BD8" w14:textId="2B232F2E" w:rsidR="003A38FF" w:rsidRPr="00D0180E" w:rsidRDefault="003A38FF" w:rsidP="003A38FF">
            <w:pPr>
              <w:pStyle w:val="Texto"/>
              <w:spacing w:after="86"/>
              <w:ind w:firstLine="0"/>
              <w:rPr>
                <w:rFonts w:ascii="Verdana" w:hAnsi="Verdana"/>
                <w:sz w:val="16"/>
                <w:szCs w:val="16"/>
                <w:lang w:val="en-US"/>
              </w:rPr>
            </w:pPr>
            <w:r w:rsidRPr="006815C5">
              <w:rPr>
                <w:rFonts w:ascii="Verdana" w:hAnsi="Verdana"/>
                <w:sz w:val="16"/>
                <w:szCs w:val="16"/>
                <w:lang w:val="en-US"/>
              </w:rPr>
              <w:t xml:space="preserve">The CNE must establish the Regulation referred to in this article and, if applicable, may apply electricity tariffs, prices and compensation based on market conditions, in accordance with best regulatory practices, if this contributes to the </w:t>
            </w:r>
            <w:r>
              <w:rPr>
                <w:rFonts w:ascii="Verdana" w:hAnsi="Verdana"/>
                <w:sz w:val="16"/>
                <w:szCs w:val="16"/>
                <w:lang w:val="en-US"/>
              </w:rPr>
              <w:t>compliance</w:t>
            </w:r>
            <w:r w:rsidRPr="006815C5">
              <w:rPr>
                <w:rFonts w:ascii="Verdana" w:hAnsi="Verdana"/>
                <w:sz w:val="16"/>
                <w:szCs w:val="16"/>
                <w:lang w:val="en-US"/>
              </w:rPr>
              <w:t xml:space="preserve"> of the objectives referred to in the </w:t>
            </w:r>
            <w:r>
              <w:rPr>
                <w:rFonts w:ascii="Verdana" w:hAnsi="Verdana"/>
                <w:sz w:val="16"/>
                <w:szCs w:val="16"/>
                <w:lang w:val="en-US"/>
              </w:rPr>
              <w:t>preceding paragraph</w:t>
            </w:r>
            <w:r w:rsidRPr="006815C5">
              <w:rPr>
                <w:rFonts w:ascii="Verdana" w:hAnsi="Verdana"/>
                <w:sz w:val="16"/>
                <w:szCs w:val="16"/>
                <w:lang w:val="en-US"/>
              </w:rPr>
              <w:t>.</w:t>
            </w:r>
          </w:p>
        </w:tc>
      </w:tr>
      <w:tr w:rsidR="003A38FF" w:rsidRPr="00D83DA2" w14:paraId="03AA04F0" w14:textId="5E75E97C" w:rsidTr="00FB5DAD">
        <w:tc>
          <w:tcPr>
            <w:tcW w:w="4706" w:type="dxa"/>
          </w:tcPr>
          <w:p w14:paraId="20193F9C" w14:textId="77777777" w:rsidR="003A38FF" w:rsidRPr="00D0180E" w:rsidRDefault="003A38FF" w:rsidP="003A38FF">
            <w:pPr>
              <w:pStyle w:val="Texto"/>
              <w:spacing w:after="86"/>
              <w:ind w:firstLine="0"/>
              <w:rPr>
                <w:rFonts w:ascii="Verdana" w:hAnsi="Verdana"/>
                <w:sz w:val="16"/>
                <w:szCs w:val="16"/>
              </w:rPr>
            </w:pPr>
            <w:r w:rsidRPr="00D0180E">
              <w:rPr>
                <w:rFonts w:ascii="Verdana" w:hAnsi="Verdana"/>
                <w:sz w:val="16"/>
                <w:szCs w:val="16"/>
              </w:rPr>
              <w:t>La CNE, en el ámbito de su competencia, puede requerir en los términos y formatos que al efecto determine, la información técnica, económica, financiera y de costos, aportaciones, condiciones de operación y demás elementos que permitan valorar el riesgo de las actividades, la evolución de costos y subsidios, así como el desempeño y la calidad de la prestación del servicio, para efectos de la estructura tarifaria y, en su caso, sus ajustes.</w:t>
            </w:r>
          </w:p>
        </w:tc>
        <w:tc>
          <w:tcPr>
            <w:tcW w:w="4644" w:type="dxa"/>
          </w:tcPr>
          <w:p w14:paraId="6C8B26D7" w14:textId="2D218F7E" w:rsidR="003A38FF" w:rsidRPr="00D0180E" w:rsidRDefault="003A38FF" w:rsidP="003A38FF">
            <w:pPr>
              <w:pStyle w:val="Texto"/>
              <w:spacing w:after="86"/>
              <w:ind w:firstLine="0"/>
              <w:rPr>
                <w:rFonts w:ascii="Verdana" w:hAnsi="Verdana"/>
                <w:sz w:val="16"/>
                <w:szCs w:val="16"/>
                <w:lang w:val="en-US"/>
              </w:rPr>
            </w:pPr>
            <w:r w:rsidRPr="006815C5">
              <w:rPr>
                <w:rFonts w:ascii="Verdana" w:hAnsi="Verdana"/>
                <w:sz w:val="16"/>
                <w:szCs w:val="16"/>
                <w:lang w:val="en-US"/>
              </w:rPr>
              <w:t xml:space="preserve">The CNE, within its jurisdiction, may request, </w:t>
            </w:r>
            <w:r>
              <w:rPr>
                <w:rFonts w:ascii="Verdana" w:hAnsi="Verdana"/>
                <w:sz w:val="16"/>
                <w:szCs w:val="16"/>
                <w:lang w:val="en-US"/>
              </w:rPr>
              <w:t>under the terms</w:t>
            </w:r>
            <w:r w:rsidRPr="006815C5">
              <w:rPr>
                <w:rFonts w:ascii="Verdana" w:hAnsi="Verdana"/>
                <w:sz w:val="16"/>
                <w:szCs w:val="16"/>
                <w:lang w:val="en-US"/>
              </w:rPr>
              <w:t xml:space="preserve"> and formats it determines, technical, economic, financial, and cost information, contributions, operating conditions, and other elements that allow for an assessment of the risk of activities, the evolution of costs and subsidies, as well as the performance and quality of service provision, for the purposes of the tariff structure and, where appropriate, its adjustments.</w:t>
            </w:r>
          </w:p>
        </w:tc>
      </w:tr>
      <w:tr w:rsidR="003A38FF" w:rsidRPr="00D83DA2" w14:paraId="17B4C398" w14:textId="315DFC6B" w:rsidTr="00FB5DAD">
        <w:tc>
          <w:tcPr>
            <w:tcW w:w="4706" w:type="dxa"/>
          </w:tcPr>
          <w:p w14:paraId="2C8C26AF" w14:textId="77777777" w:rsidR="003A38FF" w:rsidRPr="00D0180E" w:rsidRDefault="003A38FF" w:rsidP="003A38FF">
            <w:pPr>
              <w:pStyle w:val="Texto"/>
              <w:spacing w:after="86"/>
              <w:ind w:firstLine="0"/>
              <w:rPr>
                <w:rFonts w:ascii="Verdana" w:hAnsi="Verdana"/>
                <w:sz w:val="16"/>
                <w:szCs w:val="16"/>
              </w:rPr>
            </w:pPr>
            <w:r w:rsidRPr="00D0180E">
              <w:rPr>
                <w:rFonts w:ascii="Verdana" w:hAnsi="Verdana"/>
                <w:b/>
                <w:sz w:val="16"/>
                <w:szCs w:val="16"/>
              </w:rPr>
              <w:t>Artículo 119.</w:t>
            </w:r>
            <w:r w:rsidRPr="00D0180E">
              <w:rPr>
                <w:rFonts w:ascii="Verdana" w:hAnsi="Verdana"/>
                <w:sz w:val="16"/>
                <w:szCs w:val="16"/>
              </w:rPr>
              <w:t xml:space="preserve"> Las Tarifas Eléctricas, precios o contraprestaciones que determine o apruebe la CNE deben ser máximas.</w:t>
            </w:r>
          </w:p>
        </w:tc>
        <w:tc>
          <w:tcPr>
            <w:tcW w:w="4644" w:type="dxa"/>
          </w:tcPr>
          <w:p w14:paraId="7DA96783" w14:textId="45B0041B" w:rsidR="003A38FF" w:rsidRPr="00D0180E" w:rsidRDefault="003A38FF" w:rsidP="003A38FF">
            <w:pPr>
              <w:pStyle w:val="Texto"/>
              <w:spacing w:after="86"/>
              <w:ind w:firstLine="0"/>
              <w:rPr>
                <w:rFonts w:ascii="Verdana" w:hAnsi="Verdana"/>
                <w:b/>
                <w:sz w:val="16"/>
                <w:szCs w:val="16"/>
                <w:lang w:val="en-US"/>
              </w:rPr>
            </w:pPr>
            <w:r w:rsidRPr="006815C5">
              <w:rPr>
                <w:rFonts w:ascii="Verdana" w:hAnsi="Verdana"/>
                <w:b/>
                <w:sz w:val="16"/>
                <w:szCs w:val="16"/>
                <w:lang w:val="en-US"/>
              </w:rPr>
              <w:t xml:space="preserve">Article 119. </w:t>
            </w:r>
            <w:r w:rsidRPr="006815C5">
              <w:rPr>
                <w:rFonts w:ascii="Verdana" w:hAnsi="Verdana"/>
                <w:sz w:val="16"/>
                <w:szCs w:val="16"/>
                <w:lang w:val="en-US"/>
              </w:rPr>
              <w:t>The electricity rates, prices or compensations determined or approved by the CNE must be maximum.</w:t>
            </w:r>
          </w:p>
        </w:tc>
      </w:tr>
      <w:tr w:rsidR="003A38FF" w:rsidRPr="00D83DA2" w14:paraId="4BE22A9E" w14:textId="66F51A34" w:rsidTr="00FB5DAD">
        <w:tc>
          <w:tcPr>
            <w:tcW w:w="4706" w:type="dxa"/>
          </w:tcPr>
          <w:p w14:paraId="0CC064A8" w14:textId="77777777" w:rsidR="003A38FF" w:rsidRPr="00D0180E" w:rsidRDefault="003A38FF" w:rsidP="003A38FF">
            <w:pPr>
              <w:pStyle w:val="Texto"/>
              <w:spacing w:after="86"/>
              <w:ind w:firstLine="0"/>
              <w:rPr>
                <w:rFonts w:ascii="Verdana" w:hAnsi="Verdana"/>
                <w:sz w:val="16"/>
                <w:szCs w:val="16"/>
              </w:rPr>
            </w:pPr>
            <w:r w:rsidRPr="00D0180E">
              <w:rPr>
                <w:rFonts w:ascii="Verdana" w:hAnsi="Verdana"/>
                <w:sz w:val="16"/>
                <w:szCs w:val="16"/>
              </w:rPr>
              <w:t>Las Generadoras que provean Servicios Conexos no incluidos en el Mercado Eléctrico Mayorista, así como la Transportista, la Distribuidora, la Suministradora de Servicios Básicos y las Suministradoras de Último Recurso, pueden pactar acuerdos convencionales o descuentos tarifarios a sus personas usuarias en términos de los criterios que al efecto determine la CNE, con la validación de la Secretaría, en las disposiciones administrativas de carácter general referidas en el artículo anterior. La negociación de dichos acuerdos convencionales o el otorgamiento de descuentos debe sujetarse a principios de generalidad y accesibilidad, y en su caso, considerar la Justicia Energética, en cuyo caso, deben registrar ante la CNE los contratos o descuentos correspondientes.</w:t>
            </w:r>
          </w:p>
        </w:tc>
        <w:tc>
          <w:tcPr>
            <w:tcW w:w="4644" w:type="dxa"/>
          </w:tcPr>
          <w:p w14:paraId="63FB226B" w14:textId="3AD8EDDA" w:rsidR="003A38FF" w:rsidRPr="00D0180E" w:rsidRDefault="003A38FF" w:rsidP="003A38FF">
            <w:pPr>
              <w:pStyle w:val="Texto"/>
              <w:spacing w:after="86"/>
              <w:ind w:firstLine="0"/>
              <w:rPr>
                <w:rFonts w:ascii="Verdana" w:hAnsi="Verdana"/>
                <w:sz w:val="16"/>
                <w:szCs w:val="16"/>
                <w:lang w:val="en-US"/>
              </w:rPr>
            </w:pPr>
            <w:r w:rsidRPr="006815C5">
              <w:rPr>
                <w:rFonts w:ascii="Verdana" w:hAnsi="Verdana"/>
                <w:sz w:val="16"/>
                <w:szCs w:val="16"/>
                <w:lang w:val="en-US"/>
              </w:rPr>
              <w:t xml:space="preserve">Generators that provide related services not included in the wholesale electricity market, as well as transmission companies, distributors, basic service providers, and suppliers of last resort, may enter into conventional agreements or tariff discounts for their users based on the criteria determined by the CNE, with the validation of the Secretary, in the general administrative provisions referred to in the </w:t>
            </w:r>
            <w:r>
              <w:rPr>
                <w:rFonts w:ascii="Verdana" w:hAnsi="Verdana"/>
                <w:sz w:val="16"/>
                <w:szCs w:val="16"/>
                <w:lang w:val="en-US"/>
              </w:rPr>
              <w:t>preceding article</w:t>
            </w:r>
            <w:r w:rsidRPr="006815C5">
              <w:rPr>
                <w:rFonts w:ascii="Verdana" w:hAnsi="Verdana"/>
                <w:sz w:val="16"/>
                <w:szCs w:val="16"/>
                <w:lang w:val="en-US"/>
              </w:rPr>
              <w:t>. The negotiation of such conventional agreements or the granting of discounts must be subject to the principles of generality and accessibility and, where appropriate, consider energy justice. In this case, they must register the corresponding contracts or discounts with the CNE.</w:t>
            </w:r>
          </w:p>
        </w:tc>
      </w:tr>
      <w:tr w:rsidR="003A38FF" w:rsidRPr="00D83DA2" w14:paraId="45E32760" w14:textId="3464416E" w:rsidTr="00FB5DAD">
        <w:tc>
          <w:tcPr>
            <w:tcW w:w="4706" w:type="dxa"/>
          </w:tcPr>
          <w:p w14:paraId="3E89C1F8"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sz w:val="16"/>
                <w:szCs w:val="16"/>
              </w:rPr>
              <w:t>Las Tarifas Eléctricas, precios y contraprestaciones deben incluir los conceptos de costos eficientes incurridos por la prestación del servicio, los impuestos aplicables, costos de transferencia, costos de falla y servicios compartidos, así como un retorno razonable a los activos en operación en las diferentes modalidades del servicio, conforme a lo establecido en la Ley y las disposiciones administrativas de carácter general previamente citadas. Asimismo, se debe acreditar y evitar la duplicidad de costos entre los diferentes segmentos de las actividades reguladas y no se deben incluir las Aportaciones como parte de las Tarifas Eléctricas.</w:t>
            </w:r>
          </w:p>
        </w:tc>
        <w:tc>
          <w:tcPr>
            <w:tcW w:w="4644" w:type="dxa"/>
          </w:tcPr>
          <w:p w14:paraId="052EFBA5" w14:textId="42B18EFE" w:rsidR="003A38FF" w:rsidRPr="00D0180E" w:rsidRDefault="003A38FF" w:rsidP="003A38FF">
            <w:pPr>
              <w:pStyle w:val="Texto"/>
              <w:spacing w:line="224" w:lineRule="exact"/>
              <w:ind w:firstLine="0"/>
              <w:rPr>
                <w:rFonts w:ascii="Verdana" w:hAnsi="Verdana"/>
                <w:sz w:val="16"/>
                <w:szCs w:val="16"/>
                <w:lang w:val="en-US"/>
              </w:rPr>
            </w:pPr>
            <w:r w:rsidRPr="006815C5">
              <w:rPr>
                <w:rFonts w:ascii="Verdana" w:hAnsi="Verdana"/>
                <w:sz w:val="16"/>
                <w:szCs w:val="16"/>
                <w:lang w:val="en-US"/>
              </w:rPr>
              <w:t xml:space="preserve">Electricity rates, prices, and compensation must include the concepts of efficient costs incurred in providing the service, applicable taxes, transfer costs, failure costs, and shared services, as well as a reasonable return on operating assets in the different service modalities, in accordance with the Law and the </w:t>
            </w:r>
            <w:proofErr w:type="gramStart"/>
            <w:r w:rsidRPr="006815C5">
              <w:rPr>
                <w:rFonts w:ascii="Verdana" w:hAnsi="Verdana"/>
                <w:sz w:val="16"/>
                <w:szCs w:val="16"/>
                <w:lang w:val="en-US"/>
              </w:rPr>
              <w:t>aforementioned general</w:t>
            </w:r>
            <w:proofErr w:type="gramEnd"/>
            <w:r w:rsidRPr="006815C5">
              <w:rPr>
                <w:rFonts w:ascii="Verdana" w:hAnsi="Verdana"/>
                <w:sz w:val="16"/>
                <w:szCs w:val="16"/>
                <w:lang w:val="en-US"/>
              </w:rPr>
              <w:t xml:space="preserve"> administrative provisions. Furthermore, duplication of costs between the different segments of regulated activities must be accredited and avoided, and contributions must not be included as part of the electricity rates.</w:t>
            </w:r>
          </w:p>
        </w:tc>
      </w:tr>
      <w:tr w:rsidR="003A38FF" w:rsidRPr="00D83DA2" w14:paraId="2D726E20" w14:textId="7678A4E2" w:rsidTr="00FB5DAD">
        <w:tc>
          <w:tcPr>
            <w:tcW w:w="4706" w:type="dxa"/>
          </w:tcPr>
          <w:p w14:paraId="366A7760"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sz w:val="16"/>
                <w:szCs w:val="16"/>
              </w:rPr>
              <w:t>La determinación de las tarifas finales del Suministro Básico debe evitar el Lucro.</w:t>
            </w:r>
          </w:p>
        </w:tc>
        <w:tc>
          <w:tcPr>
            <w:tcW w:w="4644" w:type="dxa"/>
          </w:tcPr>
          <w:p w14:paraId="0D5A57EF" w14:textId="30C76F54" w:rsidR="003A38FF" w:rsidRPr="00D0180E" w:rsidRDefault="003A38FF" w:rsidP="003A38FF">
            <w:pPr>
              <w:pStyle w:val="Texto"/>
              <w:spacing w:line="224" w:lineRule="exact"/>
              <w:ind w:firstLine="0"/>
              <w:rPr>
                <w:rFonts w:ascii="Verdana" w:hAnsi="Verdana"/>
                <w:sz w:val="16"/>
                <w:szCs w:val="16"/>
                <w:lang w:val="en-US"/>
              </w:rPr>
            </w:pPr>
            <w:r w:rsidRPr="006815C5">
              <w:rPr>
                <w:rFonts w:ascii="Verdana" w:hAnsi="Verdana"/>
                <w:sz w:val="16"/>
                <w:szCs w:val="16"/>
                <w:lang w:val="en-US"/>
              </w:rPr>
              <w:t>The determination of the final rates for Basic Supply must avoid profiteering.</w:t>
            </w:r>
          </w:p>
        </w:tc>
      </w:tr>
      <w:tr w:rsidR="003A38FF" w:rsidRPr="00D83DA2" w14:paraId="486AB48D" w14:textId="5DEC199B" w:rsidTr="00FB5DAD">
        <w:tc>
          <w:tcPr>
            <w:tcW w:w="4706" w:type="dxa"/>
          </w:tcPr>
          <w:p w14:paraId="19F789B5"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sz w:val="16"/>
                <w:szCs w:val="16"/>
              </w:rPr>
              <w:t>La CNE, en las disposiciones administrativas de carácter general a las que se refiere el artículo previo, debe establecer:</w:t>
            </w:r>
          </w:p>
        </w:tc>
        <w:tc>
          <w:tcPr>
            <w:tcW w:w="4644" w:type="dxa"/>
          </w:tcPr>
          <w:p w14:paraId="459F2879" w14:textId="4BC40A4A" w:rsidR="003A38FF" w:rsidRPr="00D0180E" w:rsidRDefault="003A38FF" w:rsidP="003A38FF">
            <w:pPr>
              <w:pStyle w:val="Texto"/>
              <w:spacing w:line="224" w:lineRule="exact"/>
              <w:ind w:firstLine="0"/>
              <w:rPr>
                <w:rFonts w:ascii="Verdana" w:hAnsi="Verdana"/>
                <w:sz w:val="16"/>
                <w:szCs w:val="16"/>
                <w:lang w:val="en-US"/>
              </w:rPr>
            </w:pPr>
            <w:r w:rsidRPr="006815C5">
              <w:rPr>
                <w:rFonts w:ascii="Verdana" w:hAnsi="Verdana"/>
                <w:sz w:val="16"/>
                <w:szCs w:val="16"/>
                <w:lang w:val="en-US"/>
              </w:rPr>
              <w:t xml:space="preserve">The CNE, in the general administrative provisions referred to in the </w:t>
            </w:r>
            <w:r>
              <w:rPr>
                <w:rFonts w:ascii="Verdana" w:hAnsi="Verdana"/>
                <w:sz w:val="16"/>
                <w:szCs w:val="16"/>
                <w:lang w:val="en-US"/>
              </w:rPr>
              <w:t>preceding article</w:t>
            </w:r>
            <w:r w:rsidRPr="006815C5">
              <w:rPr>
                <w:rFonts w:ascii="Verdana" w:hAnsi="Verdana"/>
                <w:sz w:val="16"/>
                <w:szCs w:val="16"/>
                <w:lang w:val="en-US"/>
              </w:rPr>
              <w:t>, must establish:</w:t>
            </w:r>
          </w:p>
        </w:tc>
      </w:tr>
      <w:tr w:rsidR="003A38FF" w:rsidRPr="00D83DA2" w14:paraId="72E6FCDE" w14:textId="05E089A5" w:rsidTr="00FB5DAD">
        <w:tc>
          <w:tcPr>
            <w:tcW w:w="4706" w:type="dxa"/>
          </w:tcPr>
          <w:p w14:paraId="409D7038"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 xml:space="preserve">Las metodologías para evaluar el desempeño de las personas reguladas con la finalidad, en su caso, </w:t>
            </w:r>
            <w:r w:rsidRPr="00D0180E">
              <w:rPr>
                <w:rFonts w:ascii="Verdana" w:hAnsi="Verdana"/>
                <w:sz w:val="16"/>
                <w:szCs w:val="16"/>
              </w:rPr>
              <w:lastRenderedPageBreak/>
              <w:t>de determinar ajustes de las Tarifas Eléctricas, precios y contraprestaciones;</w:t>
            </w:r>
          </w:p>
        </w:tc>
        <w:tc>
          <w:tcPr>
            <w:tcW w:w="4644" w:type="dxa"/>
          </w:tcPr>
          <w:p w14:paraId="120D30B2" w14:textId="47664575" w:rsidR="003A38FF" w:rsidRPr="00D0180E" w:rsidRDefault="003A38FF" w:rsidP="003A38FF">
            <w:pPr>
              <w:pStyle w:val="Texto"/>
              <w:spacing w:line="224" w:lineRule="exact"/>
              <w:ind w:firstLine="0"/>
              <w:rPr>
                <w:rFonts w:ascii="Verdana" w:hAnsi="Verdana"/>
                <w:b/>
                <w:sz w:val="16"/>
                <w:szCs w:val="16"/>
                <w:lang w:val="en-US"/>
              </w:rPr>
            </w:pPr>
            <w:r w:rsidRPr="006815C5">
              <w:rPr>
                <w:rFonts w:ascii="Verdana" w:hAnsi="Verdana"/>
                <w:b/>
                <w:sz w:val="16"/>
                <w:szCs w:val="16"/>
                <w:lang w:val="en-US"/>
              </w:rPr>
              <w:lastRenderedPageBreak/>
              <w:t>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methodologies to evaluate the performance of regulated </w:t>
            </w:r>
            <w:proofErr w:type="gramStart"/>
            <w:r w:rsidRPr="006815C5">
              <w:rPr>
                <w:rFonts w:ascii="Verdana" w:hAnsi="Verdana"/>
                <w:sz w:val="16"/>
                <w:szCs w:val="16"/>
                <w:lang w:val="en-US"/>
              </w:rPr>
              <w:t>persons</w:t>
            </w:r>
            <w:proofErr w:type="gramEnd"/>
            <w:r w:rsidRPr="006815C5">
              <w:rPr>
                <w:rFonts w:ascii="Verdana" w:hAnsi="Verdana"/>
                <w:sz w:val="16"/>
                <w:szCs w:val="16"/>
                <w:lang w:val="en-US"/>
              </w:rPr>
              <w:t xml:space="preserve"> for the purpose, </w:t>
            </w:r>
            <w:r w:rsidRPr="006815C5">
              <w:rPr>
                <w:rFonts w:ascii="Verdana" w:hAnsi="Verdana"/>
                <w:sz w:val="16"/>
                <w:szCs w:val="16"/>
                <w:lang w:val="en-US"/>
              </w:rPr>
              <w:lastRenderedPageBreak/>
              <w:t>where appropriate, of determining adjustments to electricity rates, prices and compensation;</w:t>
            </w:r>
          </w:p>
        </w:tc>
      </w:tr>
      <w:tr w:rsidR="003A38FF" w:rsidRPr="00D83DA2" w14:paraId="18F85580" w14:textId="1F11E785" w:rsidTr="00FB5DAD">
        <w:tc>
          <w:tcPr>
            <w:tcW w:w="4706" w:type="dxa"/>
          </w:tcPr>
          <w:p w14:paraId="227FB966"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b/>
                <w:sz w:val="16"/>
                <w:szCs w:val="16"/>
              </w:rPr>
              <w:lastRenderedPageBreak/>
              <w:t>II.</w:t>
            </w:r>
            <w:r w:rsidRPr="00D0180E">
              <w:rPr>
                <w:rFonts w:ascii="Verdana" w:hAnsi="Verdana"/>
                <w:b/>
                <w:sz w:val="16"/>
                <w:szCs w:val="16"/>
              </w:rPr>
              <w:tab/>
            </w:r>
            <w:r w:rsidRPr="00D0180E">
              <w:rPr>
                <w:rFonts w:ascii="Verdana" w:hAnsi="Verdana"/>
                <w:sz w:val="16"/>
                <w:szCs w:val="16"/>
              </w:rPr>
              <w:t>La definición de costos eficientes para cada servicio sobre los que se determinan Tarifas Eléctricas, y</w:t>
            </w:r>
          </w:p>
        </w:tc>
        <w:tc>
          <w:tcPr>
            <w:tcW w:w="4644" w:type="dxa"/>
          </w:tcPr>
          <w:p w14:paraId="0CEB9E67" w14:textId="05510D19" w:rsidR="003A38FF" w:rsidRPr="00D0180E" w:rsidRDefault="003A38FF" w:rsidP="003A38FF">
            <w:pPr>
              <w:pStyle w:val="Texto"/>
              <w:spacing w:line="224" w:lineRule="exact"/>
              <w:ind w:firstLine="0"/>
              <w:rPr>
                <w:rFonts w:ascii="Verdana" w:hAnsi="Verdana"/>
                <w:b/>
                <w:sz w:val="16"/>
                <w:szCs w:val="16"/>
                <w:lang w:val="en-US"/>
              </w:rPr>
            </w:pPr>
            <w:r w:rsidRPr="006815C5">
              <w:rPr>
                <w:rFonts w:ascii="Verdana" w:hAnsi="Verdana"/>
                <w:b/>
                <w:sz w:val="16"/>
                <w:szCs w:val="16"/>
                <w:lang w:val="en-US"/>
              </w:rPr>
              <w:t>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definition of efficient costs for each service on which electricity rates are determined, and</w:t>
            </w:r>
          </w:p>
        </w:tc>
      </w:tr>
      <w:tr w:rsidR="003A38FF" w:rsidRPr="00D83DA2" w14:paraId="0DC3642D" w14:textId="46289B07" w:rsidTr="00FB5DAD">
        <w:tc>
          <w:tcPr>
            <w:tcW w:w="4706" w:type="dxa"/>
          </w:tcPr>
          <w:p w14:paraId="09F4C201"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Seguimiento de la CNE a los costos de operación, mantenimiento, fallas, financiamiento, inversión, Ampliación, modernización, expansión, investigación y desarrollo tecnológico, así como de depreciación, reconocidos en las Tarifas Eléctricas.</w:t>
            </w:r>
          </w:p>
        </w:tc>
        <w:tc>
          <w:tcPr>
            <w:tcW w:w="4644" w:type="dxa"/>
          </w:tcPr>
          <w:p w14:paraId="1ED02B92" w14:textId="65A207E9" w:rsidR="003A38FF" w:rsidRPr="00D0180E" w:rsidRDefault="003A38FF" w:rsidP="003A38FF">
            <w:pPr>
              <w:pStyle w:val="Texto"/>
              <w:spacing w:line="224" w:lineRule="exact"/>
              <w:ind w:firstLine="0"/>
              <w:rPr>
                <w:rFonts w:ascii="Verdana" w:hAnsi="Verdana"/>
                <w:b/>
                <w:sz w:val="16"/>
                <w:szCs w:val="16"/>
                <w:lang w:val="en-US"/>
              </w:rPr>
            </w:pPr>
            <w:r w:rsidRPr="006815C5">
              <w:rPr>
                <w:rFonts w:ascii="Verdana" w:hAnsi="Verdana"/>
                <w:b/>
                <w:sz w:val="16"/>
                <w:szCs w:val="16"/>
                <w:lang w:val="en-US"/>
              </w:rPr>
              <w:t>III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CNE</w:t>
            </w:r>
            <w:proofErr w:type="gramEnd"/>
            <w:r w:rsidRPr="006815C5">
              <w:rPr>
                <w:rFonts w:ascii="Verdana" w:hAnsi="Verdana"/>
                <w:sz w:val="16"/>
                <w:szCs w:val="16"/>
                <w:lang w:val="en-US"/>
              </w:rPr>
              <w:t xml:space="preserve"> monitoring of operating, maintenance, failure, financing, investment, expansion, modernization, technological research and development costs, as well as depreciation, recognized in the electricity rates.</w:t>
            </w:r>
          </w:p>
        </w:tc>
      </w:tr>
      <w:tr w:rsidR="003A38FF" w:rsidRPr="00D83DA2" w14:paraId="017647DA" w14:textId="33243337" w:rsidTr="00FB5DAD">
        <w:tc>
          <w:tcPr>
            <w:tcW w:w="4706" w:type="dxa"/>
          </w:tcPr>
          <w:p w14:paraId="1BE6D496"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sz w:val="16"/>
                <w:szCs w:val="16"/>
              </w:rPr>
              <w:t>La Secretaría supervisa el seguimiento de costos que realice la CNE y puede solicitar los informes con la periodicidad que considere necesarios.</w:t>
            </w:r>
          </w:p>
        </w:tc>
        <w:tc>
          <w:tcPr>
            <w:tcW w:w="4644" w:type="dxa"/>
          </w:tcPr>
          <w:p w14:paraId="0ECDA125" w14:textId="4D15C473" w:rsidR="003A38FF" w:rsidRPr="00D0180E" w:rsidRDefault="003A38FF" w:rsidP="003A38FF">
            <w:pPr>
              <w:pStyle w:val="Texto"/>
              <w:spacing w:line="224" w:lineRule="exact"/>
              <w:ind w:firstLine="0"/>
              <w:rPr>
                <w:rFonts w:ascii="Verdana" w:hAnsi="Verdana"/>
                <w:sz w:val="16"/>
                <w:szCs w:val="16"/>
                <w:lang w:val="en-US"/>
              </w:rPr>
            </w:pPr>
            <w:r w:rsidRPr="006815C5">
              <w:rPr>
                <w:rFonts w:ascii="Verdana" w:hAnsi="Verdana"/>
                <w:sz w:val="16"/>
                <w:szCs w:val="16"/>
                <w:lang w:val="en-US"/>
              </w:rPr>
              <w:t>The Secretary oversees the CNE's cost monitoring and may request reports as frequently as it deems necessary.</w:t>
            </w:r>
          </w:p>
        </w:tc>
      </w:tr>
      <w:tr w:rsidR="003A38FF" w:rsidRPr="00D83DA2" w14:paraId="26DEA8AB" w14:textId="01ABCBF5" w:rsidTr="00FB5DAD">
        <w:tc>
          <w:tcPr>
            <w:tcW w:w="4706" w:type="dxa"/>
          </w:tcPr>
          <w:p w14:paraId="31AF2301"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b/>
                <w:sz w:val="16"/>
                <w:szCs w:val="16"/>
              </w:rPr>
              <w:t>Artículo 120.</w:t>
            </w:r>
            <w:r w:rsidRPr="00D0180E">
              <w:rPr>
                <w:rFonts w:ascii="Verdana" w:hAnsi="Verdana"/>
                <w:sz w:val="16"/>
                <w:szCs w:val="16"/>
              </w:rPr>
              <w:t xml:space="preserve"> La CNE debe publicar en su página electrónica la información relevante del proceso de determinación de las Tarifas Eléctricas, precios y contraprestaciones convencionales o descuentos otorgados. La información debe incluir las memorias de cálculo usadas para determinar dichas tarifas, costos y precios.</w:t>
            </w:r>
          </w:p>
        </w:tc>
        <w:tc>
          <w:tcPr>
            <w:tcW w:w="4644" w:type="dxa"/>
          </w:tcPr>
          <w:p w14:paraId="36BC1C5E" w14:textId="039B48B0" w:rsidR="003A38FF" w:rsidRPr="00D0180E" w:rsidRDefault="003A38FF" w:rsidP="003A38FF">
            <w:pPr>
              <w:pStyle w:val="Texto"/>
              <w:spacing w:line="224" w:lineRule="exact"/>
              <w:ind w:firstLine="0"/>
              <w:rPr>
                <w:rFonts w:ascii="Verdana" w:hAnsi="Verdana"/>
                <w:b/>
                <w:sz w:val="16"/>
                <w:szCs w:val="16"/>
                <w:lang w:val="en-US"/>
              </w:rPr>
            </w:pPr>
            <w:r w:rsidRPr="006815C5">
              <w:rPr>
                <w:rFonts w:ascii="Verdana" w:hAnsi="Verdana"/>
                <w:b/>
                <w:sz w:val="16"/>
                <w:szCs w:val="16"/>
                <w:lang w:val="en-US"/>
              </w:rPr>
              <w:t xml:space="preserve">Article 120. </w:t>
            </w:r>
            <w:r w:rsidRPr="006815C5">
              <w:rPr>
                <w:rFonts w:ascii="Verdana" w:hAnsi="Verdana"/>
                <w:sz w:val="16"/>
                <w:szCs w:val="16"/>
                <w:lang w:val="en-US"/>
              </w:rPr>
              <w:t xml:space="preserve">The CNE must publish on its website relevant information on the process </w:t>
            </w:r>
            <w:proofErr w:type="gramStart"/>
            <w:r w:rsidRPr="006815C5">
              <w:rPr>
                <w:rFonts w:ascii="Verdana" w:hAnsi="Verdana"/>
                <w:sz w:val="16"/>
                <w:szCs w:val="16"/>
                <w:lang w:val="en-US"/>
              </w:rPr>
              <w:t>for</w:t>
            </w:r>
            <w:proofErr w:type="gramEnd"/>
            <w:r w:rsidRPr="006815C5">
              <w:rPr>
                <w:rFonts w:ascii="Verdana" w:hAnsi="Verdana"/>
                <w:sz w:val="16"/>
                <w:szCs w:val="16"/>
                <w:lang w:val="en-US"/>
              </w:rPr>
              <w:t xml:space="preserve"> determining electricity rates, prices, and conventional compensation or discounts granted. This information must include the calculations used to determine these rates, costs, and prices.</w:t>
            </w:r>
          </w:p>
        </w:tc>
      </w:tr>
      <w:tr w:rsidR="003A38FF" w:rsidRPr="00D83DA2" w14:paraId="6C1CC60F" w14:textId="69991BFD" w:rsidTr="00FB5DAD">
        <w:tc>
          <w:tcPr>
            <w:tcW w:w="4706" w:type="dxa"/>
          </w:tcPr>
          <w:p w14:paraId="46F97C27"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sz w:val="16"/>
                <w:szCs w:val="16"/>
              </w:rPr>
              <w:t>Para los grupos de Usuarias Finales de Suministro Básico a las que se les haya determinado un mecanismo tarifario distinto al que determina la CNE y la Secretaría, la facturación correspondiente debe transparentar los componentes de la tarifa final.</w:t>
            </w:r>
          </w:p>
        </w:tc>
        <w:tc>
          <w:tcPr>
            <w:tcW w:w="4644" w:type="dxa"/>
          </w:tcPr>
          <w:p w14:paraId="31D3A196" w14:textId="3C521BE7" w:rsidR="003A38FF" w:rsidRPr="00D0180E" w:rsidRDefault="003A38FF" w:rsidP="003A38FF">
            <w:pPr>
              <w:pStyle w:val="Texto"/>
              <w:spacing w:line="224" w:lineRule="exact"/>
              <w:ind w:firstLine="0"/>
              <w:rPr>
                <w:rFonts w:ascii="Verdana" w:hAnsi="Verdana"/>
                <w:sz w:val="16"/>
                <w:szCs w:val="16"/>
                <w:lang w:val="en-US"/>
              </w:rPr>
            </w:pPr>
            <w:r w:rsidRPr="006815C5">
              <w:rPr>
                <w:rFonts w:ascii="Verdana" w:hAnsi="Verdana"/>
                <w:sz w:val="16"/>
                <w:szCs w:val="16"/>
                <w:lang w:val="en-US"/>
              </w:rPr>
              <w:t>For groups of basic supply end users who have been assigned a tariff mechanism other than that determined by the CNE and the Secretary, the corresponding billing must clearly state the components of the final tariff.</w:t>
            </w:r>
          </w:p>
        </w:tc>
      </w:tr>
      <w:tr w:rsidR="003A38FF" w:rsidRPr="00D83DA2" w14:paraId="0CBE1DA1" w14:textId="1EEAC7D1" w:rsidTr="00FB5DAD">
        <w:tc>
          <w:tcPr>
            <w:tcW w:w="4706" w:type="dxa"/>
          </w:tcPr>
          <w:p w14:paraId="26E72689"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sz w:val="16"/>
                <w:szCs w:val="16"/>
              </w:rPr>
              <w:t>La Empresa Pública del Estado y el CENACE, deben publicar sus Tarifas Eléctricas en el Diario Oficial de la Federación, en los términos y plazos que determine la CNE. En el caso de los Servicios Conexos no incluidos en el Mercado Eléctrico Mayorista, la publicación debe realizarse por el CENACE.</w:t>
            </w:r>
          </w:p>
        </w:tc>
        <w:tc>
          <w:tcPr>
            <w:tcW w:w="4644" w:type="dxa"/>
          </w:tcPr>
          <w:p w14:paraId="30006BFA" w14:textId="30E08FAC" w:rsidR="003A38FF" w:rsidRPr="00D0180E" w:rsidRDefault="003A38FF" w:rsidP="003A38FF">
            <w:pPr>
              <w:pStyle w:val="Texto"/>
              <w:spacing w:line="224" w:lineRule="exact"/>
              <w:ind w:firstLine="0"/>
              <w:rPr>
                <w:rFonts w:ascii="Verdana" w:hAnsi="Verdana"/>
                <w:sz w:val="16"/>
                <w:szCs w:val="16"/>
                <w:lang w:val="en-US"/>
              </w:rPr>
            </w:pPr>
            <w:r w:rsidRPr="006815C5">
              <w:rPr>
                <w:rFonts w:ascii="Verdana" w:hAnsi="Verdana"/>
                <w:sz w:val="16"/>
                <w:szCs w:val="16"/>
                <w:lang w:val="en-US"/>
              </w:rPr>
              <w:t xml:space="preserve">The </w:t>
            </w:r>
            <w:r>
              <w:rPr>
                <w:rFonts w:ascii="Verdana" w:hAnsi="Verdana"/>
                <w:sz w:val="16"/>
                <w:szCs w:val="16"/>
                <w:lang w:val="en-US"/>
              </w:rPr>
              <w:t xml:space="preserve">State Public </w:t>
            </w:r>
            <w:proofErr w:type="gramStart"/>
            <w:r>
              <w:rPr>
                <w:rFonts w:ascii="Verdana" w:hAnsi="Verdana"/>
                <w:sz w:val="16"/>
                <w:szCs w:val="16"/>
                <w:lang w:val="en-US"/>
              </w:rPr>
              <w:t xml:space="preserve">Enterprise </w:t>
            </w:r>
            <w:r w:rsidRPr="006815C5">
              <w:rPr>
                <w:rFonts w:ascii="Verdana" w:hAnsi="Verdana"/>
                <w:sz w:val="16"/>
                <w:szCs w:val="16"/>
                <w:lang w:val="en-US"/>
              </w:rPr>
              <w:t xml:space="preserve"> and</w:t>
            </w:r>
            <w:proofErr w:type="gramEnd"/>
            <w:r w:rsidRPr="006815C5">
              <w:rPr>
                <w:rFonts w:ascii="Verdana" w:hAnsi="Verdana"/>
                <w:sz w:val="16"/>
                <w:szCs w:val="16"/>
                <w:lang w:val="en-US"/>
              </w:rPr>
              <w:t xml:space="preserve"> CENACE must publish their electricity rates in the Official </w:t>
            </w:r>
            <w:r>
              <w:rPr>
                <w:rFonts w:ascii="Verdana" w:hAnsi="Verdana"/>
                <w:sz w:val="16"/>
                <w:szCs w:val="16"/>
                <w:lang w:val="en-US"/>
              </w:rPr>
              <w:t>Daily</w:t>
            </w:r>
            <w:r w:rsidRPr="006815C5">
              <w:rPr>
                <w:rFonts w:ascii="Verdana" w:hAnsi="Verdana"/>
                <w:sz w:val="16"/>
                <w:szCs w:val="16"/>
                <w:lang w:val="en-US"/>
              </w:rPr>
              <w:t xml:space="preserve"> of the Federation</w:t>
            </w:r>
            <w:r>
              <w:rPr>
                <w:rFonts w:ascii="Verdana" w:hAnsi="Verdana"/>
                <w:sz w:val="16"/>
                <w:szCs w:val="16"/>
                <w:lang w:val="en-US"/>
              </w:rPr>
              <w:t xml:space="preserve"> (DOF)</w:t>
            </w:r>
            <w:r w:rsidRPr="006815C5">
              <w:rPr>
                <w:rFonts w:ascii="Verdana" w:hAnsi="Verdana"/>
                <w:sz w:val="16"/>
                <w:szCs w:val="16"/>
                <w:lang w:val="en-US"/>
              </w:rPr>
              <w:t>, under the terms and deadlines determined by the CNE. In the case of related services not included in the wholesale electricity market, the publication must be carried out by CENACE.</w:t>
            </w:r>
          </w:p>
        </w:tc>
      </w:tr>
      <w:tr w:rsidR="003A38FF" w:rsidRPr="00D83DA2" w14:paraId="6FAED499" w14:textId="1B3B2180" w:rsidTr="00FB5DAD">
        <w:tc>
          <w:tcPr>
            <w:tcW w:w="4706" w:type="dxa"/>
          </w:tcPr>
          <w:p w14:paraId="74836461"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b/>
                <w:sz w:val="16"/>
                <w:szCs w:val="16"/>
              </w:rPr>
              <w:t>Artículo 121.</w:t>
            </w:r>
            <w:r w:rsidRPr="00D0180E">
              <w:rPr>
                <w:rFonts w:ascii="Verdana" w:hAnsi="Verdana"/>
                <w:sz w:val="16"/>
                <w:szCs w:val="16"/>
              </w:rPr>
              <w:t xml:space="preserve"> Para la determinación de las contraprestaciones, precios o tarifas de Suministro de Último Recurso, la Suministradora debe contar con el modelo de contrato de prestación de servicio autorizado.</w:t>
            </w:r>
          </w:p>
        </w:tc>
        <w:tc>
          <w:tcPr>
            <w:tcW w:w="4644" w:type="dxa"/>
          </w:tcPr>
          <w:p w14:paraId="4680F082" w14:textId="0D465A07" w:rsidR="003A38FF" w:rsidRPr="00D0180E" w:rsidRDefault="003A38FF" w:rsidP="003A38FF">
            <w:pPr>
              <w:pStyle w:val="Texto"/>
              <w:spacing w:line="224" w:lineRule="exact"/>
              <w:ind w:firstLine="0"/>
              <w:rPr>
                <w:rFonts w:ascii="Verdana" w:hAnsi="Verdana"/>
                <w:b/>
                <w:sz w:val="16"/>
                <w:szCs w:val="16"/>
                <w:lang w:val="en-US"/>
              </w:rPr>
            </w:pPr>
            <w:r w:rsidRPr="006815C5">
              <w:rPr>
                <w:rFonts w:ascii="Verdana" w:hAnsi="Verdana"/>
                <w:b/>
                <w:sz w:val="16"/>
                <w:szCs w:val="16"/>
                <w:lang w:val="en-US"/>
              </w:rPr>
              <w:t xml:space="preserve">Article 121. </w:t>
            </w:r>
            <w:r w:rsidRPr="006815C5">
              <w:rPr>
                <w:rFonts w:ascii="Verdana" w:hAnsi="Verdana"/>
                <w:sz w:val="16"/>
                <w:szCs w:val="16"/>
                <w:lang w:val="en-US"/>
              </w:rPr>
              <w:t>To determine the consideration, prices or rates for last resort supply, the supplier must have the authorized service provision contract model.</w:t>
            </w:r>
          </w:p>
        </w:tc>
      </w:tr>
      <w:tr w:rsidR="003A38FF" w:rsidRPr="00D83DA2" w14:paraId="3779E872" w14:textId="5B97903B" w:rsidTr="00FB5DAD">
        <w:tc>
          <w:tcPr>
            <w:tcW w:w="4706" w:type="dxa"/>
          </w:tcPr>
          <w:p w14:paraId="211ED90F"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b/>
                <w:sz w:val="16"/>
                <w:szCs w:val="16"/>
              </w:rPr>
              <w:t>Artículo 122.</w:t>
            </w:r>
            <w:r w:rsidRPr="00D0180E">
              <w:rPr>
                <w:rFonts w:ascii="Verdana" w:hAnsi="Verdana"/>
                <w:sz w:val="16"/>
                <w:szCs w:val="16"/>
              </w:rPr>
              <w:t xml:space="preserve"> La CNE debe expedir, mediante actos administrativos, los formatos y especificaciones para la presentación de la información que permita la determinación de las Tarifas Eléctricas, </w:t>
            </w:r>
            <w:r w:rsidRPr="00D0180E">
              <w:rPr>
                <w:rFonts w:ascii="Verdana" w:hAnsi="Verdana"/>
                <w:sz w:val="16"/>
                <w:szCs w:val="16"/>
                <w:lang w:val="es"/>
              </w:rPr>
              <w:t>precios, contraprestaciones y costos.</w:t>
            </w:r>
          </w:p>
        </w:tc>
        <w:tc>
          <w:tcPr>
            <w:tcW w:w="4644" w:type="dxa"/>
          </w:tcPr>
          <w:p w14:paraId="6084FB94" w14:textId="7DD04940" w:rsidR="003A38FF" w:rsidRPr="00D0180E" w:rsidRDefault="003A38FF" w:rsidP="003A38FF">
            <w:pPr>
              <w:pStyle w:val="Texto"/>
              <w:spacing w:line="224" w:lineRule="exact"/>
              <w:ind w:firstLine="0"/>
              <w:rPr>
                <w:rFonts w:ascii="Verdana" w:hAnsi="Verdana"/>
                <w:b/>
                <w:sz w:val="16"/>
                <w:szCs w:val="16"/>
                <w:lang w:val="en-US"/>
              </w:rPr>
            </w:pPr>
            <w:r w:rsidRPr="006815C5">
              <w:rPr>
                <w:rFonts w:ascii="Verdana" w:hAnsi="Verdana"/>
                <w:b/>
                <w:sz w:val="16"/>
                <w:szCs w:val="16"/>
                <w:lang w:val="en-US"/>
              </w:rPr>
              <w:t xml:space="preserve">Article 122. </w:t>
            </w:r>
            <w:r w:rsidRPr="006815C5">
              <w:rPr>
                <w:rFonts w:ascii="Verdana" w:hAnsi="Verdana"/>
                <w:sz w:val="16"/>
                <w:szCs w:val="16"/>
                <w:lang w:val="en-US"/>
              </w:rPr>
              <w:t>The CNE must issue, through administrative acts, the formats and specifications for the presentation of information that allows the determination of electricity rates, prices, considerations and costs.</w:t>
            </w:r>
          </w:p>
        </w:tc>
      </w:tr>
      <w:tr w:rsidR="003A38FF" w:rsidRPr="00D83DA2" w14:paraId="0B3F0382" w14:textId="68B435EE" w:rsidTr="00FB5DAD">
        <w:tc>
          <w:tcPr>
            <w:tcW w:w="4706" w:type="dxa"/>
          </w:tcPr>
          <w:p w14:paraId="5AD728A4"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b/>
                <w:sz w:val="16"/>
                <w:szCs w:val="16"/>
              </w:rPr>
              <w:t>Artículo 123.</w:t>
            </w:r>
            <w:r w:rsidRPr="00D0180E">
              <w:rPr>
                <w:rFonts w:ascii="Verdana" w:hAnsi="Verdana"/>
                <w:sz w:val="16"/>
                <w:szCs w:val="16"/>
              </w:rPr>
              <w:t xml:space="preserve"> La solicitud para la aprobación y expedición de las Tarifas Eléctricas, contraprestaciones, precios y costos, así como de su modificación, se debe sujetar al procedimiento que se establezca en las disposiciones administrativas de carácter general que para tal efecto emita la CNE, en coordinación con la Secretaría.</w:t>
            </w:r>
          </w:p>
        </w:tc>
        <w:tc>
          <w:tcPr>
            <w:tcW w:w="4644" w:type="dxa"/>
          </w:tcPr>
          <w:p w14:paraId="6485CB24" w14:textId="51428A70" w:rsidR="003A38FF" w:rsidRPr="00D0180E" w:rsidRDefault="003A38FF" w:rsidP="003A38FF">
            <w:pPr>
              <w:pStyle w:val="Texto"/>
              <w:spacing w:line="224" w:lineRule="exact"/>
              <w:ind w:firstLine="0"/>
              <w:rPr>
                <w:rFonts w:ascii="Verdana" w:hAnsi="Verdana"/>
                <w:b/>
                <w:sz w:val="16"/>
                <w:szCs w:val="16"/>
                <w:lang w:val="en-US"/>
              </w:rPr>
            </w:pPr>
            <w:r w:rsidRPr="006815C5">
              <w:rPr>
                <w:rFonts w:ascii="Verdana" w:hAnsi="Verdana"/>
                <w:b/>
                <w:sz w:val="16"/>
                <w:szCs w:val="16"/>
                <w:lang w:val="en-US"/>
              </w:rPr>
              <w:t xml:space="preserve">Article 123. </w:t>
            </w:r>
            <w:r w:rsidRPr="006815C5">
              <w:rPr>
                <w:rFonts w:ascii="Verdana" w:hAnsi="Verdana"/>
                <w:sz w:val="16"/>
                <w:szCs w:val="16"/>
                <w:lang w:val="en-US"/>
              </w:rPr>
              <w:t>The application for the approval and issuance of electricity rates, compensation, prices and costs, as well as their modification, must be subject to the procedure established in the general administrative provisions issued for such purposes by the CNE, in coordination with the Secretary.</w:t>
            </w:r>
          </w:p>
        </w:tc>
      </w:tr>
      <w:tr w:rsidR="003A38FF" w:rsidRPr="00D83DA2" w14:paraId="52FE0054" w14:textId="7BCF228E" w:rsidTr="00FB5DAD">
        <w:tc>
          <w:tcPr>
            <w:tcW w:w="4706" w:type="dxa"/>
          </w:tcPr>
          <w:p w14:paraId="0B76433C"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b/>
                <w:sz w:val="16"/>
                <w:szCs w:val="16"/>
              </w:rPr>
              <w:t xml:space="preserve">Artículo 124. </w:t>
            </w:r>
            <w:r w:rsidRPr="00D0180E">
              <w:rPr>
                <w:rFonts w:ascii="Verdana" w:hAnsi="Verdana"/>
                <w:sz w:val="16"/>
                <w:szCs w:val="16"/>
              </w:rPr>
              <w:t>El seguimiento del ajuste de las Tarifas Eléctricas lo realiza la CNE y es supervisado por la Secretaría, para asegurar la congruencia de las metodologías que se expidan de conformidad con lo previsto en el presente Capítulo.</w:t>
            </w:r>
          </w:p>
        </w:tc>
        <w:tc>
          <w:tcPr>
            <w:tcW w:w="4644" w:type="dxa"/>
          </w:tcPr>
          <w:p w14:paraId="546D92CD" w14:textId="3E5EDD39" w:rsidR="003A38FF" w:rsidRPr="00D0180E" w:rsidRDefault="003A38FF" w:rsidP="003A38FF">
            <w:pPr>
              <w:pStyle w:val="Texto"/>
              <w:spacing w:line="224" w:lineRule="exact"/>
              <w:ind w:firstLine="0"/>
              <w:rPr>
                <w:rFonts w:ascii="Verdana" w:hAnsi="Verdana"/>
                <w:b/>
                <w:sz w:val="16"/>
                <w:szCs w:val="16"/>
                <w:lang w:val="en-US"/>
              </w:rPr>
            </w:pPr>
            <w:r w:rsidRPr="006815C5">
              <w:rPr>
                <w:rFonts w:ascii="Verdana" w:hAnsi="Verdana"/>
                <w:b/>
                <w:sz w:val="16"/>
                <w:szCs w:val="16"/>
                <w:lang w:val="en-US"/>
              </w:rPr>
              <w:t xml:space="preserve">Article 124. </w:t>
            </w:r>
            <w:r w:rsidRPr="006815C5">
              <w:rPr>
                <w:rFonts w:ascii="Verdana" w:hAnsi="Verdana"/>
                <w:sz w:val="16"/>
                <w:szCs w:val="16"/>
                <w:lang w:val="en-US"/>
              </w:rPr>
              <w:t>The monitoring of the adjustment of electricity rates is carried out by the CNE and is supervised by the Secretary, to ensure the consistency of the methodologies issued in accordance with the provisions of this Chapter.</w:t>
            </w:r>
          </w:p>
        </w:tc>
      </w:tr>
      <w:tr w:rsidR="003A38FF" w:rsidRPr="00D83DA2" w14:paraId="6C76E16C" w14:textId="0AA5AE00" w:rsidTr="00FB5DAD">
        <w:tc>
          <w:tcPr>
            <w:tcW w:w="4706" w:type="dxa"/>
          </w:tcPr>
          <w:p w14:paraId="755F84CF" w14:textId="77777777" w:rsidR="003A38FF" w:rsidRPr="00985E48" w:rsidRDefault="003A38FF" w:rsidP="003A38FF">
            <w:pPr>
              <w:pStyle w:val="Texto"/>
              <w:spacing w:line="224" w:lineRule="exact"/>
              <w:ind w:firstLine="0"/>
              <w:rPr>
                <w:rFonts w:ascii="Verdana" w:hAnsi="Verdana"/>
                <w:sz w:val="16"/>
                <w:szCs w:val="16"/>
                <w:lang w:val="es"/>
              </w:rPr>
            </w:pPr>
            <w:r w:rsidRPr="00985E48">
              <w:rPr>
                <w:rFonts w:ascii="Verdana" w:hAnsi="Verdana"/>
                <w:b/>
                <w:sz w:val="16"/>
                <w:szCs w:val="16"/>
              </w:rPr>
              <w:lastRenderedPageBreak/>
              <w:t>Artículo 125.</w:t>
            </w:r>
            <w:r w:rsidRPr="00985E48">
              <w:rPr>
                <w:rFonts w:ascii="Verdana" w:hAnsi="Verdana"/>
                <w:sz w:val="16"/>
                <w:szCs w:val="16"/>
              </w:rPr>
              <w:t xml:space="preserve"> La CNE, con autorización de la Secretaría debe emitir y actualizar</w:t>
            </w:r>
            <w:r w:rsidRPr="00985E48">
              <w:rPr>
                <w:rFonts w:ascii="Verdana" w:hAnsi="Verdana"/>
                <w:sz w:val="16"/>
                <w:szCs w:val="16"/>
                <w:lang w:val="es"/>
              </w:rPr>
              <w:t xml:space="preserve"> los modelos de contrato y metodologías de cálculo, criterios y bases para determinar y actualizar las contraprestaciones aplicables a las Generadoras Exentas y las Usuarias Finales de Suministro Básico con Demanda Controlable, cuando vendan su producción o reducción de demanda a la Suministradora de Servicios Básicos.</w:t>
            </w:r>
          </w:p>
        </w:tc>
        <w:tc>
          <w:tcPr>
            <w:tcW w:w="4644" w:type="dxa"/>
          </w:tcPr>
          <w:p w14:paraId="1110DC37" w14:textId="59D710B4" w:rsidR="003A38FF" w:rsidRPr="00985E48" w:rsidRDefault="003A38FF" w:rsidP="003A38FF">
            <w:pPr>
              <w:pStyle w:val="Texto"/>
              <w:spacing w:line="224" w:lineRule="exact"/>
              <w:ind w:firstLine="0"/>
              <w:rPr>
                <w:rFonts w:ascii="Verdana" w:hAnsi="Verdana"/>
                <w:b/>
                <w:sz w:val="16"/>
                <w:szCs w:val="16"/>
                <w:lang w:val="en-US"/>
              </w:rPr>
            </w:pPr>
            <w:r w:rsidRPr="00985E48">
              <w:rPr>
                <w:rFonts w:ascii="Verdana" w:hAnsi="Verdana"/>
                <w:b/>
                <w:sz w:val="16"/>
                <w:szCs w:val="16"/>
                <w:lang w:val="en-US"/>
              </w:rPr>
              <w:t xml:space="preserve">Article 125. </w:t>
            </w:r>
            <w:r w:rsidRPr="00985E48">
              <w:rPr>
                <w:rFonts w:ascii="Verdana" w:hAnsi="Verdana"/>
                <w:sz w:val="16"/>
                <w:szCs w:val="16"/>
                <w:lang w:val="en-US"/>
              </w:rPr>
              <w:t>The CNE, with authorization from the Secretary, must issue and update the contract models and calculation methodologies, criteria and bases to determine and update the compensation applicable to exempt generators and end users of basic supply with controllable demand, when they sell their production or demand reduction to the basic services provider.</w:t>
            </w:r>
          </w:p>
        </w:tc>
      </w:tr>
      <w:tr w:rsidR="003A38FF" w:rsidRPr="00D83DA2" w14:paraId="1436ECAE" w14:textId="4EDCF5E2" w:rsidTr="00FB5DAD">
        <w:tc>
          <w:tcPr>
            <w:tcW w:w="4706" w:type="dxa"/>
          </w:tcPr>
          <w:p w14:paraId="27B2DF8D"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b/>
                <w:sz w:val="16"/>
                <w:szCs w:val="16"/>
              </w:rPr>
              <w:t>Artículo 126.</w:t>
            </w:r>
            <w:r w:rsidRPr="00D0180E">
              <w:rPr>
                <w:rFonts w:ascii="Verdana" w:hAnsi="Verdana"/>
                <w:sz w:val="16"/>
                <w:szCs w:val="16"/>
              </w:rPr>
              <w:t xml:space="preserve"> La CNE, con autorización de la Secretaría, puede constituir grupos de coordinación para la revisión de las Tarifas Eléctricas. En estos grupos pueden participar representantes de las empresas públicas del Estado, así como de las dependencias de la Administración Pública Federal que tengan atribuciones o actividades relacionadas con Tarifas Eléctricas.</w:t>
            </w:r>
          </w:p>
        </w:tc>
        <w:tc>
          <w:tcPr>
            <w:tcW w:w="4644" w:type="dxa"/>
          </w:tcPr>
          <w:p w14:paraId="0DD1B905" w14:textId="43C3F65E" w:rsidR="003A38FF" w:rsidRPr="00D0180E" w:rsidRDefault="003A38FF" w:rsidP="003A38FF">
            <w:pPr>
              <w:pStyle w:val="Texto"/>
              <w:spacing w:line="224" w:lineRule="exact"/>
              <w:ind w:firstLine="0"/>
              <w:rPr>
                <w:rFonts w:ascii="Verdana" w:hAnsi="Verdana"/>
                <w:b/>
                <w:sz w:val="16"/>
                <w:szCs w:val="16"/>
                <w:lang w:val="en-US"/>
              </w:rPr>
            </w:pPr>
            <w:r w:rsidRPr="006815C5">
              <w:rPr>
                <w:rFonts w:ascii="Verdana" w:hAnsi="Verdana"/>
                <w:b/>
                <w:sz w:val="16"/>
                <w:szCs w:val="16"/>
                <w:lang w:val="en-US"/>
              </w:rPr>
              <w:t xml:space="preserve">Article 126. </w:t>
            </w:r>
            <w:r w:rsidRPr="006815C5">
              <w:rPr>
                <w:rFonts w:ascii="Verdana" w:hAnsi="Verdana"/>
                <w:sz w:val="16"/>
                <w:szCs w:val="16"/>
                <w:lang w:val="en-US"/>
              </w:rPr>
              <w:t>The CNE, with authorization from the Secretary, may establish coordination groups for the review of electricity rates. Representatives of state-owned enterprises, as well as federal public administration agencies with responsibilities or activities related to electricity rates, may participate in these groups.</w:t>
            </w:r>
          </w:p>
        </w:tc>
      </w:tr>
      <w:tr w:rsidR="003A38FF" w:rsidRPr="00D83DA2" w14:paraId="3CB3E0CE" w14:textId="41B3A718" w:rsidTr="00FB5DAD">
        <w:tc>
          <w:tcPr>
            <w:tcW w:w="4706" w:type="dxa"/>
          </w:tcPr>
          <w:p w14:paraId="1A229B7E" w14:textId="77777777" w:rsidR="003A38FF" w:rsidRPr="00D0180E" w:rsidRDefault="003A38FF" w:rsidP="003A38FF">
            <w:pPr>
              <w:pStyle w:val="Texto"/>
              <w:spacing w:line="224" w:lineRule="exact"/>
              <w:ind w:firstLine="0"/>
              <w:rPr>
                <w:rFonts w:ascii="Verdana" w:hAnsi="Verdana"/>
                <w:sz w:val="16"/>
                <w:szCs w:val="16"/>
                <w:lang w:val="es"/>
              </w:rPr>
            </w:pPr>
            <w:r w:rsidRPr="00D0180E">
              <w:rPr>
                <w:rFonts w:ascii="Verdana" w:hAnsi="Verdana"/>
                <w:sz w:val="16"/>
                <w:szCs w:val="16"/>
                <w:lang w:val="es"/>
              </w:rPr>
              <w:t>Los acuerdos, resoluciones o determinaciones de los grupos de coordinación para la revisión de las Tarifas Eléctricas se consideran como indicativas para la determinación de las Tarifas Eléctricas.</w:t>
            </w:r>
          </w:p>
        </w:tc>
        <w:tc>
          <w:tcPr>
            <w:tcW w:w="4644" w:type="dxa"/>
          </w:tcPr>
          <w:p w14:paraId="241E18FD" w14:textId="24E3A514" w:rsidR="003A38FF" w:rsidRPr="00D0180E" w:rsidRDefault="003A38FF" w:rsidP="003A38FF">
            <w:pPr>
              <w:pStyle w:val="Texto"/>
              <w:spacing w:line="224" w:lineRule="exact"/>
              <w:ind w:firstLine="0"/>
              <w:rPr>
                <w:rFonts w:ascii="Verdana" w:hAnsi="Verdana"/>
                <w:sz w:val="16"/>
                <w:szCs w:val="16"/>
                <w:lang w:val="en-US"/>
              </w:rPr>
            </w:pPr>
            <w:r w:rsidRPr="006815C5">
              <w:rPr>
                <w:rFonts w:ascii="Verdana" w:hAnsi="Verdana"/>
                <w:sz w:val="16"/>
                <w:szCs w:val="16"/>
                <w:lang w:val="en-US"/>
              </w:rPr>
              <w:t>The agreements, resolutions or determinations of the coordination groups for the review of electricity rates are considered indicative for the determination of electricity rates.</w:t>
            </w:r>
          </w:p>
        </w:tc>
      </w:tr>
      <w:tr w:rsidR="003A38FF" w:rsidRPr="00D83DA2" w14:paraId="09AEFC28" w14:textId="31B17083" w:rsidTr="00FB5DAD">
        <w:tc>
          <w:tcPr>
            <w:tcW w:w="4706" w:type="dxa"/>
          </w:tcPr>
          <w:p w14:paraId="5BC402DF" w14:textId="77777777" w:rsidR="003A38FF" w:rsidRPr="00D0180E" w:rsidRDefault="003A38FF" w:rsidP="003A38FF">
            <w:pPr>
              <w:pStyle w:val="Texto"/>
              <w:spacing w:line="224" w:lineRule="exact"/>
              <w:ind w:firstLine="0"/>
              <w:rPr>
                <w:rFonts w:ascii="Verdana" w:hAnsi="Verdana"/>
                <w:sz w:val="16"/>
                <w:szCs w:val="16"/>
                <w:lang w:val="es"/>
              </w:rPr>
            </w:pPr>
            <w:r w:rsidRPr="00D0180E">
              <w:rPr>
                <w:rFonts w:ascii="Verdana" w:hAnsi="Verdana"/>
                <w:sz w:val="16"/>
                <w:szCs w:val="16"/>
                <w:lang w:val="es"/>
              </w:rPr>
              <w:t>La CNE puede emitir los lineamientos de operación de los grupos de coordinación para la revisión de las Tarifas Eléctricas, así como las convocatorias correspondientes.</w:t>
            </w:r>
          </w:p>
        </w:tc>
        <w:tc>
          <w:tcPr>
            <w:tcW w:w="4644" w:type="dxa"/>
          </w:tcPr>
          <w:p w14:paraId="7F3619D1" w14:textId="442AF9CC" w:rsidR="003A38FF" w:rsidRPr="00D0180E" w:rsidRDefault="003A38FF" w:rsidP="003A38FF">
            <w:pPr>
              <w:pStyle w:val="Texto"/>
              <w:spacing w:line="224" w:lineRule="exact"/>
              <w:ind w:firstLine="0"/>
              <w:rPr>
                <w:rFonts w:ascii="Verdana" w:hAnsi="Verdana"/>
                <w:sz w:val="16"/>
                <w:szCs w:val="16"/>
                <w:lang w:val="en-US"/>
              </w:rPr>
            </w:pPr>
            <w:r w:rsidRPr="006815C5">
              <w:rPr>
                <w:rFonts w:ascii="Verdana" w:hAnsi="Verdana"/>
                <w:sz w:val="16"/>
                <w:szCs w:val="16"/>
                <w:lang w:val="en-US"/>
              </w:rPr>
              <w:t>The CNE may issue operating guidelines for the coordination groups for the review of electricity rates, as well as the corresponding calls for proposals.</w:t>
            </w:r>
          </w:p>
        </w:tc>
      </w:tr>
      <w:tr w:rsidR="003A38FF" w:rsidRPr="00D0180E" w14:paraId="0720B3FA" w14:textId="59896B06" w:rsidTr="00FB5DAD">
        <w:tc>
          <w:tcPr>
            <w:tcW w:w="4706" w:type="dxa"/>
          </w:tcPr>
          <w:p w14:paraId="190C4787" w14:textId="77777777" w:rsidR="003A38FF" w:rsidRPr="00D0180E" w:rsidRDefault="003A38FF" w:rsidP="003A38FF">
            <w:pPr>
              <w:pStyle w:val="Texto"/>
              <w:spacing w:line="225" w:lineRule="exact"/>
              <w:ind w:firstLine="0"/>
              <w:jc w:val="center"/>
              <w:rPr>
                <w:rFonts w:ascii="Verdana" w:hAnsi="Verdana"/>
                <w:b/>
                <w:sz w:val="16"/>
                <w:szCs w:val="16"/>
              </w:rPr>
            </w:pPr>
            <w:r w:rsidRPr="00D0180E">
              <w:rPr>
                <w:rFonts w:ascii="Verdana" w:hAnsi="Verdana"/>
                <w:b/>
                <w:sz w:val="16"/>
                <w:szCs w:val="16"/>
              </w:rPr>
              <w:t>Capítulo VIII</w:t>
            </w:r>
          </w:p>
        </w:tc>
        <w:tc>
          <w:tcPr>
            <w:tcW w:w="4644" w:type="dxa"/>
          </w:tcPr>
          <w:p w14:paraId="07DBA804" w14:textId="3FBDD6AF" w:rsidR="003A38FF" w:rsidRPr="00A670A2" w:rsidRDefault="003A38FF" w:rsidP="003A38FF">
            <w:pPr>
              <w:pStyle w:val="Texto"/>
              <w:spacing w:line="225" w:lineRule="exact"/>
              <w:ind w:firstLine="0"/>
              <w:jc w:val="center"/>
              <w:rPr>
                <w:rFonts w:ascii="Verdana" w:hAnsi="Verdana"/>
                <w:b/>
                <w:sz w:val="16"/>
                <w:szCs w:val="16"/>
                <w:lang w:val="en-US"/>
              </w:rPr>
            </w:pPr>
            <w:r w:rsidRPr="00A670A2">
              <w:rPr>
                <w:rFonts w:ascii="Verdana" w:hAnsi="Verdana"/>
                <w:b/>
                <w:sz w:val="16"/>
                <w:szCs w:val="16"/>
                <w:lang w:val="en-US"/>
              </w:rPr>
              <w:t>Chapter VIII</w:t>
            </w:r>
          </w:p>
        </w:tc>
      </w:tr>
      <w:tr w:rsidR="003A38FF" w:rsidRPr="00D83DA2" w14:paraId="3A5DCB64" w14:textId="10C944F9" w:rsidTr="00FB5DAD">
        <w:tc>
          <w:tcPr>
            <w:tcW w:w="4706" w:type="dxa"/>
          </w:tcPr>
          <w:p w14:paraId="0CA53E90" w14:textId="77777777" w:rsidR="003A38FF" w:rsidRPr="00D0180E" w:rsidRDefault="003A38FF" w:rsidP="003A38FF">
            <w:pPr>
              <w:pStyle w:val="Texto"/>
              <w:spacing w:line="225" w:lineRule="exact"/>
              <w:ind w:firstLine="0"/>
              <w:jc w:val="center"/>
              <w:rPr>
                <w:rFonts w:ascii="Verdana" w:hAnsi="Verdana"/>
                <w:b/>
                <w:sz w:val="16"/>
                <w:szCs w:val="16"/>
              </w:rPr>
            </w:pPr>
            <w:r w:rsidRPr="00D0180E">
              <w:rPr>
                <w:rFonts w:ascii="Verdana" w:hAnsi="Verdana"/>
                <w:b/>
                <w:sz w:val="16"/>
                <w:szCs w:val="16"/>
              </w:rPr>
              <w:t>De las Aportaciones para la Ejecución de Obras para la Interconexión o Conexión a la Red Nacional de Transmisión y a las Redes Generales de Distribución</w:t>
            </w:r>
          </w:p>
        </w:tc>
        <w:tc>
          <w:tcPr>
            <w:tcW w:w="4644" w:type="dxa"/>
          </w:tcPr>
          <w:p w14:paraId="1467BBAF" w14:textId="70E1CDAA" w:rsidR="003A38FF" w:rsidRPr="00D0180E" w:rsidRDefault="003A38FF" w:rsidP="003A38FF">
            <w:pPr>
              <w:pStyle w:val="Texto"/>
              <w:spacing w:line="225" w:lineRule="exact"/>
              <w:ind w:firstLine="0"/>
              <w:jc w:val="center"/>
              <w:rPr>
                <w:rFonts w:ascii="Verdana" w:hAnsi="Verdana"/>
                <w:b/>
                <w:sz w:val="16"/>
                <w:szCs w:val="16"/>
                <w:lang w:val="en-US"/>
              </w:rPr>
            </w:pPr>
            <w:r w:rsidRPr="006815C5">
              <w:rPr>
                <w:rFonts w:ascii="Verdana" w:hAnsi="Verdana"/>
                <w:b/>
                <w:sz w:val="16"/>
                <w:szCs w:val="16"/>
                <w:lang w:val="en-US"/>
              </w:rPr>
              <w:t xml:space="preserve">Contributions </w:t>
            </w:r>
            <w:proofErr w:type="gramStart"/>
            <w:r w:rsidRPr="006815C5">
              <w:rPr>
                <w:rFonts w:ascii="Verdana" w:hAnsi="Verdana"/>
                <w:b/>
                <w:sz w:val="16"/>
                <w:szCs w:val="16"/>
                <w:lang w:val="en-US"/>
              </w:rPr>
              <w:t>for</w:t>
            </w:r>
            <w:proofErr w:type="gramEnd"/>
            <w:r w:rsidRPr="006815C5">
              <w:rPr>
                <w:rFonts w:ascii="Verdana" w:hAnsi="Verdana"/>
                <w:b/>
                <w:sz w:val="16"/>
                <w:szCs w:val="16"/>
                <w:lang w:val="en-US"/>
              </w:rPr>
              <w:t xml:space="preserve"> the Execution of Works for Interconnection or Connection to the National Transmission Network and the General Distribution Networks</w:t>
            </w:r>
          </w:p>
        </w:tc>
      </w:tr>
      <w:tr w:rsidR="003A38FF" w:rsidRPr="00D83DA2" w14:paraId="1D5205FA" w14:textId="6A97D707" w:rsidTr="00FB5DAD">
        <w:tc>
          <w:tcPr>
            <w:tcW w:w="4706" w:type="dxa"/>
          </w:tcPr>
          <w:p w14:paraId="3B509432" w14:textId="55E3B4E3"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b/>
                <w:sz w:val="16"/>
                <w:szCs w:val="16"/>
              </w:rPr>
              <w:t>Artículo 127.</w:t>
            </w:r>
            <w:r w:rsidRPr="00D0180E">
              <w:rPr>
                <w:rFonts w:ascii="Verdana" w:hAnsi="Verdana"/>
                <w:sz w:val="16"/>
                <w:szCs w:val="16"/>
              </w:rPr>
              <w:t xml:space="preserve"> Corresponde a la CNE, en el ámbito de sus atribuciones y en coordinación con la Secretaría, emitir las disposiciones administrativas de carácter general para regular, conforme a las bases generales previstas en la Ley, los casos y las condiciones para que las Solicitantes efectúen Aportaciones, las cuales se pueden realizar de manera agrupada, de maner</w:t>
            </w:r>
            <w:r>
              <w:rPr>
                <w:rFonts w:ascii="Verdana" w:hAnsi="Verdana"/>
                <w:sz w:val="16"/>
                <w:szCs w:val="16"/>
              </w:rPr>
              <w:t>a individual</w:t>
            </w:r>
            <w:r w:rsidRPr="00D0180E">
              <w:rPr>
                <w:rFonts w:ascii="Verdana" w:hAnsi="Verdana"/>
                <w:sz w:val="16"/>
                <w:szCs w:val="16"/>
              </w:rPr>
              <w:t xml:space="preserve"> o en coordinación con la Empresa Pública del Estado, de acuerdo con lo previsto en dichas disposiciones, las cuales además deben prever los supuestos, términos y las condiciones en los que las Solicitantes pueden convenir con la Transportista o la Distribuidora el reembolso de las Aportaciones.</w:t>
            </w:r>
          </w:p>
        </w:tc>
        <w:tc>
          <w:tcPr>
            <w:tcW w:w="4644" w:type="dxa"/>
          </w:tcPr>
          <w:p w14:paraId="5E21190F" w14:textId="07208D8E" w:rsidR="003A38FF" w:rsidRPr="00D0180E" w:rsidRDefault="003A38FF" w:rsidP="003A38FF">
            <w:pPr>
              <w:pStyle w:val="Texto"/>
              <w:spacing w:line="225" w:lineRule="exact"/>
              <w:ind w:firstLine="0"/>
              <w:rPr>
                <w:rFonts w:ascii="Verdana" w:hAnsi="Verdana"/>
                <w:b/>
                <w:sz w:val="16"/>
                <w:szCs w:val="16"/>
                <w:lang w:val="en-US"/>
              </w:rPr>
            </w:pPr>
            <w:r w:rsidRPr="006815C5">
              <w:rPr>
                <w:rFonts w:ascii="Verdana" w:hAnsi="Verdana"/>
                <w:b/>
                <w:sz w:val="16"/>
                <w:szCs w:val="16"/>
                <w:lang w:val="en-US"/>
              </w:rPr>
              <w:t xml:space="preserve">Article 127. </w:t>
            </w:r>
            <w:r w:rsidRPr="006815C5">
              <w:rPr>
                <w:rFonts w:ascii="Verdana" w:hAnsi="Verdana"/>
                <w:sz w:val="16"/>
                <w:szCs w:val="16"/>
                <w:lang w:val="en-US"/>
              </w:rPr>
              <w:t xml:space="preserve">It is the responsibility of the CNE, within the scope of its powers and in coordination with the Secretary, to issue general administrative provisions to regulate, in accordance with the general bases provided for in the Law, the cases and conditions for applicants to make contributions, which may be made in a grouped manner, individually or in coordination with the </w:t>
            </w:r>
            <w:r>
              <w:rPr>
                <w:rFonts w:ascii="Verdana" w:hAnsi="Verdana"/>
                <w:sz w:val="16"/>
                <w:szCs w:val="16"/>
                <w:lang w:val="en-US"/>
              </w:rPr>
              <w:t>State Public Enterprise</w:t>
            </w:r>
            <w:r w:rsidRPr="006815C5">
              <w:rPr>
                <w:rFonts w:ascii="Verdana" w:hAnsi="Verdana"/>
                <w:sz w:val="16"/>
                <w:szCs w:val="16"/>
                <w:lang w:val="en-US"/>
              </w:rPr>
              <w:t>, in accordance with the provisions of said provisions, which must also foresee the cases, terms and conditions under which the applicants may agree with the transporter or the distributor the reimbursement of the contributions.</w:t>
            </w:r>
          </w:p>
        </w:tc>
      </w:tr>
      <w:tr w:rsidR="003A38FF" w:rsidRPr="00D83DA2" w14:paraId="3EDAAACE" w14:textId="36CB3568" w:rsidTr="00FB5DAD">
        <w:tc>
          <w:tcPr>
            <w:tcW w:w="4706" w:type="dxa"/>
          </w:tcPr>
          <w:p w14:paraId="6EBC0A0E"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sz w:val="16"/>
                <w:szCs w:val="16"/>
              </w:rPr>
              <w:t>Las disposiciones a que se refiere el párrafo anterior se deben basar en el principio de viabilidad técnica y económica.</w:t>
            </w:r>
          </w:p>
        </w:tc>
        <w:tc>
          <w:tcPr>
            <w:tcW w:w="4644" w:type="dxa"/>
          </w:tcPr>
          <w:p w14:paraId="2CCCB245" w14:textId="75128C90" w:rsidR="003A38FF" w:rsidRPr="00D0180E" w:rsidRDefault="003A38FF" w:rsidP="003A38FF">
            <w:pPr>
              <w:pStyle w:val="Texto"/>
              <w:spacing w:line="225" w:lineRule="exact"/>
              <w:ind w:firstLine="0"/>
              <w:rPr>
                <w:rFonts w:ascii="Verdana" w:hAnsi="Verdana"/>
                <w:sz w:val="16"/>
                <w:szCs w:val="16"/>
                <w:lang w:val="en-US"/>
              </w:rPr>
            </w:pPr>
            <w:r w:rsidRPr="006815C5">
              <w:rPr>
                <w:rFonts w:ascii="Verdana" w:hAnsi="Verdana"/>
                <w:sz w:val="16"/>
                <w:szCs w:val="16"/>
                <w:lang w:val="en-US"/>
              </w:rPr>
              <w:t>The provisions referred to in the preceding paragraph must be based on the principle of technical and economic feasibility.</w:t>
            </w:r>
          </w:p>
        </w:tc>
      </w:tr>
      <w:tr w:rsidR="003A38FF" w:rsidRPr="00D83DA2" w14:paraId="158D1BE7" w14:textId="43DFD297" w:rsidTr="00FB5DAD">
        <w:tc>
          <w:tcPr>
            <w:tcW w:w="4706" w:type="dxa"/>
          </w:tcPr>
          <w:p w14:paraId="65D77414"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sz w:val="16"/>
                <w:szCs w:val="16"/>
              </w:rPr>
              <w:t xml:space="preserve">La CNE en coordinación con la Secretaría, debe emitir los criterios y bases para determinar y actualizar el monto de las Aportaciones, la metodología de cálculo y los modelos de convenios correspondientes, así como para el otorgamiento de los Derechos Financieros de Transmisión que correspondan. Asimismo, debe autorizar los montos de cobro para la realización de estudios de las características específicas de la infraestructura requerida y para los otros componentes </w:t>
            </w:r>
            <w:r w:rsidRPr="00D0180E">
              <w:rPr>
                <w:rFonts w:ascii="Verdana" w:hAnsi="Verdana"/>
                <w:sz w:val="16"/>
                <w:szCs w:val="16"/>
              </w:rPr>
              <w:lastRenderedPageBreak/>
              <w:t>del proceso de interconexión y conexión que proponga el CENACE.</w:t>
            </w:r>
          </w:p>
        </w:tc>
        <w:tc>
          <w:tcPr>
            <w:tcW w:w="4644" w:type="dxa"/>
          </w:tcPr>
          <w:p w14:paraId="7C9EB64E" w14:textId="772E3C0B" w:rsidR="003A38FF" w:rsidRPr="00D0180E" w:rsidRDefault="003A38FF" w:rsidP="003A38FF">
            <w:pPr>
              <w:pStyle w:val="Texto"/>
              <w:spacing w:line="225" w:lineRule="exact"/>
              <w:ind w:firstLine="0"/>
              <w:rPr>
                <w:rFonts w:ascii="Verdana" w:hAnsi="Verdana"/>
                <w:sz w:val="16"/>
                <w:szCs w:val="16"/>
                <w:lang w:val="en-US"/>
              </w:rPr>
            </w:pPr>
            <w:r w:rsidRPr="006815C5">
              <w:rPr>
                <w:rFonts w:ascii="Verdana" w:hAnsi="Verdana"/>
                <w:sz w:val="16"/>
                <w:szCs w:val="16"/>
                <w:lang w:val="en-US"/>
              </w:rPr>
              <w:lastRenderedPageBreak/>
              <w:t xml:space="preserve">The CNE, in coordination with the Secretary, must issue the criteria and bases for determining and updating the amount of the </w:t>
            </w:r>
            <w:r>
              <w:rPr>
                <w:rFonts w:ascii="Verdana" w:hAnsi="Verdana"/>
                <w:sz w:val="16"/>
                <w:szCs w:val="16"/>
                <w:lang w:val="en-US"/>
              </w:rPr>
              <w:t>c</w:t>
            </w:r>
            <w:r w:rsidRPr="006815C5">
              <w:rPr>
                <w:rFonts w:ascii="Verdana" w:hAnsi="Verdana"/>
                <w:sz w:val="16"/>
                <w:szCs w:val="16"/>
                <w:lang w:val="en-US"/>
              </w:rPr>
              <w:t>ontributions, the calculation methodology, and the corresponding agreement templates, as well as for granting the corresponding financial transmission rights. It must also authorize the amounts charged for conducting studies on the specific characteristics of the required infrastructure and for the other components of the interconnection and connection process proposed by CENACE.</w:t>
            </w:r>
          </w:p>
        </w:tc>
      </w:tr>
      <w:tr w:rsidR="003A38FF" w:rsidRPr="00D83DA2" w14:paraId="41953723" w14:textId="6FC4CB2A" w:rsidTr="00FB5DAD">
        <w:tc>
          <w:tcPr>
            <w:tcW w:w="4706" w:type="dxa"/>
          </w:tcPr>
          <w:p w14:paraId="61743153"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b/>
                <w:sz w:val="16"/>
                <w:szCs w:val="16"/>
              </w:rPr>
              <w:t>Artículo 128.</w:t>
            </w:r>
            <w:r w:rsidRPr="00D0180E">
              <w:rPr>
                <w:rFonts w:ascii="Verdana" w:hAnsi="Verdana"/>
                <w:sz w:val="16"/>
                <w:szCs w:val="16"/>
              </w:rPr>
              <w:t xml:space="preserve"> La Transportista o la Distribuidora, de conformidad con lo dispuesto en el artículo 48 de la Ley, están obligadas a realizar las Obras Específicas, Ampliaciones o Modificaciones necesarias para interconectar Centrales Eléctricas o conectar Centros de Carga si la Solicitante efectúa la Aportación, en efectivo o en especie, correspondiente a la solución técnica más económica o al costo en que incurra la Transportista o la Distribuidora, siempre que sea técnicamente factible conforme a los estudios que realicen la Distribuidora, la Transportista o el CENACE. La Solicitante puede optar, en su caso, por realizar a su cargo la Obra Específica, Ampliación o Modificación.</w:t>
            </w:r>
          </w:p>
        </w:tc>
        <w:tc>
          <w:tcPr>
            <w:tcW w:w="4644" w:type="dxa"/>
          </w:tcPr>
          <w:p w14:paraId="6BB2FBC6" w14:textId="5C59240A" w:rsidR="003A38FF" w:rsidRPr="00D0180E" w:rsidRDefault="003A38FF" w:rsidP="003A38FF">
            <w:pPr>
              <w:pStyle w:val="Texto"/>
              <w:spacing w:line="225" w:lineRule="exact"/>
              <w:ind w:firstLine="0"/>
              <w:rPr>
                <w:rFonts w:ascii="Verdana" w:hAnsi="Verdana"/>
                <w:b/>
                <w:sz w:val="16"/>
                <w:szCs w:val="16"/>
                <w:lang w:val="en-US"/>
              </w:rPr>
            </w:pPr>
            <w:r w:rsidRPr="006815C5">
              <w:rPr>
                <w:rFonts w:ascii="Verdana" w:hAnsi="Verdana"/>
                <w:b/>
                <w:sz w:val="16"/>
                <w:szCs w:val="16"/>
                <w:lang w:val="en-US"/>
              </w:rPr>
              <w:t xml:space="preserve">Article 128. </w:t>
            </w:r>
            <w:r w:rsidRPr="006815C5">
              <w:rPr>
                <w:rFonts w:ascii="Verdana" w:hAnsi="Verdana"/>
                <w:sz w:val="16"/>
                <w:szCs w:val="16"/>
                <w:lang w:val="en-US"/>
              </w:rPr>
              <w:t xml:space="preserve">The transporter or the distributor, in accordance with the provisions of Article 48 of the Law, are obligated to carry out the specific works, expansions or modifications necessary to interconnect </w:t>
            </w:r>
            <w:r>
              <w:rPr>
                <w:rFonts w:ascii="Verdana" w:hAnsi="Verdana"/>
                <w:sz w:val="16"/>
                <w:szCs w:val="16"/>
                <w:lang w:val="en-US"/>
              </w:rPr>
              <w:t>power plant</w:t>
            </w:r>
            <w:r w:rsidRPr="006815C5">
              <w:rPr>
                <w:rFonts w:ascii="Verdana" w:hAnsi="Verdana"/>
                <w:sz w:val="16"/>
                <w:szCs w:val="16"/>
                <w:lang w:val="en-US"/>
              </w:rPr>
              <w:t xml:space="preserve">s or connect load centers if the applicant makes the contribution, in cash or in kind, corresponding to the most economical technical solution or the cost incurred by the transporter or the distributor, provided that it is technically feasible according to the studies carried out by the distributor, the transporter or CENACE. The </w:t>
            </w:r>
            <w:r>
              <w:rPr>
                <w:rFonts w:ascii="Verdana" w:hAnsi="Verdana"/>
                <w:sz w:val="16"/>
                <w:szCs w:val="16"/>
                <w:lang w:val="en-US"/>
              </w:rPr>
              <w:t>a</w:t>
            </w:r>
            <w:r w:rsidRPr="006815C5">
              <w:rPr>
                <w:rFonts w:ascii="Verdana" w:hAnsi="Verdana"/>
                <w:sz w:val="16"/>
                <w:szCs w:val="16"/>
                <w:lang w:val="en-US"/>
              </w:rPr>
              <w:t xml:space="preserve">pplicant may choose, where appropriate, to carry out the specific </w:t>
            </w:r>
            <w:proofErr w:type="gramStart"/>
            <w:r w:rsidRPr="006815C5">
              <w:rPr>
                <w:rFonts w:ascii="Verdana" w:hAnsi="Verdana"/>
                <w:sz w:val="16"/>
                <w:szCs w:val="16"/>
                <w:lang w:val="en-US"/>
              </w:rPr>
              <w:t>works</w:t>
            </w:r>
            <w:proofErr w:type="gramEnd"/>
            <w:r w:rsidRPr="006815C5">
              <w:rPr>
                <w:rFonts w:ascii="Verdana" w:hAnsi="Verdana"/>
                <w:sz w:val="16"/>
                <w:szCs w:val="16"/>
                <w:lang w:val="en-US"/>
              </w:rPr>
              <w:t>, expansion or modification at its own expense.</w:t>
            </w:r>
          </w:p>
        </w:tc>
      </w:tr>
      <w:tr w:rsidR="003A38FF" w:rsidRPr="00D83DA2" w14:paraId="4F5E9366" w14:textId="4C71BBF6" w:rsidTr="00FB5DAD">
        <w:tc>
          <w:tcPr>
            <w:tcW w:w="4706" w:type="dxa"/>
          </w:tcPr>
          <w:p w14:paraId="14710878"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sz w:val="16"/>
                <w:szCs w:val="16"/>
              </w:rPr>
              <w:t>Asimismo, la CNE debe expedir, las disposiciones administrativas de carácter general, mediante las cuales determine la metodología para establecer las Tarifas Reguladas aplicables a los Servicios Conexos no incluidos en el Mercado Eléctrico Mayorista. Las Generadoras y Almacenadoras, a través del CENACE, deben reportar a la CNE los costos de los Servicios Conexos no incluidos en el Mercado Eléctrico Mayorista.</w:t>
            </w:r>
          </w:p>
        </w:tc>
        <w:tc>
          <w:tcPr>
            <w:tcW w:w="4644" w:type="dxa"/>
          </w:tcPr>
          <w:p w14:paraId="4244AEE6" w14:textId="7D48C0AE" w:rsidR="003A38FF" w:rsidRPr="00D0180E" w:rsidRDefault="003A38FF" w:rsidP="003A38FF">
            <w:pPr>
              <w:pStyle w:val="Texto"/>
              <w:spacing w:line="225" w:lineRule="exact"/>
              <w:ind w:firstLine="0"/>
              <w:rPr>
                <w:rFonts w:ascii="Verdana" w:hAnsi="Verdana"/>
                <w:sz w:val="16"/>
                <w:szCs w:val="16"/>
                <w:lang w:val="en-US"/>
              </w:rPr>
            </w:pPr>
            <w:r>
              <w:rPr>
                <w:rFonts w:ascii="Verdana" w:hAnsi="Verdana"/>
                <w:sz w:val="16"/>
                <w:szCs w:val="16"/>
                <w:lang w:val="en-US"/>
              </w:rPr>
              <w:t>In addition</w:t>
            </w:r>
            <w:r w:rsidRPr="006815C5">
              <w:rPr>
                <w:rFonts w:ascii="Verdana" w:hAnsi="Verdana"/>
                <w:sz w:val="16"/>
                <w:szCs w:val="16"/>
                <w:lang w:val="en-US"/>
              </w:rPr>
              <w:t>, the CNE must issue general administrative provisions determining the methodology for establishing regulated tariffs applicable to related services not included in the wholesale electricity market. Generators and storage companies, through CENACE, must report to the CNE the costs of related services not included in the wholesale electricity market.</w:t>
            </w:r>
          </w:p>
        </w:tc>
      </w:tr>
      <w:tr w:rsidR="003A38FF" w:rsidRPr="00D83DA2" w14:paraId="71952F5D" w14:textId="5FF681EC" w:rsidTr="00FB5DAD">
        <w:tc>
          <w:tcPr>
            <w:tcW w:w="4706" w:type="dxa"/>
          </w:tcPr>
          <w:p w14:paraId="7A49858B"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b/>
                <w:sz w:val="16"/>
                <w:szCs w:val="16"/>
              </w:rPr>
              <w:t>Artículo 129.</w:t>
            </w:r>
            <w:r w:rsidRPr="00D0180E">
              <w:rPr>
                <w:rFonts w:ascii="Verdana" w:hAnsi="Verdana"/>
                <w:sz w:val="16"/>
                <w:szCs w:val="16"/>
              </w:rPr>
              <w:t xml:space="preserve"> La Solicitante de la interconexión o conexión no puede modificar las instalaciones propiedad de la Transportista o la Distribuidora que se destinen a la prestación del Servicio Público de Transmisión y Distribución de Energía Eléctrica.</w:t>
            </w:r>
          </w:p>
        </w:tc>
        <w:tc>
          <w:tcPr>
            <w:tcW w:w="4644" w:type="dxa"/>
          </w:tcPr>
          <w:p w14:paraId="0EE328CF" w14:textId="0B7F4E61" w:rsidR="003A38FF" w:rsidRPr="00D0180E" w:rsidRDefault="003A38FF" w:rsidP="003A38FF">
            <w:pPr>
              <w:pStyle w:val="Texto"/>
              <w:spacing w:line="225" w:lineRule="exact"/>
              <w:ind w:firstLine="0"/>
              <w:rPr>
                <w:rFonts w:ascii="Verdana" w:hAnsi="Verdana"/>
                <w:b/>
                <w:sz w:val="16"/>
                <w:szCs w:val="16"/>
                <w:lang w:val="en-US"/>
              </w:rPr>
            </w:pPr>
            <w:r w:rsidRPr="006815C5">
              <w:rPr>
                <w:rFonts w:ascii="Verdana" w:hAnsi="Verdana"/>
                <w:b/>
                <w:sz w:val="16"/>
                <w:szCs w:val="16"/>
                <w:lang w:val="en-US"/>
              </w:rPr>
              <w:t xml:space="preserve">Article 129. </w:t>
            </w:r>
            <w:r w:rsidRPr="006815C5">
              <w:rPr>
                <w:rFonts w:ascii="Verdana" w:hAnsi="Verdana"/>
                <w:sz w:val="16"/>
                <w:szCs w:val="16"/>
                <w:lang w:val="en-US"/>
              </w:rPr>
              <w:t xml:space="preserve">The </w:t>
            </w:r>
            <w:r>
              <w:rPr>
                <w:rFonts w:ascii="Verdana" w:hAnsi="Verdana"/>
                <w:sz w:val="16"/>
                <w:szCs w:val="16"/>
                <w:lang w:val="en-US"/>
              </w:rPr>
              <w:t>a</w:t>
            </w:r>
            <w:r w:rsidRPr="006815C5">
              <w:rPr>
                <w:rFonts w:ascii="Verdana" w:hAnsi="Verdana"/>
                <w:sz w:val="16"/>
                <w:szCs w:val="16"/>
                <w:lang w:val="en-US"/>
              </w:rPr>
              <w:t xml:space="preserve">pplicant for interconnection or connection may not modify the facilities owned by the </w:t>
            </w:r>
            <w:r>
              <w:rPr>
                <w:rFonts w:ascii="Verdana" w:hAnsi="Verdana"/>
                <w:sz w:val="16"/>
                <w:szCs w:val="16"/>
                <w:lang w:val="en-US"/>
              </w:rPr>
              <w:t>t</w:t>
            </w:r>
            <w:r w:rsidRPr="006815C5">
              <w:rPr>
                <w:rFonts w:ascii="Verdana" w:hAnsi="Verdana"/>
                <w:sz w:val="16"/>
                <w:szCs w:val="16"/>
                <w:lang w:val="en-US"/>
              </w:rPr>
              <w:t xml:space="preserve">ransporter or </w:t>
            </w:r>
            <w:r>
              <w:rPr>
                <w:rFonts w:ascii="Verdana" w:hAnsi="Verdana"/>
                <w:sz w:val="16"/>
                <w:szCs w:val="16"/>
                <w:lang w:val="en-US"/>
              </w:rPr>
              <w:t>d</w:t>
            </w:r>
            <w:r w:rsidRPr="006815C5">
              <w:rPr>
                <w:rFonts w:ascii="Verdana" w:hAnsi="Verdana"/>
                <w:sz w:val="16"/>
                <w:szCs w:val="16"/>
                <w:lang w:val="en-US"/>
              </w:rPr>
              <w:t>istributor that are intended to provide the public service of transmission and distribution of electric energy.</w:t>
            </w:r>
          </w:p>
        </w:tc>
      </w:tr>
      <w:tr w:rsidR="003A38FF" w:rsidRPr="00D83DA2" w14:paraId="51CCA963" w14:textId="3BA13A28" w:rsidTr="00FB5DAD">
        <w:tc>
          <w:tcPr>
            <w:tcW w:w="4706" w:type="dxa"/>
          </w:tcPr>
          <w:p w14:paraId="0346E505"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b/>
                <w:sz w:val="16"/>
                <w:szCs w:val="16"/>
              </w:rPr>
              <w:t>Artículo 130.</w:t>
            </w:r>
            <w:r w:rsidRPr="00D0180E">
              <w:rPr>
                <w:rFonts w:ascii="Verdana" w:hAnsi="Verdana"/>
                <w:sz w:val="16"/>
                <w:szCs w:val="16"/>
              </w:rPr>
              <w:t xml:space="preserve"> La Transportista o la Distribuidora pueden construir la Obra Específica, Ampliación o Modificación a que se refiere el presente Capítulo excediéndose en los requerimientos de la Solicitante, pero este únicamente está obligado a cubrir como Aportación la parte proporcional del costo de las Obras Específicas, Ampliaciones o Modificaciones, que se requieren para que se le proporcione el servicio de interconexión o conexión, la cual en ningún caso puede ser mayor que la Aportación que hubiera correspondido de haberse aplicado la solución técnica más económica o el costo en que incurra la Transportista o la Distribuidora cuando no exista otra solución.</w:t>
            </w:r>
          </w:p>
        </w:tc>
        <w:tc>
          <w:tcPr>
            <w:tcW w:w="4644" w:type="dxa"/>
          </w:tcPr>
          <w:p w14:paraId="3340E9C6" w14:textId="47DBCAD6" w:rsidR="003A38FF" w:rsidRPr="00D0180E" w:rsidRDefault="003A38FF" w:rsidP="003A38FF">
            <w:pPr>
              <w:pStyle w:val="Texto"/>
              <w:spacing w:line="225" w:lineRule="exact"/>
              <w:ind w:firstLine="0"/>
              <w:rPr>
                <w:rFonts w:ascii="Verdana" w:hAnsi="Verdana"/>
                <w:b/>
                <w:sz w:val="16"/>
                <w:szCs w:val="16"/>
                <w:lang w:val="en-US"/>
              </w:rPr>
            </w:pPr>
            <w:r w:rsidRPr="006815C5">
              <w:rPr>
                <w:rFonts w:ascii="Verdana" w:hAnsi="Verdana"/>
                <w:b/>
                <w:sz w:val="16"/>
                <w:szCs w:val="16"/>
                <w:lang w:val="en-US"/>
              </w:rPr>
              <w:t xml:space="preserve">Article 130. </w:t>
            </w:r>
            <w:r w:rsidRPr="006815C5">
              <w:rPr>
                <w:rFonts w:ascii="Verdana" w:hAnsi="Verdana"/>
                <w:sz w:val="16"/>
                <w:szCs w:val="16"/>
                <w:lang w:val="en-US"/>
              </w:rPr>
              <w:t xml:space="preserve">The transporter or the distributor may construct the specific work, expansion or modification referred to in this Chapter, exceeding the requirements of the applicant, but the applicant is only obligated to cover as a contribution the proportional part of the cost of the specific works, expansions or modifications, which are required to provide the interconnection or connection service, which in no case may be greater than the contribution that would have corresponded if the most economical technical solution had been applied or the cost incurred by the </w:t>
            </w:r>
            <w:r>
              <w:rPr>
                <w:rFonts w:ascii="Verdana" w:hAnsi="Verdana"/>
                <w:sz w:val="16"/>
                <w:szCs w:val="16"/>
                <w:lang w:val="en-US"/>
              </w:rPr>
              <w:t>t</w:t>
            </w:r>
            <w:r w:rsidRPr="006815C5">
              <w:rPr>
                <w:rFonts w:ascii="Verdana" w:hAnsi="Verdana"/>
                <w:sz w:val="16"/>
                <w:szCs w:val="16"/>
                <w:lang w:val="en-US"/>
              </w:rPr>
              <w:t xml:space="preserve">ransporter or the </w:t>
            </w:r>
            <w:r>
              <w:rPr>
                <w:rFonts w:ascii="Verdana" w:hAnsi="Verdana"/>
                <w:sz w:val="16"/>
                <w:szCs w:val="16"/>
                <w:lang w:val="en-US"/>
              </w:rPr>
              <w:t>d</w:t>
            </w:r>
            <w:r w:rsidRPr="006815C5">
              <w:rPr>
                <w:rFonts w:ascii="Verdana" w:hAnsi="Verdana"/>
                <w:sz w:val="16"/>
                <w:szCs w:val="16"/>
                <w:lang w:val="en-US"/>
              </w:rPr>
              <w:t>istributor when there is no other solution.</w:t>
            </w:r>
          </w:p>
        </w:tc>
      </w:tr>
      <w:tr w:rsidR="003A38FF" w:rsidRPr="00D83DA2" w14:paraId="7A762253" w14:textId="5C551137" w:rsidTr="00FB5DAD">
        <w:tc>
          <w:tcPr>
            <w:tcW w:w="4706" w:type="dxa"/>
          </w:tcPr>
          <w:p w14:paraId="338B1A21"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b/>
                <w:sz w:val="16"/>
                <w:szCs w:val="16"/>
              </w:rPr>
              <w:t>Artículo 131.</w:t>
            </w:r>
            <w:r w:rsidRPr="00D0180E">
              <w:rPr>
                <w:rFonts w:ascii="Verdana" w:hAnsi="Verdana"/>
                <w:sz w:val="16"/>
                <w:szCs w:val="16"/>
              </w:rPr>
              <w:t xml:space="preserve"> La Solicitante de una conexión puede construir directamente o, a través de un convenio con la Transportista o la Distribuidora, la red para la electrificación de sus Centros de Carga para el desarrollo de cualquier actividad productiva, comercial, de servicios o inmobiliaria, conforme a las disposiciones administrativas de carácter general en materia de Aportaciones.</w:t>
            </w:r>
          </w:p>
        </w:tc>
        <w:tc>
          <w:tcPr>
            <w:tcW w:w="4644" w:type="dxa"/>
          </w:tcPr>
          <w:p w14:paraId="46826557" w14:textId="0A2327C2" w:rsidR="003A38FF" w:rsidRPr="00D0180E" w:rsidRDefault="003A38FF" w:rsidP="003A38FF">
            <w:pPr>
              <w:pStyle w:val="Texto"/>
              <w:spacing w:line="225" w:lineRule="exact"/>
              <w:ind w:firstLine="0"/>
              <w:rPr>
                <w:rFonts w:ascii="Verdana" w:hAnsi="Verdana"/>
                <w:b/>
                <w:sz w:val="16"/>
                <w:szCs w:val="16"/>
                <w:lang w:val="en-US"/>
              </w:rPr>
            </w:pPr>
            <w:r w:rsidRPr="006815C5">
              <w:rPr>
                <w:rFonts w:ascii="Verdana" w:hAnsi="Verdana"/>
                <w:b/>
                <w:sz w:val="16"/>
                <w:szCs w:val="16"/>
                <w:lang w:val="en-US"/>
              </w:rPr>
              <w:t xml:space="preserve">Article 131. </w:t>
            </w:r>
            <w:r w:rsidRPr="006815C5">
              <w:rPr>
                <w:rFonts w:ascii="Verdana" w:hAnsi="Verdana"/>
                <w:sz w:val="16"/>
                <w:szCs w:val="16"/>
                <w:lang w:val="en-US"/>
              </w:rPr>
              <w:t xml:space="preserve">The </w:t>
            </w:r>
            <w:r>
              <w:rPr>
                <w:rFonts w:ascii="Verdana" w:hAnsi="Verdana"/>
                <w:sz w:val="16"/>
                <w:szCs w:val="16"/>
                <w:lang w:val="en-US"/>
              </w:rPr>
              <w:t>a</w:t>
            </w:r>
            <w:r w:rsidRPr="006815C5">
              <w:rPr>
                <w:rFonts w:ascii="Verdana" w:hAnsi="Verdana"/>
                <w:sz w:val="16"/>
                <w:szCs w:val="16"/>
                <w:lang w:val="en-US"/>
              </w:rPr>
              <w:t>pplicant for a connection may build directly or, through an agreement with the transporter or the distributor, the network for the electrification of its load centers for the development of any productive, commercial, service or real estate activity, in accordance with the general administrative provisions regarding contributions.</w:t>
            </w:r>
          </w:p>
        </w:tc>
      </w:tr>
      <w:tr w:rsidR="003A38FF" w:rsidRPr="00D83DA2" w14:paraId="768ACE87" w14:textId="137685D6" w:rsidTr="00FB5DAD">
        <w:tc>
          <w:tcPr>
            <w:tcW w:w="4706" w:type="dxa"/>
          </w:tcPr>
          <w:p w14:paraId="210FCF27"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b/>
                <w:sz w:val="16"/>
                <w:szCs w:val="16"/>
              </w:rPr>
              <w:t>Artículo 132.</w:t>
            </w:r>
            <w:r w:rsidRPr="00D0180E">
              <w:rPr>
                <w:rFonts w:ascii="Verdana" w:hAnsi="Verdana"/>
                <w:sz w:val="16"/>
                <w:szCs w:val="16"/>
              </w:rPr>
              <w:t xml:space="preserve"> Para efectos de la exención prevista en el artículo 50, fracción III de la Ley, los doscientos metros deben ser medidos sobre calles, avenidas, derechos de vía y servidumbres de paso, desde el poste o registro más cercano a las instalaciones de Baja </w:t>
            </w:r>
            <w:r w:rsidRPr="00D0180E">
              <w:rPr>
                <w:rFonts w:ascii="Verdana" w:hAnsi="Verdana"/>
                <w:sz w:val="16"/>
                <w:szCs w:val="16"/>
              </w:rPr>
              <w:lastRenderedPageBreak/>
              <w:t>Tensión existentes de la Distribuidora, a las instalaciones de la Usuaria Final individual.</w:t>
            </w:r>
          </w:p>
        </w:tc>
        <w:tc>
          <w:tcPr>
            <w:tcW w:w="4644" w:type="dxa"/>
          </w:tcPr>
          <w:p w14:paraId="44F9244E" w14:textId="5BD75F22" w:rsidR="003A38FF" w:rsidRPr="00D0180E" w:rsidRDefault="003A38FF" w:rsidP="003A38FF">
            <w:pPr>
              <w:pStyle w:val="Texto"/>
              <w:spacing w:line="225" w:lineRule="exact"/>
              <w:ind w:firstLine="0"/>
              <w:rPr>
                <w:rFonts w:ascii="Verdana" w:hAnsi="Verdana"/>
                <w:b/>
                <w:sz w:val="16"/>
                <w:szCs w:val="16"/>
                <w:lang w:val="en-US"/>
              </w:rPr>
            </w:pPr>
            <w:r w:rsidRPr="006815C5">
              <w:rPr>
                <w:rFonts w:ascii="Verdana" w:hAnsi="Verdana"/>
                <w:b/>
                <w:sz w:val="16"/>
                <w:szCs w:val="16"/>
                <w:lang w:val="en-US"/>
              </w:rPr>
              <w:lastRenderedPageBreak/>
              <w:t xml:space="preserve">Article 132. </w:t>
            </w:r>
            <w:r w:rsidRPr="006815C5">
              <w:rPr>
                <w:rFonts w:ascii="Verdana" w:hAnsi="Verdana"/>
                <w:sz w:val="16"/>
                <w:szCs w:val="16"/>
                <w:lang w:val="en-US"/>
              </w:rPr>
              <w:t xml:space="preserve">For the purposes of the exemption provided for in article 50, section III of the Law, the two hundred meters must be measured on streets, avenues, rights of way and easements, from the pole or register closest to the existing low voltage facilities </w:t>
            </w:r>
            <w:r w:rsidRPr="006815C5">
              <w:rPr>
                <w:rFonts w:ascii="Verdana" w:hAnsi="Verdana"/>
                <w:sz w:val="16"/>
                <w:szCs w:val="16"/>
                <w:lang w:val="en-US"/>
              </w:rPr>
              <w:lastRenderedPageBreak/>
              <w:t>of the distributor, to the facilities of the individual end user.</w:t>
            </w:r>
          </w:p>
        </w:tc>
      </w:tr>
      <w:tr w:rsidR="003A38FF" w:rsidRPr="00D83DA2" w14:paraId="1FEEBE66" w14:textId="24F29BB4" w:rsidTr="00FB5DAD">
        <w:tc>
          <w:tcPr>
            <w:tcW w:w="4706" w:type="dxa"/>
          </w:tcPr>
          <w:p w14:paraId="4621F632"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b/>
                <w:sz w:val="16"/>
                <w:szCs w:val="16"/>
              </w:rPr>
              <w:lastRenderedPageBreak/>
              <w:t>Artículo 133.</w:t>
            </w:r>
            <w:r w:rsidRPr="00D0180E">
              <w:rPr>
                <w:rFonts w:ascii="Verdana" w:hAnsi="Verdana"/>
                <w:sz w:val="16"/>
                <w:szCs w:val="16"/>
              </w:rPr>
              <w:t xml:space="preserve"> La CNE debe definir criterios para determinar los supuestos en que un Centro de Carga debe ser considerado como instalación de una Usuaria Final individual en Baja Tensión.</w:t>
            </w:r>
          </w:p>
        </w:tc>
        <w:tc>
          <w:tcPr>
            <w:tcW w:w="4644" w:type="dxa"/>
          </w:tcPr>
          <w:p w14:paraId="0A4C1A4A" w14:textId="1C25C36B" w:rsidR="003A38FF" w:rsidRPr="00D0180E" w:rsidRDefault="003A38FF" w:rsidP="003A38FF">
            <w:pPr>
              <w:pStyle w:val="Texto"/>
              <w:spacing w:line="225" w:lineRule="exact"/>
              <w:ind w:firstLine="0"/>
              <w:rPr>
                <w:rFonts w:ascii="Verdana" w:hAnsi="Verdana"/>
                <w:b/>
                <w:sz w:val="16"/>
                <w:szCs w:val="16"/>
                <w:lang w:val="en-US"/>
              </w:rPr>
            </w:pPr>
            <w:r w:rsidRPr="006815C5">
              <w:rPr>
                <w:rFonts w:ascii="Verdana" w:hAnsi="Verdana"/>
                <w:b/>
                <w:sz w:val="16"/>
                <w:szCs w:val="16"/>
                <w:lang w:val="en-US"/>
              </w:rPr>
              <w:t xml:space="preserve">Article 133. </w:t>
            </w:r>
            <w:r w:rsidRPr="006815C5">
              <w:rPr>
                <w:rFonts w:ascii="Verdana" w:hAnsi="Verdana"/>
                <w:sz w:val="16"/>
                <w:szCs w:val="16"/>
                <w:lang w:val="en-US"/>
              </w:rPr>
              <w:t>The CNE must define criteria to determine the cases in which a load center must be considered as an installation of an individual end user in low voltage.</w:t>
            </w:r>
          </w:p>
        </w:tc>
      </w:tr>
      <w:tr w:rsidR="003A38FF" w:rsidRPr="00D83DA2" w14:paraId="332D846A" w14:textId="249950D1" w:rsidTr="00FB5DAD">
        <w:tc>
          <w:tcPr>
            <w:tcW w:w="4706" w:type="dxa"/>
          </w:tcPr>
          <w:p w14:paraId="250B078D"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b/>
                <w:sz w:val="16"/>
                <w:szCs w:val="16"/>
              </w:rPr>
              <w:t>Artículo 134.</w:t>
            </w:r>
            <w:r w:rsidRPr="00D0180E">
              <w:rPr>
                <w:rFonts w:ascii="Verdana" w:hAnsi="Verdana"/>
                <w:sz w:val="16"/>
                <w:szCs w:val="16"/>
              </w:rPr>
              <w:t xml:space="preserve"> Para el caso de las Aportaciones referidas en el presente Capítulo, cuando para la ejecución de las Obras Específicas, de Ampliación, de Modificación, de refuerzo, se requiera efectuar gastos adicionales para la adquisición de predios, la constitución de servidumbres de paso, realización de estudios de impacto ambiental o de Impacto Social, el pago de derechos para la obtención de permisos o el pago de otros trabajos en inmuebles de terceras personas, entre otros, su gestión e importe debe ser cubierto por la Solicitante.</w:t>
            </w:r>
          </w:p>
        </w:tc>
        <w:tc>
          <w:tcPr>
            <w:tcW w:w="4644" w:type="dxa"/>
          </w:tcPr>
          <w:p w14:paraId="28BE23CA" w14:textId="461B68AA" w:rsidR="003A38FF" w:rsidRPr="00D0180E" w:rsidRDefault="003A38FF" w:rsidP="003A38FF">
            <w:pPr>
              <w:pStyle w:val="Texto"/>
              <w:spacing w:line="225" w:lineRule="exact"/>
              <w:ind w:firstLine="0"/>
              <w:rPr>
                <w:rFonts w:ascii="Verdana" w:hAnsi="Verdana"/>
                <w:b/>
                <w:sz w:val="16"/>
                <w:szCs w:val="16"/>
                <w:lang w:val="en-US"/>
              </w:rPr>
            </w:pPr>
            <w:r w:rsidRPr="006815C5">
              <w:rPr>
                <w:rFonts w:ascii="Verdana" w:hAnsi="Verdana"/>
                <w:b/>
                <w:sz w:val="16"/>
                <w:szCs w:val="16"/>
                <w:lang w:val="en-US"/>
              </w:rPr>
              <w:t xml:space="preserve">Article 134. </w:t>
            </w:r>
            <w:r w:rsidRPr="006815C5">
              <w:rPr>
                <w:rFonts w:ascii="Verdana" w:hAnsi="Verdana"/>
                <w:sz w:val="16"/>
                <w:szCs w:val="16"/>
                <w:lang w:val="en-US"/>
              </w:rPr>
              <w:t xml:space="preserve">In the case of the </w:t>
            </w:r>
            <w:r>
              <w:rPr>
                <w:rFonts w:ascii="Verdana" w:hAnsi="Verdana"/>
                <w:sz w:val="16"/>
                <w:szCs w:val="16"/>
                <w:lang w:val="en-US"/>
              </w:rPr>
              <w:t>c</w:t>
            </w:r>
            <w:r w:rsidRPr="006815C5">
              <w:rPr>
                <w:rFonts w:ascii="Verdana" w:hAnsi="Verdana"/>
                <w:sz w:val="16"/>
                <w:szCs w:val="16"/>
                <w:lang w:val="en-US"/>
              </w:rPr>
              <w:t>ontributions referred to in this Chapter, when for the execution of specific works, expansion, modification, reinforcement, it is required to make additional expenses for the acquisition of land, the constitution of rights of way, realization of environmental impact studies or social impact, the payment of rights for obtaining permits or the payment of other works in properties of third parties, among others, their management and amount must be covered by the applicant.</w:t>
            </w:r>
          </w:p>
        </w:tc>
      </w:tr>
      <w:tr w:rsidR="003A38FF" w:rsidRPr="00D83DA2" w14:paraId="7C6F85D7" w14:textId="216FC943" w:rsidTr="00FB5DAD">
        <w:tc>
          <w:tcPr>
            <w:tcW w:w="4706" w:type="dxa"/>
          </w:tcPr>
          <w:p w14:paraId="743DA854" w14:textId="77777777" w:rsidR="003A38FF" w:rsidRPr="00D0180E" w:rsidRDefault="003A38FF" w:rsidP="003A38FF">
            <w:pPr>
              <w:pStyle w:val="Texto"/>
              <w:spacing w:line="227" w:lineRule="exact"/>
              <w:ind w:firstLine="0"/>
              <w:rPr>
                <w:rFonts w:ascii="Verdana" w:hAnsi="Verdana"/>
                <w:sz w:val="16"/>
                <w:szCs w:val="16"/>
              </w:rPr>
            </w:pPr>
            <w:r w:rsidRPr="00D0180E">
              <w:rPr>
                <w:rFonts w:ascii="Verdana" w:hAnsi="Verdana"/>
                <w:b/>
                <w:sz w:val="16"/>
                <w:szCs w:val="16"/>
              </w:rPr>
              <w:t>Artículo 135.</w:t>
            </w:r>
            <w:r w:rsidRPr="00D0180E">
              <w:rPr>
                <w:rFonts w:ascii="Verdana" w:hAnsi="Verdana"/>
                <w:sz w:val="16"/>
                <w:szCs w:val="16"/>
              </w:rPr>
              <w:t xml:space="preserve"> Cuando la ejecución de los trabajos a que se refiere el artículo 54 de la Ley impidan de forma transitoria el uso público de los lugares mencionados en dicho artículo y demás bienes de uso común de los diferentes órdenes de gobierno, la Transportista o la Distribuidora debe solicitar la autorización de la autoridad correspondiente para la ejecución de las obras. Asimismo, la Transportista o la Distribuidora puede ejecutar obras sin los permisos correspondientes en casos de emergencia y debe solicitar la ratificación de la medida posteriormente al inicio de las obras. En ningún caso estos trabajos generan obligación de pago alguno con las autoridades competentes, salvo las relativas a las reparaciones por los trabajos realizados en dichos lugares.</w:t>
            </w:r>
          </w:p>
        </w:tc>
        <w:tc>
          <w:tcPr>
            <w:tcW w:w="4644" w:type="dxa"/>
          </w:tcPr>
          <w:p w14:paraId="5888D0C0" w14:textId="54F88DC9" w:rsidR="003A38FF" w:rsidRPr="00D0180E" w:rsidRDefault="003A38FF" w:rsidP="003A38FF">
            <w:pPr>
              <w:pStyle w:val="Texto"/>
              <w:spacing w:line="227" w:lineRule="exact"/>
              <w:ind w:firstLine="0"/>
              <w:rPr>
                <w:rFonts w:ascii="Verdana" w:hAnsi="Verdana"/>
                <w:b/>
                <w:sz w:val="16"/>
                <w:szCs w:val="16"/>
                <w:lang w:val="en-US"/>
              </w:rPr>
            </w:pPr>
            <w:r w:rsidRPr="006815C5">
              <w:rPr>
                <w:rFonts w:ascii="Verdana" w:hAnsi="Verdana"/>
                <w:b/>
                <w:sz w:val="16"/>
                <w:szCs w:val="16"/>
                <w:lang w:val="en-US"/>
              </w:rPr>
              <w:t xml:space="preserve">Article 135. </w:t>
            </w:r>
            <w:r w:rsidRPr="006815C5">
              <w:rPr>
                <w:rFonts w:ascii="Verdana" w:hAnsi="Verdana"/>
                <w:sz w:val="16"/>
                <w:szCs w:val="16"/>
                <w:lang w:val="en-US"/>
              </w:rPr>
              <w:t xml:space="preserve">When the execution of the works referred to in Article 54 of the Law temporarily impedes public use of the places mentioned in said article and other common-use assets of the different levels of government, the transporter or distributor must request authorization from the corresponding authority for the execution of the works. </w:t>
            </w:r>
            <w:r>
              <w:rPr>
                <w:rFonts w:ascii="Verdana" w:hAnsi="Verdana"/>
                <w:sz w:val="16"/>
                <w:szCs w:val="16"/>
                <w:lang w:val="en-US"/>
              </w:rPr>
              <w:t>In addition</w:t>
            </w:r>
            <w:r w:rsidRPr="006815C5">
              <w:rPr>
                <w:rFonts w:ascii="Verdana" w:hAnsi="Verdana"/>
                <w:sz w:val="16"/>
                <w:szCs w:val="16"/>
                <w:lang w:val="en-US"/>
              </w:rPr>
              <w:t xml:space="preserve">, the transporter or distributor may execute works without the corresponding permits in cases of emergency and must request ratification of the measure after the </w:t>
            </w:r>
            <w:proofErr w:type="gramStart"/>
            <w:r w:rsidRPr="006815C5">
              <w:rPr>
                <w:rFonts w:ascii="Verdana" w:hAnsi="Verdana"/>
                <w:sz w:val="16"/>
                <w:szCs w:val="16"/>
                <w:lang w:val="en-US"/>
              </w:rPr>
              <w:t>works begin</w:t>
            </w:r>
            <w:proofErr w:type="gramEnd"/>
            <w:r w:rsidRPr="006815C5">
              <w:rPr>
                <w:rFonts w:ascii="Verdana" w:hAnsi="Verdana"/>
                <w:sz w:val="16"/>
                <w:szCs w:val="16"/>
                <w:lang w:val="en-US"/>
              </w:rPr>
              <w:t xml:space="preserve">. Under no circumstances does this work generate any payment obligation with the </w:t>
            </w:r>
            <w:r>
              <w:rPr>
                <w:rFonts w:ascii="Verdana" w:hAnsi="Verdana"/>
                <w:sz w:val="16"/>
                <w:szCs w:val="16"/>
                <w:lang w:val="en-US"/>
              </w:rPr>
              <w:t>appropriate authorities</w:t>
            </w:r>
            <w:r w:rsidRPr="006815C5">
              <w:rPr>
                <w:rFonts w:ascii="Verdana" w:hAnsi="Verdana"/>
                <w:sz w:val="16"/>
                <w:szCs w:val="16"/>
                <w:lang w:val="en-US"/>
              </w:rPr>
              <w:t>, except for those related to repairs for work performed in said places.</w:t>
            </w:r>
          </w:p>
        </w:tc>
      </w:tr>
      <w:tr w:rsidR="003A38FF" w:rsidRPr="00D83DA2" w14:paraId="719F8F96" w14:textId="13BD458C" w:rsidTr="00FB5DAD">
        <w:tc>
          <w:tcPr>
            <w:tcW w:w="4706" w:type="dxa"/>
          </w:tcPr>
          <w:p w14:paraId="5D6E7586" w14:textId="77777777" w:rsidR="003A38FF" w:rsidRPr="00D0180E" w:rsidRDefault="003A38FF" w:rsidP="003A38FF">
            <w:pPr>
              <w:pStyle w:val="Texto"/>
              <w:spacing w:line="227" w:lineRule="exact"/>
              <w:ind w:firstLine="0"/>
              <w:rPr>
                <w:rFonts w:ascii="Verdana" w:hAnsi="Verdana"/>
                <w:sz w:val="16"/>
                <w:szCs w:val="16"/>
              </w:rPr>
            </w:pPr>
            <w:r w:rsidRPr="00D0180E">
              <w:rPr>
                <w:rFonts w:ascii="Verdana" w:hAnsi="Verdana"/>
                <w:b/>
                <w:sz w:val="16"/>
                <w:szCs w:val="16"/>
              </w:rPr>
              <w:t>Artículo 136.</w:t>
            </w:r>
            <w:r w:rsidRPr="00D0180E">
              <w:rPr>
                <w:rFonts w:ascii="Verdana" w:hAnsi="Verdana"/>
                <w:sz w:val="16"/>
                <w:szCs w:val="16"/>
              </w:rPr>
              <w:t xml:space="preserve"> Para efectos del artículo 3, fracción LI de la Ley, las obras e instalaciones requeridas para la prestación del servicio de alumbrado público no se deben considerar elementos del Sistema Eléctrico Nacional, por lo que la Usuaria Final es responsable de su construcción, operación, mantenimiento y reparación. La ejecución de los proyectos y demás trabajos relacionados con dicho servicio no es materia del Servicio Público de Transmisión y Distribución de Energía Eléctrica por lo que no está a cargo de la Transportista o la Distribuidora, sin perjuicio de los contratos de servicios que estos pueden celebrar.</w:t>
            </w:r>
          </w:p>
        </w:tc>
        <w:tc>
          <w:tcPr>
            <w:tcW w:w="4644" w:type="dxa"/>
          </w:tcPr>
          <w:p w14:paraId="5F21BFA2" w14:textId="195EC6EA" w:rsidR="003A38FF" w:rsidRPr="00D0180E" w:rsidRDefault="003A38FF" w:rsidP="003A38FF">
            <w:pPr>
              <w:pStyle w:val="Texto"/>
              <w:spacing w:line="227" w:lineRule="exact"/>
              <w:ind w:firstLine="0"/>
              <w:rPr>
                <w:rFonts w:ascii="Verdana" w:hAnsi="Verdana"/>
                <w:b/>
                <w:sz w:val="16"/>
                <w:szCs w:val="16"/>
                <w:lang w:val="en-US"/>
              </w:rPr>
            </w:pPr>
            <w:r w:rsidRPr="006815C5">
              <w:rPr>
                <w:rFonts w:ascii="Verdana" w:hAnsi="Verdana"/>
                <w:b/>
                <w:sz w:val="16"/>
                <w:szCs w:val="16"/>
                <w:lang w:val="en-US"/>
              </w:rPr>
              <w:t xml:space="preserve">Article 136. </w:t>
            </w:r>
            <w:r w:rsidRPr="006815C5">
              <w:rPr>
                <w:rFonts w:ascii="Verdana" w:hAnsi="Verdana"/>
                <w:sz w:val="16"/>
                <w:szCs w:val="16"/>
                <w:lang w:val="en-US"/>
              </w:rPr>
              <w:t xml:space="preserve">For the purposes of Article 3, Section LI of the Law, the works and installations required for the provision of public lighting services are not to be considered elements of the </w:t>
            </w:r>
            <w:r>
              <w:rPr>
                <w:rFonts w:ascii="Verdana" w:hAnsi="Verdana"/>
                <w:sz w:val="16"/>
                <w:szCs w:val="16"/>
                <w:lang w:val="en-US"/>
              </w:rPr>
              <w:t>National Electric System</w:t>
            </w:r>
            <w:r w:rsidRPr="006815C5">
              <w:rPr>
                <w:rFonts w:ascii="Verdana" w:hAnsi="Verdana"/>
                <w:sz w:val="16"/>
                <w:szCs w:val="16"/>
                <w:lang w:val="en-US"/>
              </w:rPr>
              <w:t xml:space="preserve">; therefore, the end user is responsible for their construction, operation, maintenance, and repair. The execution of projects and other works related to said service is not a matter for the public service of transmission and distribution of electric </w:t>
            </w:r>
            <w:proofErr w:type="gramStart"/>
            <w:r w:rsidRPr="006815C5">
              <w:rPr>
                <w:rFonts w:ascii="Verdana" w:hAnsi="Verdana"/>
                <w:sz w:val="16"/>
                <w:szCs w:val="16"/>
                <w:lang w:val="en-US"/>
              </w:rPr>
              <w:t>energy, and</w:t>
            </w:r>
            <w:proofErr w:type="gramEnd"/>
            <w:r w:rsidRPr="006815C5">
              <w:rPr>
                <w:rFonts w:ascii="Verdana" w:hAnsi="Verdana"/>
                <w:sz w:val="16"/>
                <w:szCs w:val="16"/>
                <w:lang w:val="en-US"/>
              </w:rPr>
              <w:t xml:space="preserve"> is therefore not the responsibility of the transmission company or the distributor, without prejudice to any service contracts they may </w:t>
            </w:r>
            <w:proofErr w:type="gramStart"/>
            <w:r w:rsidRPr="006815C5">
              <w:rPr>
                <w:rFonts w:ascii="Verdana" w:hAnsi="Verdana"/>
                <w:sz w:val="16"/>
                <w:szCs w:val="16"/>
                <w:lang w:val="en-US"/>
              </w:rPr>
              <w:t>enter into</w:t>
            </w:r>
            <w:proofErr w:type="gramEnd"/>
            <w:r w:rsidRPr="006815C5">
              <w:rPr>
                <w:rFonts w:ascii="Verdana" w:hAnsi="Verdana"/>
                <w:sz w:val="16"/>
                <w:szCs w:val="16"/>
                <w:lang w:val="en-US"/>
              </w:rPr>
              <w:t>.</w:t>
            </w:r>
          </w:p>
        </w:tc>
      </w:tr>
      <w:tr w:rsidR="003A38FF" w:rsidRPr="00D0180E" w14:paraId="6C4C56A7" w14:textId="2CC19766" w:rsidTr="00FB5DAD">
        <w:tc>
          <w:tcPr>
            <w:tcW w:w="4706" w:type="dxa"/>
          </w:tcPr>
          <w:p w14:paraId="11545BA4" w14:textId="77777777" w:rsidR="003A38FF" w:rsidRPr="00D0180E" w:rsidRDefault="003A38FF" w:rsidP="003A38FF">
            <w:pPr>
              <w:pStyle w:val="Texto"/>
              <w:spacing w:line="227" w:lineRule="exact"/>
              <w:ind w:firstLine="0"/>
              <w:jc w:val="center"/>
              <w:rPr>
                <w:rFonts w:ascii="Verdana" w:hAnsi="Verdana"/>
                <w:b/>
                <w:sz w:val="16"/>
                <w:szCs w:val="16"/>
              </w:rPr>
            </w:pPr>
            <w:r w:rsidRPr="00D0180E">
              <w:rPr>
                <w:rFonts w:ascii="Verdana" w:hAnsi="Verdana"/>
                <w:b/>
                <w:sz w:val="16"/>
                <w:szCs w:val="16"/>
              </w:rPr>
              <w:t>Capítulo IX</w:t>
            </w:r>
          </w:p>
        </w:tc>
        <w:tc>
          <w:tcPr>
            <w:tcW w:w="4644" w:type="dxa"/>
          </w:tcPr>
          <w:p w14:paraId="19D9ECF6" w14:textId="4FCA1163" w:rsidR="003A38FF" w:rsidRPr="00CC0E22" w:rsidRDefault="003A38FF" w:rsidP="003A38FF">
            <w:pPr>
              <w:pStyle w:val="Texto"/>
              <w:spacing w:line="227" w:lineRule="exact"/>
              <w:ind w:firstLine="0"/>
              <w:jc w:val="center"/>
              <w:rPr>
                <w:rFonts w:ascii="Verdana" w:hAnsi="Verdana"/>
                <w:b/>
                <w:sz w:val="16"/>
                <w:szCs w:val="16"/>
                <w:lang w:val="en-US"/>
              </w:rPr>
            </w:pPr>
            <w:r w:rsidRPr="00CC0E22">
              <w:rPr>
                <w:rFonts w:ascii="Verdana" w:hAnsi="Verdana"/>
                <w:b/>
                <w:sz w:val="16"/>
                <w:szCs w:val="16"/>
                <w:lang w:val="en-US"/>
              </w:rPr>
              <w:t>Chapter IX</w:t>
            </w:r>
          </w:p>
        </w:tc>
      </w:tr>
      <w:tr w:rsidR="003A38FF" w:rsidRPr="00D83DA2" w14:paraId="25F1C325" w14:textId="58646917" w:rsidTr="00FB5DAD">
        <w:tc>
          <w:tcPr>
            <w:tcW w:w="4706" w:type="dxa"/>
          </w:tcPr>
          <w:p w14:paraId="47A527B9" w14:textId="77777777" w:rsidR="003A38FF" w:rsidRPr="00D0180E" w:rsidRDefault="003A38FF" w:rsidP="003A38FF">
            <w:pPr>
              <w:pStyle w:val="Texto"/>
              <w:spacing w:line="227" w:lineRule="exact"/>
              <w:ind w:firstLine="0"/>
              <w:jc w:val="center"/>
              <w:rPr>
                <w:rFonts w:ascii="Verdana" w:hAnsi="Verdana"/>
                <w:b/>
                <w:sz w:val="16"/>
                <w:szCs w:val="16"/>
              </w:rPr>
            </w:pPr>
            <w:r w:rsidRPr="00D0180E">
              <w:rPr>
                <w:rFonts w:ascii="Verdana" w:hAnsi="Verdana"/>
                <w:b/>
                <w:sz w:val="16"/>
                <w:szCs w:val="16"/>
              </w:rPr>
              <w:t>De las Controversias Relacionadas con la Interconexión o la Conexión a la Red Nacional de Transmisión y a las Redes Generales de Distribución</w:t>
            </w:r>
          </w:p>
        </w:tc>
        <w:tc>
          <w:tcPr>
            <w:tcW w:w="4644" w:type="dxa"/>
          </w:tcPr>
          <w:p w14:paraId="1F207B63" w14:textId="6401B1BB" w:rsidR="003A38FF" w:rsidRPr="00CC0E22" w:rsidRDefault="003A38FF" w:rsidP="003A38FF">
            <w:pPr>
              <w:pStyle w:val="Texto"/>
              <w:spacing w:line="227" w:lineRule="exact"/>
              <w:ind w:firstLine="0"/>
              <w:jc w:val="center"/>
              <w:rPr>
                <w:rFonts w:ascii="Verdana" w:hAnsi="Verdana"/>
                <w:b/>
                <w:sz w:val="16"/>
                <w:szCs w:val="16"/>
                <w:lang w:val="en-US"/>
              </w:rPr>
            </w:pPr>
            <w:r w:rsidRPr="00CC0E22">
              <w:rPr>
                <w:rFonts w:ascii="Verdana" w:hAnsi="Verdana"/>
                <w:b/>
                <w:sz w:val="16"/>
                <w:szCs w:val="16"/>
                <w:lang w:val="en-US"/>
              </w:rPr>
              <w:t>Disputes Related to the Interconnection or Connection to the National Transmission Network and the General Distribution Networks</w:t>
            </w:r>
          </w:p>
        </w:tc>
      </w:tr>
      <w:tr w:rsidR="003A38FF" w:rsidRPr="00D83DA2" w14:paraId="6B99C0DC" w14:textId="3C2A4B40" w:rsidTr="00FB5DAD">
        <w:tc>
          <w:tcPr>
            <w:tcW w:w="4706" w:type="dxa"/>
          </w:tcPr>
          <w:p w14:paraId="46D81B3D" w14:textId="77777777" w:rsidR="003A38FF" w:rsidRPr="00D0180E" w:rsidRDefault="003A38FF" w:rsidP="003A38FF">
            <w:pPr>
              <w:pStyle w:val="Texto"/>
              <w:spacing w:line="227" w:lineRule="exact"/>
              <w:ind w:firstLine="0"/>
              <w:rPr>
                <w:rFonts w:ascii="Verdana" w:hAnsi="Verdana"/>
                <w:sz w:val="16"/>
                <w:szCs w:val="16"/>
              </w:rPr>
            </w:pPr>
            <w:r w:rsidRPr="00D0180E">
              <w:rPr>
                <w:rFonts w:ascii="Verdana" w:hAnsi="Verdana"/>
                <w:b/>
                <w:sz w:val="16"/>
                <w:szCs w:val="16"/>
              </w:rPr>
              <w:t>Artículo 137.</w:t>
            </w:r>
            <w:r w:rsidRPr="00D0180E">
              <w:rPr>
                <w:rFonts w:ascii="Verdana" w:hAnsi="Verdana"/>
                <w:sz w:val="16"/>
                <w:szCs w:val="16"/>
              </w:rPr>
              <w:t xml:space="preserve"> Cuando la Solicitante de una conexión o interconexión considere que los actos del CENACE, la Transportista o la Distribuidora no se apegan a lo dispuesto en la Ley, este reglamento o a las disposiciones jurídicas aplicables, puede presentar el medio de impugnación ante el CENACE, la Transportista </w:t>
            </w:r>
            <w:r w:rsidRPr="00D0180E">
              <w:rPr>
                <w:rFonts w:ascii="Verdana" w:hAnsi="Verdana"/>
                <w:sz w:val="16"/>
                <w:szCs w:val="16"/>
              </w:rPr>
              <w:lastRenderedPageBreak/>
              <w:t>o la Distribuidora, según corresponda, en los términos de las Reglas del Mercado o demás ordenamientos jurídicos en la materia.</w:t>
            </w:r>
          </w:p>
        </w:tc>
        <w:tc>
          <w:tcPr>
            <w:tcW w:w="4644" w:type="dxa"/>
          </w:tcPr>
          <w:p w14:paraId="3D959843" w14:textId="787756CD" w:rsidR="003A38FF" w:rsidRPr="00D0180E" w:rsidRDefault="003A38FF" w:rsidP="003A38FF">
            <w:pPr>
              <w:pStyle w:val="Texto"/>
              <w:spacing w:line="227" w:lineRule="exact"/>
              <w:ind w:firstLine="0"/>
              <w:rPr>
                <w:rFonts w:ascii="Verdana" w:hAnsi="Verdana"/>
                <w:b/>
                <w:sz w:val="16"/>
                <w:szCs w:val="16"/>
                <w:lang w:val="en-US"/>
              </w:rPr>
            </w:pPr>
            <w:r w:rsidRPr="006815C5">
              <w:rPr>
                <w:rFonts w:ascii="Verdana" w:hAnsi="Verdana"/>
                <w:b/>
                <w:sz w:val="16"/>
                <w:szCs w:val="16"/>
                <w:lang w:val="en-US"/>
              </w:rPr>
              <w:lastRenderedPageBreak/>
              <w:t xml:space="preserve">Article 137. </w:t>
            </w:r>
            <w:r w:rsidRPr="006815C5">
              <w:rPr>
                <w:rFonts w:ascii="Verdana" w:hAnsi="Verdana"/>
                <w:sz w:val="16"/>
                <w:szCs w:val="16"/>
                <w:lang w:val="en-US"/>
              </w:rPr>
              <w:t xml:space="preserve">When the </w:t>
            </w:r>
            <w:r>
              <w:rPr>
                <w:rFonts w:ascii="Verdana" w:hAnsi="Verdana"/>
                <w:sz w:val="16"/>
                <w:szCs w:val="16"/>
                <w:lang w:val="en-US"/>
              </w:rPr>
              <w:t>a</w:t>
            </w:r>
            <w:r w:rsidRPr="006815C5">
              <w:rPr>
                <w:rFonts w:ascii="Verdana" w:hAnsi="Verdana"/>
                <w:sz w:val="16"/>
                <w:szCs w:val="16"/>
                <w:lang w:val="en-US"/>
              </w:rPr>
              <w:t xml:space="preserve">pplicant for a connection or interconnection considers that the acts of CENACE, the </w:t>
            </w:r>
            <w:r>
              <w:rPr>
                <w:rFonts w:ascii="Verdana" w:hAnsi="Verdana"/>
                <w:sz w:val="16"/>
                <w:szCs w:val="16"/>
                <w:lang w:val="en-US"/>
              </w:rPr>
              <w:t>t</w:t>
            </w:r>
            <w:r w:rsidRPr="006815C5">
              <w:rPr>
                <w:rFonts w:ascii="Verdana" w:hAnsi="Verdana"/>
                <w:sz w:val="16"/>
                <w:szCs w:val="16"/>
                <w:lang w:val="en-US"/>
              </w:rPr>
              <w:t xml:space="preserve">ransporter or the </w:t>
            </w:r>
            <w:r>
              <w:rPr>
                <w:rFonts w:ascii="Verdana" w:hAnsi="Verdana"/>
                <w:sz w:val="16"/>
                <w:szCs w:val="16"/>
                <w:lang w:val="en-US"/>
              </w:rPr>
              <w:t>d</w:t>
            </w:r>
            <w:r w:rsidRPr="006815C5">
              <w:rPr>
                <w:rFonts w:ascii="Verdana" w:hAnsi="Verdana"/>
                <w:sz w:val="16"/>
                <w:szCs w:val="16"/>
                <w:lang w:val="en-US"/>
              </w:rPr>
              <w:t xml:space="preserve">istributor do not adhere to the provisions of the Law, this regulation or the applicable legal provisions, it may present the means of appeal before CENACE, the </w:t>
            </w:r>
            <w:r>
              <w:rPr>
                <w:rFonts w:ascii="Verdana" w:hAnsi="Verdana"/>
                <w:sz w:val="16"/>
                <w:szCs w:val="16"/>
                <w:lang w:val="en-US"/>
              </w:rPr>
              <w:t>t</w:t>
            </w:r>
            <w:r w:rsidRPr="006815C5">
              <w:rPr>
                <w:rFonts w:ascii="Verdana" w:hAnsi="Verdana"/>
                <w:sz w:val="16"/>
                <w:szCs w:val="16"/>
                <w:lang w:val="en-US"/>
              </w:rPr>
              <w:t xml:space="preserve">ransporter or the </w:t>
            </w:r>
            <w:r>
              <w:rPr>
                <w:rFonts w:ascii="Verdana" w:hAnsi="Verdana"/>
                <w:sz w:val="16"/>
                <w:szCs w:val="16"/>
                <w:lang w:val="en-US"/>
              </w:rPr>
              <w:t>d</w:t>
            </w:r>
            <w:r w:rsidRPr="006815C5">
              <w:rPr>
                <w:rFonts w:ascii="Verdana" w:hAnsi="Verdana"/>
                <w:sz w:val="16"/>
                <w:szCs w:val="16"/>
                <w:lang w:val="en-US"/>
              </w:rPr>
              <w:t xml:space="preserve">istributor, as </w:t>
            </w:r>
            <w:r w:rsidRPr="006815C5">
              <w:rPr>
                <w:rFonts w:ascii="Verdana" w:hAnsi="Verdana"/>
                <w:sz w:val="16"/>
                <w:szCs w:val="16"/>
                <w:lang w:val="en-US"/>
              </w:rPr>
              <w:lastRenderedPageBreak/>
              <w:t xml:space="preserve">appropriate, </w:t>
            </w:r>
            <w:r>
              <w:rPr>
                <w:rFonts w:ascii="Verdana" w:hAnsi="Verdana"/>
                <w:sz w:val="16"/>
                <w:szCs w:val="16"/>
                <w:lang w:val="en-US"/>
              </w:rPr>
              <w:t>under the terms</w:t>
            </w:r>
            <w:r w:rsidRPr="006815C5">
              <w:rPr>
                <w:rFonts w:ascii="Verdana" w:hAnsi="Verdana"/>
                <w:sz w:val="16"/>
                <w:szCs w:val="16"/>
                <w:lang w:val="en-US"/>
              </w:rPr>
              <w:t xml:space="preserve"> of the </w:t>
            </w:r>
            <w:r>
              <w:rPr>
                <w:rFonts w:ascii="Verdana" w:hAnsi="Verdana"/>
                <w:sz w:val="16"/>
                <w:szCs w:val="16"/>
                <w:lang w:val="en-US"/>
              </w:rPr>
              <w:t>m</w:t>
            </w:r>
            <w:r w:rsidRPr="006815C5">
              <w:rPr>
                <w:rFonts w:ascii="Verdana" w:hAnsi="Verdana"/>
                <w:sz w:val="16"/>
                <w:szCs w:val="16"/>
                <w:lang w:val="en-US"/>
              </w:rPr>
              <w:t xml:space="preserve">arket </w:t>
            </w:r>
            <w:r>
              <w:rPr>
                <w:rFonts w:ascii="Verdana" w:hAnsi="Verdana"/>
                <w:sz w:val="16"/>
                <w:szCs w:val="16"/>
                <w:lang w:val="en-US"/>
              </w:rPr>
              <w:t>r</w:t>
            </w:r>
            <w:r w:rsidRPr="006815C5">
              <w:rPr>
                <w:rFonts w:ascii="Verdana" w:hAnsi="Verdana"/>
                <w:sz w:val="16"/>
                <w:szCs w:val="16"/>
                <w:lang w:val="en-US"/>
              </w:rPr>
              <w:t>ules or other legal provisions on the matter.</w:t>
            </w:r>
          </w:p>
        </w:tc>
      </w:tr>
      <w:tr w:rsidR="003A38FF" w:rsidRPr="00D83DA2" w14:paraId="08607F97" w14:textId="2EFF1D28" w:rsidTr="00FB5DAD">
        <w:tc>
          <w:tcPr>
            <w:tcW w:w="4706" w:type="dxa"/>
          </w:tcPr>
          <w:p w14:paraId="04889FA0" w14:textId="77777777" w:rsidR="003A38FF" w:rsidRPr="00D0180E" w:rsidRDefault="003A38FF" w:rsidP="003A38FF">
            <w:pPr>
              <w:pStyle w:val="Texto"/>
              <w:spacing w:line="227" w:lineRule="exact"/>
              <w:ind w:firstLine="0"/>
              <w:rPr>
                <w:rFonts w:ascii="Verdana" w:hAnsi="Verdana"/>
                <w:sz w:val="16"/>
                <w:szCs w:val="16"/>
              </w:rPr>
            </w:pPr>
            <w:r w:rsidRPr="00D0180E">
              <w:rPr>
                <w:rFonts w:ascii="Verdana" w:hAnsi="Verdana"/>
                <w:b/>
                <w:sz w:val="16"/>
                <w:szCs w:val="16"/>
              </w:rPr>
              <w:lastRenderedPageBreak/>
              <w:t>Artículo 138.</w:t>
            </w:r>
            <w:r w:rsidRPr="00D0180E">
              <w:rPr>
                <w:rFonts w:ascii="Verdana" w:hAnsi="Verdana"/>
                <w:sz w:val="16"/>
                <w:szCs w:val="16"/>
              </w:rPr>
              <w:t xml:space="preserve"> El CENACE, la Transportista o la Distribuidora, deben substanciar y resolver los medios de impugnación presentados ante ellas, en los términos establecidos en las Reglas del Mercado y, en su caso, en las condiciones generales para la prestación del Servicio Público de Transmisión y de Distribución de Energía Eléctrica o del Suministro Eléctrico.</w:t>
            </w:r>
          </w:p>
        </w:tc>
        <w:tc>
          <w:tcPr>
            <w:tcW w:w="4644" w:type="dxa"/>
          </w:tcPr>
          <w:p w14:paraId="0C0E40B4" w14:textId="47E476B3" w:rsidR="003A38FF" w:rsidRPr="00D0180E" w:rsidRDefault="003A38FF" w:rsidP="003A38FF">
            <w:pPr>
              <w:pStyle w:val="Texto"/>
              <w:spacing w:line="227" w:lineRule="exact"/>
              <w:ind w:firstLine="0"/>
              <w:rPr>
                <w:rFonts w:ascii="Verdana" w:hAnsi="Verdana"/>
                <w:b/>
                <w:sz w:val="16"/>
                <w:szCs w:val="16"/>
                <w:lang w:val="en-US"/>
              </w:rPr>
            </w:pPr>
            <w:r w:rsidRPr="006815C5">
              <w:rPr>
                <w:rFonts w:ascii="Verdana" w:hAnsi="Verdana"/>
                <w:b/>
                <w:sz w:val="16"/>
                <w:szCs w:val="16"/>
                <w:lang w:val="en-US"/>
              </w:rPr>
              <w:t xml:space="preserve">Article 138. </w:t>
            </w:r>
            <w:r w:rsidRPr="006815C5">
              <w:rPr>
                <w:rFonts w:ascii="Verdana" w:hAnsi="Verdana"/>
                <w:sz w:val="16"/>
                <w:szCs w:val="16"/>
                <w:lang w:val="en-US"/>
              </w:rPr>
              <w:t xml:space="preserve">CENACE, the </w:t>
            </w:r>
            <w:r>
              <w:rPr>
                <w:rFonts w:ascii="Verdana" w:hAnsi="Verdana"/>
                <w:sz w:val="16"/>
                <w:szCs w:val="16"/>
                <w:lang w:val="en-US"/>
              </w:rPr>
              <w:t>t</w:t>
            </w:r>
            <w:r w:rsidRPr="006815C5">
              <w:rPr>
                <w:rFonts w:ascii="Verdana" w:hAnsi="Verdana"/>
                <w:sz w:val="16"/>
                <w:szCs w:val="16"/>
                <w:lang w:val="en-US"/>
              </w:rPr>
              <w:t xml:space="preserve">ransporter or the </w:t>
            </w:r>
            <w:r>
              <w:rPr>
                <w:rFonts w:ascii="Verdana" w:hAnsi="Verdana"/>
                <w:sz w:val="16"/>
                <w:szCs w:val="16"/>
                <w:lang w:val="en-US"/>
              </w:rPr>
              <w:t>d</w:t>
            </w:r>
            <w:r w:rsidRPr="006815C5">
              <w:rPr>
                <w:rFonts w:ascii="Verdana" w:hAnsi="Verdana"/>
                <w:sz w:val="16"/>
                <w:szCs w:val="16"/>
                <w:lang w:val="en-US"/>
              </w:rPr>
              <w:t xml:space="preserve">istributor must substantiate and resolve the means of challenge presented to them, </w:t>
            </w:r>
            <w:r>
              <w:rPr>
                <w:rFonts w:ascii="Verdana" w:hAnsi="Verdana"/>
                <w:sz w:val="16"/>
                <w:szCs w:val="16"/>
                <w:lang w:val="en-US"/>
              </w:rPr>
              <w:t>under the terms</w:t>
            </w:r>
            <w:r w:rsidRPr="006815C5">
              <w:rPr>
                <w:rFonts w:ascii="Verdana" w:hAnsi="Verdana"/>
                <w:sz w:val="16"/>
                <w:szCs w:val="16"/>
                <w:lang w:val="en-US"/>
              </w:rPr>
              <w:t xml:space="preserve"> established in the market rules and, where applicable, in the general conditions for the provision of the public service of transmission and distribution of electric energy or electric supply.</w:t>
            </w:r>
          </w:p>
        </w:tc>
      </w:tr>
      <w:tr w:rsidR="003A38FF" w:rsidRPr="00D83DA2" w14:paraId="489761EC" w14:textId="19D50393" w:rsidTr="00FB5DAD">
        <w:tc>
          <w:tcPr>
            <w:tcW w:w="4706" w:type="dxa"/>
          </w:tcPr>
          <w:p w14:paraId="790B7BC0" w14:textId="77777777" w:rsidR="003A38FF" w:rsidRPr="00D0180E" w:rsidRDefault="003A38FF" w:rsidP="003A38FF">
            <w:pPr>
              <w:pStyle w:val="Texto"/>
              <w:spacing w:line="227" w:lineRule="exact"/>
              <w:ind w:firstLine="0"/>
              <w:rPr>
                <w:rFonts w:ascii="Verdana" w:hAnsi="Verdana"/>
                <w:sz w:val="16"/>
                <w:szCs w:val="16"/>
              </w:rPr>
            </w:pPr>
            <w:r w:rsidRPr="00D0180E">
              <w:rPr>
                <w:rFonts w:ascii="Verdana" w:hAnsi="Verdana"/>
                <w:b/>
                <w:sz w:val="16"/>
                <w:szCs w:val="16"/>
              </w:rPr>
              <w:t>Artículo 139.</w:t>
            </w:r>
            <w:r w:rsidRPr="00D0180E">
              <w:rPr>
                <w:rFonts w:ascii="Verdana" w:hAnsi="Verdana"/>
                <w:sz w:val="16"/>
                <w:szCs w:val="16"/>
              </w:rPr>
              <w:t xml:space="preserve"> Cuando la Solicitante no esté conforme con la resolución emitida por el CENACE, la Transportista o la Distribuidora, puede promover el medio de impugnación que corresponda ante la CNE, en términos de las Reglas del Mercado o demás ordenamientos jurídicos en la materia.</w:t>
            </w:r>
          </w:p>
        </w:tc>
        <w:tc>
          <w:tcPr>
            <w:tcW w:w="4644" w:type="dxa"/>
          </w:tcPr>
          <w:p w14:paraId="1BF6CB23" w14:textId="3CB41427" w:rsidR="003A38FF" w:rsidRPr="00D0180E" w:rsidRDefault="003A38FF" w:rsidP="003A38FF">
            <w:pPr>
              <w:pStyle w:val="Texto"/>
              <w:spacing w:line="227" w:lineRule="exact"/>
              <w:ind w:firstLine="0"/>
              <w:rPr>
                <w:rFonts w:ascii="Verdana" w:hAnsi="Verdana"/>
                <w:b/>
                <w:sz w:val="16"/>
                <w:szCs w:val="16"/>
                <w:lang w:val="en-US"/>
              </w:rPr>
            </w:pPr>
            <w:r w:rsidRPr="006815C5">
              <w:rPr>
                <w:rFonts w:ascii="Verdana" w:hAnsi="Verdana"/>
                <w:b/>
                <w:sz w:val="16"/>
                <w:szCs w:val="16"/>
                <w:lang w:val="en-US"/>
              </w:rPr>
              <w:t xml:space="preserve">Article 139. </w:t>
            </w:r>
            <w:r w:rsidRPr="006815C5">
              <w:rPr>
                <w:rFonts w:ascii="Verdana" w:hAnsi="Verdana"/>
                <w:sz w:val="16"/>
                <w:szCs w:val="16"/>
                <w:lang w:val="en-US"/>
              </w:rPr>
              <w:t>When the Applicant does not agree with the resolution issued by CENACE, the transporter or the distributor may promote the corresponding means of appeal before the CNE, in terms of the market rules or other legal provisions on the matter.</w:t>
            </w:r>
          </w:p>
        </w:tc>
      </w:tr>
      <w:tr w:rsidR="003A38FF" w:rsidRPr="00D0180E" w14:paraId="42495418" w14:textId="65DBC20C" w:rsidTr="00FB5DAD">
        <w:tc>
          <w:tcPr>
            <w:tcW w:w="4706" w:type="dxa"/>
          </w:tcPr>
          <w:p w14:paraId="7294673C" w14:textId="77777777" w:rsidR="003A38FF" w:rsidRPr="00D0180E" w:rsidRDefault="003A38FF" w:rsidP="003A38FF">
            <w:pPr>
              <w:pStyle w:val="Texto"/>
              <w:spacing w:line="227" w:lineRule="exact"/>
              <w:ind w:firstLine="0"/>
              <w:jc w:val="center"/>
              <w:rPr>
                <w:rFonts w:ascii="Verdana" w:hAnsi="Verdana"/>
                <w:b/>
                <w:sz w:val="16"/>
                <w:szCs w:val="16"/>
              </w:rPr>
            </w:pPr>
            <w:r w:rsidRPr="00D0180E">
              <w:rPr>
                <w:rFonts w:ascii="Verdana" w:hAnsi="Verdana"/>
                <w:b/>
                <w:sz w:val="16"/>
                <w:szCs w:val="16"/>
              </w:rPr>
              <w:t>Capítulo X</w:t>
            </w:r>
          </w:p>
        </w:tc>
        <w:tc>
          <w:tcPr>
            <w:tcW w:w="4644" w:type="dxa"/>
          </w:tcPr>
          <w:p w14:paraId="3AB03960" w14:textId="711A0FA2" w:rsidR="003A38FF" w:rsidRPr="00F12356" w:rsidRDefault="003A38FF" w:rsidP="003A38FF">
            <w:pPr>
              <w:pStyle w:val="Texto"/>
              <w:spacing w:line="227" w:lineRule="exact"/>
              <w:ind w:firstLine="0"/>
              <w:jc w:val="center"/>
              <w:rPr>
                <w:rFonts w:ascii="Verdana" w:hAnsi="Verdana"/>
                <w:b/>
                <w:sz w:val="16"/>
                <w:szCs w:val="16"/>
                <w:lang w:val="en-US"/>
              </w:rPr>
            </w:pPr>
            <w:r w:rsidRPr="00F12356">
              <w:rPr>
                <w:rFonts w:ascii="Verdana" w:hAnsi="Verdana"/>
                <w:b/>
                <w:sz w:val="16"/>
                <w:szCs w:val="16"/>
                <w:lang w:val="en-US"/>
              </w:rPr>
              <w:t>Chapter X</w:t>
            </w:r>
          </w:p>
        </w:tc>
      </w:tr>
      <w:tr w:rsidR="003A38FF" w:rsidRPr="00D83DA2" w14:paraId="3C3F9661" w14:textId="1595EAC0" w:rsidTr="00FB5DAD">
        <w:tc>
          <w:tcPr>
            <w:tcW w:w="4706" w:type="dxa"/>
          </w:tcPr>
          <w:p w14:paraId="122BFAC2" w14:textId="77777777" w:rsidR="003A38FF" w:rsidRPr="00D0180E" w:rsidRDefault="003A38FF" w:rsidP="003A38FF">
            <w:pPr>
              <w:pStyle w:val="Texto"/>
              <w:spacing w:line="227" w:lineRule="exact"/>
              <w:ind w:firstLine="0"/>
              <w:jc w:val="center"/>
              <w:rPr>
                <w:rFonts w:ascii="Verdana" w:hAnsi="Verdana"/>
                <w:b/>
                <w:sz w:val="16"/>
                <w:szCs w:val="16"/>
              </w:rPr>
            </w:pPr>
            <w:r w:rsidRPr="00D0180E">
              <w:rPr>
                <w:rFonts w:ascii="Verdana" w:hAnsi="Verdana"/>
                <w:b/>
                <w:sz w:val="16"/>
                <w:szCs w:val="16"/>
              </w:rPr>
              <w:t>De la Suspensión del Servicio de Energía Eléctrica</w:t>
            </w:r>
          </w:p>
        </w:tc>
        <w:tc>
          <w:tcPr>
            <w:tcW w:w="4644" w:type="dxa"/>
          </w:tcPr>
          <w:p w14:paraId="335B772E" w14:textId="0FD6B8A2" w:rsidR="003A38FF" w:rsidRPr="00F12356" w:rsidRDefault="003A38FF" w:rsidP="003A38FF">
            <w:pPr>
              <w:pStyle w:val="Texto"/>
              <w:spacing w:line="227" w:lineRule="exact"/>
              <w:ind w:firstLine="0"/>
              <w:jc w:val="center"/>
              <w:rPr>
                <w:rFonts w:ascii="Verdana" w:hAnsi="Verdana"/>
                <w:b/>
                <w:sz w:val="16"/>
                <w:szCs w:val="16"/>
                <w:lang w:val="en-US"/>
              </w:rPr>
            </w:pPr>
            <w:r w:rsidRPr="00F12356">
              <w:rPr>
                <w:rFonts w:ascii="Verdana" w:hAnsi="Verdana"/>
                <w:b/>
                <w:sz w:val="16"/>
                <w:szCs w:val="16"/>
                <w:lang w:val="en-US"/>
              </w:rPr>
              <w:t>Suspension of Electric Power Service</w:t>
            </w:r>
          </w:p>
        </w:tc>
      </w:tr>
      <w:tr w:rsidR="003A38FF" w:rsidRPr="00D83DA2" w14:paraId="2E374FC0" w14:textId="56F7F8BA" w:rsidTr="00FB5DAD">
        <w:tc>
          <w:tcPr>
            <w:tcW w:w="4706" w:type="dxa"/>
          </w:tcPr>
          <w:p w14:paraId="6E78E007" w14:textId="77777777" w:rsidR="003A38FF" w:rsidRPr="00D0180E" w:rsidRDefault="003A38FF" w:rsidP="003A38FF">
            <w:pPr>
              <w:pStyle w:val="Texto"/>
              <w:spacing w:line="227" w:lineRule="exact"/>
              <w:ind w:firstLine="0"/>
              <w:rPr>
                <w:rFonts w:ascii="Verdana" w:hAnsi="Verdana"/>
                <w:sz w:val="16"/>
                <w:szCs w:val="16"/>
              </w:rPr>
            </w:pPr>
            <w:r w:rsidRPr="00D0180E">
              <w:rPr>
                <w:rFonts w:ascii="Verdana" w:hAnsi="Verdana"/>
                <w:b/>
                <w:sz w:val="16"/>
                <w:szCs w:val="16"/>
              </w:rPr>
              <w:t>Artículo 140.</w:t>
            </w:r>
            <w:r w:rsidRPr="00D0180E">
              <w:rPr>
                <w:rFonts w:ascii="Verdana" w:hAnsi="Verdana"/>
                <w:sz w:val="16"/>
                <w:szCs w:val="16"/>
              </w:rPr>
              <w:t xml:space="preserve"> El CENACE y las Suministradoras solo pueden ordenar la suspensión del servicio de suministro de energía eléctrica, y la Transportista y la Distribuidora solo deben ejecutar dicha suspensión, en términos del artículo 56 de la Ley y de las disposiciones administrativas de carácter general referidas en el artículo 94 del presente reglamento, así como las correspondientes a las condiciones generales para la prestación del servicio aplicables.</w:t>
            </w:r>
          </w:p>
        </w:tc>
        <w:tc>
          <w:tcPr>
            <w:tcW w:w="4644" w:type="dxa"/>
          </w:tcPr>
          <w:p w14:paraId="020DC952" w14:textId="54225318" w:rsidR="003A38FF" w:rsidRPr="00D0180E" w:rsidRDefault="003A38FF" w:rsidP="003A38FF">
            <w:pPr>
              <w:pStyle w:val="Texto"/>
              <w:spacing w:line="227" w:lineRule="exact"/>
              <w:ind w:firstLine="0"/>
              <w:rPr>
                <w:rFonts w:ascii="Verdana" w:hAnsi="Verdana"/>
                <w:b/>
                <w:sz w:val="16"/>
                <w:szCs w:val="16"/>
                <w:lang w:val="en-US"/>
              </w:rPr>
            </w:pPr>
            <w:r w:rsidRPr="006815C5">
              <w:rPr>
                <w:rFonts w:ascii="Verdana" w:hAnsi="Verdana"/>
                <w:b/>
                <w:sz w:val="16"/>
                <w:szCs w:val="16"/>
                <w:lang w:val="en-US"/>
              </w:rPr>
              <w:t xml:space="preserve">Article 140. </w:t>
            </w:r>
            <w:r w:rsidRPr="006815C5">
              <w:rPr>
                <w:rFonts w:ascii="Verdana" w:hAnsi="Verdana"/>
                <w:sz w:val="16"/>
                <w:szCs w:val="16"/>
                <w:lang w:val="en-US"/>
              </w:rPr>
              <w:t xml:space="preserve">CENACE and the </w:t>
            </w:r>
            <w:r>
              <w:rPr>
                <w:rFonts w:ascii="Verdana" w:hAnsi="Verdana"/>
                <w:sz w:val="16"/>
                <w:szCs w:val="16"/>
                <w:lang w:val="en-US"/>
              </w:rPr>
              <w:t>s</w:t>
            </w:r>
            <w:r w:rsidRPr="006815C5">
              <w:rPr>
                <w:rFonts w:ascii="Verdana" w:hAnsi="Verdana"/>
                <w:sz w:val="16"/>
                <w:szCs w:val="16"/>
                <w:lang w:val="en-US"/>
              </w:rPr>
              <w:t>uppliers may only order the suspension of the electricity supply service, and the transmission company and the distributor must only execute said suspension, in accordance with Article 56 of the Law and the general administrative provisions referred to in Article 94 of this regulation, as well as those corresponding to the general conditions for the provision of the applicable service.</w:t>
            </w:r>
          </w:p>
        </w:tc>
      </w:tr>
      <w:tr w:rsidR="003A38FF" w:rsidRPr="00D83DA2" w14:paraId="33B0DE27" w14:textId="65F108C8" w:rsidTr="00FB5DAD">
        <w:tc>
          <w:tcPr>
            <w:tcW w:w="4706" w:type="dxa"/>
          </w:tcPr>
          <w:p w14:paraId="1AFB3F1C" w14:textId="77777777" w:rsidR="003A38FF" w:rsidRPr="00D0180E" w:rsidRDefault="003A38FF" w:rsidP="003A38FF">
            <w:pPr>
              <w:pStyle w:val="Texto"/>
              <w:spacing w:line="227" w:lineRule="exact"/>
              <w:ind w:firstLine="0"/>
              <w:rPr>
                <w:rFonts w:ascii="Verdana" w:hAnsi="Verdana"/>
                <w:sz w:val="16"/>
                <w:szCs w:val="16"/>
              </w:rPr>
            </w:pPr>
            <w:r w:rsidRPr="00D0180E">
              <w:rPr>
                <w:rFonts w:ascii="Verdana" w:hAnsi="Verdana"/>
                <w:sz w:val="16"/>
                <w:szCs w:val="16"/>
              </w:rPr>
              <w:t>Para el caso de la suspensión del Suministro Eléctrico en los servicios que afectan a la comunidad, el CENACE, la Suministradora de Servicios Básicos y las Suministradoras de Servicios Calificados, deben proceder conforme a lo establecido en el protocolo correspondiente que para tal efecto emita la CNE, en coordinación con la Secretaría.</w:t>
            </w:r>
          </w:p>
        </w:tc>
        <w:tc>
          <w:tcPr>
            <w:tcW w:w="4644" w:type="dxa"/>
          </w:tcPr>
          <w:p w14:paraId="6AEAD120" w14:textId="006A96E3" w:rsidR="003A38FF" w:rsidRPr="00D0180E" w:rsidRDefault="003A38FF" w:rsidP="003A38FF">
            <w:pPr>
              <w:pStyle w:val="Texto"/>
              <w:spacing w:line="227" w:lineRule="exact"/>
              <w:ind w:firstLine="0"/>
              <w:rPr>
                <w:rFonts w:ascii="Verdana" w:hAnsi="Verdana"/>
                <w:sz w:val="16"/>
                <w:szCs w:val="16"/>
                <w:lang w:val="en-US"/>
              </w:rPr>
            </w:pPr>
            <w:r w:rsidRPr="006815C5">
              <w:rPr>
                <w:rFonts w:ascii="Verdana" w:hAnsi="Verdana"/>
                <w:sz w:val="16"/>
                <w:szCs w:val="16"/>
                <w:lang w:val="en-US"/>
              </w:rPr>
              <w:t>In the event of the suspension of electricity supply to services affecting the community, CENACE, the basic services provider, and the qualified services providers must proceed in accordance with the corresponding protocol issued for this purpose by the CNE, in coordination with the Secretary.</w:t>
            </w:r>
          </w:p>
        </w:tc>
      </w:tr>
      <w:tr w:rsidR="003A38FF" w:rsidRPr="00D83DA2" w14:paraId="028F5BD6" w14:textId="4D659BC1" w:rsidTr="00FB5DAD">
        <w:tc>
          <w:tcPr>
            <w:tcW w:w="4706" w:type="dxa"/>
          </w:tcPr>
          <w:p w14:paraId="234754DD" w14:textId="77777777" w:rsidR="003A38FF" w:rsidRPr="00D0180E" w:rsidRDefault="003A38FF" w:rsidP="003A38FF">
            <w:pPr>
              <w:pStyle w:val="Texto"/>
              <w:spacing w:line="227" w:lineRule="exact"/>
              <w:ind w:firstLine="0"/>
              <w:rPr>
                <w:rFonts w:ascii="Verdana" w:hAnsi="Verdana"/>
                <w:sz w:val="16"/>
                <w:szCs w:val="16"/>
              </w:rPr>
            </w:pPr>
            <w:r w:rsidRPr="00D0180E">
              <w:rPr>
                <w:rFonts w:ascii="Verdana" w:hAnsi="Verdana"/>
                <w:sz w:val="16"/>
                <w:szCs w:val="16"/>
              </w:rPr>
              <w:t>Sin perjuicio de lo anterior, no se incurre en responsabilidad por suspensión del servicio cuando esta se origine por caso fortuito o fuerza mayor, demostrada fehacientemente.</w:t>
            </w:r>
          </w:p>
        </w:tc>
        <w:tc>
          <w:tcPr>
            <w:tcW w:w="4644" w:type="dxa"/>
          </w:tcPr>
          <w:p w14:paraId="4E1520F1" w14:textId="2999DA06" w:rsidR="003A38FF" w:rsidRPr="00D0180E" w:rsidRDefault="003A38FF" w:rsidP="003A38FF">
            <w:pPr>
              <w:pStyle w:val="Texto"/>
              <w:spacing w:line="227" w:lineRule="exact"/>
              <w:ind w:firstLine="0"/>
              <w:rPr>
                <w:rFonts w:ascii="Verdana" w:hAnsi="Verdana"/>
                <w:sz w:val="16"/>
                <w:szCs w:val="16"/>
                <w:lang w:val="en-US"/>
              </w:rPr>
            </w:pPr>
            <w:r w:rsidRPr="006815C5">
              <w:rPr>
                <w:rFonts w:ascii="Verdana" w:hAnsi="Verdana"/>
                <w:sz w:val="16"/>
                <w:szCs w:val="16"/>
                <w:lang w:val="en-US"/>
              </w:rPr>
              <w:t>Without prejudice to the foregoing, no liability shall be incurred for suspension of service when it is caused by a fortuitous event or force majeure, which has been duly demonstrated.</w:t>
            </w:r>
          </w:p>
        </w:tc>
      </w:tr>
      <w:tr w:rsidR="003A38FF" w:rsidRPr="00D83DA2" w14:paraId="5A745B20" w14:textId="1B9D919F" w:rsidTr="00FB5DAD">
        <w:tc>
          <w:tcPr>
            <w:tcW w:w="4706" w:type="dxa"/>
          </w:tcPr>
          <w:p w14:paraId="50C2C109" w14:textId="77777777" w:rsidR="003A38FF" w:rsidRPr="00D0180E" w:rsidRDefault="003A38FF" w:rsidP="003A38FF">
            <w:pPr>
              <w:pStyle w:val="Texto"/>
              <w:spacing w:line="227" w:lineRule="exact"/>
              <w:ind w:firstLine="0"/>
              <w:rPr>
                <w:rFonts w:ascii="Verdana" w:hAnsi="Verdana"/>
                <w:sz w:val="16"/>
                <w:szCs w:val="16"/>
              </w:rPr>
            </w:pPr>
            <w:r w:rsidRPr="00D0180E">
              <w:rPr>
                <w:rFonts w:ascii="Verdana" w:hAnsi="Verdana"/>
                <w:b/>
                <w:sz w:val="16"/>
                <w:szCs w:val="16"/>
              </w:rPr>
              <w:t>Artículo 141.</w:t>
            </w:r>
            <w:r w:rsidRPr="00D0180E">
              <w:rPr>
                <w:rFonts w:ascii="Verdana" w:hAnsi="Verdana"/>
                <w:sz w:val="16"/>
                <w:szCs w:val="16"/>
              </w:rPr>
              <w:t xml:space="preserve"> El CENACE, la Transportista y la Distribuidora o la Suministradora no incurren en responsabilidad por la suspensión del Servicio Público de Transmisión y Distribución de Energía Eléctrica en los casos a que se refiere el artículo 56 de la Ley, sin importar la duración de la interrupción, ni la frecuencia de esta.</w:t>
            </w:r>
          </w:p>
        </w:tc>
        <w:tc>
          <w:tcPr>
            <w:tcW w:w="4644" w:type="dxa"/>
          </w:tcPr>
          <w:p w14:paraId="06E852F6" w14:textId="37B56E88" w:rsidR="003A38FF" w:rsidRPr="00D0180E" w:rsidRDefault="003A38FF" w:rsidP="003A38FF">
            <w:pPr>
              <w:pStyle w:val="Texto"/>
              <w:spacing w:line="227" w:lineRule="exact"/>
              <w:ind w:firstLine="0"/>
              <w:rPr>
                <w:rFonts w:ascii="Verdana" w:hAnsi="Verdana"/>
                <w:b/>
                <w:sz w:val="16"/>
                <w:szCs w:val="16"/>
                <w:lang w:val="en-US"/>
              </w:rPr>
            </w:pPr>
            <w:r w:rsidRPr="006815C5">
              <w:rPr>
                <w:rFonts w:ascii="Verdana" w:hAnsi="Verdana"/>
                <w:b/>
                <w:sz w:val="16"/>
                <w:szCs w:val="16"/>
                <w:lang w:val="en-US"/>
              </w:rPr>
              <w:t xml:space="preserve">Article 141. </w:t>
            </w:r>
            <w:r w:rsidRPr="006815C5">
              <w:rPr>
                <w:rFonts w:ascii="Verdana" w:hAnsi="Verdana"/>
                <w:sz w:val="16"/>
                <w:szCs w:val="16"/>
                <w:lang w:val="en-US"/>
              </w:rPr>
              <w:t xml:space="preserve">CENACE, the transporter and the distributor or supplier shall not incur liability for the suspension of the public </w:t>
            </w:r>
            <w:proofErr w:type="gramStart"/>
            <w:r w:rsidRPr="006815C5">
              <w:rPr>
                <w:rFonts w:ascii="Verdana" w:hAnsi="Verdana"/>
                <w:sz w:val="16"/>
                <w:szCs w:val="16"/>
                <w:lang w:val="en-US"/>
              </w:rPr>
              <w:t>service of transmission</w:t>
            </w:r>
            <w:proofErr w:type="gramEnd"/>
            <w:r w:rsidRPr="006815C5">
              <w:rPr>
                <w:rFonts w:ascii="Verdana" w:hAnsi="Verdana"/>
                <w:sz w:val="16"/>
                <w:szCs w:val="16"/>
                <w:lang w:val="en-US"/>
              </w:rPr>
              <w:t xml:space="preserve"> and distribution of electric energy in the cases referred to in Article 56 of the Law, regardless of the duration of the interruption or its frequency.</w:t>
            </w:r>
          </w:p>
        </w:tc>
      </w:tr>
      <w:tr w:rsidR="003A38FF" w:rsidRPr="00D83DA2" w14:paraId="61116515" w14:textId="19C364D0" w:rsidTr="00FB5DAD">
        <w:tc>
          <w:tcPr>
            <w:tcW w:w="4706" w:type="dxa"/>
          </w:tcPr>
          <w:p w14:paraId="3CD8B7D6" w14:textId="77777777" w:rsidR="003A38FF" w:rsidRPr="00D0180E" w:rsidRDefault="003A38FF" w:rsidP="003A38FF">
            <w:pPr>
              <w:pStyle w:val="Texto"/>
              <w:spacing w:line="227" w:lineRule="exact"/>
              <w:ind w:firstLine="0"/>
              <w:rPr>
                <w:rFonts w:ascii="Verdana" w:hAnsi="Verdana"/>
                <w:sz w:val="16"/>
                <w:szCs w:val="16"/>
              </w:rPr>
            </w:pPr>
            <w:r w:rsidRPr="00D0180E">
              <w:rPr>
                <w:rFonts w:ascii="Verdana" w:hAnsi="Verdana"/>
                <w:b/>
                <w:sz w:val="16"/>
                <w:szCs w:val="16"/>
              </w:rPr>
              <w:t>Artículo 142.</w:t>
            </w:r>
            <w:r w:rsidRPr="00D0180E">
              <w:rPr>
                <w:rFonts w:ascii="Verdana" w:hAnsi="Verdana"/>
                <w:sz w:val="16"/>
                <w:szCs w:val="16"/>
              </w:rPr>
              <w:t xml:space="preserve"> Cuando la suspensión del Servicio Público de Transmisión y Distribución de Energía Eléctrica se origine por la causa prevista en la fracción II del artículo 56 de la Ley, la Transportista o la Distribuidora deben notificar a las Usuarias Finales directamente o a través de la respectiva Suministradora, mediante cualquier medio de comunicación masivo de la localidad que corresponda, y de manera directa por cualquier medio </w:t>
            </w:r>
            <w:r w:rsidRPr="00D0180E">
              <w:rPr>
                <w:rFonts w:ascii="Verdana" w:hAnsi="Verdana"/>
                <w:sz w:val="16"/>
                <w:szCs w:val="16"/>
              </w:rPr>
              <w:lastRenderedPageBreak/>
              <w:t>disponible a las Usuarias Finales con más de 1 MW de demanda contratada, así como a los hospitales y prestadores de servicios públicos que requieran la energía eléctrica como insumo indispensable para llevar a cabo sus actividades.</w:t>
            </w:r>
          </w:p>
        </w:tc>
        <w:tc>
          <w:tcPr>
            <w:tcW w:w="4644" w:type="dxa"/>
          </w:tcPr>
          <w:p w14:paraId="77FF30F0" w14:textId="568C61D4" w:rsidR="003A38FF" w:rsidRPr="00D0180E" w:rsidRDefault="003A38FF" w:rsidP="003A38FF">
            <w:pPr>
              <w:pStyle w:val="Texto"/>
              <w:spacing w:line="227" w:lineRule="exact"/>
              <w:ind w:firstLine="0"/>
              <w:rPr>
                <w:rFonts w:ascii="Verdana" w:hAnsi="Verdana"/>
                <w:b/>
                <w:sz w:val="16"/>
                <w:szCs w:val="16"/>
                <w:lang w:val="en-US"/>
              </w:rPr>
            </w:pPr>
            <w:r w:rsidRPr="006815C5">
              <w:rPr>
                <w:rFonts w:ascii="Verdana" w:hAnsi="Verdana"/>
                <w:b/>
                <w:sz w:val="16"/>
                <w:szCs w:val="16"/>
                <w:lang w:val="en-US"/>
              </w:rPr>
              <w:lastRenderedPageBreak/>
              <w:t xml:space="preserve">Article 142. </w:t>
            </w:r>
            <w:r w:rsidRPr="006815C5">
              <w:rPr>
                <w:rFonts w:ascii="Verdana" w:hAnsi="Verdana"/>
                <w:sz w:val="16"/>
                <w:szCs w:val="16"/>
                <w:lang w:val="en-US"/>
              </w:rPr>
              <w:t xml:space="preserve">When the suspension of the public service of transmission and distribution of electric energy is caused by the cause provided for in section II of article 56 of the Law, the transporter or the distributor must notify the final users directly or through the respective Supplier, through any mass communication medium of the corresponding locality, and directly by any means available to the final users with more than 1 MW of </w:t>
            </w:r>
            <w:r w:rsidRPr="006815C5">
              <w:rPr>
                <w:rFonts w:ascii="Verdana" w:hAnsi="Verdana"/>
                <w:sz w:val="16"/>
                <w:szCs w:val="16"/>
                <w:lang w:val="en-US"/>
              </w:rPr>
              <w:lastRenderedPageBreak/>
              <w:t>contracted demand, as well as to hospitals and public service providers that require electric energy as an essential input to carry out their activities.</w:t>
            </w:r>
          </w:p>
        </w:tc>
      </w:tr>
      <w:tr w:rsidR="003A38FF" w:rsidRPr="00D83DA2" w14:paraId="39E4D30D" w14:textId="14055BEE" w:rsidTr="00FB5DAD">
        <w:tc>
          <w:tcPr>
            <w:tcW w:w="4706" w:type="dxa"/>
          </w:tcPr>
          <w:p w14:paraId="735FB662" w14:textId="77777777" w:rsidR="003A38FF" w:rsidRPr="00D0180E" w:rsidRDefault="003A38FF" w:rsidP="003A38FF">
            <w:pPr>
              <w:pStyle w:val="Texto"/>
              <w:spacing w:line="218" w:lineRule="exact"/>
              <w:ind w:firstLine="0"/>
              <w:rPr>
                <w:rFonts w:ascii="Verdana" w:hAnsi="Verdana"/>
                <w:sz w:val="16"/>
                <w:szCs w:val="16"/>
              </w:rPr>
            </w:pPr>
            <w:r w:rsidRPr="00D0180E">
              <w:rPr>
                <w:rFonts w:ascii="Verdana" w:hAnsi="Verdana"/>
                <w:sz w:val="16"/>
                <w:szCs w:val="16"/>
              </w:rPr>
              <w:lastRenderedPageBreak/>
              <w:t>La notificación a que hace referencia el párrafo anterior se debe realizar con al menos cuarenta y ocho horas de anticipación al inicio de los trabajos respectivos, para lo cual se debe señalar el día, hora y duración de la suspensión del servicio, así como la hora de reanudación de este y los límites de la zona afectada, con la mayor precisión posible, cuando aplique. La falta de notificación a que se refiere este artículo da lugar a que las Suministradoras, la Transportista y la Distribuidora sean acreedoras a la sanción que determine la CNE, así como a las responsabilidades que correspondan en términos de las disposiciones jurídicas aplicables.</w:t>
            </w:r>
          </w:p>
        </w:tc>
        <w:tc>
          <w:tcPr>
            <w:tcW w:w="4644" w:type="dxa"/>
          </w:tcPr>
          <w:p w14:paraId="2CA46CF0" w14:textId="40B8190F" w:rsidR="003A38FF" w:rsidRPr="00D0180E" w:rsidRDefault="003A38FF" w:rsidP="003A38FF">
            <w:pPr>
              <w:pStyle w:val="Texto"/>
              <w:spacing w:line="218" w:lineRule="exact"/>
              <w:ind w:firstLine="0"/>
              <w:rPr>
                <w:rFonts w:ascii="Verdana" w:hAnsi="Verdana"/>
                <w:sz w:val="16"/>
                <w:szCs w:val="16"/>
                <w:lang w:val="en-US"/>
              </w:rPr>
            </w:pPr>
            <w:r w:rsidRPr="006815C5">
              <w:rPr>
                <w:rFonts w:ascii="Verdana" w:hAnsi="Verdana"/>
                <w:sz w:val="16"/>
                <w:szCs w:val="16"/>
                <w:lang w:val="en-US"/>
              </w:rPr>
              <w:t>The notification referred to in the preceding paragraph must be made at least 48 hours before the start of the respective work. The date, time, and duration of the service suspension must be specified, as well as the time of resumption and the limits of the affected area, as precisely as possible, where applicable. Failure to provide the notification referred to in this article may subject the suppliers, the transport company, and the distributor to the penalty determined by the CNE, as well as to the corresponding liabilities under the applicable legal provisions.</w:t>
            </w:r>
          </w:p>
        </w:tc>
      </w:tr>
      <w:tr w:rsidR="003A38FF" w:rsidRPr="00D83DA2" w14:paraId="70610DD5" w14:textId="3AF404DC" w:rsidTr="00FB5DAD">
        <w:tc>
          <w:tcPr>
            <w:tcW w:w="4706" w:type="dxa"/>
          </w:tcPr>
          <w:p w14:paraId="1A816088" w14:textId="77777777" w:rsidR="003A38FF" w:rsidRPr="00D0180E" w:rsidRDefault="003A38FF" w:rsidP="003A38FF">
            <w:pPr>
              <w:pStyle w:val="Texto"/>
              <w:spacing w:line="218" w:lineRule="exact"/>
              <w:ind w:firstLine="0"/>
              <w:rPr>
                <w:rFonts w:ascii="Verdana" w:hAnsi="Verdana"/>
                <w:sz w:val="16"/>
                <w:szCs w:val="16"/>
              </w:rPr>
            </w:pPr>
            <w:r w:rsidRPr="00D0180E">
              <w:rPr>
                <w:rFonts w:ascii="Verdana" w:hAnsi="Verdana"/>
                <w:b/>
                <w:sz w:val="16"/>
                <w:szCs w:val="16"/>
              </w:rPr>
              <w:t>Artículo 143.</w:t>
            </w:r>
            <w:r w:rsidRPr="00D0180E">
              <w:rPr>
                <w:rFonts w:ascii="Verdana" w:hAnsi="Verdana"/>
                <w:sz w:val="16"/>
                <w:szCs w:val="16"/>
              </w:rPr>
              <w:t xml:space="preserve"> Para afectar lo menos posible a las Usuarias Finales, la Transportista o la Distribuidora deben procurar que los trabajos que se originen por el mantenimiento a que se refiere la fracción II del artículo 56 de la Ley, se realicen en horas y días en que disminuye significativamente el consumo de energía eléctrica, y que la duración de la suspensión en la misma zona no sea mayor de ocho horas en un día. Si la Transportista o la Distribuidora efectúan la suspensión sin la previa notificación a que se refiere el artículo anterior a las Usuarias Finales o a la Suministradora respectiva, es responsable por los daños directos que les cause a estas.</w:t>
            </w:r>
          </w:p>
        </w:tc>
        <w:tc>
          <w:tcPr>
            <w:tcW w:w="4644" w:type="dxa"/>
          </w:tcPr>
          <w:p w14:paraId="3E6B4550" w14:textId="41894B65" w:rsidR="003A38FF" w:rsidRPr="00D0180E" w:rsidRDefault="003A38FF" w:rsidP="003A38FF">
            <w:pPr>
              <w:pStyle w:val="Texto"/>
              <w:spacing w:line="218" w:lineRule="exact"/>
              <w:ind w:firstLine="0"/>
              <w:rPr>
                <w:rFonts w:ascii="Verdana" w:hAnsi="Verdana"/>
                <w:b/>
                <w:sz w:val="16"/>
                <w:szCs w:val="16"/>
                <w:lang w:val="en-US"/>
              </w:rPr>
            </w:pPr>
            <w:r w:rsidRPr="006815C5">
              <w:rPr>
                <w:rFonts w:ascii="Verdana" w:hAnsi="Verdana"/>
                <w:b/>
                <w:sz w:val="16"/>
                <w:szCs w:val="16"/>
                <w:lang w:val="en-US"/>
              </w:rPr>
              <w:t xml:space="preserve">Article 143. </w:t>
            </w:r>
            <w:r w:rsidRPr="006815C5">
              <w:rPr>
                <w:rFonts w:ascii="Verdana" w:hAnsi="Verdana"/>
                <w:sz w:val="16"/>
                <w:szCs w:val="16"/>
                <w:lang w:val="en-US"/>
              </w:rPr>
              <w:t xml:space="preserve">In order to have the least possible impact on end users, the transporter or distributor must ensure that the work resulting from the maintenance referred to in Section II of Article 56 of the Law is carried out during hours and days when electricity consumption is significantly reduced, and that the duration of the suspension in the same area is not more than eight hours in one day. If the transporter or distributor carries out the suspension without the prior notification referred to in the </w:t>
            </w:r>
            <w:r>
              <w:rPr>
                <w:rFonts w:ascii="Verdana" w:hAnsi="Verdana"/>
                <w:sz w:val="16"/>
                <w:szCs w:val="16"/>
                <w:lang w:val="en-US"/>
              </w:rPr>
              <w:t>preceding article</w:t>
            </w:r>
            <w:r w:rsidRPr="006815C5">
              <w:rPr>
                <w:rFonts w:ascii="Verdana" w:hAnsi="Verdana"/>
                <w:sz w:val="16"/>
                <w:szCs w:val="16"/>
                <w:lang w:val="en-US"/>
              </w:rPr>
              <w:t xml:space="preserve"> to the end users or the respective supplier, it shall be liable for any direct </w:t>
            </w:r>
            <w:proofErr w:type="gramStart"/>
            <w:r w:rsidRPr="006815C5">
              <w:rPr>
                <w:rFonts w:ascii="Verdana" w:hAnsi="Verdana"/>
                <w:sz w:val="16"/>
                <w:szCs w:val="16"/>
                <w:lang w:val="en-US"/>
              </w:rPr>
              <w:t>damages</w:t>
            </w:r>
            <w:proofErr w:type="gramEnd"/>
            <w:r w:rsidRPr="006815C5">
              <w:rPr>
                <w:rFonts w:ascii="Verdana" w:hAnsi="Verdana"/>
                <w:sz w:val="16"/>
                <w:szCs w:val="16"/>
                <w:lang w:val="en-US"/>
              </w:rPr>
              <w:t xml:space="preserve"> caused to them.</w:t>
            </w:r>
          </w:p>
        </w:tc>
      </w:tr>
      <w:tr w:rsidR="003A38FF" w:rsidRPr="00D83DA2" w14:paraId="36F569FC" w14:textId="344EDC4A" w:rsidTr="00FB5DAD">
        <w:tc>
          <w:tcPr>
            <w:tcW w:w="4706" w:type="dxa"/>
          </w:tcPr>
          <w:p w14:paraId="565C88B5" w14:textId="77777777" w:rsidR="003A38FF" w:rsidRPr="00D0180E" w:rsidRDefault="003A38FF" w:rsidP="003A38FF">
            <w:pPr>
              <w:pStyle w:val="Texto"/>
              <w:spacing w:line="218" w:lineRule="exact"/>
              <w:ind w:firstLine="0"/>
              <w:rPr>
                <w:rFonts w:ascii="Verdana" w:hAnsi="Verdana"/>
                <w:sz w:val="16"/>
                <w:szCs w:val="16"/>
              </w:rPr>
            </w:pPr>
            <w:r w:rsidRPr="00D0180E">
              <w:rPr>
                <w:rFonts w:ascii="Verdana" w:hAnsi="Verdana"/>
                <w:sz w:val="16"/>
                <w:szCs w:val="16"/>
              </w:rPr>
              <w:t>El importe de los daños a que se refiere el párrafo anterior, así como su forma de pago, se deben establecer en los convenios que celebren el CENACE, la Transportista y la Distribuidora. Dichos convenios deben establecer la manera en que los reembolsos por suspensiones indebidas del servicio o por los daños causados a las Usuarias Finales deben ser pagados a estas con cargo a la Transportista o la Distribuidora responsable.</w:t>
            </w:r>
          </w:p>
        </w:tc>
        <w:tc>
          <w:tcPr>
            <w:tcW w:w="4644" w:type="dxa"/>
          </w:tcPr>
          <w:p w14:paraId="5065CEA2" w14:textId="3C68A33B" w:rsidR="003A38FF" w:rsidRPr="00D0180E" w:rsidRDefault="003A38FF" w:rsidP="003A38FF">
            <w:pPr>
              <w:pStyle w:val="Texto"/>
              <w:spacing w:line="218" w:lineRule="exact"/>
              <w:ind w:firstLine="0"/>
              <w:rPr>
                <w:rFonts w:ascii="Verdana" w:hAnsi="Verdana"/>
                <w:sz w:val="16"/>
                <w:szCs w:val="16"/>
                <w:lang w:val="en-US"/>
              </w:rPr>
            </w:pPr>
            <w:r w:rsidRPr="006815C5">
              <w:rPr>
                <w:rFonts w:ascii="Verdana" w:hAnsi="Verdana"/>
                <w:sz w:val="16"/>
                <w:szCs w:val="16"/>
                <w:lang w:val="en-US"/>
              </w:rPr>
              <w:t xml:space="preserve">The amount </w:t>
            </w:r>
            <w:proofErr w:type="gramStart"/>
            <w:r w:rsidRPr="006815C5">
              <w:rPr>
                <w:rFonts w:ascii="Verdana" w:hAnsi="Verdana"/>
                <w:sz w:val="16"/>
                <w:szCs w:val="16"/>
                <w:lang w:val="en-US"/>
              </w:rPr>
              <w:t>of the damages</w:t>
            </w:r>
            <w:proofErr w:type="gramEnd"/>
            <w:r w:rsidRPr="006815C5">
              <w:rPr>
                <w:rFonts w:ascii="Verdana" w:hAnsi="Verdana"/>
                <w:sz w:val="16"/>
                <w:szCs w:val="16"/>
                <w:lang w:val="en-US"/>
              </w:rPr>
              <w:t xml:space="preserve"> referred to in the </w:t>
            </w:r>
            <w:r>
              <w:rPr>
                <w:rFonts w:ascii="Verdana" w:hAnsi="Verdana"/>
                <w:sz w:val="16"/>
                <w:szCs w:val="16"/>
                <w:lang w:val="en-US"/>
              </w:rPr>
              <w:t>preceding paragraph</w:t>
            </w:r>
            <w:r w:rsidRPr="006815C5">
              <w:rPr>
                <w:rFonts w:ascii="Verdana" w:hAnsi="Verdana"/>
                <w:sz w:val="16"/>
                <w:szCs w:val="16"/>
                <w:lang w:val="en-US"/>
              </w:rPr>
              <w:t xml:space="preserve">, as well as the method of payment, must be established in the agreements </w:t>
            </w:r>
            <w:proofErr w:type="gramStart"/>
            <w:r w:rsidRPr="006815C5">
              <w:rPr>
                <w:rFonts w:ascii="Verdana" w:hAnsi="Verdana"/>
                <w:sz w:val="16"/>
                <w:szCs w:val="16"/>
                <w:lang w:val="en-US"/>
              </w:rPr>
              <w:t>entered into</w:t>
            </w:r>
            <w:proofErr w:type="gramEnd"/>
            <w:r w:rsidRPr="006815C5">
              <w:rPr>
                <w:rFonts w:ascii="Verdana" w:hAnsi="Verdana"/>
                <w:sz w:val="16"/>
                <w:szCs w:val="16"/>
                <w:lang w:val="en-US"/>
              </w:rPr>
              <w:t xml:space="preserve"> by CENACE, the carrier, and the distributor. These agreements must establish how reimbursements for undue service suspensions or damages caused </w:t>
            </w:r>
            <w:proofErr w:type="gramStart"/>
            <w:r w:rsidRPr="006815C5">
              <w:rPr>
                <w:rFonts w:ascii="Verdana" w:hAnsi="Verdana"/>
                <w:sz w:val="16"/>
                <w:szCs w:val="16"/>
                <w:lang w:val="en-US"/>
              </w:rPr>
              <w:t>to</w:t>
            </w:r>
            <w:proofErr w:type="gramEnd"/>
            <w:r w:rsidRPr="006815C5">
              <w:rPr>
                <w:rFonts w:ascii="Verdana" w:hAnsi="Verdana"/>
                <w:sz w:val="16"/>
                <w:szCs w:val="16"/>
                <w:lang w:val="en-US"/>
              </w:rPr>
              <w:t xml:space="preserve"> end users are to be paid to them from the responsible carrier or distributor.</w:t>
            </w:r>
          </w:p>
        </w:tc>
      </w:tr>
      <w:tr w:rsidR="003A38FF" w:rsidRPr="00D83DA2" w14:paraId="2CC1B8F9" w14:textId="6CB50F31" w:rsidTr="00FB5DAD">
        <w:tc>
          <w:tcPr>
            <w:tcW w:w="4706" w:type="dxa"/>
          </w:tcPr>
          <w:p w14:paraId="7FEFC767" w14:textId="77777777" w:rsidR="003A38FF" w:rsidRPr="00D0180E" w:rsidRDefault="003A38FF" w:rsidP="003A38FF">
            <w:pPr>
              <w:pStyle w:val="Texto"/>
              <w:spacing w:line="218" w:lineRule="exact"/>
              <w:ind w:firstLine="0"/>
              <w:rPr>
                <w:rFonts w:ascii="Verdana" w:hAnsi="Verdana"/>
                <w:sz w:val="16"/>
                <w:szCs w:val="16"/>
              </w:rPr>
            </w:pPr>
            <w:r w:rsidRPr="00D0180E">
              <w:rPr>
                <w:rFonts w:ascii="Verdana" w:hAnsi="Verdana"/>
                <w:b/>
                <w:sz w:val="16"/>
                <w:szCs w:val="16"/>
              </w:rPr>
              <w:t>Artículo 144.</w:t>
            </w:r>
            <w:r w:rsidRPr="00D0180E">
              <w:rPr>
                <w:rFonts w:ascii="Verdana" w:hAnsi="Verdana"/>
                <w:sz w:val="16"/>
                <w:szCs w:val="16"/>
              </w:rPr>
              <w:t xml:space="preserve"> Cuando la suspensión del Servicio Público de Transmisión y Distribución de Energía Eléctrica sea a consecuencia de lo previsto en el artículo 56, fracción I de la Ley, la Transportista o la Distribuidora deben realizar los trabajos que correspondan sin necesidad de notificar a las Usuarias Finales la realización de dichos trabajos y solo les debe informar, con posterioridad a la reanudación del servicio, las causas fortuitas o de fuerza mayor que motivaron la suspensión.</w:t>
            </w:r>
          </w:p>
        </w:tc>
        <w:tc>
          <w:tcPr>
            <w:tcW w:w="4644" w:type="dxa"/>
          </w:tcPr>
          <w:p w14:paraId="7914ABAE" w14:textId="68CDB7FC" w:rsidR="003A38FF" w:rsidRPr="00D0180E" w:rsidRDefault="003A38FF" w:rsidP="003A38FF">
            <w:pPr>
              <w:pStyle w:val="Texto"/>
              <w:spacing w:line="218" w:lineRule="exact"/>
              <w:ind w:firstLine="0"/>
              <w:rPr>
                <w:rFonts w:ascii="Verdana" w:hAnsi="Verdana"/>
                <w:b/>
                <w:sz w:val="16"/>
                <w:szCs w:val="16"/>
                <w:lang w:val="en-US"/>
              </w:rPr>
            </w:pPr>
            <w:r w:rsidRPr="006815C5">
              <w:rPr>
                <w:rFonts w:ascii="Verdana" w:hAnsi="Verdana"/>
                <w:b/>
                <w:sz w:val="16"/>
                <w:szCs w:val="16"/>
                <w:lang w:val="en-US"/>
              </w:rPr>
              <w:t xml:space="preserve">Article 144. </w:t>
            </w:r>
            <w:r w:rsidRPr="006815C5">
              <w:rPr>
                <w:rFonts w:ascii="Verdana" w:hAnsi="Verdana"/>
                <w:sz w:val="16"/>
                <w:szCs w:val="16"/>
                <w:lang w:val="en-US"/>
              </w:rPr>
              <w:t xml:space="preserve">When the suspension of the public service of transmission and distribution of electric energy is a consequence of the provisions of article 56, section I of the Law, the transporter or the distributor must carry out the corresponding works without the need to notify the end users of the execution of said works and must only inform them, after the resumption of the service, of the fortuitous </w:t>
            </w:r>
            <w:r>
              <w:rPr>
                <w:rFonts w:ascii="Verdana" w:hAnsi="Verdana"/>
                <w:sz w:val="16"/>
                <w:szCs w:val="16"/>
                <w:lang w:val="en-US"/>
              </w:rPr>
              <w:t>events</w:t>
            </w:r>
            <w:r w:rsidRPr="006815C5">
              <w:rPr>
                <w:rFonts w:ascii="Verdana" w:hAnsi="Verdana"/>
                <w:sz w:val="16"/>
                <w:szCs w:val="16"/>
                <w:lang w:val="en-US"/>
              </w:rPr>
              <w:t xml:space="preserve"> or force majeure that motivated the suspension.</w:t>
            </w:r>
          </w:p>
        </w:tc>
      </w:tr>
      <w:tr w:rsidR="003A38FF" w:rsidRPr="00D83DA2" w14:paraId="5E4E3CFD" w14:textId="290B2D2C" w:rsidTr="00FB5DAD">
        <w:tc>
          <w:tcPr>
            <w:tcW w:w="4706" w:type="dxa"/>
          </w:tcPr>
          <w:p w14:paraId="1EE1FA5B" w14:textId="77777777" w:rsidR="003A38FF" w:rsidRPr="00D0180E" w:rsidRDefault="003A38FF" w:rsidP="003A38FF">
            <w:pPr>
              <w:pStyle w:val="Texto"/>
              <w:spacing w:line="218" w:lineRule="exact"/>
              <w:ind w:firstLine="0"/>
              <w:rPr>
                <w:rFonts w:ascii="Verdana" w:hAnsi="Verdana"/>
                <w:sz w:val="16"/>
                <w:szCs w:val="16"/>
              </w:rPr>
            </w:pPr>
            <w:r w:rsidRPr="00D0180E">
              <w:rPr>
                <w:rFonts w:ascii="Verdana" w:hAnsi="Verdana"/>
                <w:b/>
                <w:sz w:val="16"/>
                <w:szCs w:val="16"/>
              </w:rPr>
              <w:t>Artículo 145.</w:t>
            </w:r>
            <w:r w:rsidRPr="00D0180E">
              <w:rPr>
                <w:rFonts w:ascii="Verdana" w:hAnsi="Verdana"/>
                <w:sz w:val="16"/>
                <w:szCs w:val="16"/>
              </w:rPr>
              <w:t xml:space="preserve"> Si la Transportista o la Distribuidora suspenden el servicio a una Usuaria Final por alguna de las causas previstas en las fracciones VI o VII del artículo 56 de la Ley, estas deben informar a la respectiva Suministradora, las circunstancias que dieron motivo a la suspensión del servicio.</w:t>
            </w:r>
          </w:p>
        </w:tc>
        <w:tc>
          <w:tcPr>
            <w:tcW w:w="4644" w:type="dxa"/>
          </w:tcPr>
          <w:p w14:paraId="2CD0A74F" w14:textId="04D1360E" w:rsidR="003A38FF" w:rsidRPr="00D0180E" w:rsidRDefault="003A38FF" w:rsidP="003A38FF">
            <w:pPr>
              <w:pStyle w:val="Texto"/>
              <w:spacing w:line="218" w:lineRule="exact"/>
              <w:ind w:firstLine="0"/>
              <w:rPr>
                <w:rFonts w:ascii="Verdana" w:hAnsi="Verdana"/>
                <w:b/>
                <w:sz w:val="16"/>
                <w:szCs w:val="16"/>
                <w:lang w:val="en-US"/>
              </w:rPr>
            </w:pPr>
            <w:r w:rsidRPr="006815C5">
              <w:rPr>
                <w:rFonts w:ascii="Verdana" w:hAnsi="Verdana"/>
                <w:b/>
                <w:sz w:val="16"/>
                <w:szCs w:val="16"/>
                <w:lang w:val="en-US"/>
              </w:rPr>
              <w:t xml:space="preserve">Article 145. </w:t>
            </w:r>
            <w:r w:rsidRPr="006815C5">
              <w:rPr>
                <w:rFonts w:ascii="Verdana" w:hAnsi="Verdana"/>
                <w:sz w:val="16"/>
                <w:szCs w:val="16"/>
                <w:lang w:val="en-US"/>
              </w:rPr>
              <w:t xml:space="preserve">If the carrier or distributor suspends service to an end user for any of the reasons </w:t>
            </w:r>
            <w:proofErr w:type="gramStart"/>
            <w:r w:rsidRPr="006815C5">
              <w:rPr>
                <w:rFonts w:ascii="Verdana" w:hAnsi="Verdana"/>
                <w:sz w:val="16"/>
                <w:szCs w:val="16"/>
                <w:lang w:val="en-US"/>
              </w:rPr>
              <w:t>provided for</w:t>
            </w:r>
            <w:proofErr w:type="gramEnd"/>
            <w:r w:rsidRPr="006815C5">
              <w:rPr>
                <w:rFonts w:ascii="Verdana" w:hAnsi="Verdana"/>
                <w:sz w:val="16"/>
                <w:szCs w:val="16"/>
                <w:lang w:val="en-US"/>
              </w:rPr>
              <w:t xml:space="preserve"> in sections VI or VII of article 56 of the Law, they must inform the respective supplier of the circumstances that gave rise to the suspension of the service.</w:t>
            </w:r>
          </w:p>
        </w:tc>
      </w:tr>
      <w:tr w:rsidR="003A38FF" w:rsidRPr="00D83DA2" w14:paraId="196D7198" w14:textId="5BAF4FA0" w:rsidTr="00FB5DAD">
        <w:tc>
          <w:tcPr>
            <w:tcW w:w="4706" w:type="dxa"/>
          </w:tcPr>
          <w:p w14:paraId="7A869E22" w14:textId="77777777" w:rsidR="003A38FF" w:rsidRPr="00D0180E" w:rsidRDefault="003A38FF" w:rsidP="003A38FF">
            <w:pPr>
              <w:pStyle w:val="Texto"/>
              <w:spacing w:line="218" w:lineRule="exact"/>
              <w:ind w:firstLine="0"/>
              <w:rPr>
                <w:rFonts w:ascii="Verdana" w:hAnsi="Verdana"/>
                <w:sz w:val="16"/>
                <w:szCs w:val="16"/>
              </w:rPr>
            </w:pPr>
            <w:r w:rsidRPr="00D0180E">
              <w:rPr>
                <w:rFonts w:ascii="Verdana" w:hAnsi="Verdana"/>
                <w:b/>
                <w:sz w:val="16"/>
                <w:szCs w:val="16"/>
              </w:rPr>
              <w:t>Artículo 146.</w:t>
            </w:r>
            <w:r w:rsidRPr="00D0180E">
              <w:rPr>
                <w:rFonts w:ascii="Verdana" w:hAnsi="Verdana"/>
                <w:sz w:val="16"/>
                <w:szCs w:val="16"/>
              </w:rPr>
              <w:t xml:space="preserve"> En el caso de suspensiones del Servicio Público de Transmisión y Distribución de Energía </w:t>
            </w:r>
            <w:r w:rsidRPr="00D0180E">
              <w:rPr>
                <w:rFonts w:ascii="Verdana" w:hAnsi="Verdana"/>
                <w:sz w:val="16"/>
                <w:szCs w:val="16"/>
              </w:rPr>
              <w:lastRenderedPageBreak/>
              <w:t>Eléctrica o del Suministro Eléctrico ocasionadas por causas distintas a las señaladas en el artículo 56 de la Ley, que tengan una duración mayor que la establecida por la CNE en materia de Continuidad, el CENACE o la Suministradora deben bonificar a las Usuarias Finales, al expedir la factura respectiva, una cantidad igual a dos veces el importe del Suministro Eléctrico que hubiere estado disponible de no ocurrir la suspensión y que la Usuaria Final hubiere tenido que pagar. Para calcular dicho importe se debe tomar como base el consumo y el precio medio de la factura del período anterior a la suspensión.</w:t>
            </w:r>
          </w:p>
        </w:tc>
        <w:tc>
          <w:tcPr>
            <w:tcW w:w="4644" w:type="dxa"/>
          </w:tcPr>
          <w:p w14:paraId="6F8E835D" w14:textId="5C66E760" w:rsidR="003A38FF" w:rsidRPr="00D0180E" w:rsidRDefault="003A38FF" w:rsidP="003A38FF">
            <w:pPr>
              <w:pStyle w:val="Texto"/>
              <w:spacing w:line="218" w:lineRule="exact"/>
              <w:ind w:firstLine="0"/>
              <w:rPr>
                <w:rFonts w:ascii="Verdana" w:hAnsi="Verdana"/>
                <w:b/>
                <w:sz w:val="16"/>
                <w:szCs w:val="16"/>
                <w:lang w:val="en-US"/>
              </w:rPr>
            </w:pPr>
            <w:r w:rsidRPr="006815C5">
              <w:rPr>
                <w:rFonts w:ascii="Verdana" w:hAnsi="Verdana"/>
                <w:b/>
                <w:sz w:val="16"/>
                <w:szCs w:val="16"/>
                <w:lang w:val="en-US"/>
              </w:rPr>
              <w:lastRenderedPageBreak/>
              <w:t xml:space="preserve">Article 146. </w:t>
            </w:r>
            <w:r w:rsidRPr="006815C5">
              <w:rPr>
                <w:rFonts w:ascii="Verdana" w:hAnsi="Verdana"/>
                <w:sz w:val="16"/>
                <w:szCs w:val="16"/>
                <w:lang w:val="en-US"/>
              </w:rPr>
              <w:t xml:space="preserve">In the case of suspensions of the public service for the transmission and distribution of electric </w:t>
            </w:r>
            <w:r w:rsidRPr="006815C5">
              <w:rPr>
                <w:rFonts w:ascii="Verdana" w:hAnsi="Verdana"/>
                <w:sz w:val="16"/>
                <w:szCs w:val="16"/>
                <w:lang w:val="en-US"/>
              </w:rPr>
              <w:lastRenderedPageBreak/>
              <w:t xml:space="preserve">energy or of the electric supply caused by reasons other than those indicated in Article 56 of the Law, which last longer than the duration established by the CNE regarding </w:t>
            </w:r>
            <w:r>
              <w:rPr>
                <w:rFonts w:ascii="Verdana" w:hAnsi="Verdana"/>
                <w:sz w:val="16"/>
                <w:szCs w:val="16"/>
                <w:lang w:val="en-US"/>
              </w:rPr>
              <w:t>c</w:t>
            </w:r>
            <w:r w:rsidRPr="006815C5">
              <w:rPr>
                <w:rFonts w:ascii="Verdana" w:hAnsi="Verdana"/>
                <w:sz w:val="16"/>
                <w:szCs w:val="16"/>
                <w:lang w:val="en-US"/>
              </w:rPr>
              <w:t xml:space="preserve">ontinuity, CENACE or the </w:t>
            </w:r>
            <w:r>
              <w:rPr>
                <w:rFonts w:ascii="Verdana" w:hAnsi="Verdana"/>
                <w:sz w:val="16"/>
                <w:szCs w:val="16"/>
                <w:lang w:val="en-US"/>
              </w:rPr>
              <w:t>s</w:t>
            </w:r>
            <w:r w:rsidRPr="006815C5">
              <w:rPr>
                <w:rFonts w:ascii="Verdana" w:hAnsi="Verdana"/>
                <w:sz w:val="16"/>
                <w:szCs w:val="16"/>
                <w:lang w:val="en-US"/>
              </w:rPr>
              <w:t>upplier must provide the end users, upon issuing the respective invoice, with a credit equal to twice the amount of the electric supply that would have been available had the suspension not occurred and that the end user would have had to pay. To calculate this amount, the consumption and average price of the invoice for the period prior to the suspension must be taken as a basis.</w:t>
            </w:r>
          </w:p>
        </w:tc>
      </w:tr>
      <w:tr w:rsidR="003A38FF" w:rsidRPr="00D83DA2" w14:paraId="4F9DF106" w14:textId="4952899C" w:rsidTr="00FB5DAD">
        <w:tc>
          <w:tcPr>
            <w:tcW w:w="4706" w:type="dxa"/>
          </w:tcPr>
          <w:p w14:paraId="16AB95C9" w14:textId="77777777" w:rsidR="003A38FF" w:rsidRPr="00D0180E" w:rsidRDefault="003A38FF" w:rsidP="003A38FF">
            <w:pPr>
              <w:pStyle w:val="Texto"/>
              <w:spacing w:line="218" w:lineRule="exact"/>
              <w:ind w:firstLine="0"/>
              <w:rPr>
                <w:rFonts w:ascii="Verdana" w:hAnsi="Verdana"/>
                <w:sz w:val="16"/>
                <w:szCs w:val="16"/>
              </w:rPr>
            </w:pPr>
            <w:r w:rsidRPr="00D0180E">
              <w:rPr>
                <w:rFonts w:ascii="Verdana" w:hAnsi="Verdana"/>
                <w:sz w:val="16"/>
                <w:szCs w:val="16"/>
              </w:rPr>
              <w:lastRenderedPageBreak/>
              <w:t>Los importes por bonificaciones que el CENACE o la Suministradora hayan realizado a las Usuarias Finales en los supuestos del presente artículo, puede requerirlos a la Suministradora, la Transportista o la Distribuidora responsable, de conformidad con lo establecido en los respectivos contratos celebrados entre el CENACE, la Transportista, la Distribuidora y las Suministradoras.</w:t>
            </w:r>
          </w:p>
        </w:tc>
        <w:tc>
          <w:tcPr>
            <w:tcW w:w="4644" w:type="dxa"/>
          </w:tcPr>
          <w:p w14:paraId="7E760534" w14:textId="6D623918" w:rsidR="003A38FF" w:rsidRPr="00D0180E" w:rsidRDefault="003A38FF" w:rsidP="003A38FF">
            <w:pPr>
              <w:pStyle w:val="Texto"/>
              <w:spacing w:line="218" w:lineRule="exact"/>
              <w:ind w:firstLine="0"/>
              <w:rPr>
                <w:rFonts w:ascii="Verdana" w:hAnsi="Verdana"/>
                <w:sz w:val="16"/>
                <w:szCs w:val="16"/>
                <w:lang w:val="en-US"/>
              </w:rPr>
            </w:pPr>
            <w:r w:rsidRPr="006815C5">
              <w:rPr>
                <w:rFonts w:ascii="Verdana" w:hAnsi="Verdana"/>
                <w:sz w:val="16"/>
                <w:szCs w:val="16"/>
                <w:lang w:val="en-US"/>
              </w:rPr>
              <w:t xml:space="preserve">The amounts for bonuses that CENACE or the Supplier have made to the end users in the cases of this </w:t>
            </w:r>
            <w:proofErr w:type="gramStart"/>
            <w:r w:rsidRPr="006815C5">
              <w:rPr>
                <w:rFonts w:ascii="Verdana" w:hAnsi="Verdana"/>
                <w:sz w:val="16"/>
                <w:szCs w:val="16"/>
                <w:lang w:val="en-US"/>
              </w:rPr>
              <w:t>article,</w:t>
            </w:r>
            <w:proofErr w:type="gramEnd"/>
            <w:r w:rsidRPr="006815C5">
              <w:rPr>
                <w:rFonts w:ascii="Verdana" w:hAnsi="Verdana"/>
                <w:sz w:val="16"/>
                <w:szCs w:val="16"/>
                <w:lang w:val="en-US"/>
              </w:rPr>
              <w:t xml:space="preserve"> may be required from the supplier, the transporter or the responsible distributor, in accordance with the provisions of the respective contracts </w:t>
            </w:r>
            <w:proofErr w:type="gramStart"/>
            <w:r w:rsidRPr="006815C5">
              <w:rPr>
                <w:rFonts w:ascii="Verdana" w:hAnsi="Verdana"/>
                <w:sz w:val="16"/>
                <w:szCs w:val="16"/>
                <w:lang w:val="en-US"/>
              </w:rPr>
              <w:t>entered into</w:t>
            </w:r>
            <w:proofErr w:type="gramEnd"/>
            <w:r w:rsidRPr="006815C5">
              <w:rPr>
                <w:rFonts w:ascii="Verdana" w:hAnsi="Verdana"/>
                <w:sz w:val="16"/>
                <w:szCs w:val="16"/>
                <w:lang w:val="en-US"/>
              </w:rPr>
              <w:t xml:space="preserve"> between CENACE, the transporter, the distributor and the suppliers.</w:t>
            </w:r>
          </w:p>
        </w:tc>
      </w:tr>
      <w:tr w:rsidR="003A38FF" w:rsidRPr="00D83DA2" w14:paraId="654AD832" w14:textId="10B28C70" w:rsidTr="00FB5DAD">
        <w:tc>
          <w:tcPr>
            <w:tcW w:w="4706" w:type="dxa"/>
          </w:tcPr>
          <w:p w14:paraId="79344513" w14:textId="77777777" w:rsidR="003A38FF" w:rsidRPr="00D0180E" w:rsidRDefault="003A38FF" w:rsidP="003A38FF">
            <w:pPr>
              <w:pStyle w:val="Texto"/>
              <w:spacing w:line="218" w:lineRule="exact"/>
              <w:ind w:firstLine="0"/>
              <w:rPr>
                <w:rFonts w:ascii="Verdana" w:hAnsi="Verdana"/>
                <w:sz w:val="16"/>
                <w:szCs w:val="16"/>
              </w:rPr>
            </w:pPr>
            <w:r w:rsidRPr="00D0180E">
              <w:rPr>
                <w:rFonts w:ascii="Verdana" w:hAnsi="Verdana"/>
                <w:b/>
                <w:sz w:val="16"/>
                <w:szCs w:val="16"/>
              </w:rPr>
              <w:t>Artículo 147.</w:t>
            </w:r>
            <w:r w:rsidRPr="00D0180E">
              <w:rPr>
                <w:rFonts w:ascii="Verdana" w:hAnsi="Verdana"/>
                <w:sz w:val="16"/>
                <w:szCs w:val="16"/>
              </w:rPr>
              <w:t xml:space="preserve"> Cuando por caso fortuito o fuerza mayor en el Sistema Eléctrico Nacional, la Transportista o la Distribuidora interrumpan, restrinjan o modifiquen las características del Servicio Público de Transmisión y Distribución de Energía Eléctrica, deben hacerlo del conocimiento de las Suministradoras y de las Usuarias Finales por los medios de comunicación masivos con mayor difusión en las localidades, o a través de su página de internet y demás medios de comunicación que determine la Transportista o la Distribuidora, y señalar la cuantía y duración de la suspensión o restricción, así como los días y horas en que ocurrieron y las zonas afectadas.</w:t>
            </w:r>
          </w:p>
        </w:tc>
        <w:tc>
          <w:tcPr>
            <w:tcW w:w="4644" w:type="dxa"/>
          </w:tcPr>
          <w:p w14:paraId="2CC25192" w14:textId="458FE5D7" w:rsidR="003A38FF" w:rsidRPr="00D0180E" w:rsidRDefault="003A38FF" w:rsidP="003A38FF">
            <w:pPr>
              <w:pStyle w:val="Texto"/>
              <w:spacing w:line="218" w:lineRule="exact"/>
              <w:ind w:firstLine="0"/>
              <w:rPr>
                <w:rFonts w:ascii="Verdana" w:hAnsi="Verdana"/>
                <w:b/>
                <w:sz w:val="16"/>
                <w:szCs w:val="16"/>
                <w:lang w:val="en-US"/>
              </w:rPr>
            </w:pPr>
            <w:r w:rsidRPr="006815C5">
              <w:rPr>
                <w:rFonts w:ascii="Verdana" w:hAnsi="Verdana"/>
                <w:b/>
                <w:sz w:val="16"/>
                <w:szCs w:val="16"/>
                <w:lang w:val="en-US"/>
              </w:rPr>
              <w:t xml:space="preserve">Article 147. </w:t>
            </w:r>
            <w:r w:rsidRPr="006815C5">
              <w:rPr>
                <w:rFonts w:ascii="Verdana" w:hAnsi="Verdana"/>
                <w:sz w:val="16"/>
                <w:szCs w:val="16"/>
                <w:lang w:val="en-US"/>
              </w:rPr>
              <w:t xml:space="preserve">When, due to a fortuitous event or force majeure in the </w:t>
            </w:r>
            <w:r>
              <w:rPr>
                <w:rFonts w:ascii="Verdana" w:hAnsi="Verdana"/>
                <w:sz w:val="16"/>
                <w:szCs w:val="16"/>
                <w:lang w:val="en-US"/>
              </w:rPr>
              <w:t>National Electric System</w:t>
            </w:r>
            <w:r w:rsidRPr="006815C5">
              <w:rPr>
                <w:rFonts w:ascii="Verdana" w:hAnsi="Verdana"/>
                <w:sz w:val="16"/>
                <w:szCs w:val="16"/>
                <w:lang w:val="en-US"/>
              </w:rPr>
              <w:t>, the transporter or the distributor interrupts, restricts or modifies the characteristics of the public service of transmission and distribution of electric energy, they must make it known to the suppliers and the end users through the mass media with the greatest diffusion in the localities, or through their website and other means of communication determined by the transporter or the distributor, and indicate the amount and duration of the suspension or restriction, as well as the days and hours in which they occurred and the affected areas.</w:t>
            </w:r>
          </w:p>
        </w:tc>
      </w:tr>
      <w:tr w:rsidR="003A38FF" w:rsidRPr="00D83DA2" w14:paraId="69E46F34" w14:textId="35C02050" w:rsidTr="00FB5DAD">
        <w:tc>
          <w:tcPr>
            <w:tcW w:w="4706" w:type="dxa"/>
          </w:tcPr>
          <w:p w14:paraId="0354DE65" w14:textId="77777777" w:rsidR="003A38FF" w:rsidRPr="00D0180E" w:rsidRDefault="003A38FF" w:rsidP="003A38FF">
            <w:pPr>
              <w:pStyle w:val="Texto"/>
              <w:spacing w:line="218" w:lineRule="exact"/>
              <w:ind w:firstLine="0"/>
              <w:rPr>
                <w:rFonts w:ascii="Verdana" w:hAnsi="Verdana"/>
                <w:sz w:val="16"/>
                <w:szCs w:val="16"/>
              </w:rPr>
            </w:pPr>
            <w:r w:rsidRPr="00D0180E">
              <w:rPr>
                <w:rFonts w:ascii="Verdana" w:hAnsi="Verdana"/>
                <w:sz w:val="16"/>
                <w:szCs w:val="16"/>
              </w:rPr>
              <w:t>En caso de que la suspensión, restricción o modificación de las características del Servicio Público de Transmisión y Distribución de Energía Eléctrica a que se refiere el párrafo anterior haya de prolongarse por más de tres días naturales, la Transportista o la Distribuidora, debe informarlo inmediatamente al CENACE y una vez solventado el caso fortuito o fuerza mayor, presentar para su conocimiento a la CNE el reporte con las acciones realizadas. La Transportista o Distribuidora debe procurar que la suspensión, restricción o modificación de las características del Servicio Público de Transmisión y Distribución de Energía Eléctrica provoque los menores inconvenientes posibles para las Suministradoras y las Usuarias Finales.</w:t>
            </w:r>
          </w:p>
        </w:tc>
        <w:tc>
          <w:tcPr>
            <w:tcW w:w="4644" w:type="dxa"/>
          </w:tcPr>
          <w:p w14:paraId="26A46179" w14:textId="6D4F9CD2" w:rsidR="003A38FF" w:rsidRPr="00D0180E" w:rsidRDefault="003A38FF" w:rsidP="003A38FF">
            <w:pPr>
              <w:pStyle w:val="Texto"/>
              <w:spacing w:line="218" w:lineRule="exact"/>
              <w:ind w:firstLine="0"/>
              <w:rPr>
                <w:rFonts w:ascii="Verdana" w:hAnsi="Verdana"/>
                <w:sz w:val="16"/>
                <w:szCs w:val="16"/>
                <w:lang w:val="en-US"/>
              </w:rPr>
            </w:pPr>
            <w:r w:rsidRPr="006815C5">
              <w:rPr>
                <w:rFonts w:ascii="Verdana" w:hAnsi="Verdana"/>
                <w:sz w:val="16"/>
                <w:szCs w:val="16"/>
                <w:lang w:val="en-US"/>
              </w:rPr>
              <w:t xml:space="preserve">In the event that the suspension, restriction, or modification of the characteristics of the public electric power transmission and distribution service referred to in the preceding paragraph is to last for more than three calendar days, the transmission company or distributor must immediately inform CENACE and, once the unforeseen event or force majeure has been resolved, submit a report outlining the actions taken to the CNE for its consideration. </w:t>
            </w:r>
            <w:proofErr w:type="gramStart"/>
            <w:r w:rsidRPr="006815C5">
              <w:rPr>
                <w:rFonts w:ascii="Verdana" w:hAnsi="Verdana"/>
                <w:sz w:val="16"/>
                <w:szCs w:val="16"/>
                <w:lang w:val="en-US"/>
              </w:rPr>
              <w:t>the</w:t>
            </w:r>
            <w:proofErr w:type="gramEnd"/>
            <w:r w:rsidRPr="006815C5">
              <w:rPr>
                <w:rFonts w:ascii="Verdana" w:hAnsi="Verdana"/>
                <w:sz w:val="16"/>
                <w:szCs w:val="16"/>
                <w:lang w:val="en-US"/>
              </w:rPr>
              <w:t xml:space="preserve"> transmission company or distributor must ensure that the suspension, restriction, or modification of the characteristics of the public electric power transmission and distribution service causes the least possible inconvenience to suppliers and end Users.</w:t>
            </w:r>
          </w:p>
        </w:tc>
      </w:tr>
      <w:tr w:rsidR="003A38FF" w:rsidRPr="00D83DA2" w14:paraId="1F65518E" w14:textId="0B3C3295" w:rsidTr="00FB5DAD">
        <w:tc>
          <w:tcPr>
            <w:tcW w:w="4706" w:type="dxa"/>
          </w:tcPr>
          <w:p w14:paraId="7B8B05AA" w14:textId="77777777" w:rsidR="003A38FF" w:rsidRPr="00D0180E" w:rsidRDefault="003A38FF" w:rsidP="003A38FF">
            <w:pPr>
              <w:pStyle w:val="Texto"/>
              <w:spacing w:line="218" w:lineRule="exact"/>
              <w:ind w:firstLine="0"/>
              <w:rPr>
                <w:rFonts w:ascii="Verdana" w:hAnsi="Verdana"/>
                <w:sz w:val="16"/>
                <w:szCs w:val="16"/>
              </w:rPr>
            </w:pPr>
            <w:r w:rsidRPr="00D0180E">
              <w:rPr>
                <w:rFonts w:ascii="Verdana" w:hAnsi="Verdana"/>
                <w:b/>
                <w:sz w:val="16"/>
                <w:szCs w:val="16"/>
              </w:rPr>
              <w:t>Artículo 148.</w:t>
            </w:r>
            <w:r w:rsidRPr="00D0180E">
              <w:rPr>
                <w:rFonts w:ascii="Verdana" w:hAnsi="Verdana"/>
                <w:sz w:val="16"/>
                <w:szCs w:val="16"/>
              </w:rPr>
              <w:t xml:space="preserve"> Cuando por falta de capacidad o de energía eléctrica suficiente ocasionada por caso fortuito o fuerza mayor en el Sistema Eléctrico Nacional, el CENACE interrumpa, restrinja o modifique las características del Suministro Eléctrico, lo debe hacer del conocimiento de las Suministradoras y las Usuarias Finales por los medios de comunicación masivos con mayor difusión en las localidades, o a través de su página de internet y demás medios de comunicación que determine este, para lo cual debe señalarse la duración </w:t>
            </w:r>
            <w:r w:rsidRPr="00D0180E">
              <w:rPr>
                <w:rFonts w:ascii="Verdana" w:hAnsi="Verdana"/>
                <w:sz w:val="16"/>
                <w:szCs w:val="16"/>
              </w:rPr>
              <w:lastRenderedPageBreak/>
              <w:t>de la suspensión o restricción, así como los días y horas en que ocurrieron y las zonas afectadas.</w:t>
            </w:r>
          </w:p>
        </w:tc>
        <w:tc>
          <w:tcPr>
            <w:tcW w:w="4644" w:type="dxa"/>
          </w:tcPr>
          <w:p w14:paraId="1F6D2684" w14:textId="7455EEB4" w:rsidR="003A38FF" w:rsidRPr="00D0180E" w:rsidRDefault="003A38FF" w:rsidP="003A38FF">
            <w:pPr>
              <w:pStyle w:val="Texto"/>
              <w:spacing w:line="218" w:lineRule="exact"/>
              <w:ind w:firstLine="0"/>
              <w:rPr>
                <w:rFonts w:ascii="Verdana" w:hAnsi="Verdana"/>
                <w:b/>
                <w:sz w:val="16"/>
                <w:szCs w:val="16"/>
                <w:lang w:val="en-US"/>
              </w:rPr>
            </w:pPr>
            <w:r w:rsidRPr="006815C5">
              <w:rPr>
                <w:rFonts w:ascii="Verdana" w:hAnsi="Verdana"/>
                <w:b/>
                <w:sz w:val="16"/>
                <w:szCs w:val="16"/>
                <w:lang w:val="en-US"/>
              </w:rPr>
              <w:lastRenderedPageBreak/>
              <w:t xml:space="preserve">Article 148. </w:t>
            </w:r>
            <w:r w:rsidRPr="006815C5">
              <w:rPr>
                <w:rFonts w:ascii="Verdana" w:hAnsi="Verdana"/>
                <w:sz w:val="16"/>
                <w:szCs w:val="16"/>
                <w:lang w:val="en-US"/>
              </w:rPr>
              <w:t xml:space="preserve">When due to a lack of capacity or sufficient electrical energy caused by an unforeseen event or force majeure in the </w:t>
            </w:r>
            <w:r>
              <w:rPr>
                <w:rFonts w:ascii="Verdana" w:hAnsi="Verdana"/>
                <w:sz w:val="16"/>
                <w:szCs w:val="16"/>
                <w:lang w:val="en-US"/>
              </w:rPr>
              <w:t>National Electric System</w:t>
            </w:r>
            <w:r w:rsidRPr="006815C5">
              <w:rPr>
                <w:rFonts w:ascii="Verdana" w:hAnsi="Verdana"/>
                <w:sz w:val="16"/>
                <w:szCs w:val="16"/>
                <w:lang w:val="en-US"/>
              </w:rPr>
              <w:t xml:space="preserve">, CENACE interrupts, restricts or modifies the characteristics of the electric supply, it must make this known to the suppliers and end </w:t>
            </w:r>
            <w:r>
              <w:rPr>
                <w:rFonts w:ascii="Verdana" w:hAnsi="Verdana"/>
                <w:sz w:val="16"/>
                <w:szCs w:val="16"/>
                <w:lang w:val="en-US"/>
              </w:rPr>
              <w:t>u</w:t>
            </w:r>
            <w:r w:rsidRPr="006815C5">
              <w:rPr>
                <w:rFonts w:ascii="Verdana" w:hAnsi="Verdana"/>
                <w:sz w:val="16"/>
                <w:szCs w:val="16"/>
                <w:lang w:val="en-US"/>
              </w:rPr>
              <w:t xml:space="preserve">sers through the mass media with the greatest circulation in the localities, or through its website and other means of communication that it determines, for which the duration of the suspension or restriction must be indicated, as well as </w:t>
            </w:r>
            <w:r w:rsidRPr="006815C5">
              <w:rPr>
                <w:rFonts w:ascii="Verdana" w:hAnsi="Verdana"/>
                <w:sz w:val="16"/>
                <w:szCs w:val="16"/>
                <w:lang w:val="en-US"/>
              </w:rPr>
              <w:lastRenderedPageBreak/>
              <w:t>the days and hours in which they occurred and the affected areas.</w:t>
            </w:r>
          </w:p>
        </w:tc>
      </w:tr>
      <w:tr w:rsidR="003A38FF" w:rsidRPr="00D83DA2" w14:paraId="68754C45" w14:textId="396B6C1F" w:rsidTr="00FB5DAD">
        <w:tc>
          <w:tcPr>
            <w:tcW w:w="4706" w:type="dxa"/>
          </w:tcPr>
          <w:p w14:paraId="0CF685BD"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sz w:val="16"/>
                <w:szCs w:val="16"/>
              </w:rPr>
              <w:lastRenderedPageBreak/>
              <w:t>En caso de que la interrupción, restricción o modificación de las características del Suministro Eléctrico haya de prolongarse por más de tres días naturales, el CENACE debe presentar para su información ante la CNE, el reporte con las acciones realizadas para enfrentar la situación. Dichas acciones deben buscar que la alteración del suministro provoque los menores inconvenientes posibles para las Usuarias Finales.</w:t>
            </w:r>
          </w:p>
        </w:tc>
        <w:tc>
          <w:tcPr>
            <w:tcW w:w="4644" w:type="dxa"/>
          </w:tcPr>
          <w:p w14:paraId="691FB6C1" w14:textId="2184AE4A" w:rsidR="003A38FF" w:rsidRPr="00D0180E" w:rsidRDefault="003A38FF" w:rsidP="003A38FF">
            <w:pPr>
              <w:pStyle w:val="Texto"/>
              <w:spacing w:line="225" w:lineRule="exact"/>
              <w:ind w:firstLine="0"/>
              <w:rPr>
                <w:rFonts w:ascii="Verdana" w:hAnsi="Verdana"/>
                <w:sz w:val="16"/>
                <w:szCs w:val="16"/>
                <w:lang w:val="en-US"/>
              </w:rPr>
            </w:pPr>
            <w:r w:rsidRPr="006815C5">
              <w:rPr>
                <w:rFonts w:ascii="Verdana" w:hAnsi="Verdana"/>
                <w:sz w:val="16"/>
                <w:szCs w:val="16"/>
                <w:lang w:val="en-US"/>
              </w:rPr>
              <w:t>If the interruption, restriction, or modification of the electricity supply characteristics is to last for more than three calendar days, CENACE must submit a report to the CNE for information, outlining the actions taken to address the situation. These actions must aim to ensure that the disruption to the supply causes the least possible inconvenience to end users.</w:t>
            </w:r>
          </w:p>
        </w:tc>
      </w:tr>
      <w:tr w:rsidR="003A38FF" w:rsidRPr="00D83DA2" w14:paraId="3785D435" w14:textId="00B2ED9F" w:rsidTr="00FB5DAD">
        <w:tc>
          <w:tcPr>
            <w:tcW w:w="4706" w:type="dxa"/>
          </w:tcPr>
          <w:p w14:paraId="76FBDE23"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b/>
                <w:sz w:val="16"/>
                <w:szCs w:val="16"/>
              </w:rPr>
              <w:t>Artículo 149.</w:t>
            </w:r>
            <w:r w:rsidRPr="00D0180E">
              <w:rPr>
                <w:rFonts w:ascii="Verdana" w:hAnsi="Verdana"/>
                <w:sz w:val="16"/>
                <w:szCs w:val="16"/>
              </w:rPr>
              <w:t xml:space="preserve"> Si dentro de las condiciones normales de operación, por acto u omisión imputable a la Transportista o la Distribuidora, se originan cambios súbitos en las características del Servicio Público de Transmisión y Distribución de Energía Eléctrica, que excedan las tolerancias permisibles en el nivel de tensión, y por ese motivo se causan desperfectos en instalaciones, equipos o aparatos eléctricos de la Usuaria Final, a solicitud de esta, el CENACE, en el caso de Usuarios Calificados Participantes del Mercado, o la Suministradora está obligada a reparar dichas instalaciones, equipos o aparatos, o a indemnizarla por el importe del daño ocasionado.</w:t>
            </w:r>
          </w:p>
        </w:tc>
        <w:tc>
          <w:tcPr>
            <w:tcW w:w="4644" w:type="dxa"/>
          </w:tcPr>
          <w:p w14:paraId="6B52A8A1" w14:textId="68CADF8F" w:rsidR="003A38FF" w:rsidRPr="00D0180E" w:rsidRDefault="003A38FF" w:rsidP="003A38FF">
            <w:pPr>
              <w:pStyle w:val="Texto"/>
              <w:spacing w:line="225" w:lineRule="exact"/>
              <w:ind w:firstLine="0"/>
              <w:rPr>
                <w:rFonts w:ascii="Verdana" w:hAnsi="Verdana"/>
                <w:b/>
                <w:sz w:val="16"/>
                <w:szCs w:val="16"/>
                <w:lang w:val="en-US"/>
              </w:rPr>
            </w:pPr>
            <w:r w:rsidRPr="006815C5">
              <w:rPr>
                <w:rFonts w:ascii="Verdana" w:hAnsi="Verdana"/>
                <w:b/>
                <w:sz w:val="16"/>
                <w:szCs w:val="16"/>
                <w:lang w:val="en-US"/>
              </w:rPr>
              <w:t xml:space="preserve">Article 149. </w:t>
            </w:r>
            <w:r w:rsidRPr="006815C5">
              <w:rPr>
                <w:rFonts w:ascii="Verdana" w:hAnsi="Verdana"/>
                <w:sz w:val="16"/>
                <w:szCs w:val="16"/>
                <w:lang w:val="en-US"/>
              </w:rPr>
              <w:t>If, under normal operating conditions, due to an act or omission attributable to the transporter or the distributor, sudden changes occur in the characteristics of the public service of transmission and distribution of electric energy, which exceed the permissible tolerances in the voltage level, and for this reason damage is caused to the installations, equipment or electrical appliances of the end user, at the request of the latter, CENACE, in the case of qualified users participating in the market, or the supplier is obliged to repair said installations, equipment or appliances, or to compensate it for the amount of the damage caused.</w:t>
            </w:r>
          </w:p>
        </w:tc>
      </w:tr>
      <w:tr w:rsidR="003A38FF" w:rsidRPr="00D83DA2" w14:paraId="1AF58AC5" w14:textId="5D1C0759" w:rsidTr="00FB5DAD">
        <w:tc>
          <w:tcPr>
            <w:tcW w:w="4706" w:type="dxa"/>
          </w:tcPr>
          <w:p w14:paraId="242AD9E2"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sz w:val="16"/>
                <w:szCs w:val="16"/>
              </w:rPr>
              <w:t>Los importes por indemnizaciones que el CENACE o la Suministradora hayan realizado a las Usuarias Finales en los supuestos del presente artículo, puede requerirlos a la Transportista o la Distribuidora responsable, de conformidad con lo establecido en los respectivos convenios celebrados entre el CENACE, las Suministradoras, la Transportista o la Distribuidora.</w:t>
            </w:r>
          </w:p>
        </w:tc>
        <w:tc>
          <w:tcPr>
            <w:tcW w:w="4644" w:type="dxa"/>
          </w:tcPr>
          <w:p w14:paraId="1752C510" w14:textId="570F4820" w:rsidR="003A38FF" w:rsidRPr="00D0180E" w:rsidRDefault="003A38FF" w:rsidP="003A38FF">
            <w:pPr>
              <w:pStyle w:val="Texto"/>
              <w:spacing w:line="225" w:lineRule="exact"/>
              <w:ind w:firstLine="0"/>
              <w:rPr>
                <w:rFonts w:ascii="Verdana" w:hAnsi="Verdana"/>
                <w:sz w:val="16"/>
                <w:szCs w:val="16"/>
                <w:lang w:val="en-US"/>
              </w:rPr>
            </w:pPr>
            <w:r w:rsidRPr="006815C5">
              <w:rPr>
                <w:rFonts w:ascii="Verdana" w:hAnsi="Verdana"/>
                <w:sz w:val="16"/>
                <w:szCs w:val="16"/>
                <w:lang w:val="en-US"/>
              </w:rPr>
              <w:t xml:space="preserve">The amounts </w:t>
            </w:r>
            <w:proofErr w:type="gramStart"/>
            <w:r w:rsidRPr="006815C5">
              <w:rPr>
                <w:rFonts w:ascii="Verdana" w:hAnsi="Verdana"/>
                <w:sz w:val="16"/>
                <w:szCs w:val="16"/>
                <w:lang w:val="en-US"/>
              </w:rPr>
              <w:t>for</w:t>
            </w:r>
            <w:proofErr w:type="gramEnd"/>
            <w:r w:rsidRPr="006815C5">
              <w:rPr>
                <w:rFonts w:ascii="Verdana" w:hAnsi="Verdana"/>
                <w:sz w:val="16"/>
                <w:szCs w:val="16"/>
                <w:lang w:val="en-US"/>
              </w:rPr>
              <w:t xml:space="preserve"> compensation that CENACE or the Supplier have </w:t>
            </w:r>
            <w:proofErr w:type="gramStart"/>
            <w:r w:rsidRPr="006815C5">
              <w:rPr>
                <w:rFonts w:ascii="Verdana" w:hAnsi="Verdana"/>
                <w:sz w:val="16"/>
                <w:szCs w:val="16"/>
                <w:lang w:val="en-US"/>
              </w:rPr>
              <w:t>made</w:t>
            </w:r>
            <w:proofErr w:type="gramEnd"/>
            <w:r w:rsidRPr="006815C5">
              <w:rPr>
                <w:rFonts w:ascii="Verdana" w:hAnsi="Verdana"/>
                <w:sz w:val="16"/>
                <w:szCs w:val="16"/>
                <w:lang w:val="en-US"/>
              </w:rPr>
              <w:t xml:space="preserve"> to the end users in the cases of this article may be requested from the responsible Carrier or Distributor, in accordance with the provisions of the respective agreements </w:t>
            </w:r>
            <w:proofErr w:type="gramStart"/>
            <w:r w:rsidRPr="006815C5">
              <w:rPr>
                <w:rFonts w:ascii="Verdana" w:hAnsi="Verdana"/>
                <w:sz w:val="16"/>
                <w:szCs w:val="16"/>
                <w:lang w:val="en-US"/>
              </w:rPr>
              <w:t>entered into</w:t>
            </w:r>
            <w:proofErr w:type="gramEnd"/>
            <w:r w:rsidRPr="006815C5">
              <w:rPr>
                <w:rFonts w:ascii="Verdana" w:hAnsi="Verdana"/>
                <w:sz w:val="16"/>
                <w:szCs w:val="16"/>
                <w:lang w:val="en-US"/>
              </w:rPr>
              <w:t xml:space="preserve"> between CENACE, the suppliers, the carrier or the distributor.</w:t>
            </w:r>
          </w:p>
        </w:tc>
      </w:tr>
      <w:tr w:rsidR="003A38FF" w:rsidRPr="00D83DA2" w14:paraId="28832445" w14:textId="5D5EC795" w:rsidTr="00FB5DAD">
        <w:tc>
          <w:tcPr>
            <w:tcW w:w="4706" w:type="dxa"/>
          </w:tcPr>
          <w:p w14:paraId="58D96EF9"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b/>
                <w:sz w:val="16"/>
                <w:szCs w:val="16"/>
              </w:rPr>
              <w:t>Artículo 150.</w:t>
            </w:r>
            <w:r w:rsidRPr="00D0180E">
              <w:rPr>
                <w:rFonts w:ascii="Verdana" w:hAnsi="Verdana"/>
                <w:sz w:val="16"/>
                <w:szCs w:val="16"/>
              </w:rPr>
              <w:t xml:space="preserve"> Los eventos de caso fortuito o fuerza mayor que afecten al Servicio Público de Transmisión y Distribución de Energía Eléctrica deben ser atendidos por la Transportista o la Distribuidora quienes deben actuar de manera ordenada y coordinada, en los términos que disponga el CENACE, a efecto de restablecer el servicio en el menor tiempo posible.</w:t>
            </w:r>
          </w:p>
        </w:tc>
        <w:tc>
          <w:tcPr>
            <w:tcW w:w="4644" w:type="dxa"/>
          </w:tcPr>
          <w:p w14:paraId="181B97FE" w14:textId="049492B4" w:rsidR="003A38FF" w:rsidRPr="00D0180E" w:rsidRDefault="003A38FF" w:rsidP="003A38FF">
            <w:pPr>
              <w:pStyle w:val="Texto"/>
              <w:spacing w:line="225" w:lineRule="exact"/>
              <w:ind w:firstLine="0"/>
              <w:rPr>
                <w:rFonts w:ascii="Verdana" w:hAnsi="Verdana"/>
                <w:b/>
                <w:sz w:val="16"/>
                <w:szCs w:val="16"/>
                <w:lang w:val="en-US"/>
              </w:rPr>
            </w:pPr>
            <w:r w:rsidRPr="006815C5">
              <w:rPr>
                <w:rFonts w:ascii="Verdana" w:hAnsi="Verdana"/>
                <w:b/>
                <w:sz w:val="16"/>
                <w:szCs w:val="16"/>
                <w:lang w:val="en-US"/>
              </w:rPr>
              <w:t xml:space="preserve">Article 150. </w:t>
            </w:r>
            <w:r w:rsidRPr="006815C5">
              <w:rPr>
                <w:rFonts w:ascii="Verdana" w:hAnsi="Verdana"/>
                <w:sz w:val="16"/>
                <w:szCs w:val="16"/>
                <w:lang w:val="en-US"/>
              </w:rPr>
              <w:t xml:space="preserve">Events of unforeseeable circumstances or force majeure affecting the Public Service of Transmission and Distribution of Electric Energy must be addressed by the Transmission Company or the Distributor, who must act in an orderly and coordinated manner, under the terms established by CENACE, </w:t>
            </w:r>
            <w:proofErr w:type="gramStart"/>
            <w:r w:rsidRPr="006815C5">
              <w:rPr>
                <w:rFonts w:ascii="Verdana" w:hAnsi="Verdana"/>
                <w:sz w:val="16"/>
                <w:szCs w:val="16"/>
                <w:lang w:val="en-US"/>
              </w:rPr>
              <w:t>in order to</w:t>
            </w:r>
            <w:proofErr w:type="gramEnd"/>
            <w:r w:rsidRPr="006815C5">
              <w:rPr>
                <w:rFonts w:ascii="Verdana" w:hAnsi="Verdana"/>
                <w:sz w:val="16"/>
                <w:szCs w:val="16"/>
                <w:lang w:val="en-US"/>
              </w:rPr>
              <w:t xml:space="preserve"> restore service in the shortest possible time.</w:t>
            </w:r>
          </w:p>
        </w:tc>
      </w:tr>
      <w:tr w:rsidR="003A38FF" w:rsidRPr="00D0180E" w14:paraId="5CE8F0C0" w14:textId="75A29E39" w:rsidTr="00FB5DAD">
        <w:tc>
          <w:tcPr>
            <w:tcW w:w="4706" w:type="dxa"/>
          </w:tcPr>
          <w:p w14:paraId="4A132E6D" w14:textId="77777777" w:rsidR="003A38FF" w:rsidRPr="00D0180E" w:rsidRDefault="003A38FF" w:rsidP="003A38FF">
            <w:pPr>
              <w:pStyle w:val="Texto"/>
              <w:spacing w:line="225" w:lineRule="exact"/>
              <w:ind w:firstLine="0"/>
              <w:jc w:val="center"/>
              <w:rPr>
                <w:rFonts w:ascii="Verdana" w:hAnsi="Verdana"/>
                <w:sz w:val="16"/>
                <w:szCs w:val="16"/>
              </w:rPr>
            </w:pPr>
            <w:r w:rsidRPr="00D0180E">
              <w:rPr>
                <w:rFonts w:ascii="Verdana" w:hAnsi="Verdana"/>
                <w:b/>
                <w:sz w:val="16"/>
                <w:szCs w:val="16"/>
              </w:rPr>
              <w:t>Capítulo XI</w:t>
            </w:r>
          </w:p>
        </w:tc>
        <w:tc>
          <w:tcPr>
            <w:tcW w:w="4644" w:type="dxa"/>
          </w:tcPr>
          <w:p w14:paraId="7A9CDE53" w14:textId="52CCA94E" w:rsidR="003A38FF" w:rsidRPr="00D0180E" w:rsidRDefault="003A38FF" w:rsidP="003A38FF">
            <w:pPr>
              <w:pStyle w:val="Texto"/>
              <w:spacing w:line="225" w:lineRule="exact"/>
              <w:ind w:firstLine="0"/>
              <w:jc w:val="center"/>
              <w:rPr>
                <w:rFonts w:ascii="Verdana" w:hAnsi="Verdana"/>
                <w:b/>
                <w:sz w:val="16"/>
                <w:szCs w:val="16"/>
                <w:lang w:val="en-US"/>
              </w:rPr>
            </w:pPr>
            <w:r w:rsidRPr="00D0180E">
              <w:rPr>
                <w:rFonts w:ascii="Verdana" w:hAnsi="Verdana"/>
                <w:b/>
                <w:sz w:val="16"/>
                <w:szCs w:val="16"/>
              </w:rPr>
              <w:t>Chapter XI</w:t>
            </w:r>
          </w:p>
        </w:tc>
      </w:tr>
      <w:tr w:rsidR="003A38FF" w:rsidRPr="00D83DA2" w14:paraId="242CD74E" w14:textId="6F0A0C76" w:rsidTr="00FB5DAD">
        <w:tc>
          <w:tcPr>
            <w:tcW w:w="4706" w:type="dxa"/>
          </w:tcPr>
          <w:p w14:paraId="6F68D7D4" w14:textId="77777777" w:rsidR="003A38FF" w:rsidRPr="00D0180E" w:rsidRDefault="003A38FF" w:rsidP="003A38FF">
            <w:pPr>
              <w:pStyle w:val="Texto"/>
              <w:spacing w:line="225" w:lineRule="exact"/>
              <w:ind w:firstLine="0"/>
              <w:jc w:val="center"/>
              <w:rPr>
                <w:rFonts w:ascii="Verdana" w:hAnsi="Verdana"/>
                <w:b/>
                <w:sz w:val="16"/>
                <w:szCs w:val="16"/>
              </w:rPr>
            </w:pPr>
            <w:r w:rsidRPr="00D0180E">
              <w:rPr>
                <w:rFonts w:ascii="Verdana" w:hAnsi="Verdana"/>
                <w:b/>
                <w:sz w:val="16"/>
                <w:szCs w:val="16"/>
              </w:rPr>
              <w:t>De la Inversión para la Prestación del Servicio Público de Transmisión y Distribución de Energía Eléctrica</w:t>
            </w:r>
          </w:p>
        </w:tc>
        <w:tc>
          <w:tcPr>
            <w:tcW w:w="4644" w:type="dxa"/>
          </w:tcPr>
          <w:p w14:paraId="6F8D03E0" w14:textId="004EE9A4" w:rsidR="003A38FF" w:rsidRPr="00D0180E" w:rsidRDefault="003A38FF" w:rsidP="003A38FF">
            <w:pPr>
              <w:pStyle w:val="Texto"/>
              <w:spacing w:line="225" w:lineRule="exact"/>
              <w:ind w:firstLine="0"/>
              <w:jc w:val="center"/>
              <w:rPr>
                <w:rFonts w:ascii="Verdana" w:hAnsi="Verdana"/>
                <w:b/>
                <w:sz w:val="16"/>
                <w:szCs w:val="16"/>
                <w:lang w:val="en-US"/>
              </w:rPr>
            </w:pPr>
            <w:r w:rsidRPr="006815C5">
              <w:rPr>
                <w:rFonts w:ascii="Verdana" w:hAnsi="Verdana"/>
                <w:b/>
                <w:sz w:val="16"/>
                <w:szCs w:val="16"/>
                <w:lang w:val="en-US"/>
              </w:rPr>
              <w:t xml:space="preserve">Investment </w:t>
            </w:r>
            <w:proofErr w:type="gramStart"/>
            <w:r w:rsidRPr="006815C5">
              <w:rPr>
                <w:rFonts w:ascii="Verdana" w:hAnsi="Verdana"/>
                <w:b/>
                <w:sz w:val="16"/>
                <w:szCs w:val="16"/>
                <w:lang w:val="en-US"/>
              </w:rPr>
              <w:t>for</w:t>
            </w:r>
            <w:proofErr w:type="gramEnd"/>
            <w:r w:rsidRPr="006815C5">
              <w:rPr>
                <w:rFonts w:ascii="Verdana" w:hAnsi="Verdana"/>
                <w:b/>
                <w:sz w:val="16"/>
                <w:szCs w:val="16"/>
                <w:lang w:val="en-US"/>
              </w:rPr>
              <w:t xml:space="preserve"> the Provision of the Public Service of Transmission and Distribution of Electric Energy</w:t>
            </w:r>
          </w:p>
        </w:tc>
      </w:tr>
      <w:tr w:rsidR="003A38FF" w:rsidRPr="00D83DA2" w14:paraId="7DA6B7DA" w14:textId="0FDA8FB4" w:rsidTr="00FB5DAD">
        <w:tc>
          <w:tcPr>
            <w:tcW w:w="4706" w:type="dxa"/>
          </w:tcPr>
          <w:p w14:paraId="674C8567"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b/>
                <w:sz w:val="16"/>
                <w:szCs w:val="16"/>
              </w:rPr>
              <w:t>Artículo 151.</w:t>
            </w:r>
            <w:r w:rsidRPr="00D0180E">
              <w:rPr>
                <w:rFonts w:ascii="Verdana" w:hAnsi="Verdana"/>
                <w:sz w:val="16"/>
                <w:szCs w:val="16"/>
              </w:rPr>
              <w:t xml:space="preserve"> La ejecución de los proyectos para la Ampliación, modernización, rehabilitación y mantenimiento de la Red Nacional de Transmisión y de las Redes Generales de Distribución es responsabilidad de la Empresa Pública del Estado.</w:t>
            </w:r>
          </w:p>
        </w:tc>
        <w:tc>
          <w:tcPr>
            <w:tcW w:w="4644" w:type="dxa"/>
          </w:tcPr>
          <w:p w14:paraId="4EC7B273" w14:textId="20B83AFC" w:rsidR="003A38FF" w:rsidRPr="00D0180E" w:rsidRDefault="003A38FF" w:rsidP="003A38FF">
            <w:pPr>
              <w:pStyle w:val="Texto"/>
              <w:spacing w:line="225" w:lineRule="exact"/>
              <w:ind w:firstLine="0"/>
              <w:rPr>
                <w:rFonts w:ascii="Verdana" w:hAnsi="Verdana"/>
                <w:b/>
                <w:sz w:val="16"/>
                <w:szCs w:val="16"/>
                <w:lang w:val="en-US"/>
              </w:rPr>
            </w:pPr>
            <w:r w:rsidRPr="006815C5">
              <w:rPr>
                <w:rFonts w:ascii="Verdana" w:hAnsi="Verdana"/>
                <w:b/>
                <w:sz w:val="16"/>
                <w:szCs w:val="16"/>
                <w:lang w:val="en-US"/>
              </w:rPr>
              <w:t xml:space="preserve">Article 151. </w:t>
            </w:r>
            <w:r w:rsidRPr="006815C5">
              <w:rPr>
                <w:rFonts w:ascii="Verdana" w:hAnsi="Verdana"/>
                <w:sz w:val="16"/>
                <w:szCs w:val="16"/>
                <w:lang w:val="en-US"/>
              </w:rPr>
              <w:t xml:space="preserve">The execution of projects for the expansion, modernization, rehabilitation and maintenance of the national transmission network and the general distribution networks is the responsibility of the </w:t>
            </w:r>
            <w:r>
              <w:rPr>
                <w:rFonts w:ascii="Verdana" w:hAnsi="Verdana"/>
                <w:sz w:val="16"/>
                <w:szCs w:val="16"/>
                <w:lang w:val="en-US"/>
              </w:rPr>
              <w:t>State Public Enterprise.</w:t>
            </w:r>
          </w:p>
        </w:tc>
      </w:tr>
      <w:tr w:rsidR="003A38FF" w:rsidRPr="00D83DA2" w14:paraId="0569C796" w14:textId="5E15B93F" w:rsidTr="00FB5DAD">
        <w:tc>
          <w:tcPr>
            <w:tcW w:w="4706" w:type="dxa"/>
          </w:tcPr>
          <w:p w14:paraId="7FE81490" w14:textId="77777777" w:rsidR="003A38FF" w:rsidRPr="00D0180E" w:rsidRDefault="003A38FF" w:rsidP="003A38FF">
            <w:pPr>
              <w:pStyle w:val="Texto"/>
              <w:spacing w:line="225" w:lineRule="exact"/>
              <w:ind w:firstLine="0"/>
              <w:rPr>
                <w:rFonts w:ascii="Verdana" w:hAnsi="Verdana"/>
                <w:sz w:val="16"/>
                <w:szCs w:val="16"/>
                <w:lang w:val="es"/>
              </w:rPr>
            </w:pPr>
            <w:r w:rsidRPr="00D0180E">
              <w:rPr>
                <w:rFonts w:ascii="Verdana" w:hAnsi="Verdana"/>
                <w:b/>
                <w:sz w:val="16"/>
                <w:szCs w:val="16"/>
              </w:rPr>
              <w:t xml:space="preserve">Artículo 152. </w:t>
            </w:r>
            <w:r w:rsidRPr="00D0180E">
              <w:rPr>
                <w:rFonts w:ascii="Verdana" w:hAnsi="Verdana"/>
                <w:sz w:val="16"/>
                <w:szCs w:val="16"/>
                <w:lang w:val="es"/>
              </w:rPr>
              <w:t xml:space="preserve">La Empresa Pública del Estado, con la autorización de la Secretaría, puede explorar y, en su caso, formalizar esquemas de financiamiento con terceras personas, para llevar a cabo proyectos de Ampliación y modernización de la Red Nacional de Transmisión y las Redes Generales de Distribución, los cuales deben adjudicarse mediante procesos abiertos, competitivos, transparentes y no discriminatorios, y no </w:t>
            </w:r>
            <w:r w:rsidRPr="00D0180E">
              <w:rPr>
                <w:rFonts w:ascii="Verdana" w:hAnsi="Verdana"/>
                <w:sz w:val="16"/>
                <w:szCs w:val="16"/>
                <w:lang w:val="es"/>
              </w:rPr>
              <w:lastRenderedPageBreak/>
              <w:t>deben ser contrarios a lo dispuesto en el artículo 65 de la Ley de la Empresa Pública del Estado, Comisión Federal de Electricidad.</w:t>
            </w:r>
          </w:p>
        </w:tc>
        <w:tc>
          <w:tcPr>
            <w:tcW w:w="4644" w:type="dxa"/>
          </w:tcPr>
          <w:p w14:paraId="02708D11" w14:textId="7B0AFF32" w:rsidR="003A38FF" w:rsidRPr="00D0180E" w:rsidRDefault="003A38FF" w:rsidP="003A38FF">
            <w:pPr>
              <w:pStyle w:val="Texto"/>
              <w:spacing w:line="225" w:lineRule="exact"/>
              <w:ind w:firstLine="0"/>
              <w:rPr>
                <w:rFonts w:ascii="Verdana" w:hAnsi="Verdana"/>
                <w:b/>
                <w:sz w:val="16"/>
                <w:szCs w:val="16"/>
                <w:lang w:val="en-US"/>
              </w:rPr>
            </w:pPr>
            <w:r w:rsidRPr="006815C5">
              <w:rPr>
                <w:rFonts w:ascii="Verdana" w:hAnsi="Verdana"/>
                <w:b/>
                <w:sz w:val="16"/>
                <w:szCs w:val="16"/>
                <w:lang w:val="en-US"/>
              </w:rPr>
              <w:lastRenderedPageBreak/>
              <w:t xml:space="preserve">Article 152. </w:t>
            </w:r>
            <w:r w:rsidRPr="006815C5">
              <w:rPr>
                <w:rFonts w:ascii="Verdana" w:hAnsi="Verdana"/>
                <w:sz w:val="16"/>
                <w:szCs w:val="16"/>
                <w:lang w:val="en-US"/>
              </w:rPr>
              <w:t xml:space="preserve">The </w:t>
            </w:r>
            <w:r>
              <w:rPr>
                <w:rFonts w:ascii="Verdana" w:hAnsi="Verdana"/>
                <w:sz w:val="16"/>
                <w:szCs w:val="16"/>
                <w:lang w:val="en-US"/>
              </w:rPr>
              <w:t>State Public Enterprise</w:t>
            </w:r>
            <w:r w:rsidRPr="006815C5">
              <w:rPr>
                <w:rFonts w:ascii="Verdana" w:hAnsi="Verdana"/>
                <w:sz w:val="16"/>
                <w:szCs w:val="16"/>
                <w:lang w:val="en-US"/>
              </w:rPr>
              <w:t xml:space="preserve">, with the authorization of the Secretary, may explore and, where appropriate, formalize financing schemes with third parties, to carry out expansion and modernization projects of the national transmission network and the general distribution networks, which must be awarded through open, competitive, transparent and non-discriminatory processes, and must not be contrary to </w:t>
            </w:r>
            <w:r w:rsidRPr="006815C5">
              <w:rPr>
                <w:rFonts w:ascii="Verdana" w:hAnsi="Verdana"/>
                <w:sz w:val="16"/>
                <w:szCs w:val="16"/>
                <w:lang w:val="en-US"/>
              </w:rPr>
              <w:lastRenderedPageBreak/>
              <w:t xml:space="preserve">the provisions of Article 65 of the Law of the </w:t>
            </w:r>
            <w:r>
              <w:rPr>
                <w:rFonts w:ascii="Verdana" w:hAnsi="Verdana"/>
                <w:sz w:val="16"/>
                <w:szCs w:val="16"/>
                <w:lang w:val="en-US"/>
              </w:rPr>
              <w:t>State Public Enterprise</w:t>
            </w:r>
            <w:r w:rsidRPr="006815C5">
              <w:rPr>
                <w:rFonts w:ascii="Verdana" w:hAnsi="Verdana"/>
                <w:sz w:val="16"/>
                <w:szCs w:val="16"/>
                <w:lang w:val="en-US"/>
              </w:rPr>
              <w:t>, Federal Electricity Commission.</w:t>
            </w:r>
            <w:r>
              <w:rPr>
                <w:rFonts w:ascii="Verdana" w:hAnsi="Verdana"/>
                <w:sz w:val="16"/>
                <w:szCs w:val="16"/>
                <w:lang w:val="en-US"/>
              </w:rPr>
              <w:t>(CFE)</w:t>
            </w:r>
          </w:p>
        </w:tc>
      </w:tr>
      <w:tr w:rsidR="003A38FF" w:rsidRPr="00D83DA2" w14:paraId="7F1E6517" w14:textId="32E07D39" w:rsidTr="00FB5DAD">
        <w:tc>
          <w:tcPr>
            <w:tcW w:w="4706" w:type="dxa"/>
          </w:tcPr>
          <w:p w14:paraId="461A6EED"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sz w:val="16"/>
                <w:szCs w:val="16"/>
              </w:rPr>
              <w:lastRenderedPageBreak/>
              <w:t>La Secretaría y la CNE, en el ámbito de sus facultades, pueden definir los mecanismos, derechos y obligaciones que deben aplicar a los esquemas y contratos, que incluyan lo previsto en los artículos 160 y 162 de la Ley.</w:t>
            </w:r>
          </w:p>
        </w:tc>
        <w:tc>
          <w:tcPr>
            <w:tcW w:w="4644" w:type="dxa"/>
          </w:tcPr>
          <w:p w14:paraId="6930C873" w14:textId="756B782B" w:rsidR="003A38FF" w:rsidRPr="00D0180E" w:rsidRDefault="003A38FF" w:rsidP="003A38FF">
            <w:pPr>
              <w:pStyle w:val="Texto"/>
              <w:spacing w:line="225" w:lineRule="exact"/>
              <w:ind w:firstLine="0"/>
              <w:rPr>
                <w:rFonts w:ascii="Verdana" w:hAnsi="Verdana"/>
                <w:sz w:val="16"/>
                <w:szCs w:val="16"/>
                <w:lang w:val="en-US"/>
              </w:rPr>
            </w:pPr>
            <w:r w:rsidRPr="006815C5">
              <w:rPr>
                <w:rFonts w:ascii="Verdana" w:hAnsi="Verdana"/>
                <w:sz w:val="16"/>
                <w:szCs w:val="16"/>
                <w:lang w:val="en-US"/>
              </w:rPr>
              <w:t>The Secretary and the CNE, within the scope of their powers, may define the mechanisms, rights, and obligations that must apply to the schemes and contracts, which include the provisions of Articles 160 and 162 of the Law.</w:t>
            </w:r>
          </w:p>
        </w:tc>
      </w:tr>
      <w:tr w:rsidR="003A38FF" w:rsidRPr="00D83DA2" w14:paraId="7DA95D58" w14:textId="0F86E555" w:rsidTr="00FB5DAD">
        <w:tc>
          <w:tcPr>
            <w:tcW w:w="4706" w:type="dxa"/>
          </w:tcPr>
          <w:p w14:paraId="4C19323E" w14:textId="77777777" w:rsidR="003A38FF" w:rsidRPr="00D0180E" w:rsidRDefault="003A38FF" w:rsidP="003A38FF">
            <w:pPr>
              <w:pStyle w:val="Texto"/>
              <w:spacing w:line="225" w:lineRule="exact"/>
              <w:ind w:firstLine="0"/>
              <w:rPr>
                <w:rFonts w:ascii="Verdana" w:hAnsi="Verdana"/>
                <w:sz w:val="16"/>
                <w:szCs w:val="16"/>
                <w:lang w:val="es"/>
              </w:rPr>
            </w:pPr>
            <w:r w:rsidRPr="00D0180E">
              <w:rPr>
                <w:rFonts w:ascii="Verdana" w:hAnsi="Verdana"/>
                <w:sz w:val="16"/>
                <w:szCs w:val="16"/>
                <w:lang w:val="es"/>
              </w:rPr>
              <w:t>Asimismo, estos esquemas pueden contemplar el desarrollo, financiamiento de corto y largo plazo, construcción y puesta en operación de los proyectos, siempre y cuando la propiedad de los activos se mantenga en el Estado.</w:t>
            </w:r>
          </w:p>
        </w:tc>
        <w:tc>
          <w:tcPr>
            <w:tcW w:w="4644" w:type="dxa"/>
          </w:tcPr>
          <w:p w14:paraId="4518A387" w14:textId="1EFE239B" w:rsidR="003A38FF" w:rsidRPr="00D0180E" w:rsidRDefault="003A38FF" w:rsidP="003A38FF">
            <w:pPr>
              <w:pStyle w:val="Texto"/>
              <w:spacing w:line="225" w:lineRule="exact"/>
              <w:ind w:firstLine="0"/>
              <w:rPr>
                <w:rFonts w:ascii="Verdana" w:hAnsi="Verdana"/>
                <w:sz w:val="16"/>
                <w:szCs w:val="16"/>
                <w:lang w:val="en-US"/>
              </w:rPr>
            </w:pPr>
            <w:r w:rsidRPr="006815C5">
              <w:rPr>
                <w:rFonts w:ascii="Verdana" w:hAnsi="Verdana"/>
                <w:sz w:val="16"/>
                <w:szCs w:val="16"/>
                <w:lang w:val="en-US"/>
              </w:rPr>
              <w:t xml:space="preserve">These schemes may also include development, short- and </w:t>
            </w:r>
            <w:proofErr w:type="gramStart"/>
            <w:r w:rsidR="009E2B03">
              <w:rPr>
                <w:rFonts w:ascii="Verdana" w:hAnsi="Verdana"/>
                <w:sz w:val="16"/>
                <w:szCs w:val="16"/>
                <w:lang w:val="en-US"/>
              </w:rPr>
              <w:t>long term</w:t>
            </w:r>
            <w:proofErr w:type="gramEnd"/>
            <w:r w:rsidRPr="006815C5">
              <w:rPr>
                <w:rFonts w:ascii="Verdana" w:hAnsi="Verdana"/>
                <w:sz w:val="16"/>
                <w:szCs w:val="16"/>
                <w:lang w:val="en-US"/>
              </w:rPr>
              <w:t xml:space="preserve"> financing, construction, and operation of projects, </w:t>
            </w:r>
            <w:proofErr w:type="gramStart"/>
            <w:r w:rsidRPr="006815C5">
              <w:rPr>
                <w:rFonts w:ascii="Verdana" w:hAnsi="Verdana"/>
                <w:sz w:val="16"/>
                <w:szCs w:val="16"/>
                <w:lang w:val="en-US"/>
              </w:rPr>
              <w:t>as long as</w:t>
            </w:r>
            <w:proofErr w:type="gramEnd"/>
            <w:r w:rsidRPr="006815C5">
              <w:rPr>
                <w:rFonts w:ascii="Verdana" w:hAnsi="Verdana"/>
                <w:sz w:val="16"/>
                <w:szCs w:val="16"/>
                <w:lang w:val="en-US"/>
              </w:rPr>
              <w:t xml:space="preserve"> ownership of the assets remains with the State.</w:t>
            </w:r>
          </w:p>
        </w:tc>
      </w:tr>
      <w:tr w:rsidR="003A38FF" w:rsidRPr="00D83DA2" w14:paraId="6E03772C" w14:textId="5D464DFB" w:rsidTr="00FB5DAD">
        <w:tc>
          <w:tcPr>
            <w:tcW w:w="4706" w:type="dxa"/>
          </w:tcPr>
          <w:p w14:paraId="656EFD97" w14:textId="77777777" w:rsidR="003A38FF" w:rsidRPr="00D0180E" w:rsidRDefault="003A38FF" w:rsidP="003A38FF">
            <w:pPr>
              <w:pStyle w:val="Texto"/>
              <w:spacing w:line="225" w:lineRule="exact"/>
              <w:ind w:firstLine="0"/>
              <w:rPr>
                <w:rFonts w:ascii="Verdana" w:hAnsi="Verdana"/>
                <w:sz w:val="16"/>
                <w:szCs w:val="16"/>
                <w:lang w:val="es"/>
              </w:rPr>
            </w:pPr>
            <w:r w:rsidRPr="00D0180E">
              <w:rPr>
                <w:rFonts w:ascii="Verdana" w:hAnsi="Verdana"/>
                <w:sz w:val="16"/>
                <w:szCs w:val="16"/>
              </w:rPr>
              <w:t>Con el fin de reducir costos financieros, la CNE puede establecer porciones de las Tarifas Reguladas destinadas exclusivamente a cubrir los costos de financiamiento de largo plazo en proyectos específicos, siempre y cuando, estos se encuentren dentro de los programas vinculantes de ampliación de la Red Nacional de Transmisión y las Redes Generales de Distribución.</w:t>
            </w:r>
          </w:p>
        </w:tc>
        <w:tc>
          <w:tcPr>
            <w:tcW w:w="4644" w:type="dxa"/>
          </w:tcPr>
          <w:p w14:paraId="6D2A6B26" w14:textId="615E86D1" w:rsidR="003A38FF" w:rsidRPr="00D0180E" w:rsidRDefault="003A38FF" w:rsidP="003A38FF">
            <w:pPr>
              <w:pStyle w:val="Texto"/>
              <w:spacing w:line="225" w:lineRule="exact"/>
              <w:ind w:firstLine="0"/>
              <w:rPr>
                <w:rFonts w:ascii="Verdana" w:hAnsi="Verdana"/>
                <w:sz w:val="16"/>
                <w:szCs w:val="16"/>
                <w:lang w:val="en-US"/>
              </w:rPr>
            </w:pPr>
            <w:proofErr w:type="gramStart"/>
            <w:r w:rsidRPr="006815C5">
              <w:rPr>
                <w:rFonts w:ascii="Verdana" w:hAnsi="Verdana"/>
                <w:sz w:val="16"/>
                <w:szCs w:val="16"/>
                <w:lang w:val="en-US"/>
              </w:rPr>
              <w:t>In order to</w:t>
            </w:r>
            <w:proofErr w:type="gramEnd"/>
            <w:r w:rsidRPr="006815C5">
              <w:rPr>
                <w:rFonts w:ascii="Verdana" w:hAnsi="Verdana"/>
                <w:sz w:val="16"/>
                <w:szCs w:val="16"/>
                <w:lang w:val="en-US"/>
              </w:rPr>
              <w:t xml:space="preserve"> reduce financial costs, the CNE may establish portions of the regulated tariffs exclusively intended to cover </w:t>
            </w:r>
            <w:r w:rsidR="009E2B03">
              <w:rPr>
                <w:rFonts w:ascii="Verdana" w:hAnsi="Verdana"/>
                <w:sz w:val="16"/>
                <w:szCs w:val="16"/>
                <w:lang w:val="en-US"/>
              </w:rPr>
              <w:t>long term</w:t>
            </w:r>
            <w:r w:rsidRPr="006815C5">
              <w:rPr>
                <w:rFonts w:ascii="Verdana" w:hAnsi="Verdana"/>
                <w:sz w:val="16"/>
                <w:szCs w:val="16"/>
                <w:lang w:val="en-US"/>
              </w:rPr>
              <w:t xml:space="preserve"> financing costs for specific projects, </w:t>
            </w:r>
            <w:proofErr w:type="gramStart"/>
            <w:r w:rsidRPr="006815C5">
              <w:rPr>
                <w:rFonts w:ascii="Verdana" w:hAnsi="Verdana"/>
                <w:sz w:val="16"/>
                <w:szCs w:val="16"/>
                <w:lang w:val="en-US"/>
              </w:rPr>
              <w:t>provided that</w:t>
            </w:r>
            <w:proofErr w:type="gramEnd"/>
            <w:r w:rsidRPr="006815C5">
              <w:rPr>
                <w:rFonts w:ascii="Verdana" w:hAnsi="Verdana"/>
                <w:sz w:val="16"/>
                <w:szCs w:val="16"/>
                <w:lang w:val="en-US"/>
              </w:rPr>
              <w:t xml:space="preserve"> these are part of the binding expansion programs for the national transmission grid and the general distribution networks.</w:t>
            </w:r>
          </w:p>
        </w:tc>
      </w:tr>
      <w:tr w:rsidR="003A38FF" w:rsidRPr="00D0180E" w14:paraId="1269C95B" w14:textId="0F5D9043" w:rsidTr="00FB5DAD">
        <w:tc>
          <w:tcPr>
            <w:tcW w:w="4706" w:type="dxa"/>
          </w:tcPr>
          <w:p w14:paraId="15FFD3B7"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sz w:val="16"/>
                <w:szCs w:val="16"/>
              </w:rPr>
              <w:t>Los esquemas de financiamiento a que se refiere el presente artículo pueden ser propuestos por la Secretaría o por la Empresa Pública del Estado. La aprobación está a cargo de la Secretaría.</w:t>
            </w:r>
          </w:p>
        </w:tc>
        <w:tc>
          <w:tcPr>
            <w:tcW w:w="4644" w:type="dxa"/>
          </w:tcPr>
          <w:p w14:paraId="13740CC5" w14:textId="300CBD2D" w:rsidR="003A38FF" w:rsidRPr="00D0180E" w:rsidRDefault="003A38FF" w:rsidP="003A38FF">
            <w:pPr>
              <w:pStyle w:val="Texto"/>
              <w:spacing w:line="225" w:lineRule="exact"/>
              <w:ind w:firstLine="0"/>
              <w:rPr>
                <w:rFonts w:ascii="Verdana" w:hAnsi="Verdana"/>
                <w:sz w:val="16"/>
                <w:szCs w:val="16"/>
                <w:lang w:val="en-US"/>
              </w:rPr>
            </w:pPr>
            <w:r w:rsidRPr="006815C5">
              <w:rPr>
                <w:rFonts w:ascii="Verdana" w:hAnsi="Verdana"/>
                <w:sz w:val="16"/>
                <w:szCs w:val="16"/>
                <w:lang w:val="en-US"/>
              </w:rPr>
              <w:t xml:space="preserve">The financing </w:t>
            </w:r>
            <w:proofErr w:type="gramStart"/>
            <w:r w:rsidRPr="006815C5">
              <w:rPr>
                <w:rFonts w:ascii="Verdana" w:hAnsi="Verdana"/>
                <w:sz w:val="16"/>
                <w:szCs w:val="16"/>
                <w:lang w:val="en-US"/>
              </w:rPr>
              <w:t>schemes</w:t>
            </w:r>
            <w:proofErr w:type="gramEnd"/>
            <w:r w:rsidRPr="006815C5">
              <w:rPr>
                <w:rFonts w:ascii="Verdana" w:hAnsi="Verdana"/>
                <w:sz w:val="16"/>
                <w:szCs w:val="16"/>
                <w:lang w:val="en-US"/>
              </w:rPr>
              <w:t xml:space="preserve"> referred to in this article may be proposed by the Secretary or by the State-owned Public Enterprise. </w:t>
            </w:r>
            <w:r w:rsidRPr="00D0180E">
              <w:rPr>
                <w:rFonts w:ascii="Verdana" w:hAnsi="Verdana"/>
                <w:sz w:val="16"/>
                <w:szCs w:val="16"/>
              </w:rPr>
              <w:t xml:space="preserve">Approval is the responsibility of the </w:t>
            </w:r>
            <w:r>
              <w:rPr>
                <w:rFonts w:ascii="Verdana" w:hAnsi="Verdana"/>
                <w:sz w:val="16"/>
                <w:szCs w:val="16"/>
              </w:rPr>
              <w:t>Secretary</w:t>
            </w:r>
            <w:r w:rsidRPr="00D0180E">
              <w:rPr>
                <w:rFonts w:ascii="Verdana" w:hAnsi="Verdana"/>
                <w:sz w:val="16"/>
                <w:szCs w:val="16"/>
              </w:rPr>
              <w:t>.</w:t>
            </w:r>
          </w:p>
        </w:tc>
      </w:tr>
      <w:tr w:rsidR="003A38FF" w:rsidRPr="00D0180E" w14:paraId="655CE0BD" w14:textId="661A9E68" w:rsidTr="00FB5DAD">
        <w:tc>
          <w:tcPr>
            <w:tcW w:w="4706" w:type="dxa"/>
          </w:tcPr>
          <w:p w14:paraId="7F5E7289" w14:textId="77777777" w:rsidR="003A38FF" w:rsidRPr="00D0180E" w:rsidRDefault="003A38FF" w:rsidP="003A38FF">
            <w:pPr>
              <w:pStyle w:val="Texto"/>
              <w:spacing w:line="225" w:lineRule="exact"/>
              <w:ind w:firstLine="0"/>
              <w:jc w:val="center"/>
              <w:rPr>
                <w:rFonts w:ascii="Verdana" w:hAnsi="Verdana"/>
                <w:b/>
                <w:sz w:val="16"/>
                <w:szCs w:val="16"/>
              </w:rPr>
            </w:pPr>
            <w:r w:rsidRPr="00D0180E">
              <w:rPr>
                <w:rFonts w:ascii="Verdana" w:hAnsi="Verdana"/>
                <w:b/>
                <w:sz w:val="16"/>
                <w:szCs w:val="16"/>
              </w:rPr>
              <w:t>TÍTULO QUINTO</w:t>
            </w:r>
          </w:p>
        </w:tc>
        <w:tc>
          <w:tcPr>
            <w:tcW w:w="4644" w:type="dxa"/>
          </w:tcPr>
          <w:p w14:paraId="263BE881" w14:textId="24D32C51" w:rsidR="003A38FF" w:rsidRPr="00D0180E" w:rsidRDefault="003A38FF" w:rsidP="003A38FF">
            <w:pPr>
              <w:pStyle w:val="Texto"/>
              <w:spacing w:line="225" w:lineRule="exact"/>
              <w:ind w:firstLine="0"/>
              <w:jc w:val="center"/>
              <w:rPr>
                <w:rFonts w:ascii="Verdana" w:hAnsi="Verdana"/>
                <w:b/>
                <w:sz w:val="16"/>
                <w:szCs w:val="16"/>
                <w:lang w:val="en-US"/>
              </w:rPr>
            </w:pPr>
            <w:r>
              <w:rPr>
                <w:rFonts w:ascii="Verdana" w:hAnsi="Verdana"/>
                <w:b/>
                <w:sz w:val="16"/>
                <w:szCs w:val="16"/>
              </w:rPr>
              <w:t>FIFTH TITLE</w:t>
            </w:r>
          </w:p>
        </w:tc>
      </w:tr>
      <w:tr w:rsidR="003A38FF" w:rsidRPr="00D83DA2" w14:paraId="5CFA1B65" w14:textId="635365D7" w:rsidTr="00FB5DAD">
        <w:tc>
          <w:tcPr>
            <w:tcW w:w="4706" w:type="dxa"/>
          </w:tcPr>
          <w:p w14:paraId="37268CF3" w14:textId="77777777" w:rsidR="003A38FF" w:rsidRPr="00D0180E" w:rsidRDefault="003A38FF" w:rsidP="003A38FF">
            <w:pPr>
              <w:pStyle w:val="Texto"/>
              <w:spacing w:line="225" w:lineRule="exact"/>
              <w:ind w:firstLine="0"/>
              <w:jc w:val="center"/>
              <w:rPr>
                <w:rFonts w:ascii="Verdana" w:hAnsi="Verdana"/>
                <w:b/>
                <w:sz w:val="16"/>
                <w:szCs w:val="16"/>
              </w:rPr>
            </w:pPr>
            <w:r w:rsidRPr="00D0180E">
              <w:rPr>
                <w:rFonts w:ascii="Verdana" w:hAnsi="Verdana"/>
                <w:b/>
                <w:sz w:val="16"/>
                <w:szCs w:val="16"/>
              </w:rPr>
              <w:t>DE LAS DEMAS ACTIVIDADES DEL SECTOR ELÉCTRICO</w:t>
            </w:r>
          </w:p>
        </w:tc>
        <w:tc>
          <w:tcPr>
            <w:tcW w:w="4644" w:type="dxa"/>
          </w:tcPr>
          <w:p w14:paraId="1176E62A" w14:textId="3BD2525D" w:rsidR="003A38FF" w:rsidRPr="00D0180E" w:rsidRDefault="003A38FF" w:rsidP="003A38FF">
            <w:pPr>
              <w:pStyle w:val="Texto"/>
              <w:spacing w:line="225" w:lineRule="exact"/>
              <w:ind w:firstLine="0"/>
              <w:jc w:val="center"/>
              <w:rPr>
                <w:rFonts w:ascii="Verdana" w:hAnsi="Verdana"/>
                <w:b/>
                <w:sz w:val="16"/>
                <w:szCs w:val="16"/>
                <w:lang w:val="en-US"/>
              </w:rPr>
            </w:pPr>
            <w:r w:rsidRPr="006815C5">
              <w:rPr>
                <w:rFonts w:ascii="Verdana" w:hAnsi="Verdana"/>
                <w:b/>
                <w:sz w:val="16"/>
                <w:szCs w:val="16"/>
                <w:lang w:val="en-US"/>
              </w:rPr>
              <w:t>OTHER ACTIVITIES IN THE ELECTRICAL SECTOR</w:t>
            </w:r>
          </w:p>
        </w:tc>
      </w:tr>
      <w:tr w:rsidR="003A38FF" w:rsidRPr="00D0180E" w14:paraId="68FBDB51" w14:textId="196892CE" w:rsidTr="00FB5DAD">
        <w:tc>
          <w:tcPr>
            <w:tcW w:w="4706" w:type="dxa"/>
          </w:tcPr>
          <w:p w14:paraId="01F9D8B9" w14:textId="77777777" w:rsidR="003A38FF" w:rsidRPr="00D0180E" w:rsidRDefault="003A38FF" w:rsidP="003A38FF">
            <w:pPr>
              <w:pStyle w:val="Texto"/>
              <w:spacing w:line="225" w:lineRule="exact"/>
              <w:ind w:firstLine="0"/>
              <w:jc w:val="center"/>
              <w:rPr>
                <w:rFonts w:ascii="Verdana" w:hAnsi="Verdana"/>
                <w:b/>
                <w:sz w:val="16"/>
                <w:szCs w:val="16"/>
              </w:rPr>
            </w:pPr>
            <w:r w:rsidRPr="00D0180E">
              <w:rPr>
                <w:rFonts w:ascii="Verdana" w:hAnsi="Verdana"/>
                <w:b/>
                <w:sz w:val="16"/>
                <w:szCs w:val="16"/>
              </w:rPr>
              <w:t>Capítulo I</w:t>
            </w:r>
          </w:p>
        </w:tc>
        <w:tc>
          <w:tcPr>
            <w:tcW w:w="4644" w:type="dxa"/>
          </w:tcPr>
          <w:p w14:paraId="5BD4AF7E" w14:textId="03C219F7" w:rsidR="003A38FF" w:rsidRPr="00D0180E" w:rsidRDefault="003A38FF" w:rsidP="003A38FF">
            <w:pPr>
              <w:pStyle w:val="Texto"/>
              <w:spacing w:line="225" w:lineRule="exact"/>
              <w:ind w:firstLine="0"/>
              <w:jc w:val="center"/>
              <w:rPr>
                <w:rFonts w:ascii="Verdana" w:hAnsi="Verdana"/>
                <w:b/>
                <w:sz w:val="16"/>
                <w:szCs w:val="16"/>
                <w:lang w:val="en-US"/>
              </w:rPr>
            </w:pPr>
            <w:r w:rsidRPr="00D0180E">
              <w:rPr>
                <w:rFonts w:ascii="Verdana" w:hAnsi="Verdana"/>
                <w:b/>
                <w:sz w:val="16"/>
                <w:szCs w:val="16"/>
              </w:rPr>
              <w:t>Chapter I</w:t>
            </w:r>
          </w:p>
        </w:tc>
      </w:tr>
      <w:tr w:rsidR="003A38FF" w:rsidRPr="00D83DA2" w14:paraId="6C9FAFF2" w14:textId="095D59A1" w:rsidTr="00FB5DAD">
        <w:tc>
          <w:tcPr>
            <w:tcW w:w="4706" w:type="dxa"/>
          </w:tcPr>
          <w:p w14:paraId="21198F6B" w14:textId="77777777" w:rsidR="003A38FF" w:rsidRPr="00D0180E" w:rsidRDefault="003A38FF" w:rsidP="003A38FF">
            <w:pPr>
              <w:pStyle w:val="Texto"/>
              <w:spacing w:line="225" w:lineRule="exact"/>
              <w:ind w:firstLine="0"/>
              <w:jc w:val="center"/>
              <w:rPr>
                <w:rFonts w:ascii="Verdana" w:hAnsi="Verdana"/>
                <w:b/>
                <w:sz w:val="16"/>
                <w:szCs w:val="16"/>
              </w:rPr>
            </w:pPr>
            <w:r w:rsidRPr="00D0180E">
              <w:rPr>
                <w:rFonts w:ascii="Verdana" w:hAnsi="Verdana"/>
                <w:b/>
                <w:sz w:val="16"/>
                <w:szCs w:val="16"/>
              </w:rPr>
              <w:t>De los Usuarios Calificados y Comercializadoras no Suministradoras</w:t>
            </w:r>
          </w:p>
        </w:tc>
        <w:tc>
          <w:tcPr>
            <w:tcW w:w="4644" w:type="dxa"/>
          </w:tcPr>
          <w:p w14:paraId="5D443BB2" w14:textId="0EAE9B6C" w:rsidR="003A38FF" w:rsidRPr="00D0180E" w:rsidRDefault="003A38FF" w:rsidP="003A38FF">
            <w:pPr>
              <w:pStyle w:val="Texto"/>
              <w:spacing w:line="225" w:lineRule="exact"/>
              <w:ind w:firstLine="0"/>
              <w:jc w:val="center"/>
              <w:rPr>
                <w:rFonts w:ascii="Verdana" w:hAnsi="Verdana"/>
                <w:b/>
                <w:sz w:val="16"/>
                <w:szCs w:val="16"/>
                <w:lang w:val="en-US"/>
              </w:rPr>
            </w:pPr>
            <w:r w:rsidRPr="006815C5">
              <w:rPr>
                <w:rFonts w:ascii="Verdana" w:hAnsi="Verdana"/>
                <w:b/>
                <w:sz w:val="16"/>
                <w:szCs w:val="16"/>
                <w:lang w:val="en-US"/>
              </w:rPr>
              <w:t>Qualified Users and Non-Supplier Marketers</w:t>
            </w:r>
          </w:p>
        </w:tc>
      </w:tr>
      <w:tr w:rsidR="003A38FF" w:rsidRPr="00D83DA2" w14:paraId="06443E08" w14:textId="1DB2FD13" w:rsidTr="00FB5DAD">
        <w:tc>
          <w:tcPr>
            <w:tcW w:w="4706" w:type="dxa"/>
          </w:tcPr>
          <w:p w14:paraId="452DB9F8"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b/>
                <w:sz w:val="16"/>
                <w:szCs w:val="16"/>
              </w:rPr>
              <w:t>Artículo 153.</w:t>
            </w:r>
            <w:r w:rsidRPr="00D0180E">
              <w:rPr>
                <w:rFonts w:ascii="Verdana" w:hAnsi="Verdana"/>
                <w:sz w:val="16"/>
                <w:szCs w:val="16"/>
              </w:rPr>
              <w:t xml:space="preserve"> En términos de lo previsto en el artículo 73 de la Ley, los Centros de Carga que acrediten cumplir con los niveles requeridos de consumo o demanda fijados por la Secretaría en los lineamientos que para tal efecto emita, pueden incluirse en el registro de Usuarios Calificados; asimismo, los Usuarios Calificados Participantes del Mercado a los que se refiere el artículo 76 de la Ley, pueden participar directamente en el Mercado Eléctrico Mayorista en los términos establecidos por la CNE.</w:t>
            </w:r>
          </w:p>
        </w:tc>
        <w:tc>
          <w:tcPr>
            <w:tcW w:w="4644" w:type="dxa"/>
          </w:tcPr>
          <w:p w14:paraId="76A37A78" w14:textId="3A30FE7F" w:rsidR="003A38FF" w:rsidRPr="00D0180E" w:rsidRDefault="003A38FF" w:rsidP="003A38FF">
            <w:pPr>
              <w:pStyle w:val="Texto"/>
              <w:spacing w:line="225" w:lineRule="exact"/>
              <w:ind w:firstLine="0"/>
              <w:rPr>
                <w:rFonts w:ascii="Verdana" w:hAnsi="Verdana"/>
                <w:b/>
                <w:sz w:val="16"/>
                <w:szCs w:val="16"/>
                <w:lang w:val="en-US"/>
              </w:rPr>
            </w:pPr>
            <w:r w:rsidRPr="006815C5">
              <w:rPr>
                <w:rFonts w:ascii="Verdana" w:hAnsi="Verdana"/>
                <w:b/>
                <w:sz w:val="16"/>
                <w:szCs w:val="16"/>
                <w:lang w:val="en-US"/>
              </w:rPr>
              <w:t xml:space="preserve">Article 153. </w:t>
            </w:r>
            <w:r w:rsidRPr="006815C5">
              <w:rPr>
                <w:rFonts w:ascii="Verdana" w:hAnsi="Verdana"/>
                <w:sz w:val="16"/>
                <w:szCs w:val="16"/>
                <w:lang w:val="en-US"/>
              </w:rPr>
              <w:t xml:space="preserve">Pursuant to the provisions of Article 73 of the Law, Load Centers that demonstrate compliance with the required consumption or demand levels established by the Secretary in the guidelines issued for such purposes may be included in the registry of qualified users. </w:t>
            </w:r>
            <w:r>
              <w:rPr>
                <w:rFonts w:ascii="Verdana" w:hAnsi="Verdana"/>
                <w:sz w:val="16"/>
                <w:szCs w:val="16"/>
                <w:lang w:val="en-US"/>
              </w:rPr>
              <w:t>In addition</w:t>
            </w:r>
            <w:r w:rsidRPr="006815C5">
              <w:rPr>
                <w:rFonts w:ascii="Verdana" w:hAnsi="Verdana"/>
                <w:sz w:val="16"/>
                <w:szCs w:val="16"/>
                <w:lang w:val="en-US"/>
              </w:rPr>
              <w:t>, qualified market participating users, as referred to in Article 76 of the Law, may participate directly in the wholesale electricity market under the terms established by the CNE.</w:t>
            </w:r>
          </w:p>
        </w:tc>
      </w:tr>
      <w:tr w:rsidR="003A38FF" w:rsidRPr="00D83DA2" w14:paraId="0F72D418" w14:textId="789E531D" w:rsidTr="00FB5DAD">
        <w:tc>
          <w:tcPr>
            <w:tcW w:w="4706" w:type="dxa"/>
          </w:tcPr>
          <w:p w14:paraId="030C71B5" w14:textId="77777777" w:rsidR="003A38FF" w:rsidRPr="00D0180E" w:rsidRDefault="003A38FF" w:rsidP="003A38FF">
            <w:pPr>
              <w:pStyle w:val="Texto"/>
              <w:ind w:firstLine="0"/>
              <w:rPr>
                <w:rFonts w:ascii="Verdana" w:hAnsi="Verdana"/>
                <w:sz w:val="16"/>
                <w:szCs w:val="16"/>
              </w:rPr>
            </w:pPr>
            <w:r w:rsidRPr="00D0180E">
              <w:rPr>
                <w:rFonts w:ascii="Verdana" w:hAnsi="Verdana"/>
                <w:sz w:val="16"/>
                <w:szCs w:val="16"/>
              </w:rPr>
              <w:t>Los Centros de Carga que pertenecen a un mismo Grupo de Interés Económico pueden agregar sus Centros de Carga a fin de alcanzar el nivel de demanda referido en el párrafo anterior para su registro como Usuario Calificado.</w:t>
            </w:r>
          </w:p>
        </w:tc>
        <w:tc>
          <w:tcPr>
            <w:tcW w:w="4644" w:type="dxa"/>
          </w:tcPr>
          <w:p w14:paraId="6CE773BF" w14:textId="152729E7" w:rsidR="003A38FF" w:rsidRPr="00D0180E" w:rsidRDefault="003A38FF" w:rsidP="003A38FF">
            <w:pPr>
              <w:pStyle w:val="Texto"/>
              <w:ind w:firstLine="0"/>
              <w:rPr>
                <w:rFonts w:ascii="Verdana" w:hAnsi="Verdana"/>
                <w:sz w:val="16"/>
                <w:szCs w:val="16"/>
                <w:lang w:val="en-US"/>
              </w:rPr>
            </w:pPr>
            <w:r w:rsidRPr="006815C5">
              <w:rPr>
                <w:rFonts w:ascii="Verdana" w:hAnsi="Verdana"/>
                <w:sz w:val="16"/>
                <w:szCs w:val="16"/>
                <w:lang w:val="en-US"/>
              </w:rPr>
              <w:t xml:space="preserve">Load centers belonging to the same economic interest group may aggregate their load centers </w:t>
            </w:r>
            <w:proofErr w:type="gramStart"/>
            <w:r w:rsidRPr="006815C5">
              <w:rPr>
                <w:rFonts w:ascii="Verdana" w:hAnsi="Verdana"/>
                <w:sz w:val="16"/>
                <w:szCs w:val="16"/>
                <w:lang w:val="en-US"/>
              </w:rPr>
              <w:t>in order to</w:t>
            </w:r>
            <w:proofErr w:type="gramEnd"/>
            <w:r w:rsidRPr="006815C5">
              <w:rPr>
                <w:rFonts w:ascii="Verdana" w:hAnsi="Verdana"/>
                <w:sz w:val="16"/>
                <w:szCs w:val="16"/>
                <w:lang w:val="en-US"/>
              </w:rPr>
              <w:t xml:space="preserve"> reach the demand level referred to in the </w:t>
            </w:r>
            <w:r>
              <w:rPr>
                <w:rFonts w:ascii="Verdana" w:hAnsi="Verdana"/>
                <w:sz w:val="16"/>
                <w:szCs w:val="16"/>
                <w:lang w:val="en-US"/>
              </w:rPr>
              <w:t>preceding paragraph</w:t>
            </w:r>
            <w:r w:rsidRPr="006815C5">
              <w:rPr>
                <w:rFonts w:ascii="Verdana" w:hAnsi="Verdana"/>
                <w:sz w:val="16"/>
                <w:szCs w:val="16"/>
                <w:lang w:val="en-US"/>
              </w:rPr>
              <w:t xml:space="preserve"> for registration as a Qualified User.</w:t>
            </w:r>
          </w:p>
        </w:tc>
      </w:tr>
      <w:tr w:rsidR="003A38FF" w:rsidRPr="00D83DA2" w14:paraId="71083EE9" w14:textId="06505C1A" w:rsidTr="00FB5DAD">
        <w:tc>
          <w:tcPr>
            <w:tcW w:w="4706" w:type="dxa"/>
          </w:tcPr>
          <w:p w14:paraId="433F5E0F" w14:textId="77777777" w:rsidR="003A38FF" w:rsidRPr="00D0180E" w:rsidRDefault="003A38FF" w:rsidP="003A38FF">
            <w:pPr>
              <w:pStyle w:val="Texto"/>
              <w:ind w:firstLine="0"/>
              <w:rPr>
                <w:rFonts w:ascii="Verdana" w:hAnsi="Verdana"/>
                <w:sz w:val="16"/>
                <w:szCs w:val="16"/>
              </w:rPr>
            </w:pPr>
            <w:r w:rsidRPr="00D0180E">
              <w:rPr>
                <w:rFonts w:ascii="Verdana" w:hAnsi="Verdana"/>
                <w:sz w:val="16"/>
                <w:szCs w:val="16"/>
              </w:rPr>
              <w:t xml:space="preserve">Para tales efectos, se debe acreditar la existencia de un objetivo común, para lo cual se debe considerar entre otros elementos, la actividad económica, el control, la autonomía y la unidad de comportamiento, de modo que prevalezcan los intereses comunes del grupo sobre la actuación individual de sus miembros, </w:t>
            </w:r>
            <w:r w:rsidRPr="00D0180E">
              <w:rPr>
                <w:rFonts w:ascii="Verdana" w:hAnsi="Verdana"/>
                <w:sz w:val="16"/>
                <w:szCs w:val="16"/>
              </w:rPr>
              <w:lastRenderedPageBreak/>
              <w:t>independientemente de la forma jurídica de las sociedades integrantes.</w:t>
            </w:r>
          </w:p>
        </w:tc>
        <w:tc>
          <w:tcPr>
            <w:tcW w:w="4644" w:type="dxa"/>
          </w:tcPr>
          <w:p w14:paraId="53EA12B5" w14:textId="7CE7491C" w:rsidR="003A38FF" w:rsidRPr="00D0180E" w:rsidRDefault="003A38FF" w:rsidP="003A38FF">
            <w:pPr>
              <w:pStyle w:val="Texto"/>
              <w:ind w:firstLine="0"/>
              <w:rPr>
                <w:rFonts w:ascii="Verdana" w:hAnsi="Verdana"/>
                <w:sz w:val="16"/>
                <w:szCs w:val="16"/>
                <w:lang w:val="en-US"/>
              </w:rPr>
            </w:pPr>
            <w:r w:rsidRPr="006815C5">
              <w:rPr>
                <w:rFonts w:ascii="Verdana" w:hAnsi="Verdana"/>
                <w:sz w:val="16"/>
                <w:szCs w:val="16"/>
                <w:lang w:val="en-US"/>
              </w:rPr>
              <w:lastRenderedPageBreak/>
              <w:t>For such purposes, the existence of a common objective must be demonstrated, which must consider, among other elements, economic activity, control, autonomy, and unity of behavior, so that the common interests of the group prevail over the individual actions of its members, regardless of the legal form of the constituent companies.</w:t>
            </w:r>
          </w:p>
        </w:tc>
      </w:tr>
      <w:tr w:rsidR="003A38FF" w:rsidRPr="00D83DA2" w14:paraId="2EDDCE99" w14:textId="55DC8B9C" w:rsidTr="00FB5DAD">
        <w:tc>
          <w:tcPr>
            <w:tcW w:w="4706" w:type="dxa"/>
          </w:tcPr>
          <w:p w14:paraId="64626C33" w14:textId="77777777" w:rsidR="003A38FF" w:rsidRPr="00D0180E" w:rsidRDefault="003A38FF" w:rsidP="003A38FF">
            <w:pPr>
              <w:pStyle w:val="Texto"/>
              <w:ind w:firstLine="0"/>
              <w:rPr>
                <w:rFonts w:ascii="Verdana" w:hAnsi="Verdana"/>
                <w:sz w:val="16"/>
                <w:szCs w:val="16"/>
              </w:rPr>
            </w:pPr>
            <w:bookmarkStart w:id="8" w:name="OLE_LINK5"/>
            <w:r w:rsidRPr="00D0180E">
              <w:rPr>
                <w:rFonts w:ascii="Verdana" w:hAnsi="Verdana"/>
                <w:sz w:val="16"/>
                <w:szCs w:val="16"/>
              </w:rPr>
              <w:t>Un Usuario Calificado puede solicitar una o varias constancias en su registro de usuario calificado para diferenciar los Centros de Carga asociados a dicho registro. El titular de cada constancia puede contratar el Suministro Eléctrico con una Suministradora de Servicios Calificados de manera independiente, sin perjuicio de que, en su caso, reciban el Suministro de Último Recurso. En ningún caso un mismo Centro de Carga puede recibir el Suministro Eléctrico por más de una Suministradora.</w:t>
            </w:r>
            <w:bookmarkEnd w:id="8"/>
          </w:p>
        </w:tc>
        <w:tc>
          <w:tcPr>
            <w:tcW w:w="4644" w:type="dxa"/>
          </w:tcPr>
          <w:p w14:paraId="08E4C20E" w14:textId="60144D0F" w:rsidR="003A38FF" w:rsidRPr="00D0180E" w:rsidRDefault="003A38FF" w:rsidP="003A38FF">
            <w:pPr>
              <w:pStyle w:val="Texto"/>
              <w:ind w:firstLine="0"/>
              <w:rPr>
                <w:rFonts w:ascii="Verdana" w:hAnsi="Verdana"/>
                <w:sz w:val="16"/>
                <w:szCs w:val="16"/>
                <w:lang w:val="en-US"/>
              </w:rPr>
            </w:pPr>
            <w:r w:rsidRPr="006815C5">
              <w:rPr>
                <w:rFonts w:ascii="Verdana" w:hAnsi="Verdana"/>
                <w:sz w:val="16"/>
                <w:szCs w:val="16"/>
                <w:lang w:val="en-US"/>
              </w:rPr>
              <w:t>A qualified user may request one or more certificates in their qualified user registration to differentiate the load centers associated with that registration. The holder of each certificate may contract the electricity supply with a qualified service provider independently, although they may, where applicable, receive the last resort supply. Under no circumstances may the same load center receive electricity supply from more than one Supplier.</w:t>
            </w:r>
          </w:p>
        </w:tc>
      </w:tr>
      <w:tr w:rsidR="003A38FF" w:rsidRPr="00D83DA2" w14:paraId="04E8F529" w14:textId="4AF55985" w:rsidTr="00FB5DAD">
        <w:tc>
          <w:tcPr>
            <w:tcW w:w="4706" w:type="dxa"/>
          </w:tcPr>
          <w:p w14:paraId="0E4B96E8"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 xml:space="preserve">Artículo 154. </w:t>
            </w:r>
            <w:r w:rsidRPr="00D0180E">
              <w:rPr>
                <w:rFonts w:ascii="Verdana" w:hAnsi="Verdana"/>
                <w:sz w:val="16"/>
                <w:szCs w:val="16"/>
              </w:rPr>
              <w:t>Cuando el Centro de Carga esté inscrito en el registro de Usuarios Calificados y aún no reciba el Suministro Calificado, puede continuar con el servicio de Suministro Básico, en términos de las condiciones generales para su prestación.</w:t>
            </w:r>
          </w:p>
        </w:tc>
        <w:tc>
          <w:tcPr>
            <w:tcW w:w="4644" w:type="dxa"/>
          </w:tcPr>
          <w:p w14:paraId="41781344" w14:textId="0DB74B30" w:rsidR="003A38FF" w:rsidRPr="00D0180E" w:rsidRDefault="003A38FF" w:rsidP="003A38FF">
            <w:pPr>
              <w:pStyle w:val="Texto"/>
              <w:ind w:firstLine="0"/>
              <w:rPr>
                <w:rFonts w:ascii="Verdana" w:hAnsi="Verdana"/>
                <w:b/>
                <w:sz w:val="16"/>
                <w:szCs w:val="16"/>
                <w:lang w:val="en-US"/>
              </w:rPr>
            </w:pPr>
            <w:r w:rsidRPr="006815C5">
              <w:rPr>
                <w:rFonts w:ascii="Verdana" w:hAnsi="Verdana"/>
                <w:b/>
                <w:sz w:val="16"/>
                <w:szCs w:val="16"/>
                <w:lang w:val="en-US"/>
              </w:rPr>
              <w:t xml:space="preserve">Article 154. </w:t>
            </w:r>
            <w:r w:rsidRPr="006815C5">
              <w:rPr>
                <w:rFonts w:ascii="Verdana" w:hAnsi="Verdana"/>
                <w:sz w:val="16"/>
                <w:szCs w:val="16"/>
                <w:lang w:val="en-US"/>
              </w:rPr>
              <w:t xml:space="preserve">When the load center is registered in the qualified </w:t>
            </w:r>
            <w:proofErr w:type="gramStart"/>
            <w:r w:rsidRPr="006815C5">
              <w:rPr>
                <w:rFonts w:ascii="Verdana" w:hAnsi="Verdana"/>
                <w:sz w:val="16"/>
                <w:szCs w:val="16"/>
                <w:lang w:val="en-US"/>
              </w:rPr>
              <w:t>users</w:t>
            </w:r>
            <w:proofErr w:type="gramEnd"/>
            <w:r w:rsidRPr="006815C5">
              <w:rPr>
                <w:rFonts w:ascii="Verdana" w:hAnsi="Verdana"/>
                <w:sz w:val="16"/>
                <w:szCs w:val="16"/>
                <w:lang w:val="en-US"/>
              </w:rPr>
              <w:t xml:space="preserve"> registry and has not yet received the qualified supply, it may continue with the basic supply service, in accordance with the general conditions for its provision.</w:t>
            </w:r>
          </w:p>
        </w:tc>
      </w:tr>
      <w:tr w:rsidR="003A38FF" w:rsidRPr="00D83DA2" w14:paraId="61B86D11" w14:textId="3687EA46" w:rsidTr="00FB5DAD">
        <w:tc>
          <w:tcPr>
            <w:tcW w:w="4706" w:type="dxa"/>
          </w:tcPr>
          <w:p w14:paraId="7811E62E"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 xml:space="preserve">Artículo 155. </w:t>
            </w:r>
            <w:r w:rsidRPr="00D0180E">
              <w:rPr>
                <w:rFonts w:ascii="Verdana" w:hAnsi="Verdana"/>
                <w:sz w:val="16"/>
                <w:szCs w:val="16"/>
              </w:rPr>
              <w:t>Para el caso de la suspensión del Suministro Eléctrico que afecten a la comunidad en los que haya Centros de Carga que están inscritos en el registro de Usuarios Calificados, se debe aplicar lo establecido en el artículo 140 del presente reglamento.</w:t>
            </w:r>
          </w:p>
        </w:tc>
        <w:tc>
          <w:tcPr>
            <w:tcW w:w="4644" w:type="dxa"/>
          </w:tcPr>
          <w:p w14:paraId="17335FB7" w14:textId="70C4429A" w:rsidR="003A38FF" w:rsidRPr="00D0180E" w:rsidRDefault="003A38FF" w:rsidP="003A38FF">
            <w:pPr>
              <w:pStyle w:val="Texto"/>
              <w:ind w:firstLine="0"/>
              <w:rPr>
                <w:rFonts w:ascii="Verdana" w:hAnsi="Verdana"/>
                <w:b/>
                <w:sz w:val="16"/>
                <w:szCs w:val="16"/>
                <w:lang w:val="en-US"/>
              </w:rPr>
            </w:pPr>
            <w:r w:rsidRPr="006815C5">
              <w:rPr>
                <w:rFonts w:ascii="Verdana" w:hAnsi="Verdana"/>
                <w:b/>
                <w:sz w:val="16"/>
                <w:szCs w:val="16"/>
                <w:lang w:val="en-US"/>
              </w:rPr>
              <w:t xml:space="preserve">Article 155. </w:t>
            </w:r>
            <w:r w:rsidRPr="006815C5">
              <w:rPr>
                <w:rFonts w:ascii="Verdana" w:hAnsi="Verdana"/>
                <w:sz w:val="16"/>
                <w:szCs w:val="16"/>
                <w:lang w:val="en-US"/>
              </w:rPr>
              <w:t xml:space="preserve">In the case of the suspension of the electricity supply affecting the community in which there are load centers that are registered in the qualified </w:t>
            </w:r>
            <w:proofErr w:type="gramStart"/>
            <w:r w:rsidRPr="006815C5">
              <w:rPr>
                <w:rFonts w:ascii="Verdana" w:hAnsi="Verdana"/>
                <w:sz w:val="16"/>
                <w:szCs w:val="16"/>
                <w:lang w:val="en-US"/>
              </w:rPr>
              <w:t>users</w:t>
            </w:r>
            <w:proofErr w:type="gramEnd"/>
            <w:r w:rsidRPr="006815C5">
              <w:rPr>
                <w:rFonts w:ascii="Verdana" w:hAnsi="Verdana"/>
                <w:sz w:val="16"/>
                <w:szCs w:val="16"/>
                <w:lang w:val="en-US"/>
              </w:rPr>
              <w:t xml:space="preserve"> registry, the provisions of Article 140 of this regulation must be applied.</w:t>
            </w:r>
          </w:p>
        </w:tc>
      </w:tr>
      <w:tr w:rsidR="003A38FF" w:rsidRPr="00D83DA2" w14:paraId="71A224FF" w14:textId="28EBB29E" w:rsidTr="00FB5DAD">
        <w:tc>
          <w:tcPr>
            <w:tcW w:w="4706" w:type="dxa"/>
          </w:tcPr>
          <w:p w14:paraId="7B3D16D7"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Artículo 156.</w:t>
            </w:r>
            <w:r w:rsidRPr="00D0180E">
              <w:rPr>
                <w:rFonts w:ascii="Verdana" w:hAnsi="Verdana"/>
                <w:sz w:val="16"/>
                <w:szCs w:val="16"/>
              </w:rPr>
              <w:t xml:space="preserve"> Para la operación y funcionamiento del registro de Usuarios Calificados se deben observar las disposiciones administrativas de carácter general que para tal efecto emita la CNE, mismas que deben contener los procedimientos y trámites a seguir a efecto de que el registro funcione de manera eficiente y segura.</w:t>
            </w:r>
          </w:p>
        </w:tc>
        <w:tc>
          <w:tcPr>
            <w:tcW w:w="4644" w:type="dxa"/>
          </w:tcPr>
          <w:p w14:paraId="753027A5" w14:textId="7B85212D" w:rsidR="003A38FF" w:rsidRPr="00D0180E" w:rsidRDefault="003A38FF" w:rsidP="003A38FF">
            <w:pPr>
              <w:pStyle w:val="Texto"/>
              <w:ind w:firstLine="0"/>
              <w:rPr>
                <w:rFonts w:ascii="Verdana" w:hAnsi="Verdana"/>
                <w:b/>
                <w:sz w:val="16"/>
                <w:szCs w:val="16"/>
                <w:lang w:val="en-US"/>
              </w:rPr>
            </w:pPr>
            <w:r w:rsidRPr="006815C5">
              <w:rPr>
                <w:rFonts w:ascii="Verdana" w:hAnsi="Verdana"/>
                <w:b/>
                <w:sz w:val="16"/>
                <w:szCs w:val="16"/>
                <w:lang w:val="en-US"/>
              </w:rPr>
              <w:t xml:space="preserve">Article 156. </w:t>
            </w:r>
            <w:r w:rsidRPr="006815C5">
              <w:rPr>
                <w:rFonts w:ascii="Verdana" w:hAnsi="Verdana"/>
                <w:sz w:val="16"/>
                <w:szCs w:val="16"/>
                <w:lang w:val="en-US"/>
              </w:rPr>
              <w:t xml:space="preserve">For the operation and functioning of the qualified </w:t>
            </w:r>
            <w:proofErr w:type="gramStart"/>
            <w:r w:rsidRPr="006815C5">
              <w:rPr>
                <w:rFonts w:ascii="Verdana" w:hAnsi="Verdana"/>
                <w:sz w:val="16"/>
                <w:szCs w:val="16"/>
                <w:lang w:val="en-US"/>
              </w:rPr>
              <w:t>users</w:t>
            </w:r>
            <w:proofErr w:type="gramEnd"/>
            <w:r w:rsidRPr="006815C5">
              <w:rPr>
                <w:rFonts w:ascii="Verdana" w:hAnsi="Verdana"/>
                <w:sz w:val="16"/>
                <w:szCs w:val="16"/>
                <w:lang w:val="en-US"/>
              </w:rPr>
              <w:t xml:space="preserve"> registry, the general administrative provisions issued for this purpose by the CNE must be observed, which must contain the procedures and formalities to be followed so that the registry operates efficiently and safely.</w:t>
            </w:r>
          </w:p>
        </w:tc>
      </w:tr>
      <w:tr w:rsidR="003A38FF" w:rsidRPr="00D83DA2" w14:paraId="5EB0F73B" w14:textId="536DD363" w:rsidTr="00FB5DAD">
        <w:tc>
          <w:tcPr>
            <w:tcW w:w="4706" w:type="dxa"/>
          </w:tcPr>
          <w:p w14:paraId="7472443E"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Artículo 157.</w:t>
            </w:r>
            <w:r w:rsidRPr="00D0180E">
              <w:rPr>
                <w:rFonts w:ascii="Verdana" w:hAnsi="Verdana"/>
                <w:sz w:val="16"/>
                <w:szCs w:val="16"/>
              </w:rPr>
              <w:t xml:space="preserve"> La inscripción en el registro de Usuarios Calificados se debe realizar por medios electrónicos conforme lo determine la CNE. En todo momento la obligación a que se refiere el artículo 74 de la Ley corresponde a la Usuaria Final que reciba el Suministro Eléctrico en cada Centro de Carga, sin perjuicio de que las Suministradoras puedan realizar la inscripción por cuenta de las Usuarias Finales que les hayan solicitado representar sus Centros de Carga.</w:t>
            </w:r>
          </w:p>
        </w:tc>
        <w:tc>
          <w:tcPr>
            <w:tcW w:w="4644" w:type="dxa"/>
          </w:tcPr>
          <w:p w14:paraId="37534CEA" w14:textId="4335043E" w:rsidR="003A38FF" w:rsidRPr="00D0180E" w:rsidRDefault="003A38FF" w:rsidP="003A38FF">
            <w:pPr>
              <w:pStyle w:val="Texto"/>
              <w:ind w:firstLine="0"/>
              <w:rPr>
                <w:rFonts w:ascii="Verdana" w:hAnsi="Verdana"/>
                <w:b/>
                <w:sz w:val="16"/>
                <w:szCs w:val="16"/>
                <w:lang w:val="en-US"/>
              </w:rPr>
            </w:pPr>
            <w:r w:rsidRPr="006815C5">
              <w:rPr>
                <w:rFonts w:ascii="Verdana" w:hAnsi="Verdana"/>
                <w:b/>
                <w:sz w:val="16"/>
                <w:szCs w:val="16"/>
                <w:lang w:val="en-US"/>
              </w:rPr>
              <w:t xml:space="preserve">Article 157. </w:t>
            </w:r>
            <w:r w:rsidRPr="006815C5">
              <w:rPr>
                <w:rFonts w:ascii="Verdana" w:hAnsi="Verdana"/>
                <w:sz w:val="16"/>
                <w:szCs w:val="16"/>
                <w:lang w:val="en-US"/>
              </w:rPr>
              <w:t xml:space="preserve">Registration in the qualified </w:t>
            </w:r>
            <w:proofErr w:type="gramStart"/>
            <w:r w:rsidRPr="006815C5">
              <w:rPr>
                <w:rFonts w:ascii="Verdana" w:hAnsi="Verdana"/>
                <w:sz w:val="16"/>
                <w:szCs w:val="16"/>
                <w:lang w:val="en-US"/>
              </w:rPr>
              <w:t>users</w:t>
            </w:r>
            <w:proofErr w:type="gramEnd"/>
            <w:r w:rsidRPr="006815C5">
              <w:rPr>
                <w:rFonts w:ascii="Verdana" w:hAnsi="Verdana"/>
                <w:sz w:val="16"/>
                <w:szCs w:val="16"/>
                <w:lang w:val="en-US"/>
              </w:rPr>
              <w:t xml:space="preserve"> registry must be completed electronically, as determined by the National Electoral Commission (CNE). At all times, the obligation referred to in Article 74 of the Law falls </w:t>
            </w:r>
            <w:proofErr w:type="gramStart"/>
            <w:r w:rsidRPr="006815C5">
              <w:rPr>
                <w:rFonts w:ascii="Verdana" w:hAnsi="Verdana"/>
                <w:sz w:val="16"/>
                <w:szCs w:val="16"/>
                <w:lang w:val="en-US"/>
              </w:rPr>
              <w:t>on</w:t>
            </w:r>
            <w:proofErr w:type="gramEnd"/>
            <w:r w:rsidRPr="006815C5">
              <w:rPr>
                <w:rFonts w:ascii="Verdana" w:hAnsi="Verdana"/>
                <w:sz w:val="16"/>
                <w:szCs w:val="16"/>
                <w:lang w:val="en-US"/>
              </w:rPr>
              <w:t xml:space="preserve"> the end user receiving the electricity supply at each load center, without prejudice to the fact that suppliers may register on behalf of end users who have requested that they represent their load centers.</w:t>
            </w:r>
          </w:p>
        </w:tc>
      </w:tr>
      <w:tr w:rsidR="003A38FF" w:rsidRPr="00D83DA2" w14:paraId="762361B7" w14:textId="11BA7F95" w:rsidTr="00FB5DAD">
        <w:tc>
          <w:tcPr>
            <w:tcW w:w="4706" w:type="dxa"/>
          </w:tcPr>
          <w:p w14:paraId="46098440"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Artículo 158.</w:t>
            </w:r>
            <w:r w:rsidRPr="00D0180E">
              <w:rPr>
                <w:rFonts w:ascii="Verdana" w:hAnsi="Verdana"/>
                <w:sz w:val="16"/>
                <w:szCs w:val="16"/>
              </w:rPr>
              <w:t xml:space="preserve"> Las Comercializadoras no Suministradoras y los Usuarios Calificados Participantes del Mercado no requieren permiso, no obstante, deben registrarse ante la CNE y observar las disposiciones que esta establezca para su operación y funcionamiento.</w:t>
            </w:r>
          </w:p>
        </w:tc>
        <w:tc>
          <w:tcPr>
            <w:tcW w:w="4644" w:type="dxa"/>
          </w:tcPr>
          <w:p w14:paraId="3ABD310D" w14:textId="3A190238" w:rsidR="003A38FF" w:rsidRPr="00D0180E" w:rsidRDefault="003A38FF" w:rsidP="003A38FF">
            <w:pPr>
              <w:pStyle w:val="Texto"/>
              <w:ind w:firstLine="0"/>
              <w:rPr>
                <w:rFonts w:ascii="Verdana" w:hAnsi="Verdana"/>
                <w:b/>
                <w:sz w:val="16"/>
                <w:szCs w:val="16"/>
                <w:lang w:val="en-US"/>
              </w:rPr>
            </w:pPr>
            <w:r w:rsidRPr="006815C5">
              <w:rPr>
                <w:rFonts w:ascii="Verdana" w:hAnsi="Verdana"/>
                <w:b/>
                <w:sz w:val="16"/>
                <w:szCs w:val="16"/>
                <w:lang w:val="en-US"/>
              </w:rPr>
              <w:t xml:space="preserve">Article 158. </w:t>
            </w:r>
            <w:r w:rsidRPr="006815C5">
              <w:rPr>
                <w:rFonts w:ascii="Verdana" w:hAnsi="Verdana"/>
                <w:sz w:val="16"/>
                <w:szCs w:val="16"/>
                <w:lang w:val="en-US"/>
              </w:rPr>
              <w:t>Non-supplier marketing companies and qualified market participating Users do not require a permit; however, they must register with the CNE and observe the provisions it establishes for their operation and functioning.</w:t>
            </w:r>
          </w:p>
        </w:tc>
      </w:tr>
      <w:tr w:rsidR="003A38FF" w:rsidRPr="00D83DA2" w14:paraId="360949EE" w14:textId="070F82DD" w:rsidTr="00FB5DAD">
        <w:tc>
          <w:tcPr>
            <w:tcW w:w="4706" w:type="dxa"/>
          </w:tcPr>
          <w:p w14:paraId="46689AD9"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Artículo 159.</w:t>
            </w:r>
            <w:r w:rsidRPr="00D0180E">
              <w:rPr>
                <w:rFonts w:ascii="Verdana" w:hAnsi="Verdana"/>
                <w:sz w:val="16"/>
                <w:szCs w:val="16"/>
              </w:rPr>
              <w:t xml:space="preserve"> La inscripción de los Usuarios Calificados, así como de las Comercializadoras no Suministradoras, se debe realizar sin cobro.</w:t>
            </w:r>
          </w:p>
        </w:tc>
        <w:tc>
          <w:tcPr>
            <w:tcW w:w="4644" w:type="dxa"/>
          </w:tcPr>
          <w:p w14:paraId="791C022B" w14:textId="2BEDCB4F" w:rsidR="003A38FF" w:rsidRPr="00D0180E" w:rsidRDefault="003A38FF" w:rsidP="003A38FF">
            <w:pPr>
              <w:pStyle w:val="Texto"/>
              <w:ind w:firstLine="0"/>
              <w:rPr>
                <w:rFonts w:ascii="Verdana" w:hAnsi="Verdana"/>
                <w:b/>
                <w:sz w:val="16"/>
                <w:szCs w:val="16"/>
                <w:lang w:val="en-US"/>
              </w:rPr>
            </w:pPr>
            <w:r w:rsidRPr="006815C5">
              <w:rPr>
                <w:rFonts w:ascii="Verdana" w:hAnsi="Verdana"/>
                <w:b/>
                <w:sz w:val="16"/>
                <w:szCs w:val="16"/>
                <w:lang w:val="en-US"/>
              </w:rPr>
              <w:t xml:space="preserve">Article 159. </w:t>
            </w:r>
            <w:r w:rsidRPr="006815C5">
              <w:rPr>
                <w:rFonts w:ascii="Verdana" w:hAnsi="Verdana"/>
                <w:sz w:val="16"/>
                <w:szCs w:val="16"/>
                <w:lang w:val="en-US"/>
              </w:rPr>
              <w:t>The registration of qualified users, as well as of non-supplier marketing companies, must be carried out free of charge.</w:t>
            </w:r>
          </w:p>
        </w:tc>
      </w:tr>
      <w:tr w:rsidR="003A38FF" w:rsidRPr="00D83DA2" w14:paraId="6B46A5C2" w14:textId="428C1A11" w:rsidTr="00FB5DAD">
        <w:tc>
          <w:tcPr>
            <w:tcW w:w="4706" w:type="dxa"/>
          </w:tcPr>
          <w:p w14:paraId="1D65F3CC"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 xml:space="preserve">Artículo 160. </w:t>
            </w:r>
            <w:r w:rsidRPr="00D0180E">
              <w:rPr>
                <w:rFonts w:ascii="Verdana" w:hAnsi="Verdana"/>
                <w:sz w:val="16"/>
                <w:szCs w:val="16"/>
              </w:rPr>
              <w:t>Los mecanismos para la reducción de demanda y los Productos Asociados que resulten de la Demanda Controlable de los Usuarios Calificados, deben ser determinados por la CNE, con opinión del CENACE.</w:t>
            </w:r>
          </w:p>
        </w:tc>
        <w:tc>
          <w:tcPr>
            <w:tcW w:w="4644" w:type="dxa"/>
          </w:tcPr>
          <w:p w14:paraId="13D0CE21" w14:textId="19E78B32" w:rsidR="003A38FF" w:rsidRPr="00D0180E" w:rsidRDefault="003A38FF" w:rsidP="003A38FF">
            <w:pPr>
              <w:pStyle w:val="Texto"/>
              <w:ind w:firstLine="0"/>
              <w:rPr>
                <w:rFonts w:ascii="Verdana" w:hAnsi="Verdana"/>
                <w:b/>
                <w:sz w:val="16"/>
                <w:szCs w:val="16"/>
                <w:lang w:val="en-US"/>
              </w:rPr>
            </w:pPr>
            <w:r w:rsidRPr="006815C5">
              <w:rPr>
                <w:rFonts w:ascii="Verdana" w:hAnsi="Verdana"/>
                <w:b/>
                <w:sz w:val="16"/>
                <w:szCs w:val="16"/>
                <w:lang w:val="en-US"/>
              </w:rPr>
              <w:t xml:space="preserve">Article 160. </w:t>
            </w:r>
            <w:r w:rsidRPr="006815C5">
              <w:rPr>
                <w:rFonts w:ascii="Verdana" w:hAnsi="Verdana"/>
                <w:sz w:val="16"/>
                <w:szCs w:val="16"/>
                <w:lang w:val="en-US"/>
              </w:rPr>
              <w:t>The mechanisms for reducing demand and the associated products resulting from the controllable demand of qualified users must be determined by the CNE, with the opinion of CENACE.</w:t>
            </w:r>
          </w:p>
        </w:tc>
      </w:tr>
      <w:tr w:rsidR="003A38FF" w:rsidRPr="00D83DA2" w14:paraId="3458A810" w14:textId="4C807432" w:rsidTr="00FB5DAD">
        <w:tc>
          <w:tcPr>
            <w:tcW w:w="4706" w:type="dxa"/>
          </w:tcPr>
          <w:p w14:paraId="1051FCB7"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 xml:space="preserve">Artículo 161. </w:t>
            </w:r>
            <w:r w:rsidRPr="00D0180E">
              <w:rPr>
                <w:rFonts w:ascii="Verdana" w:hAnsi="Verdana"/>
                <w:sz w:val="16"/>
                <w:szCs w:val="16"/>
              </w:rPr>
              <w:t>El Usuario Calificado que adquiera el Suministro Eléctrico directamente como Participante del Mercado y cumpla con los requisitos para ello, lo debe notificar a la CNE por medios electrónicos.</w:t>
            </w:r>
          </w:p>
        </w:tc>
        <w:tc>
          <w:tcPr>
            <w:tcW w:w="4644" w:type="dxa"/>
          </w:tcPr>
          <w:p w14:paraId="76F68272" w14:textId="6D29A0E3" w:rsidR="003A38FF" w:rsidRPr="00D0180E" w:rsidRDefault="003A38FF" w:rsidP="003A38FF">
            <w:pPr>
              <w:pStyle w:val="Texto"/>
              <w:ind w:firstLine="0"/>
              <w:rPr>
                <w:rFonts w:ascii="Verdana" w:hAnsi="Verdana"/>
                <w:b/>
                <w:sz w:val="16"/>
                <w:szCs w:val="16"/>
                <w:lang w:val="en-US"/>
              </w:rPr>
            </w:pPr>
            <w:r w:rsidRPr="006815C5">
              <w:rPr>
                <w:rFonts w:ascii="Verdana" w:hAnsi="Verdana"/>
                <w:b/>
                <w:sz w:val="16"/>
                <w:szCs w:val="16"/>
                <w:lang w:val="en-US"/>
              </w:rPr>
              <w:t xml:space="preserve">Article 161. </w:t>
            </w:r>
            <w:r w:rsidRPr="006815C5">
              <w:rPr>
                <w:rFonts w:ascii="Verdana" w:hAnsi="Verdana"/>
                <w:sz w:val="16"/>
                <w:szCs w:val="16"/>
                <w:lang w:val="en-US"/>
              </w:rPr>
              <w:t xml:space="preserve">The qualified user who acquires the electricity supply directly as a market participant and meets the requirements for doing </w:t>
            </w:r>
            <w:proofErr w:type="gramStart"/>
            <w:r w:rsidRPr="006815C5">
              <w:rPr>
                <w:rFonts w:ascii="Verdana" w:hAnsi="Verdana"/>
                <w:sz w:val="16"/>
                <w:szCs w:val="16"/>
                <w:lang w:val="en-US"/>
              </w:rPr>
              <w:t>so,</w:t>
            </w:r>
            <w:proofErr w:type="gramEnd"/>
            <w:r w:rsidRPr="006815C5">
              <w:rPr>
                <w:rFonts w:ascii="Verdana" w:hAnsi="Verdana"/>
                <w:sz w:val="16"/>
                <w:szCs w:val="16"/>
                <w:lang w:val="en-US"/>
              </w:rPr>
              <w:t xml:space="preserve"> must notify the CNE by electronic means.</w:t>
            </w:r>
          </w:p>
        </w:tc>
      </w:tr>
      <w:tr w:rsidR="003A38FF" w:rsidRPr="00D83DA2" w14:paraId="14E4EEED" w14:textId="69F738E9" w:rsidTr="00FB5DAD">
        <w:tc>
          <w:tcPr>
            <w:tcW w:w="4706" w:type="dxa"/>
          </w:tcPr>
          <w:p w14:paraId="48342E67" w14:textId="77777777" w:rsidR="003A38FF" w:rsidRPr="00D0180E" w:rsidRDefault="003A38FF" w:rsidP="003A38FF">
            <w:pPr>
              <w:pStyle w:val="Texto"/>
              <w:ind w:firstLine="0"/>
              <w:rPr>
                <w:rFonts w:ascii="Verdana" w:hAnsi="Verdana"/>
                <w:sz w:val="16"/>
                <w:szCs w:val="16"/>
              </w:rPr>
            </w:pPr>
            <w:r w:rsidRPr="00D0180E">
              <w:rPr>
                <w:rFonts w:ascii="Verdana" w:hAnsi="Verdana"/>
                <w:sz w:val="16"/>
                <w:szCs w:val="16"/>
              </w:rPr>
              <w:lastRenderedPageBreak/>
              <w:t>En caso de que un Usuario Calificado que tiene un contrato de suministro con una Suministradora de Servicios Calificados, decida cancelarlo, o no tenga contrato por término de vigencia, para ser Participante del Mercado, debe notificarlo a la CNE por los medios electrónicos que señale para tal efecto.</w:t>
            </w:r>
          </w:p>
        </w:tc>
        <w:tc>
          <w:tcPr>
            <w:tcW w:w="4644" w:type="dxa"/>
          </w:tcPr>
          <w:p w14:paraId="4C4F3941" w14:textId="7EDCB103" w:rsidR="003A38FF" w:rsidRPr="00D0180E" w:rsidRDefault="003A38FF" w:rsidP="003A38FF">
            <w:pPr>
              <w:pStyle w:val="Texto"/>
              <w:ind w:firstLine="0"/>
              <w:rPr>
                <w:rFonts w:ascii="Verdana" w:hAnsi="Verdana"/>
                <w:sz w:val="16"/>
                <w:szCs w:val="16"/>
                <w:lang w:val="en-US"/>
              </w:rPr>
            </w:pPr>
            <w:proofErr w:type="gramStart"/>
            <w:r w:rsidRPr="006815C5">
              <w:rPr>
                <w:rFonts w:ascii="Verdana" w:hAnsi="Verdana"/>
                <w:sz w:val="16"/>
                <w:szCs w:val="16"/>
                <w:lang w:val="en-US"/>
              </w:rPr>
              <w:t>In the event that</w:t>
            </w:r>
            <w:proofErr w:type="gramEnd"/>
            <w:r w:rsidRPr="006815C5">
              <w:rPr>
                <w:rFonts w:ascii="Verdana" w:hAnsi="Verdana"/>
                <w:sz w:val="16"/>
                <w:szCs w:val="16"/>
                <w:lang w:val="en-US"/>
              </w:rPr>
              <w:t xml:space="preserve"> a qualified user who has a supply contract with a qualified service provider decides to cancel </w:t>
            </w:r>
            <w:proofErr w:type="gramStart"/>
            <w:r w:rsidRPr="006815C5">
              <w:rPr>
                <w:rFonts w:ascii="Verdana" w:hAnsi="Verdana"/>
                <w:sz w:val="16"/>
                <w:szCs w:val="16"/>
                <w:lang w:val="en-US"/>
              </w:rPr>
              <w:t>it, or</w:t>
            </w:r>
            <w:proofErr w:type="gramEnd"/>
            <w:r w:rsidRPr="006815C5">
              <w:rPr>
                <w:rFonts w:ascii="Verdana" w:hAnsi="Verdana"/>
                <w:sz w:val="16"/>
                <w:szCs w:val="16"/>
                <w:lang w:val="en-US"/>
              </w:rPr>
              <w:t xml:space="preserve"> does not have a contract due to the end of its term, </w:t>
            </w:r>
            <w:proofErr w:type="gramStart"/>
            <w:r w:rsidRPr="006815C5">
              <w:rPr>
                <w:rFonts w:ascii="Verdana" w:hAnsi="Verdana"/>
                <w:sz w:val="16"/>
                <w:szCs w:val="16"/>
                <w:lang w:val="en-US"/>
              </w:rPr>
              <w:t>in order to</w:t>
            </w:r>
            <w:proofErr w:type="gramEnd"/>
            <w:r w:rsidRPr="006815C5">
              <w:rPr>
                <w:rFonts w:ascii="Verdana" w:hAnsi="Verdana"/>
                <w:sz w:val="16"/>
                <w:szCs w:val="16"/>
                <w:lang w:val="en-US"/>
              </w:rPr>
              <w:t xml:space="preserve"> become a market participant, they must notify the CNE by the electronic means designated for this purpose.</w:t>
            </w:r>
          </w:p>
        </w:tc>
      </w:tr>
      <w:tr w:rsidR="003A38FF" w:rsidRPr="00D83DA2" w14:paraId="225C8588" w14:textId="1654610F" w:rsidTr="00FB5DAD">
        <w:tc>
          <w:tcPr>
            <w:tcW w:w="4706" w:type="dxa"/>
          </w:tcPr>
          <w:p w14:paraId="2DAEB4D8"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 xml:space="preserve">Artículo 162. </w:t>
            </w:r>
            <w:r w:rsidRPr="00D0180E">
              <w:rPr>
                <w:rFonts w:ascii="Verdana" w:hAnsi="Verdana"/>
                <w:sz w:val="16"/>
                <w:szCs w:val="16"/>
              </w:rPr>
              <w:t>Para la atención de fallas o irregularidades en el servicio de los Usuarios Calificados, la Participante del Mercado que los representa debe coordinarse con la Transportista o la Distribuidora, quienes deben atenderla conforme a los instrumentos normativos, para lo cual pueden formalizar convenios de servicio.</w:t>
            </w:r>
          </w:p>
        </w:tc>
        <w:tc>
          <w:tcPr>
            <w:tcW w:w="4644" w:type="dxa"/>
          </w:tcPr>
          <w:p w14:paraId="3E1C4C40" w14:textId="4C162453" w:rsidR="003A38FF" w:rsidRPr="00D0180E" w:rsidRDefault="003A38FF" w:rsidP="003A38FF">
            <w:pPr>
              <w:pStyle w:val="Texto"/>
              <w:ind w:firstLine="0"/>
              <w:rPr>
                <w:rFonts w:ascii="Verdana" w:hAnsi="Verdana"/>
                <w:b/>
                <w:sz w:val="16"/>
                <w:szCs w:val="16"/>
                <w:lang w:val="en-US"/>
              </w:rPr>
            </w:pPr>
            <w:r w:rsidRPr="006815C5">
              <w:rPr>
                <w:rFonts w:ascii="Verdana" w:hAnsi="Verdana"/>
                <w:b/>
                <w:sz w:val="16"/>
                <w:szCs w:val="16"/>
                <w:lang w:val="en-US"/>
              </w:rPr>
              <w:t xml:space="preserve">Article 162. </w:t>
            </w:r>
            <w:r w:rsidRPr="006815C5">
              <w:rPr>
                <w:rFonts w:ascii="Verdana" w:hAnsi="Verdana"/>
                <w:sz w:val="16"/>
                <w:szCs w:val="16"/>
                <w:lang w:val="en-US"/>
              </w:rPr>
              <w:t>To address failures or irregularities in the service of qualified users, the market participant representing them must coordinate with the transporter or distributor, who must address them in accordance with the regulatory instruments, for which they may formalize service agreements.</w:t>
            </w:r>
          </w:p>
        </w:tc>
      </w:tr>
      <w:tr w:rsidR="003A38FF" w:rsidRPr="00D83DA2" w14:paraId="6644DB23" w14:textId="5EA5F7E2" w:rsidTr="00FB5DAD">
        <w:tc>
          <w:tcPr>
            <w:tcW w:w="4706" w:type="dxa"/>
          </w:tcPr>
          <w:p w14:paraId="527B7BAF" w14:textId="77777777" w:rsidR="003A38FF" w:rsidRPr="00D0180E" w:rsidRDefault="003A38FF" w:rsidP="003A38FF">
            <w:pPr>
              <w:pStyle w:val="Texto"/>
              <w:ind w:firstLine="0"/>
              <w:rPr>
                <w:rFonts w:ascii="Verdana" w:hAnsi="Verdana"/>
                <w:sz w:val="16"/>
                <w:szCs w:val="16"/>
                <w:lang w:val="es"/>
              </w:rPr>
            </w:pPr>
            <w:r w:rsidRPr="00D0180E">
              <w:rPr>
                <w:rFonts w:ascii="Verdana" w:hAnsi="Verdana"/>
                <w:b/>
                <w:sz w:val="16"/>
                <w:szCs w:val="16"/>
              </w:rPr>
              <w:t>Artículo 163.</w:t>
            </w:r>
            <w:r w:rsidRPr="00D0180E">
              <w:rPr>
                <w:rFonts w:ascii="Verdana" w:hAnsi="Verdana"/>
                <w:sz w:val="16"/>
                <w:szCs w:val="16"/>
                <w:lang w:val="es"/>
              </w:rPr>
              <w:t xml:space="preserve"> Una Usuaria Final que recibe Suministro de Último Recurso no debe permanecer en esta situación indefinidamente. Los plazos, términos y condiciones para recibir Suministro de Último Recurso deben definirse en las disposiciones administrativas de carácter general que emita la CNE.</w:t>
            </w:r>
          </w:p>
        </w:tc>
        <w:tc>
          <w:tcPr>
            <w:tcW w:w="4644" w:type="dxa"/>
          </w:tcPr>
          <w:p w14:paraId="202381A1" w14:textId="4673A532" w:rsidR="003A38FF" w:rsidRPr="00D0180E" w:rsidRDefault="003A38FF" w:rsidP="003A38FF">
            <w:pPr>
              <w:pStyle w:val="Texto"/>
              <w:ind w:firstLine="0"/>
              <w:rPr>
                <w:rFonts w:ascii="Verdana" w:hAnsi="Verdana"/>
                <w:b/>
                <w:sz w:val="16"/>
                <w:szCs w:val="16"/>
                <w:lang w:val="en-US"/>
              </w:rPr>
            </w:pPr>
            <w:r w:rsidRPr="006815C5">
              <w:rPr>
                <w:rFonts w:ascii="Verdana" w:hAnsi="Verdana"/>
                <w:b/>
                <w:sz w:val="16"/>
                <w:szCs w:val="16"/>
                <w:lang w:val="en-US"/>
              </w:rPr>
              <w:t xml:space="preserve">Article 163. </w:t>
            </w:r>
            <w:r w:rsidRPr="006815C5">
              <w:rPr>
                <w:rFonts w:ascii="Verdana" w:hAnsi="Verdana"/>
                <w:sz w:val="16"/>
                <w:szCs w:val="16"/>
                <w:lang w:val="en-US"/>
              </w:rPr>
              <w:t>An end-user receiving a last resort supply should not remain in this situation indefinitely. The deadlines, terms, and conditions for receiving a last resort supply must be defined in the general administrative provisions issued by the CNE.</w:t>
            </w:r>
          </w:p>
        </w:tc>
      </w:tr>
      <w:tr w:rsidR="003A38FF" w:rsidRPr="00D0180E" w14:paraId="2B33F405" w14:textId="0D30BFE1" w:rsidTr="00FB5DAD">
        <w:tc>
          <w:tcPr>
            <w:tcW w:w="4706" w:type="dxa"/>
          </w:tcPr>
          <w:p w14:paraId="7A97C380" w14:textId="77777777" w:rsidR="003A38FF" w:rsidRPr="00D0180E" w:rsidRDefault="003A38FF" w:rsidP="003A38FF">
            <w:pPr>
              <w:pStyle w:val="Texto"/>
              <w:ind w:firstLine="0"/>
              <w:jc w:val="center"/>
              <w:rPr>
                <w:rFonts w:ascii="Verdana" w:hAnsi="Verdana"/>
                <w:b/>
                <w:sz w:val="16"/>
                <w:szCs w:val="16"/>
              </w:rPr>
            </w:pPr>
            <w:r w:rsidRPr="00D0180E">
              <w:rPr>
                <w:rFonts w:ascii="Verdana" w:hAnsi="Verdana"/>
                <w:b/>
                <w:sz w:val="16"/>
                <w:szCs w:val="16"/>
              </w:rPr>
              <w:t>Capítulo II</w:t>
            </w:r>
          </w:p>
        </w:tc>
        <w:tc>
          <w:tcPr>
            <w:tcW w:w="4644" w:type="dxa"/>
          </w:tcPr>
          <w:p w14:paraId="223DCBAB" w14:textId="5D953B24" w:rsidR="003A38FF" w:rsidRPr="004A1FFE" w:rsidRDefault="003A38FF" w:rsidP="003A38FF">
            <w:pPr>
              <w:pStyle w:val="Texto"/>
              <w:ind w:firstLine="0"/>
              <w:jc w:val="center"/>
              <w:rPr>
                <w:rFonts w:ascii="Verdana" w:hAnsi="Verdana"/>
                <w:b/>
                <w:sz w:val="16"/>
                <w:szCs w:val="16"/>
                <w:lang w:val="en-US"/>
              </w:rPr>
            </w:pPr>
            <w:r w:rsidRPr="004A1FFE">
              <w:rPr>
                <w:rFonts w:ascii="Verdana" w:hAnsi="Verdana"/>
                <w:b/>
                <w:sz w:val="16"/>
                <w:szCs w:val="16"/>
                <w:lang w:val="en-US"/>
              </w:rPr>
              <w:t>Chapter II</w:t>
            </w:r>
          </w:p>
        </w:tc>
      </w:tr>
      <w:tr w:rsidR="003A38FF" w:rsidRPr="00D0180E" w14:paraId="46482CE0" w14:textId="37BB2A0D" w:rsidTr="00FB5DAD">
        <w:tc>
          <w:tcPr>
            <w:tcW w:w="4706" w:type="dxa"/>
          </w:tcPr>
          <w:p w14:paraId="03253AAA" w14:textId="77777777" w:rsidR="003A38FF" w:rsidRPr="00D0180E" w:rsidRDefault="003A38FF" w:rsidP="003A38FF">
            <w:pPr>
              <w:pStyle w:val="Texto"/>
              <w:ind w:firstLine="0"/>
              <w:jc w:val="center"/>
              <w:rPr>
                <w:rFonts w:ascii="Verdana" w:hAnsi="Verdana"/>
                <w:b/>
                <w:sz w:val="16"/>
                <w:szCs w:val="16"/>
              </w:rPr>
            </w:pPr>
            <w:r w:rsidRPr="00D0180E">
              <w:rPr>
                <w:rFonts w:ascii="Verdana" w:hAnsi="Verdana"/>
                <w:b/>
                <w:sz w:val="16"/>
                <w:szCs w:val="16"/>
              </w:rPr>
              <w:t>De los Pequeños Sistemas Eléctricos</w:t>
            </w:r>
          </w:p>
        </w:tc>
        <w:tc>
          <w:tcPr>
            <w:tcW w:w="4644" w:type="dxa"/>
          </w:tcPr>
          <w:p w14:paraId="224900C7" w14:textId="087C63D7" w:rsidR="003A38FF" w:rsidRPr="004A1FFE" w:rsidRDefault="003A38FF" w:rsidP="003A38FF">
            <w:pPr>
              <w:pStyle w:val="Texto"/>
              <w:ind w:firstLine="0"/>
              <w:jc w:val="center"/>
              <w:rPr>
                <w:rFonts w:ascii="Verdana" w:hAnsi="Verdana"/>
                <w:b/>
                <w:sz w:val="16"/>
                <w:szCs w:val="16"/>
                <w:lang w:val="en-US"/>
              </w:rPr>
            </w:pPr>
            <w:r w:rsidRPr="004A1FFE">
              <w:rPr>
                <w:rFonts w:ascii="Verdana" w:hAnsi="Verdana"/>
                <w:b/>
                <w:sz w:val="16"/>
                <w:szCs w:val="16"/>
                <w:lang w:val="en-US"/>
              </w:rPr>
              <w:t>Small Electrical Systems</w:t>
            </w:r>
          </w:p>
        </w:tc>
      </w:tr>
      <w:tr w:rsidR="003A38FF" w:rsidRPr="00D83DA2" w14:paraId="2B9E3EC6" w14:textId="65AF93C7" w:rsidTr="00FB5DAD">
        <w:tc>
          <w:tcPr>
            <w:tcW w:w="4706" w:type="dxa"/>
          </w:tcPr>
          <w:p w14:paraId="59EE7228"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Artículo 164.</w:t>
            </w:r>
            <w:r w:rsidRPr="00D0180E">
              <w:rPr>
                <w:rFonts w:ascii="Verdana" w:hAnsi="Verdana"/>
                <w:sz w:val="16"/>
                <w:szCs w:val="16"/>
              </w:rPr>
              <w:t xml:space="preserve"> Se entiende por pequeño sistema eléctrico aquel que no se encuentra interconectado de forma permanente a la Red Nacional de Transmisión, ni a las Redes Generales de Distribución, con una demanda a partir de 5 MW no mayor a 100 MW.</w:t>
            </w:r>
          </w:p>
        </w:tc>
        <w:tc>
          <w:tcPr>
            <w:tcW w:w="4644" w:type="dxa"/>
          </w:tcPr>
          <w:p w14:paraId="1BC5300F" w14:textId="71AC4231" w:rsidR="003A38FF" w:rsidRPr="00D0180E" w:rsidRDefault="003A38FF" w:rsidP="003A38FF">
            <w:pPr>
              <w:pStyle w:val="Texto"/>
              <w:ind w:firstLine="0"/>
              <w:rPr>
                <w:rFonts w:ascii="Verdana" w:hAnsi="Verdana"/>
                <w:b/>
                <w:sz w:val="16"/>
                <w:szCs w:val="16"/>
                <w:lang w:val="en-US"/>
              </w:rPr>
            </w:pPr>
            <w:r w:rsidRPr="006815C5">
              <w:rPr>
                <w:rFonts w:ascii="Verdana" w:hAnsi="Verdana"/>
                <w:b/>
                <w:sz w:val="16"/>
                <w:szCs w:val="16"/>
                <w:lang w:val="en-US"/>
              </w:rPr>
              <w:t xml:space="preserve">Article 164. </w:t>
            </w:r>
            <w:r w:rsidRPr="006815C5">
              <w:rPr>
                <w:rFonts w:ascii="Verdana" w:hAnsi="Verdana"/>
                <w:sz w:val="16"/>
                <w:szCs w:val="16"/>
                <w:lang w:val="en-US"/>
              </w:rPr>
              <w:t>A small electrical system is understood to be one that is not permanently interconnected to the national transmission network or to the general distribution networks, with a demand of 5 MW or less and no greater than 100 MW.</w:t>
            </w:r>
          </w:p>
        </w:tc>
      </w:tr>
      <w:tr w:rsidR="003A38FF" w:rsidRPr="00D83DA2" w14:paraId="1EC3F1B7" w14:textId="76D15F1A" w:rsidTr="00FB5DAD">
        <w:tc>
          <w:tcPr>
            <w:tcW w:w="4706" w:type="dxa"/>
          </w:tcPr>
          <w:p w14:paraId="70DB0E63" w14:textId="77777777" w:rsidR="003A38FF" w:rsidRPr="00D0180E" w:rsidRDefault="003A38FF" w:rsidP="003A38FF">
            <w:pPr>
              <w:pStyle w:val="Texto"/>
              <w:ind w:firstLine="0"/>
              <w:rPr>
                <w:rFonts w:ascii="Verdana" w:hAnsi="Verdana"/>
                <w:sz w:val="16"/>
                <w:szCs w:val="16"/>
              </w:rPr>
            </w:pPr>
            <w:r w:rsidRPr="00D0180E">
              <w:rPr>
                <w:rFonts w:ascii="Verdana" w:hAnsi="Verdana"/>
                <w:sz w:val="16"/>
                <w:szCs w:val="16"/>
              </w:rPr>
              <w:t>Estos sistemas se deben regular y operar conforme a lo previsto en las Reglas de Mercado, mediante criterios especiales de operación.</w:t>
            </w:r>
          </w:p>
        </w:tc>
        <w:tc>
          <w:tcPr>
            <w:tcW w:w="4644" w:type="dxa"/>
          </w:tcPr>
          <w:p w14:paraId="593A565D" w14:textId="1F613A39" w:rsidR="003A38FF" w:rsidRPr="00D0180E" w:rsidRDefault="003A38FF" w:rsidP="003A38FF">
            <w:pPr>
              <w:pStyle w:val="Texto"/>
              <w:ind w:firstLine="0"/>
              <w:rPr>
                <w:rFonts w:ascii="Verdana" w:hAnsi="Verdana"/>
                <w:sz w:val="16"/>
                <w:szCs w:val="16"/>
                <w:lang w:val="en-US"/>
              </w:rPr>
            </w:pPr>
            <w:r w:rsidRPr="006815C5">
              <w:rPr>
                <w:rFonts w:ascii="Verdana" w:hAnsi="Verdana"/>
                <w:sz w:val="16"/>
                <w:szCs w:val="16"/>
                <w:lang w:val="en-US"/>
              </w:rPr>
              <w:t>These systems must be regulated and operated in accordance with the market rules, using special operating criteria.</w:t>
            </w:r>
          </w:p>
        </w:tc>
      </w:tr>
      <w:tr w:rsidR="003A38FF" w:rsidRPr="00D83DA2" w14:paraId="0E77356B" w14:textId="2E10199C" w:rsidTr="00FB5DAD">
        <w:tc>
          <w:tcPr>
            <w:tcW w:w="4706" w:type="dxa"/>
          </w:tcPr>
          <w:p w14:paraId="5E1CB5CC" w14:textId="77777777" w:rsidR="003A38FF" w:rsidRPr="00D0180E" w:rsidRDefault="003A38FF" w:rsidP="003A38FF">
            <w:pPr>
              <w:pStyle w:val="Texto"/>
              <w:spacing w:after="73"/>
              <w:ind w:firstLine="0"/>
              <w:rPr>
                <w:rFonts w:ascii="Verdana" w:hAnsi="Verdana"/>
                <w:sz w:val="16"/>
                <w:szCs w:val="16"/>
              </w:rPr>
            </w:pPr>
            <w:r w:rsidRPr="00D0180E">
              <w:rPr>
                <w:rFonts w:ascii="Verdana" w:hAnsi="Verdana"/>
                <w:b/>
                <w:sz w:val="16"/>
                <w:szCs w:val="16"/>
              </w:rPr>
              <w:t>Artículo 165.</w:t>
            </w:r>
            <w:r w:rsidRPr="00D0180E">
              <w:rPr>
                <w:rFonts w:ascii="Verdana" w:hAnsi="Verdana"/>
                <w:sz w:val="16"/>
                <w:szCs w:val="16"/>
              </w:rPr>
              <w:t xml:space="preserve"> Los términos y convenios que se refieren en el artículo 80 de la Ley, bajo los cuales las Integrantes del Sector Eléctrico deben colaborar dentro de los pequeños sistemas eléctricos, pueden ser propuestos para autorización de la Secretaría, por las propias Integrantes del Sector Eléctrico, el CENACE, la Empresa Pública del Estado o la CNE.</w:t>
            </w:r>
          </w:p>
        </w:tc>
        <w:tc>
          <w:tcPr>
            <w:tcW w:w="4644" w:type="dxa"/>
          </w:tcPr>
          <w:p w14:paraId="3AB337C2" w14:textId="535A289C" w:rsidR="003A38FF" w:rsidRPr="00D0180E" w:rsidRDefault="003A38FF" w:rsidP="003A38FF">
            <w:pPr>
              <w:pStyle w:val="Texto"/>
              <w:spacing w:after="73"/>
              <w:ind w:firstLine="0"/>
              <w:rPr>
                <w:rFonts w:ascii="Verdana" w:hAnsi="Verdana"/>
                <w:b/>
                <w:sz w:val="16"/>
                <w:szCs w:val="16"/>
                <w:lang w:val="en-US"/>
              </w:rPr>
            </w:pPr>
            <w:r w:rsidRPr="006815C5">
              <w:rPr>
                <w:rFonts w:ascii="Verdana" w:hAnsi="Verdana"/>
                <w:b/>
                <w:sz w:val="16"/>
                <w:szCs w:val="16"/>
                <w:lang w:val="en-US"/>
              </w:rPr>
              <w:t xml:space="preserve">Article 165. </w:t>
            </w:r>
            <w:r w:rsidRPr="006815C5">
              <w:rPr>
                <w:rFonts w:ascii="Verdana" w:hAnsi="Verdana"/>
                <w:sz w:val="16"/>
                <w:szCs w:val="16"/>
                <w:lang w:val="en-US"/>
              </w:rPr>
              <w:t xml:space="preserve">The terms and agreements referred to in Article 80 of the Law, under which the members of the electric sector must collaborate within small electric systems, may be proposed for authorization by the Secretary, by the members of the electric sector themselves, CENACE, the </w:t>
            </w:r>
            <w:r>
              <w:rPr>
                <w:rFonts w:ascii="Verdana" w:hAnsi="Verdana"/>
                <w:sz w:val="16"/>
                <w:szCs w:val="16"/>
                <w:lang w:val="en-US"/>
              </w:rPr>
              <w:t>State Public Enterprise</w:t>
            </w:r>
            <w:r w:rsidRPr="006815C5">
              <w:rPr>
                <w:rFonts w:ascii="Verdana" w:hAnsi="Verdana"/>
                <w:sz w:val="16"/>
                <w:szCs w:val="16"/>
                <w:lang w:val="en-US"/>
              </w:rPr>
              <w:t>, or the CNE.</w:t>
            </w:r>
          </w:p>
        </w:tc>
      </w:tr>
      <w:tr w:rsidR="003A38FF" w:rsidRPr="00D83DA2" w14:paraId="22F7FC50" w14:textId="086EEF43" w:rsidTr="00FB5DAD">
        <w:tc>
          <w:tcPr>
            <w:tcW w:w="4706" w:type="dxa"/>
          </w:tcPr>
          <w:p w14:paraId="0E490957" w14:textId="77777777" w:rsidR="003A38FF" w:rsidRPr="00D0180E" w:rsidRDefault="003A38FF" w:rsidP="003A38FF">
            <w:pPr>
              <w:pStyle w:val="Texto"/>
              <w:spacing w:after="73"/>
              <w:ind w:firstLine="0"/>
              <w:rPr>
                <w:rFonts w:ascii="Verdana" w:hAnsi="Verdana"/>
                <w:sz w:val="16"/>
                <w:szCs w:val="16"/>
              </w:rPr>
            </w:pPr>
            <w:r w:rsidRPr="00D0180E">
              <w:rPr>
                <w:rFonts w:ascii="Verdana" w:hAnsi="Verdana"/>
                <w:b/>
                <w:sz w:val="16"/>
                <w:szCs w:val="16"/>
              </w:rPr>
              <w:t>Artículo 166.</w:t>
            </w:r>
            <w:r w:rsidRPr="00D0180E">
              <w:rPr>
                <w:rFonts w:ascii="Verdana" w:hAnsi="Verdana"/>
                <w:sz w:val="16"/>
                <w:szCs w:val="16"/>
              </w:rPr>
              <w:t xml:space="preserve"> El CENACE puede ser responsable del control operativo de los pequeños sistemas eléctricos, incluso aquellos que operen bajo esquemas especiales, de acuerdo con las disposiciones administrativas de carácter general que para tal efecto publique la CNE en coordinación con la Secretaría.</w:t>
            </w:r>
          </w:p>
        </w:tc>
        <w:tc>
          <w:tcPr>
            <w:tcW w:w="4644" w:type="dxa"/>
          </w:tcPr>
          <w:p w14:paraId="22DD9264" w14:textId="199857B6" w:rsidR="003A38FF" w:rsidRPr="00D0180E" w:rsidRDefault="003A38FF" w:rsidP="003A38FF">
            <w:pPr>
              <w:pStyle w:val="Texto"/>
              <w:spacing w:after="73"/>
              <w:ind w:firstLine="0"/>
              <w:rPr>
                <w:rFonts w:ascii="Verdana" w:hAnsi="Verdana"/>
                <w:b/>
                <w:sz w:val="16"/>
                <w:szCs w:val="16"/>
                <w:lang w:val="en-US"/>
              </w:rPr>
            </w:pPr>
            <w:r w:rsidRPr="006815C5">
              <w:rPr>
                <w:rFonts w:ascii="Verdana" w:hAnsi="Verdana"/>
                <w:b/>
                <w:sz w:val="16"/>
                <w:szCs w:val="16"/>
                <w:lang w:val="en-US"/>
              </w:rPr>
              <w:t xml:space="preserve">Article 166. </w:t>
            </w:r>
            <w:r w:rsidRPr="006815C5">
              <w:rPr>
                <w:rFonts w:ascii="Verdana" w:hAnsi="Verdana"/>
                <w:sz w:val="16"/>
                <w:szCs w:val="16"/>
                <w:lang w:val="en-US"/>
              </w:rPr>
              <w:t>CENACE may be responsible for the operational control of small electrical systems, including those operating under special schemes, in accordance with the general administrative provisions published for this purpose by the CNE in coordination with the Secretary.</w:t>
            </w:r>
          </w:p>
        </w:tc>
      </w:tr>
      <w:tr w:rsidR="003A38FF" w:rsidRPr="00D83DA2" w14:paraId="2F94D6C8" w14:textId="2945D0E2" w:rsidTr="00FB5DAD">
        <w:tc>
          <w:tcPr>
            <w:tcW w:w="4706" w:type="dxa"/>
          </w:tcPr>
          <w:p w14:paraId="1E975B43" w14:textId="77777777" w:rsidR="003A38FF" w:rsidRPr="00D0180E" w:rsidRDefault="003A38FF" w:rsidP="003A38FF">
            <w:pPr>
              <w:pStyle w:val="Texto"/>
              <w:spacing w:after="73"/>
              <w:ind w:firstLine="0"/>
              <w:rPr>
                <w:rFonts w:ascii="Verdana" w:hAnsi="Verdana"/>
                <w:sz w:val="16"/>
                <w:szCs w:val="16"/>
              </w:rPr>
            </w:pPr>
            <w:r w:rsidRPr="00D0180E">
              <w:rPr>
                <w:rFonts w:ascii="Verdana" w:hAnsi="Verdana"/>
                <w:b/>
                <w:sz w:val="16"/>
                <w:szCs w:val="16"/>
              </w:rPr>
              <w:t>Artículo 167.</w:t>
            </w:r>
            <w:r w:rsidRPr="00D0180E">
              <w:rPr>
                <w:rFonts w:ascii="Verdana" w:hAnsi="Verdana"/>
                <w:sz w:val="16"/>
                <w:szCs w:val="16"/>
              </w:rPr>
              <w:t xml:space="preserve"> Las propuestas que elabore el CENACE en coordinación con la Empresa Pública del Estado para el Plan de Desarrollo del Sector Eléctrico pueden incluir propuestas de integración de pequeños sistemas eléctricos conforme a lo dispuesto en la Ley y el presente reglamento.</w:t>
            </w:r>
          </w:p>
        </w:tc>
        <w:tc>
          <w:tcPr>
            <w:tcW w:w="4644" w:type="dxa"/>
          </w:tcPr>
          <w:p w14:paraId="766B3DAC" w14:textId="67FA36E3" w:rsidR="003A38FF" w:rsidRPr="00D0180E" w:rsidRDefault="003A38FF" w:rsidP="003A38FF">
            <w:pPr>
              <w:pStyle w:val="Texto"/>
              <w:spacing w:after="73"/>
              <w:ind w:firstLine="0"/>
              <w:rPr>
                <w:rFonts w:ascii="Verdana" w:hAnsi="Verdana"/>
                <w:b/>
                <w:sz w:val="16"/>
                <w:szCs w:val="16"/>
                <w:lang w:val="en-US"/>
              </w:rPr>
            </w:pPr>
            <w:r w:rsidRPr="006815C5">
              <w:rPr>
                <w:rFonts w:ascii="Verdana" w:hAnsi="Verdana"/>
                <w:b/>
                <w:sz w:val="16"/>
                <w:szCs w:val="16"/>
                <w:lang w:val="en-US"/>
              </w:rPr>
              <w:t xml:space="preserve">Article 167. </w:t>
            </w:r>
            <w:r w:rsidRPr="006815C5">
              <w:rPr>
                <w:rFonts w:ascii="Verdana" w:hAnsi="Verdana"/>
                <w:sz w:val="16"/>
                <w:szCs w:val="16"/>
                <w:lang w:val="en-US"/>
              </w:rPr>
              <w:t xml:space="preserve">The proposals prepared by CENACE in coordination with the </w:t>
            </w:r>
            <w:r>
              <w:rPr>
                <w:rFonts w:ascii="Verdana" w:hAnsi="Verdana"/>
                <w:sz w:val="16"/>
                <w:szCs w:val="16"/>
                <w:lang w:val="en-US"/>
              </w:rPr>
              <w:t xml:space="preserve">State Public Enterprise </w:t>
            </w:r>
            <w:r w:rsidRPr="006815C5">
              <w:rPr>
                <w:rFonts w:ascii="Verdana" w:hAnsi="Verdana"/>
                <w:sz w:val="16"/>
                <w:szCs w:val="16"/>
                <w:lang w:val="en-US"/>
              </w:rPr>
              <w:t xml:space="preserve">for the Electricity Sector Development Plan may include proposals for the integration of small electrical systems in accordance with the provisions of the Law and </w:t>
            </w:r>
            <w:r>
              <w:rPr>
                <w:rFonts w:ascii="Verdana" w:hAnsi="Verdana"/>
                <w:sz w:val="16"/>
                <w:szCs w:val="16"/>
                <w:lang w:val="en-US"/>
              </w:rPr>
              <w:t>this Regulation</w:t>
            </w:r>
            <w:r w:rsidRPr="006815C5">
              <w:rPr>
                <w:rFonts w:ascii="Verdana" w:hAnsi="Verdana"/>
                <w:sz w:val="16"/>
                <w:szCs w:val="16"/>
                <w:lang w:val="en-US"/>
              </w:rPr>
              <w:t>.</w:t>
            </w:r>
          </w:p>
        </w:tc>
      </w:tr>
      <w:tr w:rsidR="003A38FF" w:rsidRPr="00D83DA2" w14:paraId="3C63AD6E" w14:textId="0B29EBF2" w:rsidTr="00FB5DAD">
        <w:tc>
          <w:tcPr>
            <w:tcW w:w="4706" w:type="dxa"/>
          </w:tcPr>
          <w:p w14:paraId="7C008E65" w14:textId="77777777" w:rsidR="003A38FF" w:rsidRPr="00D0180E" w:rsidRDefault="003A38FF" w:rsidP="003A38FF">
            <w:pPr>
              <w:pStyle w:val="Texto"/>
              <w:spacing w:after="73"/>
              <w:ind w:firstLine="0"/>
              <w:rPr>
                <w:rFonts w:ascii="Verdana" w:hAnsi="Verdana"/>
                <w:b/>
                <w:sz w:val="16"/>
                <w:szCs w:val="16"/>
              </w:rPr>
            </w:pPr>
            <w:r w:rsidRPr="00D0180E">
              <w:rPr>
                <w:rFonts w:ascii="Verdana" w:hAnsi="Verdana"/>
                <w:b/>
                <w:sz w:val="16"/>
                <w:szCs w:val="16"/>
              </w:rPr>
              <w:t>Artículo 168.</w:t>
            </w:r>
            <w:r w:rsidRPr="00D0180E">
              <w:rPr>
                <w:rFonts w:ascii="Verdana" w:hAnsi="Verdana"/>
                <w:sz w:val="16"/>
                <w:szCs w:val="16"/>
              </w:rPr>
              <w:t xml:space="preserve"> La CNE debe establecer mecanismos de supervisión para los pequeños sistemas eléctricos, los cuales pueden incluir aspectos técnicos, de reporte y de seguimiento operativo.</w:t>
            </w:r>
          </w:p>
        </w:tc>
        <w:tc>
          <w:tcPr>
            <w:tcW w:w="4644" w:type="dxa"/>
          </w:tcPr>
          <w:p w14:paraId="624D4B26" w14:textId="03E282B8" w:rsidR="003A38FF" w:rsidRPr="00D0180E" w:rsidRDefault="003A38FF" w:rsidP="003A38FF">
            <w:pPr>
              <w:pStyle w:val="Texto"/>
              <w:spacing w:after="73"/>
              <w:ind w:firstLine="0"/>
              <w:rPr>
                <w:rFonts w:ascii="Verdana" w:hAnsi="Verdana"/>
                <w:b/>
                <w:sz w:val="16"/>
                <w:szCs w:val="16"/>
                <w:lang w:val="en-US"/>
              </w:rPr>
            </w:pPr>
            <w:r w:rsidRPr="006815C5">
              <w:rPr>
                <w:rFonts w:ascii="Verdana" w:hAnsi="Verdana"/>
                <w:b/>
                <w:sz w:val="16"/>
                <w:szCs w:val="16"/>
                <w:lang w:val="en-US"/>
              </w:rPr>
              <w:t xml:space="preserve">Article 168. </w:t>
            </w:r>
            <w:r w:rsidRPr="006815C5">
              <w:rPr>
                <w:rFonts w:ascii="Verdana" w:hAnsi="Verdana"/>
                <w:sz w:val="16"/>
                <w:szCs w:val="16"/>
                <w:lang w:val="en-US"/>
              </w:rPr>
              <w:t>The CNE must establish oversight mechanisms for small electrical systems, which may include technical, reporting, and operational monitoring aspects.</w:t>
            </w:r>
          </w:p>
        </w:tc>
      </w:tr>
      <w:tr w:rsidR="003A38FF" w:rsidRPr="00D83DA2" w14:paraId="636D4025" w14:textId="4A48DF66" w:rsidTr="00FB5DAD">
        <w:tc>
          <w:tcPr>
            <w:tcW w:w="4706" w:type="dxa"/>
          </w:tcPr>
          <w:p w14:paraId="57012ECD" w14:textId="77777777" w:rsidR="003A38FF" w:rsidRPr="00D0180E" w:rsidRDefault="003A38FF" w:rsidP="003A38FF">
            <w:pPr>
              <w:pStyle w:val="Texto"/>
              <w:spacing w:after="73"/>
              <w:ind w:firstLine="0"/>
              <w:rPr>
                <w:rFonts w:ascii="Verdana" w:hAnsi="Verdana"/>
                <w:sz w:val="16"/>
                <w:szCs w:val="16"/>
              </w:rPr>
            </w:pPr>
            <w:r w:rsidRPr="00D0180E">
              <w:rPr>
                <w:rFonts w:ascii="Verdana" w:hAnsi="Verdana"/>
                <w:b/>
                <w:sz w:val="16"/>
                <w:szCs w:val="16"/>
              </w:rPr>
              <w:t>Artículo 169.</w:t>
            </w:r>
            <w:r w:rsidRPr="00D0180E">
              <w:rPr>
                <w:rFonts w:ascii="Verdana" w:hAnsi="Verdana"/>
                <w:sz w:val="16"/>
                <w:szCs w:val="16"/>
              </w:rPr>
              <w:t xml:space="preserve"> La Secretaría y la CNE pueden establecer, para estos sistemas, los criterios de Justicia Energética, de Accesibilidad, Calidad, Confiabilidad, Continuidad, </w:t>
            </w:r>
            <w:r w:rsidRPr="00D0180E">
              <w:rPr>
                <w:rFonts w:ascii="Verdana" w:hAnsi="Verdana"/>
                <w:sz w:val="16"/>
                <w:szCs w:val="16"/>
              </w:rPr>
              <w:lastRenderedPageBreak/>
              <w:t>Eficiencia, Seguridad y Sostenibilidad, las metodologías de validación de costos, los costos asociados, las tarifas aplicables, los límites operativos para su clasificación, así como cualquier otra disposición que garantice su funcionamiento eficiente, seguro y en apego al interés público.</w:t>
            </w:r>
          </w:p>
        </w:tc>
        <w:tc>
          <w:tcPr>
            <w:tcW w:w="4644" w:type="dxa"/>
          </w:tcPr>
          <w:p w14:paraId="68AF29CA" w14:textId="1AB587DC" w:rsidR="003A38FF" w:rsidRPr="00D0180E" w:rsidRDefault="003A38FF" w:rsidP="003A38FF">
            <w:pPr>
              <w:pStyle w:val="Texto"/>
              <w:spacing w:after="73"/>
              <w:ind w:firstLine="0"/>
              <w:rPr>
                <w:rFonts w:ascii="Verdana" w:hAnsi="Verdana"/>
                <w:b/>
                <w:sz w:val="16"/>
                <w:szCs w:val="16"/>
                <w:lang w:val="en-US"/>
              </w:rPr>
            </w:pPr>
            <w:r w:rsidRPr="006815C5">
              <w:rPr>
                <w:rFonts w:ascii="Verdana" w:hAnsi="Verdana"/>
                <w:b/>
                <w:sz w:val="16"/>
                <w:szCs w:val="16"/>
                <w:lang w:val="en-US"/>
              </w:rPr>
              <w:lastRenderedPageBreak/>
              <w:t xml:space="preserve">Article 169. </w:t>
            </w:r>
            <w:r w:rsidRPr="006815C5">
              <w:rPr>
                <w:rFonts w:ascii="Verdana" w:hAnsi="Verdana"/>
                <w:sz w:val="16"/>
                <w:szCs w:val="16"/>
                <w:lang w:val="en-US"/>
              </w:rPr>
              <w:t xml:space="preserve">The Secretary and the CNE may establish, for these systems, the criteria of energy justice, accessibility, quality, reliability, continuity, efficiency, </w:t>
            </w:r>
            <w:r w:rsidRPr="006815C5">
              <w:rPr>
                <w:rFonts w:ascii="Verdana" w:hAnsi="Verdana"/>
                <w:sz w:val="16"/>
                <w:szCs w:val="16"/>
                <w:lang w:val="en-US"/>
              </w:rPr>
              <w:lastRenderedPageBreak/>
              <w:t>security and sustainability, the cost validation methodologies, the associated costs, the applicable rates, the operating limits for their classification, as well as any other provision that guarantees their efficient, safe operation and adherence to the public interest.</w:t>
            </w:r>
          </w:p>
        </w:tc>
      </w:tr>
      <w:tr w:rsidR="003A38FF" w:rsidRPr="00D83DA2" w14:paraId="24BA4D9B" w14:textId="22E30D24" w:rsidTr="00FB5DAD">
        <w:tc>
          <w:tcPr>
            <w:tcW w:w="4706" w:type="dxa"/>
          </w:tcPr>
          <w:p w14:paraId="7142A4D4" w14:textId="77777777" w:rsidR="003A38FF" w:rsidRPr="00D0180E" w:rsidRDefault="003A38FF" w:rsidP="003A38FF">
            <w:pPr>
              <w:pStyle w:val="Texto"/>
              <w:spacing w:after="73"/>
              <w:ind w:firstLine="0"/>
              <w:rPr>
                <w:rFonts w:ascii="Verdana" w:hAnsi="Verdana"/>
                <w:sz w:val="16"/>
                <w:szCs w:val="16"/>
              </w:rPr>
            </w:pPr>
            <w:r w:rsidRPr="00D0180E">
              <w:rPr>
                <w:rFonts w:ascii="Verdana" w:hAnsi="Verdana"/>
                <w:b/>
                <w:sz w:val="16"/>
                <w:szCs w:val="16"/>
              </w:rPr>
              <w:lastRenderedPageBreak/>
              <w:t>Artículo 170.</w:t>
            </w:r>
            <w:r w:rsidRPr="00D0180E">
              <w:rPr>
                <w:rFonts w:ascii="Verdana" w:hAnsi="Verdana"/>
                <w:sz w:val="16"/>
                <w:szCs w:val="16"/>
              </w:rPr>
              <w:t xml:space="preserve"> Se debe sancionar en términos de la Ley a quien haga uso indebido del estatus de pequeños sistemas eléctricos.</w:t>
            </w:r>
          </w:p>
        </w:tc>
        <w:tc>
          <w:tcPr>
            <w:tcW w:w="4644" w:type="dxa"/>
          </w:tcPr>
          <w:p w14:paraId="7B7BE0FC" w14:textId="364FCE37" w:rsidR="003A38FF" w:rsidRPr="00D0180E" w:rsidRDefault="003A38FF" w:rsidP="003A38FF">
            <w:pPr>
              <w:pStyle w:val="Texto"/>
              <w:spacing w:after="73"/>
              <w:ind w:firstLine="0"/>
              <w:rPr>
                <w:rFonts w:ascii="Verdana" w:hAnsi="Verdana"/>
                <w:b/>
                <w:sz w:val="16"/>
                <w:szCs w:val="16"/>
                <w:lang w:val="en-US"/>
              </w:rPr>
            </w:pPr>
            <w:r w:rsidRPr="006815C5">
              <w:rPr>
                <w:rFonts w:ascii="Verdana" w:hAnsi="Verdana"/>
                <w:b/>
                <w:sz w:val="16"/>
                <w:szCs w:val="16"/>
                <w:lang w:val="en-US"/>
              </w:rPr>
              <w:t xml:space="preserve">Article 170. </w:t>
            </w:r>
            <w:r w:rsidRPr="006815C5">
              <w:rPr>
                <w:rFonts w:ascii="Verdana" w:hAnsi="Verdana"/>
                <w:sz w:val="16"/>
                <w:szCs w:val="16"/>
                <w:lang w:val="en-US"/>
              </w:rPr>
              <w:t>Anyone who misuses the status of small electrical systems must be sanctioned in accordance with the law.</w:t>
            </w:r>
          </w:p>
        </w:tc>
      </w:tr>
      <w:tr w:rsidR="003A38FF" w:rsidRPr="00D0180E" w14:paraId="2428D4CB" w14:textId="5A732B9E" w:rsidTr="00FB5DAD">
        <w:tc>
          <w:tcPr>
            <w:tcW w:w="4706" w:type="dxa"/>
          </w:tcPr>
          <w:p w14:paraId="1A3FFF10" w14:textId="77777777" w:rsidR="003A38FF" w:rsidRPr="00D0180E" w:rsidRDefault="003A38FF" w:rsidP="003A38FF">
            <w:pPr>
              <w:pStyle w:val="Texto"/>
              <w:spacing w:after="73"/>
              <w:ind w:firstLine="0"/>
              <w:jc w:val="center"/>
              <w:rPr>
                <w:rFonts w:ascii="Verdana" w:hAnsi="Verdana"/>
                <w:b/>
                <w:sz w:val="16"/>
                <w:szCs w:val="16"/>
              </w:rPr>
            </w:pPr>
            <w:r w:rsidRPr="00D0180E">
              <w:rPr>
                <w:rFonts w:ascii="Verdana" w:hAnsi="Verdana"/>
                <w:b/>
                <w:sz w:val="16"/>
                <w:szCs w:val="16"/>
              </w:rPr>
              <w:t>Sección Única</w:t>
            </w:r>
          </w:p>
        </w:tc>
        <w:tc>
          <w:tcPr>
            <w:tcW w:w="4644" w:type="dxa"/>
          </w:tcPr>
          <w:p w14:paraId="0F5D20D9" w14:textId="79FF04F0" w:rsidR="003A38FF" w:rsidRPr="00D0180E" w:rsidRDefault="003A38FF" w:rsidP="003A38FF">
            <w:pPr>
              <w:pStyle w:val="Texto"/>
              <w:spacing w:after="73"/>
              <w:ind w:firstLine="0"/>
              <w:jc w:val="center"/>
              <w:rPr>
                <w:rFonts w:ascii="Verdana" w:hAnsi="Verdana"/>
                <w:b/>
                <w:sz w:val="16"/>
                <w:szCs w:val="16"/>
                <w:lang w:val="en-US"/>
              </w:rPr>
            </w:pPr>
            <w:r w:rsidRPr="00D0180E">
              <w:rPr>
                <w:rFonts w:ascii="Verdana" w:hAnsi="Verdana"/>
                <w:b/>
                <w:sz w:val="16"/>
                <w:szCs w:val="16"/>
              </w:rPr>
              <w:t>S</w:t>
            </w:r>
            <w:r>
              <w:rPr>
                <w:rFonts w:ascii="Verdana" w:hAnsi="Verdana"/>
                <w:b/>
                <w:sz w:val="16"/>
                <w:szCs w:val="16"/>
              </w:rPr>
              <w:t>o</w:t>
            </w:r>
            <w:r w:rsidRPr="00D0180E">
              <w:rPr>
                <w:rFonts w:ascii="Verdana" w:hAnsi="Verdana"/>
                <w:b/>
                <w:sz w:val="16"/>
                <w:szCs w:val="16"/>
              </w:rPr>
              <w:t>le Section</w:t>
            </w:r>
          </w:p>
        </w:tc>
      </w:tr>
      <w:tr w:rsidR="003A38FF" w:rsidRPr="00D83DA2" w14:paraId="15FA473A" w14:textId="02C1CD26" w:rsidTr="00FB5DAD">
        <w:tc>
          <w:tcPr>
            <w:tcW w:w="4706" w:type="dxa"/>
          </w:tcPr>
          <w:p w14:paraId="4D782A44" w14:textId="77777777" w:rsidR="003A38FF" w:rsidRPr="00D0180E" w:rsidRDefault="003A38FF" w:rsidP="003A38FF">
            <w:pPr>
              <w:pStyle w:val="Texto"/>
              <w:spacing w:after="73"/>
              <w:ind w:firstLine="0"/>
              <w:jc w:val="center"/>
              <w:rPr>
                <w:rFonts w:ascii="Verdana" w:hAnsi="Verdana"/>
                <w:b/>
                <w:sz w:val="16"/>
                <w:szCs w:val="16"/>
              </w:rPr>
            </w:pPr>
            <w:r w:rsidRPr="00D0180E">
              <w:rPr>
                <w:rFonts w:ascii="Verdana" w:hAnsi="Verdana"/>
                <w:b/>
                <w:sz w:val="16"/>
                <w:szCs w:val="16"/>
              </w:rPr>
              <w:t>De los Pequeños Sistemas Eléctricos en Régimen de Micro-Red</w:t>
            </w:r>
          </w:p>
        </w:tc>
        <w:tc>
          <w:tcPr>
            <w:tcW w:w="4644" w:type="dxa"/>
          </w:tcPr>
          <w:p w14:paraId="5FE7D3A4" w14:textId="527D5FCD" w:rsidR="003A38FF" w:rsidRPr="00D0180E" w:rsidRDefault="003A38FF" w:rsidP="003A38FF">
            <w:pPr>
              <w:pStyle w:val="Texto"/>
              <w:spacing w:after="73"/>
              <w:ind w:firstLine="0"/>
              <w:jc w:val="center"/>
              <w:rPr>
                <w:rFonts w:ascii="Verdana" w:hAnsi="Verdana"/>
                <w:b/>
                <w:sz w:val="16"/>
                <w:szCs w:val="16"/>
                <w:lang w:val="en-US"/>
              </w:rPr>
            </w:pPr>
            <w:r w:rsidRPr="006815C5">
              <w:rPr>
                <w:rFonts w:ascii="Verdana" w:hAnsi="Verdana"/>
                <w:b/>
                <w:sz w:val="16"/>
                <w:szCs w:val="16"/>
                <w:lang w:val="en-US"/>
              </w:rPr>
              <w:t>Small Electrical Systems in Micro-Grid Regime</w:t>
            </w:r>
          </w:p>
        </w:tc>
      </w:tr>
      <w:tr w:rsidR="003A38FF" w:rsidRPr="00D83DA2" w14:paraId="1F0AE6C7" w14:textId="5BAF1431" w:rsidTr="00FB5DAD">
        <w:tc>
          <w:tcPr>
            <w:tcW w:w="4706" w:type="dxa"/>
          </w:tcPr>
          <w:p w14:paraId="3D8B2B5A" w14:textId="77777777" w:rsidR="003A38FF" w:rsidRPr="00D0180E" w:rsidRDefault="003A38FF" w:rsidP="003A38FF">
            <w:pPr>
              <w:pStyle w:val="Texto"/>
              <w:spacing w:after="73"/>
              <w:ind w:firstLine="0"/>
              <w:rPr>
                <w:rFonts w:ascii="Verdana" w:hAnsi="Verdana"/>
                <w:sz w:val="16"/>
                <w:szCs w:val="16"/>
              </w:rPr>
            </w:pPr>
            <w:r w:rsidRPr="00D0180E">
              <w:rPr>
                <w:rFonts w:ascii="Verdana" w:hAnsi="Verdana"/>
                <w:b/>
                <w:sz w:val="16"/>
                <w:szCs w:val="16"/>
              </w:rPr>
              <w:t>Artículo 171.</w:t>
            </w:r>
            <w:r w:rsidRPr="00D0180E">
              <w:rPr>
                <w:rFonts w:ascii="Verdana" w:hAnsi="Verdana"/>
                <w:sz w:val="16"/>
                <w:szCs w:val="16"/>
              </w:rPr>
              <w:t xml:space="preserve"> Se considera pequeño sistema eléctrico en régimen de micro-red al sistema que en términos del artículo 79 de la Ley, suministre una demanda no mayor a 5 MW, con fronteras eléctricas claramente definidas y que se comporta como una sola entidad. Se encuentra sujeto a la obtención del permiso de generación de energía eléctrica autoconsumo modalidad aislado.</w:t>
            </w:r>
          </w:p>
        </w:tc>
        <w:tc>
          <w:tcPr>
            <w:tcW w:w="4644" w:type="dxa"/>
          </w:tcPr>
          <w:p w14:paraId="66A695EF" w14:textId="2ED11324" w:rsidR="003A38FF" w:rsidRPr="00D0180E" w:rsidRDefault="003A38FF" w:rsidP="003A38FF">
            <w:pPr>
              <w:pStyle w:val="Texto"/>
              <w:spacing w:after="73"/>
              <w:ind w:firstLine="0"/>
              <w:rPr>
                <w:rFonts w:ascii="Verdana" w:hAnsi="Verdana"/>
                <w:b/>
                <w:sz w:val="16"/>
                <w:szCs w:val="16"/>
                <w:lang w:val="en-US"/>
              </w:rPr>
            </w:pPr>
            <w:r w:rsidRPr="006815C5">
              <w:rPr>
                <w:rFonts w:ascii="Verdana" w:hAnsi="Verdana"/>
                <w:b/>
                <w:sz w:val="16"/>
                <w:szCs w:val="16"/>
                <w:lang w:val="en-US"/>
              </w:rPr>
              <w:t xml:space="preserve">Article 171. </w:t>
            </w:r>
            <w:r w:rsidRPr="006815C5">
              <w:rPr>
                <w:rFonts w:ascii="Verdana" w:hAnsi="Verdana"/>
                <w:sz w:val="16"/>
                <w:szCs w:val="16"/>
                <w:lang w:val="en-US"/>
              </w:rPr>
              <w:t xml:space="preserve">A small electrical system operating under a microgrid regime </w:t>
            </w:r>
            <w:proofErr w:type="gramStart"/>
            <w:r w:rsidRPr="006815C5">
              <w:rPr>
                <w:rFonts w:ascii="Verdana" w:hAnsi="Verdana"/>
                <w:sz w:val="16"/>
                <w:szCs w:val="16"/>
                <w:lang w:val="en-US"/>
              </w:rPr>
              <w:t>is considered to be</w:t>
            </w:r>
            <w:proofErr w:type="gramEnd"/>
            <w:r w:rsidRPr="006815C5">
              <w:rPr>
                <w:rFonts w:ascii="Verdana" w:hAnsi="Verdana"/>
                <w:sz w:val="16"/>
                <w:szCs w:val="16"/>
                <w:lang w:val="en-US"/>
              </w:rPr>
              <w:t xml:space="preserve"> one that, in accordance with Article 79 of the Law, supplies a demand of no more than 5 MW, within clearly defined electrical boundaries, and that operates as a single entity. This system is subject to obtaining a permit for self-consumption electricity generation in the isolated mode.</w:t>
            </w:r>
          </w:p>
        </w:tc>
      </w:tr>
      <w:tr w:rsidR="003A38FF" w:rsidRPr="00D83DA2" w14:paraId="4EBCFDFB" w14:textId="1FD2CE83" w:rsidTr="00FB5DAD">
        <w:tc>
          <w:tcPr>
            <w:tcW w:w="4706" w:type="dxa"/>
          </w:tcPr>
          <w:p w14:paraId="004413EC" w14:textId="77777777" w:rsidR="003A38FF" w:rsidRPr="00D0180E" w:rsidRDefault="003A38FF" w:rsidP="003A38FF">
            <w:pPr>
              <w:pStyle w:val="Texto"/>
              <w:spacing w:after="73"/>
              <w:ind w:firstLine="0"/>
              <w:rPr>
                <w:rFonts w:ascii="Verdana" w:hAnsi="Verdana"/>
                <w:sz w:val="16"/>
                <w:szCs w:val="16"/>
              </w:rPr>
            </w:pPr>
            <w:r w:rsidRPr="00D0180E">
              <w:rPr>
                <w:rFonts w:ascii="Verdana" w:hAnsi="Verdana"/>
                <w:b/>
                <w:sz w:val="16"/>
                <w:szCs w:val="16"/>
              </w:rPr>
              <w:t>Artículo 172.</w:t>
            </w:r>
            <w:r w:rsidRPr="00D0180E">
              <w:rPr>
                <w:rFonts w:ascii="Verdana" w:hAnsi="Verdana"/>
                <w:sz w:val="16"/>
                <w:szCs w:val="16"/>
              </w:rPr>
              <w:t xml:space="preserve"> Cuando la capacidad total de generación del pequeño sistema eléctrico en régimen de micro-red sea igual o menor a 0.7 MW está exenta de permiso de generación.</w:t>
            </w:r>
          </w:p>
        </w:tc>
        <w:tc>
          <w:tcPr>
            <w:tcW w:w="4644" w:type="dxa"/>
          </w:tcPr>
          <w:p w14:paraId="75494583" w14:textId="25D8137D" w:rsidR="003A38FF" w:rsidRPr="00D0180E" w:rsidRDefault="003A38FF" w:rsidP="003A38FF">
            <w:pPr>
              <w:pStyle w:val="Texto"/>
              <w:spacing w:after="73"/>
              <w:ind w:firstLine="0"/>
              <w:rPr>
                <w:rFonts w:ascii="Verdana" w:hAnsi="Verdana"/>
                <w:b/>
                <w:sz w:val="16"/>
                <w:szCs w:val="16"/>
                <w:lang w:val="en-US"/>
              </w:rPr>
            </w:pPr>
            <w:r w:rsidRPr="006815C5">
              <w:rPr>
                <w:rFonts w:ascii="Verdana" w:hAnsi="Verdana"/>
                <w:b/>
                <w:sz w:val="16"/>
                <w:szCs w:val="16"/>
                <w:lang w:val="en-US"/>
              </w:rPr>
              <w:t xml:space="preserve">Article 172. </w:t>
            </w:r>
            <w:r w:rsidRPr="006815C5">
              <w:rPr>
                <w:rFonts w:ascii="Verdana" w:hAnsi="Verdana"/>
                <w:sz w:val="16"/>
                <w:szCs w:val="16"/>
                <w:lang w:val="en-US"/>
              </w:rPr>
              <w:t>When the total generation capacity of the small electrical system in micro-grid regime is equal to or less than 0.7 MW, it is exempt from a generation permit.</w:t>
            </w:r>
          </w:p>
        </w:tc>
      </w:tr>
      <w:tr w:rsidR="003A38FF" w:rsidRPr="00D83DA2" w14:paraId="14EB353E" w14:textId="16FCAF33" w:rsidTr="00FB5DAD">
        <w:tc>
          <w:tcPr>
            <w:tcW w:w="4706" w:type="dxa"/>
          </w:tcPr>
          <w:p w14:paraId="43685755" w14:textId="77777777" w:rsidR="003A38FF" w:rsidRPr="00D0180E" w:rsidRDefault="003A38FF" w:rsidP="003A38FF">
            <w:pPr>
              <w:pStyle w:val="Texto"/>
              <w:spacing w:after="73"/>
              <w:ind w:firstLine="0"/>
              <w:rPr>
                <w:rFonts w:ascii="Verdana" w:hAnsi="Verdana"/>
                <w:sz w:val="16"/>
                <w:szCs w:val="16"/>
              </w:rPr>
            </w:pPr>
            <w:r w:rsidRPr="00D0180E">
              <w:rPr>
                <w:rFonts w:ascii="Verdana" w:hAnsi="Verdana"/>
                <w:b/>
                <w:sz w:val="16"/>
                <w:szCs w:val="16"/>
              </w:rPr>
              <w:t>Artículo 173.</w:t>
            </w:r>
            <w:r w:rsidRPr="00D0180E">
              <w:rPr>
                <w:rFonts w:ascii="Verdana" w:hAnsi="Verdana"/>
                <w:sz w:val="16"/>
                <w:szCs w:val="16"/>
              </w:rPr>
              <w:t xml:space="preserve"> Los pequeños sistemas eléctricos en régimen de micro-red deben cumplir con las Reglas del Mercado y, en su caso, las disposiciones administrativas de carácter general a que se refiere el artículo 166 del presente reglamento.</w:t>
            </w:r>
          </w:p>
        </w:tc>
        <w:tc>
          <w:tcPr>
            <w:tcW w:w="4644" w:type="dxa"/>
          </w:tcPr>
          <w:p w14:paraId="76D9EDB3" w14:textId="7B3E1365" w:rsidR="003A38FF" w:rsidRPr="00D0180E" w:rsidRDefault="003A38FF" w:rsidP="003A38FF">
            <w:pPr>
              <w:pStyle w:val="Texto"/>
              <w:spacing w:after="73"/>
              <w:ind w:firstLine="0"/>
              <w:rPr>
                <w:rFonts w:ascii="Verdana" w:hAnsi="Verdana"/>
                <w:b/>
                <w:sz w:val="16"/>
                <w:szCs w:val="16"/>
                <w:lang w:val="en-US"/>
              </w:rPr>
            </w:pPr>
            <w:r w:rsidRPr="006815C5">
              <w:rPr>
                <w:rFonts w:ascii="Verdana" w:hAnsi="Verdana"/>
                <w:b/>
                <w:sz w:val="16"/>
                <w:szCs w:val="16"/>
                <w:lang w:val="en-US"/>
              </w:rPr>
              <w:t xml:space="preserve">Article 173. </w:t>
            </w:r>
            <w:r w:rsidRPr="006815C5">
              <w:rPr>
                <w:rFonts w:ascii="Verdana" w:hAnsi="Verdana"/>
                <w:sz w:val="16"/>
                <w:szCs w:val="16"/>
                <w:lang w:val="en-US"/>
              </w:rPr>
              <w:t>Small electrical systems operating under microgrid conditions must comply with the market rules and, where applicable, the general administrative provisions referred to in Article 166 of this regulation.</w:t>
            </w:r>
          </w:p>
        </w:tc>
      </w:tr>
      <w:tr w:rsidR="003A38FF" w:rsidRPr="00D83DA2" w14:paraId="5568DF34" w14:textId="2180D262" w:rsidTr="00FB5DAD">
        <w:tc>
          <w:tcPr>
            <w:tcW w:w="4706" w:type="dxa"/>
          </w:tcPr>
          <w:p w14:paraId="1E664B71" w14:textId="77777777" w:rsidR="003A38FF" w:rsidRPr="00D0180E" w:rsidRDefault="003A38FF" w:rsidP="003A38FF">
            <w:pPr>
              <w:pStyle w:val="Texto"/>
              <w:spacing w:after="73"/>
              <w:ind w:firstLine="0"/>
              <w:rPr>
                <w:rFonts w:ascii="Verdana" w:hAnsi="Verdana"/>
                <w:sz w:val="16"/>
                <w:szCs w:val="16"/>
              </w:rPr>
            </w:pPr>
            <w:r w:rsidRPr="00D0180E">
              <w:rPr>
                <w:rFonts w:ascii="Verdana" w:hAnsi="Verdana"/>
                <w:b/>
                <w:sz w:val="16"/>
                <w:szCs w:val="16"/>
              </w:rPr>
              <w:t>Artículo 174.</w:t>
            </w:r>
            <w:r w:rsidRPr="00D0180E">
              <w:rPr>
                <w:rFonts w:ascii="Verdana" w:hAnsi="Verdana"/>
                <w:sz w:val="16"/>
                <w:szCs w:val="16"/>
              </w:rPr>
              <w:t xml:space="preserve"> La CNE en coordinación con la Secretaría puede definir, a través de las disposiciones administrativas de carácter general a que se refiere el artículo 166 del presente reglamento, esquemas de pequeños sistemas eléctricos en régimen de micro-red que contemplen la operación conjunta, gobernanza local o participación del sector social, en los que se reconozcan las condiciones particulares de las comunidades energéticas, cooperativas, autoridades locales u otros actores, que promuevan la Justicia Energética.</w:t>
            </w:r>
          </w:p>
        </w:tc>
        <w:tc>
          <w:tcPr>
            <w:tcW w:w="4644" w:type="dxa"/>
          </w:tcPr>
          <w:p w14:paraId="6613B1DF" w14:textId="64547DAA" w:rsidR="003A38FF" w:rsidRPr="00D0180E" w:rsidRDefault="003A38FF" w:rsidP="003A38FF">
            <w:pPr>
              <w:pStyle w:val="Texto"/>
              <w:spacing w:after="73"/>
              <w:ind w:firstLine="0"/>
              <w:rPr>
                <w:rFonts w:ascii="Verdana" w:hAnsi="Verdana"/>
                <w:b/>
                <w:sz w:val="16"/>
                <w:szCs w:val="16"/>
                <w:lang w:val="en-US"/>
              </w:rPr>
            </w:pPr>
            <w:r w:rsidRPr="006815C5">
              <w:rPr>
                <w:rFonts w:ascii="Verdana" w:hAnsi="Verdana"/>
                <w:b/>
                <w:sz w:val="16"/>
                <w:szCs w:val="16"/>
                <w:lang w:val="en-US"/>
              </w:rPr>
              <w:t xml:space="preserve">Article 174. </w:t>
            </w:r>
            <w:r w:rsidRPr="006815C5">
              <w:rPr>
                <w:rFonts w:ascii="Verdana" w:hAnsi="Verdana"/>
                <w:sz w:val="16"/>
                <w:szCs w:val="16"/>
                <w:lang w:val="en-US"/>
              </w:rPr>
              <w:t>The CNE, in coordination with the Secretary, may define, through the general administrative provisions referred to in Article 166 of this regulation, schemes for small electrical systems in a micro-grid regime that contemplate joint operation, local governance or participation of the social sector, in which the particular conditions of energy communities, cooperatives, local authorities or other actors are recognized, which promote energy justice.</w:t>
            </w:r>
          </w:p>
        </w:tc>
      </w:tr>
      <w:tr w:rsidR="003A38FF" w:rsidRPr="00D83DA2" w14:paraId="5FE07842" w14:textId="1C9BA1AA" w:rsidTr="00FB5DAD">
        <w:tc>
          <w:tcPr>
            <w:tcW w:w="4706" w:type="dxa"/>
          </w:tcPr>
          <w:p w14:paraId="3347ADBA" w14:textId="77777777" w:rsidR="003A38FF" w:rsidRPr="00D0180E" w:rsidRDefault="003A38FF" w:rsidP="003A38FF">
            <w:pPr>
              <w:pStyle w:val="Texto"/>
              <w:spacing w:after="73"/>
              <w:ind w:firstLine="0"/>
              <w:rPr>
                <w:rFonts w:ascii="Verdana" w:hAnsi="Verdana"/>
                <w:sz w:val="16"/>
                <w:szCs w:val="16"/>
              </w:rPr>
            </w:pPr>
            <w:r w:rsidRPr="00D0180E">
              <w:rPr>
                <w:rFonts w:ascii="Verdana" w:hAnsi="Verdana"/>
                <w:sz w:val="16"/>
                <w:szCs w:val="16"/>
              </w:rPr>
              <w:t>La operación conjunta prevista corresponde a la coordinación entre la Empresa Pública del Estado, las autoridades locales y otros actores técnicos o comunitarios.</w:t>
            </w:r>
          </w:p>
        </w:tc>
        <w:tc>
          <w:tcPr>
            <w:tcW w:w="4644" w:type="dxa"/>
          </w:tcPr>
          <w:p w14:paraId="1995AE95" w14:textId="13401CE7" w:rsidR="003A38FF" w:rsidRPr="00D0180E" w:rsidRDefault="003A38FF" w:rsidP="003A38FF">
            <w:pPr>
              <w:pStyle w:val="Texto"/>
              <w:spacing w:after="73"/>
              <w:ind w:firstLine="0"/>
              <w:rPr>
                <w:rFonts w:ascii="Verdana" w:hAnsi="Verdana"/>
                <w:sz w:val="16"/>
                <w:szCs w:val="16"/>
                <w:lang w:val="en-US"/>
              </w:rPr>
            </w:pPr>
            <w:r w:rsidRPr="006815C5">
              <w:rPr>
                <w:rFonts w:ascii="Verdana" w:hAnsi="Verdana"/>
                <w:sz w:val="16"/>
                <w:szCs w:val="16"/>
                <w:lang w:val="en-US"/>
              </w:rPr>
              <w:t xml:space="preserve">The planned joint operation corresponds to the coordination between the </w:t>
            </w:r>
            <w:r>
              <w:rPr>
                <w:rFonts w:ascii="Verdana" w:hAnsi="Verdana"/>
                <w:sz w:val="16"/>
                <w:szCs w:val="16"/>
                <w:lang w:val="en-US"/>
              </w:rPr>
              <w:t>State Public Enterprise,</w:t>
            </w:r>
            <w:r w:rsidRPr="006815C5">
              <w:rPr>
                <w:rFonts w:ascii="Verdana" w:hAnsi="Verdana"/>
                <w:sz w:val="16"/>
                <w:szCs w:val="16"/>
                <w:lang w:val="en-US"/>
              </w:rPr>
              <w:t xml:space="preserve"> local authorities, and other technical or community actors.</w:t>
            </w:r>
          </w:p>
        </w:tc>
      </w:tr>
      <w:tr w:rsidR="003A38FF" w:rsidRPr="00D83DA2" w14:paraId="5C97AA79" w14:textId="1E5749F8" w:rsidTr="00FB5DAD">
        <w:tc>
          <w:tcPr>
            <w:tcW w:w="4706" w:type="dxa"/>
          </w:tcPr>
          <w:p w14:paraId="417264F4" w14:textId="77777777" w:rsidR="003A38FF" w:rsidRPr="00D0180E" w:rsidRDefault="003A38FF" w:rsidP="003A38FF">
            <w:pPr>
              <w:pStyle w:val="Texto"/>
              <w:spacing w:after="73"/>
              <w:ind w:firstLine="0"/>
              <w:rPr>
                <w:rFonts w:ascii="Verdana" w:hAnsi="Verdana"/>
                <w:sz w:val="16"/>
                <w:szCs w:val="16"/>
              </w:rPr>
            </w:pPr>
            <w:r w:rsidRPr="00D0180E">
              <w:rPr>
                <w:rFonts w:ascii="Verdana" w:hAnsi="Verdana"/>
                <w:b/>
                <w:sz w:val="16"/>
                <w:szCs w:val="16"/>
              </w:rPr>
              <w:t>Artículo 175.</w:t>
            </w:r>
            <w:r w:rsidRPr="00D0180E">
              <w:rPr>
                <w:rFonts w:ascii="Verdana" w:hAnsi="Verdana"/>
                <w:sz w:val="16"/>
                <w:szCs w:val="16"/>
              </w:rPr>
              <w:t xml:space="preserve"> El Suministro Eléctrico provisto a través de pequeños sistemas eléctricos en régimen de micro-red, puede ser Suministro Básico cuando es prestado por la Empresa Pública del Estado o como venta a terceras personas si se constituye como una sola entidad legal, en términos del artículo 79 de la Ley.</w:t>
            </w:r>
          </w:p>
        </w:tc>
        <w:tc>
          <w:tcPr>
            <w:tcW w:w="4644" w:type="dxa"/>
          </w:tcPr>
          <w:p w14:paraId="15BD7FA5" w14:textId="5D3F3A19" w:rsidR="003A38FF" w:rsidRPr="00D0180E" w:rsidRDefault="003A38FF" w:rsidP="003A38FF">
            <w:pPr>
              <w:pStyle w:val="Texto"/>
              <w:spacing w:after="73"/>
              <w:ind w:firstLine="0"/>
              <w:rPr>
                <w:rFonts w:ascii="Verdana" w:hAnsi="Verdana"/>
                <w:b/>
                <w:sz w:val="16"/>
                <w:szCs w:val="16"/>
                <w:lang w:val="en-US"/>
              </w:rPr>
            </w:pPr>
            <w:r w:rsidRPr="006815C5">
              <w:rPr>
                <w:rFonts w:ascii="Verdana" w:hAnsi="Verdana"/>
                <w:b/>
                <w:sz w:val="16"/>
                <w:szCs w:val="16"/>
                <w:lang w:val="en-US"/>
              </w:rPr>
              <w:t xml:space="preserve">Article 175. </w:t>
            </w:r>
            <w:r w:rsidRPr="006815C5">
              <w:rPr>
                <w:rFonts w:ascii="Verdana" w:hAnsi="Verdana"/>
                <w:sz w:val="16"/>
                <w:szCs w:val="16"/>
                <w:lang w:val="en-US"/>
              </w:rPr>
              <w:t xml:space="preserve">The electricity supply provided through small electrical systems under a micro-grid regime may be basic supply when it is provided by the </w:t>
            </w:r>
            <w:r>
              <w:rPr>
                <w:rFonts w:ascii="Verdana" w:hAnsi="Verdana"/>
                <w:sz w:val="16"/>
                <w:szCs w:val="16"/>
                <w:lang w:val="en-US"/>
              </w:rPr>
              <w:t xml:space="preserve">State Public Enterprise </w:t>
            </w:r>
            <w:r w:rsidRPr="006815C5">
              <w:rPr>
                <w:rFonts w:ascii="Verdana" w:hAnsi="Verdana"/>
                <w:sz w:val="16"/>
                <w:szCs w:val="16"/>
                <w:lang w:val="en-US"/>
              </w:rPr>
              <w:t xml:space="preserve">or as a sale to third parties if it is constituted as a single legal entity, </w:t>
            </w:r>
            <w:r>
              <w:rPr>
                <w:rFonts w:ascii="Verdana" w:hAnsi="Verdana"/>
                <w:sz w:val="16"/>
                <w:szCs w:val="16"/>
                <w:lang w:val="en-US"/>
              </w:rPr>
              <w:t>under the</w:t>
            </w:r>
            <w:r w:rsidRPr="006815C5">
              <w:rPr>
                <w:rFonts w:ascii="Verdana" w:hAnsi="Verdana"/>
                <w:sz w:val="16"/>
                <w:szCs w:val="16"/>
                <w:lang w:val="en-US"/>
              </w:rPr>
              <w:t xml:space="preserve"> terms of Article 79 of the Law.</w:t>
            </w:r>
          </w:p>
        </w:tc>
      </w:tr>
      <w:tr w:rsidR="003A38FF" w:rsidRPr="00D83DA2" w14:paraId="11EE79A5" w14:textId="21D69A89" w:rsidTr="00FB5DAD">
        <w:tc>
          <w:tcPr>
            <w:tcW w:w="4706" w:type="dxa"/>
          </w:tcPr>
          <w:p w14:paraId="4173C8E3" w14:textId="77777777" w:rsidR="003A38FF" w:rsidRPr="00D0180E" w:rsidRDefault="003A38FF" w:rsidP="003A38FF">
            <w:pPr>
              <w:pStyle w:val="Texto"/>
              <w:spacing w:after="73"/>
              <w:ind w:firstLine="0"/>
              <w:rPr>
                <w:rFonts w:ascii="Verdana" w:hAnsi="Verdana"/>
                <w:sz w:val="16"/>
                <w:szCs w:val="16"/>
              </w:rPr>
            </w:pPr>
            <w:r w:rsidRPr="00D0180E">
              <w:rPr>
                <w:rFonts w:ascii="Verdana" w:hAnsi="Verdana"/>
                <w:sz w:val="16"/>
                <w:szCs w:val="16"/>
              </w:rPr>
              <w:t>Se debe sancionar en términos de la Ley a quien haga uso indebido de la modalidad de pequeño sistema eléctrico en régimen de micro-red.</w:t>
            </w:r>
          </w:p>
        </w:tc>
        <w:tc>
          <w:tcPr>
            <w:tcW w:w="4644" w:type="dxa"/>
          </w:tcPr>
          <w:p w14:paraId="40F33916" w14:textId="6F0BC278" w:rsidR="003A38FF" w:rsidRPr="00D0180E" w:rsidRDefault="003A38FF" w:rsidP="003A38FF">
            <w:pPr>
              <w:pStyle w:val="Texto"/>
              <w:spacing w:after="73"/>
              <w:ind w:firstLine="0"/>
              <w:rPr>
                <w:rFonts w:ascii="Verdana" w:hAnsi="Verdana"/>
                <w:sz w:val="16"/>
                <w:szCs w:val="16"/>
                <w:lang w:val="en-US"/>
              </w:rPr>
            </w:pPr>
            <w:r w:rsidRPr="006815C5">
              <w:rPr>
                <w:rFonts w:ascii="Verdana" w:hAnsi="Verdana"/>
                <w:sz w:val="16"/>
                <w:szCs w:val="16"/>
                <w:lang w:val="en-US"/>
              </w:rPr>
              <w:t>Anyone who misuses the small-scale microgrid system must be sanctioned under the law.</w:t>
            </w:r>
          </w:p>
        </w:tc>
      </w:tr>
      <w:tr w:rsidR="003A38FF" w:rsidRPr="00D83DA2" w14:paraId="70F9AE97" w14:textId="4DE1C720" w:rsidTr="00FB5DAD">
        <w:tc>
          <w:tcPr>
            <w:tcW w:w="4706" w:type="dxa"/>
          </w:tcPr>
          <w:p w14:paraId="04BD65DE" w14:textId="77777777" w:rsidR="003A38FF" w:rsidRPr="00D0180E" w:rsidRDefault="003A38FF" w:rsidP="003A38FF">
            <w:pPr>
              <w:pStyle w:val="Texto"/>
              <w:spacing w:after="73"/>
              <w:ind w:firstLine="0"/>
              <w:rPr>
                <w:rFonts w:ascii="Verdana" w:hAnsi="Verdana"/>
                <w:sz w:val="16"/>
                <w:szCs w:val="16"/>
              </w:rPr>
            </w:pPr>
            <w:r w:rsidRPr="00D0180E">
              <w:rPr>
                <w:rFonts w:ascii="Verdana" w:hAnsi="Verdana"/>
                <w:b/>
                <w:sz w:val="16"/>
                <w:szCs w:val="16"/>
              </w:rPr>
              <w:t>Artículo 176.</w:t>
            </w:r>
            <w:r w:rsidRPr="00D0180E">
              <w:rPr>
                <w:rFonts w:ascii="Verdana" w:hAnsi="Verdana"/>
                <w:sz w:val="16"/>
                <w:szCs w:val="16"/>
              </w:rPr>
              <w:t xml:space="preserve"> La CNE debe establecer mecanismos de supervisión para micro-redes, los cuales pueden incluir </w:t>
            </w:r>
            <w:r w:rsidRPr="00D0180E">
              <w:rPr>
                <w:rFonts w:ascii="Verdana" w:hAnsi="Verdana"/>
                <w:sz w:val="16"/>
                <w:szCs w:val="16"/>
              </w:rPr>
              <w:lastRenderedPageBreak/>
              <w:t>aspectos técnicos, de reporte y de seguimiento operativo.</w:t>
            </w:r>
          </w:p>
        </w:tc>
        <w:tc>
          <w:tcPr>
            <w:tcW w:w="4644" w:type="dxa"/>
          </w:tcPr>
          <w:p w14:paraId="69A0F110" w14:textId="31305667" w:rsidR="003A38FF" w:rsidRPr="00D0180E" w:rsidRDefault="003A38FF" w:rsidP="003A38FF">
            <w:pPr>
              <w:pStyle w:val="Texto"/>
              <w:spacing w:after="73"/>
              <w:ind w:firstLine="0"/>
              <w:rPr>
                <w:rFonts w:ascii="Verdana" w:hAnsi="Verdana"/>
                <w:b/>
                <w:sz w:val="16"/>
                <w:szCs w:val="16"/>
                <w:lang w:val="en-US"/>
              </w:rPr>
            </w:pPr>
            <w:r w:rsidRPr="006815C5">
              <w:rPr>
                <w:rFonts w:ascii="Verdana" w:hAnsi="Verdana"/>
                <w:b/>
                <w:sz w:val="16"/>
                <w:szCs w:val="16"/>
                <w:lang w:val="en-US"/>
              </w:rPr>
              <w:lastRenderedPageBreak/>
              <w:t xml:space="preserve">Article 176. </w:t>
            </w:r>
            <w:r w:rsidRPr="006815C5">
              <w:rPr>
                <w:rFonts w:ascii="Verdana" w:hAnsi="Verdana"/>
                <w:sz w:val="16"/>
                <w:szCs w:val="16"/>
                <w:lang w:val="en-US"/>
              </w:rPr>
              <w:t xml:space="preserve">The CNE must establish supervisory mechanisms for microgrids, which may include </w:t>
            </w:r>
            <w:r w:rsidRPr="006815C5">
              <w:rPr>
                <w:rFonts w:ascii="Verdana" w:hAnsi="Verdana"/>
                <w:sz w:val="16"/>
                <w:szCs w:val="16"/>
                <w:lang w:val="en-US"/>
              </w:rPr>
              <w:lastRenderedPageBreak/>
              <w:t>technical, reporting, and operational monitoring aspects.</w:t>
            </w:r>
          </w:p>
        </w:tc>
      </w:tr>
      <w:tr w:rsidR="003A38FF" w:rsidRPr="00D0180E" w14:paraId="1CAB2918" w14:textId="5E4CD5DE" w:rsidTr="00FB5DAD">
        <w:tc>
          <w:tcPr>
            <w:tcW w:w="4706" w:type="dxa"/>
          </w:tcPr>
          <w:p w14:paraId="35ABD8DB" w14:textId="77777777" w:rsidR="003A38FF" w:rsidRPr="00D0180E" w:rsidRDefault="003A38FF" w:rsidP="003A38FF">
            <w:pPr>
              <w:pStyle w:val="Texto"/>
              <w:spacing w:after="73"/>
              <w:ind w:firstLine="0"/>
              <w:jc w:val="center"/>
              <w:rPr>
                <w:rFonts w:ascii="Verdana" w:hAnsi="Verdana"/>
                <w:b/>
                <w:sz w:val="16"/>
                <w:szCs w:val="16"/>
              </w:rPr>
            </w:pPr>
            <w:r w:rsidRPr="00D0180E">
              <w:rPr>
                <w:rFonts w:ascii="Verdana" w:hAnsi="Verdana"/>
                <w:b/>
                <w:sz w:val="16"/>
                <w:szCs w:val="16"/>
              </w:rPr>
              <w:lastRenderedPageBreak/>
              <w:t>Capítulo III</w:t>
            </w:r>
          </w:p>
        </w:tc>
        <w:tc>
          <w:tcPr>
            <w:tcW w:w="4644" w:type="dxa"/>
          </w:tcPr>
          <w:p w14:paraId="44B5846F" w14:textId="266F7AF8" w:rsidR="003A38FF" w:rsidRPr="00A96296" w:rsidRDefault="003A38FF" w:rsidP="003A38FF">
            <w:pPr>
              <w:pStyle w:val="Texto"/>
              <w:spacing w:after="73"/>
              <w:ind w:firstLine="0"/>
              <w:jc w:val="center"/>
              <w:rPr>
                <w:rFonts w:ascii="Verdana" w:hAnsi="Verdana"/>
                <w:b/>
                <w:sz w:val="16"/>
                <w:szCs w:val="16"/>
                <w:lang w:val="en-US"/>
              </w:rPr>
            </w:pPr>
            <w:r w:rsidRPr="00A96296">
              <w:rPr>
                <w:rFonts w:ascii="Verdana" w:hAnsi="Verdana"/>
                <w:b/>
                <w:sz w:val="16"/>
                <w:szCs w:val="16"/>
                <w:lang w:val="en-US"/>
              </w:rPr>
              <w:t>Chapter III</w:t>
            </w:r>
          </w:p>
        </w:tc>
      </w:tr>
      <w:tr w:rsidR="003A38FF" w:rsidRPr="00067E05" w14:paraId="555715A6" w14:textId="02A6678D" w:rsidTr="00FB5DAD">
        <w:tc>
          <w:tcPr>
            <w:tcW w:w="4706" w:type="dxa"/>
          </w:tcPr>
          <w:p w14:paraId="6D5447E5" w14:textId="77777777" w:rsidR="003A38FF" w:rsidRPr="00D0180E" w:rsidRDefault="003A38FF" w:rsidP="003A38FF">
            <w:pPr>
              <w:pStyle w:val="Texto"/>
              <w:spacing w:after="73"/>
              <w:ind w:firstLine="0"/>
              <w:jc w:val="center"/>
              <w:rPr>
                <w:rFonts w:ascii="Verdana" w:hAnsi="Verdana"/>
                <w:b/>
                <w:sz w:val="16"/>
                <w:szCs w:val="16"/>
              </w:rPr>
            </w:pPr>
            <w:r w:rsidRPr="00D0180E">
              <w:rPr>
                <w:rFonts w:ascii="Verdana" w:hAnsi="Verdana"/>
                <w:b/>
                <w:sz w:val="16"/>
                <w:szCs w:val="16"/>
              </w:rPr>
              <w:t>Del Mercado Eléctrico Mayorista</w:t>
            </w:r>
          </w:p>
        </w:tc>
        <w:tc>
          <w:tcPr>
            <w:tcW w:w="4644" w:type="dxa"/>
          </w:tcPr>
          <w:p w14:paraId="44DF3BCD" w14:textId="5993745C" w:rsidR="003A38FF" w:rsidRPr="00D0180E" w:rsidRDefault="003A38FF" w:rsidP="003A38FF">
            <w:pPr>
              <w:pStyle w:val="Texto"/>
              <w:spacing w:after="73"/>
              <w:ind w:firstLine="0"/>
              <w:jc w:val="center"/>
              <w:rPr>
                <w:rFonts w:ascii="Verdana" w:hAnsi="Verdana"/>
                <w:b/>
                <w:sz w:val="16"/>
                <w:szCs w:val="16"/>
                <w:lang w:val="en-US"/>
              </w:rPr>
            </w:pPr>
            <w:r w:rsidRPr="006815C5">
              <w:rPr>
                <w:rFonts w:ascii="Verdana" w:hAnsi="Verdana"/>
                <w:b/>
                <w:sz w:val="16"/>
                <w:szCs w:val="16"/>
                <w:lang w:val="en-US"/>
              </w:rPr>
              <w:t>Wholesale Electricity Market</w:t>
            </w:r>
          </w:p>
        </w:tc>
      </w:tr>
      <w:tr w:rsidR="003A38FF" w:rsidRPr="00D83DA2" w14:paraId="0ACD0EE4" w14:textId="43060E6D" w:rsidTr="00FB5DAD">
        <w:tc>
          <w:tcPr>
            <w:tcW w:w="4706" w:type="dxa"/>
          </w:tcPr>
          <w:p w14:paraId="08E66C15" w14:textId="77777777" w:rsidR="003A38FF" w:rsidRPr="00D0180E" w:rsidRDefault="003A38FF" w:rsidP="003A38FF">
            <w:pPr>
              <w:pStyle w:val="Texto"/>
              <w:spacing w:after="73"/>
              <w:ind w:firstLine="0"/>
              <w:rPr>
                <w:rFonts w:ascii="Verdana" w:hAnsi="Verdana"/>
                <w:sz w:val="16"/>
                <w:szCs w:val="16"/>
                <w:lang w:val="es"/>
              </w:rPr>
            </w:pPr>
            <w:r w:rsidRPr="00D0180E">
              <w:rPr>
                <w:rFonts w:ascii="Verdana" w:hAnsi="Verdana"/>
                <w:b/>
                <w:sz w:val="16"/>
                <w:szCs w:val="16"/>
              </w:rPr>
              <w:t>Artículo 177.</w:t>
            </w:r>
            <w:r w:rsidRPr="00D0180E">
              <w:rPr>
                <w:rFonts w:ascii="Verdana" w:hAnsi="Verdana"/>
                <w:sz w:val="16"/>
                <w:szCs w:val="16"/>
              </w:rPr>
              <w:t xml:space="preserve"> </w:t>
            </w:r>
            <w:r w:rsidRPr="00D0180E">
              <w:rPr>
                <w:rFonts w:ascii="Verdana" w:hAnsi="Verdana"/>
                <w:sz w:val="16"/>
                <w:szCs w:val="16"/>
                <w:lang w:val="es"/>
              </w:rPr>
              <w:t>La operación del Mercado Eléctrico Mayorista se debe sujetar a las Reglas del Mercado, las cuales deben procurar en todo momento la igualdad de condiciones para todos los Participantes del Mercado y el Despacho Económico de Carga sujeto a restricciones de Confiabilidad y Seguridad.</w:t>
            </w:r>
          </w:p>
        </w:tc>
        <w:tc>
          <w:tcPr>
            <w:tcW w:w="4644" w:type="dxa"/>
          </w:tcPr>
          <w:p w14:paraId="5A644C1B" w14:textId="51A24690" w:rsidR="003A38FF" w:rsidRPr="00D0180E" w:rsidRDefault="003A38FF" w:rsidP="003A38FF">
            <w:pPr>
              <w:pStyle w:val="Texto"/>
              <w:spacing w:after="73"/>
              <w:ind w:firstLine="0"/>
              <w:rPr>
                <w:rFonts w:ascii="Verdana" w:hAnsi="Verdana"/>
                <w:b/>
                <w:sz w:val="16"/>
                <w:szCs w:val="16"/>
                <w:lang w:val="en-US"/>
              </w:rPr>
            </w:pPr>
            <w:r w:rsidRPr="006815C5">
              <w:rPr>
                <w:rFonts w:ascii="Verdana" w:hAnsi="Verdana"/>
                <w:b/>
                <w:sz w:val="16"/>
                <w:szCs w:val="16"/>
                <w:lang w:val="en-US"/>
              </w:rPr>
              <w:t>Article 177.</w:t>
            </w:r>
            <w:r w:rsidRPr="006815C5">
              <w:rPr>
                <w:rFonts w:ascii="Verdana" w:hAnsi="Verdana"/>
                <w:sz w:val="16"/>
                <w:szCs w:val="16"/>
                <w:lang w:val="en-US"/>
              </w:rPr>
              <w:t xml:space="preserve"> The operation of the wholesale electricity market must be subject to the market rules, which must </w:t>
            </w:r>
            <w:proofErr w:type="gramStart"/>
            <w:r w:rsidRPr="006815C5">
              <w:rPr>
                <w:rFonts w:ascii="Verdana" w:hAnsi="Verdana"/>
                <w:sz w:val="16"/>
                <w:szCs w:val="16"/>
                <w:lang w:val="en-US"/>
              </w:rPr>
              <w:t>ensure at all times</w:t>
            </w:r>
            <w:proofErr w:type="gramEnd"/>
            <w:r w:rsidRPr="006815C5">
              <w:rPr>
                <w:rFonts w:ascii="Verdana" w:hAnsi="Verdana"/>
                <w:sz w:val="16"/>
                <w:szCs w:val="16"/>
                <w:lang w:val="en-US"/>
              </w:rPr>
              <w:t xml:space="preserve"> a level playing field for all market participants and the economic dispatch of load subject to reliability and security restrictions.</w:t>
            </w:r>
          </w:p>
        </w:tc>
      </w:tr>
      <w:tr w:rsidR="003A38FF" w:rsidRPr="00D83DA2" w14:paraId="3EBFB926" w14:textId="54C87FD9" w:rsidTr="00FB5DAD">
        <w:tc>
          <w:tcPr>
            <w:tcW w:w="4706" w:type="dxa"/>
          </w:tcPr>
          <w:p w14:paraId="77C0E936" w14:textId="77777777" w:rsidR="003A38FF" w:rsidRPr="00D0180E" w:rsidRDefault="003A38FF" w:rsidP="003A38FF">
            <w:pPr>
              <w:pStyle w:val="Texto"/>
              <w:spacing w:after="73"/>
              <w:ind w:firstLine="0"/>
              <w:rPr>
                <w:rFonts w:ascii="Verdana" w:hAnsi="Verdana"/>
                <w:sz w:val="16"/>
                <w:szCs w:val="16"/>
                <w:lang w:val="es"/>
              </w:rPr>
            </w:pPr>
            <w:r w:rsidRPr="00D0180E">
              <w:rPr>
                <w:rFonts w:ascii="Verdana" w:hAnsi="Verdana"/>
                <w:sz w:val="16"/>
                <w:szCs w:val="16"/>
                <w:lang w:val="es"/>
              </w:rPr>
              <w:t>Las Reglas del Mercado, además de prever lo estipulado en la Ley, deben contener al menos lo siguiente:</w:t>
            </w:r>
          </w:p>
        </w:tc>
        <w:tc>
          <w:tcPr>
            <w:tcW w:w="4644" w:type="dxa"/>
          </w:tcPr>
          <w:p w14:paraId="2ADD9215" w14:textId="2E890EA3" w:rsidR="003A38FF" w:rsidRPr="00D0180E" w:rsidRDefault="003A38FF" w:rsidP="003A38FF">
            <w:pPr>
              <w:pStyle w:val="Texto"/>
              <w:spacing w:after="73"/>
              <w:ind w:firstLine="0"/>
              <w:rPr>
                <w:rFonts w:ascii="Verdana" w:hAnsi="Verdana"/>
                <w:sz w:val="16"/>
                <w:szCs w:val="16"/>
                <w:lang w:val="en-US"/>
              </w:rPr>
            </w:pPr>
            <w:r w:rsidRPr="006815C5">
              <w:rPr>
                <w:rFonts w:ascii="Verdana" w:hAnsi="Verdana"/>
                <w:sz w:val="16"/>
                <w:szCs w:val="16"/>
                <w:lang w:val="en-US"/>
              </w:rPr>
              <w:t>The Market Rules, in addition to providing for the provisions of the Law, must contain at least the following:</w:t>
            </w:r>
          </w:p>
        </w:tc>
      </w:tr>
      <w:tr w:rsidR="003A38FF" w:rsidRPr="00D83DA2" w14:paraId="080052DC" w14:textId="1139F8D6" w:rsidTr="00FB5DAD">
        <w:tc>
          <w:tcPr>
            <w:tcW w:w="4706" w:type="dxa"/>
          </w:tcPr>
          <w:p w14:paraId="5C2EBC72" w14:textId="77777777" w:rsidR="003A38FF" w:rsidRPr="00D0180E" w:rsidRDefault="003A38FF" w:rsidP="003A38FF">
            <w:pPr>
              <w:pStyle w:val="Texto"/>
              <w:spacing w:after="73"/>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Los procedimientos que deben cumplir las Participantes del Mercado para realizar las transacciones a que se refiere el artículo 112 de la Ley en el Mercado Eléctrico Mayorista, los cuales deben ser de aplicación general en igualdad de circunstancias y, en ningún caso, pueden ser discriminatorios, ni otorgar ventajas indebidas a los participantes;</w:t>
            </w:r>
          </w:p>
        </w:tc>
        <w:tc>
          <w:tcPr>
            <w:tcW w:w="4644" w:type="dxa"/>
          </w:tcPr>
          <w:p w14:paraId="780BEEF9" w14:textId="5588EC24" w:rsidR="003A38FF" w:rsidRPr="00D0180E" w:rsidRDefault="003A38FF" w:rsidP="003A38FF">
            <w:pPr>
              <w:pStyle w:val="Texto"/>
              <w:spacing w:after="73"/>
              <w:ind w:firstLine="0"/>
              <w:rPr>
                <w:rFonts w:ascii="Verdana" w:hAnsi="Verdana"/>
                <w:b/>
                <w:sz w:val="16"/>
                <w:szCs w:val="16"/>
                <w:lang w:val="en-US"/>
              </w:rPr>
            </w:pPr>
            <w:r w:rsidRPr="006815C5">
              <w:rPr>
                <w:rFonts w:ascii="Verdana" w:hAnsi="Verdana"/>
                <w:b/>
                <w:sz w:val="16"/>
                <w:szCs w:val="16"/>
                <w:lang w:val="en-US"/>
              </w:rPr>
              <w:t>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procedures that market participants must comply with to carry out the transactions referred to in Article 112 of the Law in the wholesale electricity market, which must be of general application under equal circumstances and, in no case, may be discriminatory, nor grant undue advantages to the participants;</w:t>
            </w:r>
          </w:p>
        </w:tc>
      </w:tr>
      <w:tr w:rsidR="003A38FF" w:rsidRPr="00D83DA2" w14:paraId="74E55B77" w14:textId="7CDBC05D" w:rsidTr="00FB5DAD">
        <w:tc>
          <w:tcPr>
            <w:tcW w:w="4706" w:type="dxa"/>
          </w:tcPr>
          <w:p w14:paraId="0F77758D"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Las características que deben satisfacer las Centrales Eléctricas, los recursos de Demanda Controlable y los Sistemas de Almacenamiento de Energía Eléctrica, en cuanto a la energía eléctrica, la potencia y los Servicios Conexos que pongan a disposición en el Mercado Eléctrico Mayorista, así como los mecanismos de medición, comunicación y otras Especificaciones Técnicas requeridas;</w:t>
            </w:r>
          </w:p>
        </w:tc>
        <w:tc>
          <w:tcPr>
            <w:tcW w:w="4644" w:type="dxa"/>
          </w:tcPr>
          <w:p w14:paraId="156F9E02" w14:textId="717A2306"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t>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characteristics that must be met by </w:t>
            </w:r>
            <w:r>
              <w:rPr>
                <w:rFonts w:ascii="Verdana" w:hAnsi="Verdana"/>
                <w:sz w:val="16"/>
                <w:szCs w:val="16"/>
                <w:lang w:val="en-US"/>
              </w:rPr>
              <w:t>power plant</w:t>
            </w:r>
            <w:r w:rsidRPr="006815C5">
              <w:rPr>
                <w:rFonts w:ascii="Verdana" w:hAnsi="Verdana"/>
                <w:sz w:val="16"/>
                <w:szCs w:val="16"/>
                <w:lang w:val="en-US"/>
              </w:rPr>
              <w:t>s, Controllable Demand resources and Electric Energy Storage Systems, in terms of the electric energy, power and Related Services that they make available in the wholesale electricity market, as well as the measurement, communication and other technical specifications required;</w:t>
            </w:r>
          </w:p>
        </w:tc>
      </w:tr>
      <w:tr w:rsidR="003A38FF" w:rsidRPr="00D83DA2" w14:paraId="08E4D714" w14:textId="760D6DB1" w:rsidTr="00FB5DAD">
        <w:tc>
          <w:tcPr>
            <w:tcW w:w="4706" w:type="dxa"/>
          </w:tcPr>
          <w:p w14:paraId="1DF2DBBE"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La metodología para evaluar la potencia acreditada de las Centrales Eléctricas, recursos de Demanda Controlable y el desempeño real de la potencia entregada, de acuerdo con las particularidades de cada tecnología de generación;</w:t>
            </w:r>
          </w:p>
        </w:tc>
        <w:tc>
          <w:tcPr>
            <w:tcW w:w="4644" w:type="dxa"/>
          </w:tcPr>
          <w:p w14:paraId="7C361DA0" w14:textId="2526790B"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t>III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methodology for evaluating the accredited power of </w:t>
            </w:r>
            <w:r>
              <w:rPr>
                <w:rFonts w:ascii="Verdana" w:hAnsi="Verdana"/>
                <w:sz w:val="16"/>
                <w:szCs w:val="16"/>
                <w:lang w:val="en-US"/>
              </w:rPr>
              <w:t>power plant</w:t>
            </w:r>
            <w:r w:rsidRPr="006815C5">
              <w:rPr>
                <w:rFonts w:ascii="Verdana" w:hAnsi="Verdana"/>
                <w:sz w:val="16"/>
                <w:szCs w:val="16"/>
                <w:lang w:val="en-US"/>
              </w:rPr>
              <w:t xml:space="preserve">s, </w:t>
            </w:r>
            <w:r>
              <w:rPr>
                <w:rFonts w:ascii="Verdana" w:hAnsi="Verdana"/>
                <w:sz w:val="16"/>
                <w:szCs w:val="16"/>
                <w:lang w:val="en-US"/>
              </w:rPr>
              <w:t>c</w:t>
            </w:r>
            <w:r w:rsidRPr="006815C5">
              <w:rPr>
                <w:rFonts w:ascii="Verdana" w:hAnsi="Verdana"/>
                <w:sz w:val="16"/>
                <w:szCs w:val="16"/>
                <w:lang w:val="en-US"/>
              </w:rPr>
              <w:t xml:space="preserve">ontrollable </w:t>
            </w:r>
            <w:r>
              <w:rPr>
                <w:rFonts w:ascii="Verdana" w:hAnsi="Verdana"/>
                <w:sz w:val="16"/>
                <w:szCs w:val="16"/>
                <w:lang w:val="en-US"/>
              </w:rPr>
              <w:t>d</w:t>
            </w:r>
            <w:r w:rsidRPr="006815C5">
              <w:rPr>
                <w:rFonts w:ascii="Verdana" w:hAnsi="Verdana"/>
                <w:sz w:val="16"/>
                <w:szCs w:val="16"/>
                <w:lang w:val="en-US"/>
              </w:rPr>
              <w:t xml:space="preserve">emand resources and the actual performance of the delivered power, according to the particularities of each </w:t>
            </w:r>
            <w:proofErr w:type="gramStart"/>
            <w:r w:rsidRPr="006815C5">
              <w:rPr>
                <w:rFonts w:ascii="Verdana" w:hAnsi="Verdana"/>
                <w:sz w:val="16"/>
                <w:szCs w:val="16"/>
                <w:lang w:val="en-US"/>
              </w:rPr>
              <w:t>generation</w:t>
            </w:r>
            <w:proofErr w:type="gramEnd"/>
            <w:r w:rsidRPr="006815C5">
              <w:rPr>
                <w:rFonts w:ascii="Verdana" w:hAnsi="Verdana"/>
                <w:sz w:val="16"/>
                <w:szCs w:val="16"/>
                <w:lang w:val="en-US"/>
              </w:rPr>
              <w:t xml:space="preserve"> technology;</w:t>
            </w:r>
          </w:p>
        </w:tc>
      </w:tr>
      <w:tr w:rsidR="003A38FF" w:rsidRPr="00D83DA2" w14:paraId="19917C24" w14:textId="431B8CEB" w:rsidTr="00FB5DAD">
        <w:tc>
          <w:tcPr>
            <w:tcW w:w="4706" w:type="dxa"/>
          </w:tcPr>
          <w:p w14:paraId="4E1BBF94"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La metodología para pronosticar y determinar el nivel de la demanda y la disponibilidad de la oferta de energía eléctrica, con el objeto de mantener un equilibrio constante entre dicha oferta y demanda;</w:t>
            </w:r>
          </w:p>
        </w:tc>
        <w:tc>
          <w:tcPr>
            <w:tcW w:w="4644" w:type="dxa"/>
          </w:tcPr>
          <w:p w14:paraId="12F9EEB6" w14:textId="08C8DC6F"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t>IV</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methodology for forecasting and determining the level of demand and availability of supply of electrical energy, with the aim of maintaining a constant balance between said supply and demand;</w:t>
            </w:r>
          </w:p>
        </w:tc>
      </w:tr>
      <w:tr w:rsidR="003A38FF" w:rsidRPr="00D83DA2" w14:paraId="21B779FE" w14:textId="19477FB5" w:rsidTr="00FB5DAD">
        <w:tc>
          <w:tcPr>
            <w:tcW w:w="4706" w:type="dxa"/>
          </w:tcPr>
          <w:p w14:paraId="7D542FB7"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La metodología para establecer los límites de transferencia sobre diversos elementos de la Red Nacional de Transmisión y las Redes Generales de Distribución que correspondan a la operación del Mercado Eléctrico Mayorista, y entre distintos nodos;</w:t>
            </w:r>
          </w:p>
        </w:tc>
        <w:tc>
          <w:tcPr>
            <w:tcW w:w="4644" w:type="dxa"/>
          </w:tcPr>
          <w:p w14:paraId="66FAF015" w14:textId="6252B232"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t>V</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methodology for establishing transfer limits on various elements of the national transmission network and the general distribution networks that correspond to the operation of the wholesale electricity </w:t>
            </w:r>
            <w:r>
              <w:rPr>
                <w:rFonts w:ascii="Verdana" w:hAnsi="Verdana"/>
                <w:sz w:val="16"/>
                <w:szCs w:val="16"/>
                <w:lang w:val="en-US"/>
              </w:rPr>
              <w:t>m</w:t>
            </w:r>
            <w:r w:rsidRPr="006815C5">
              <w:rPr>
                <w:rFonts w:ascii="Verdana" w:hAnsi="Verdana"/>
                <w:sz w:val="16"/>
                <w:szCs w:val="16"/>
                <w:lang w:val="en-US"/>
              </w:rPr>
              <w:t>arket, and between different nodes;</w:t>
            </w:r>
          </w:p>
        </w:tc>
      </w:tr>
      <w:tr w:rsidR="003A38FF" w:rsidRPr="00D83DA2" w14:paraId="39D87075" w14:textId="43D951B6" w:rsidTr="00FB5DAD">
        <w:tc>
          <w:tcPr>
            <w:tcW w:w="4706" w:type="dxa"/>
          </w:tcPr>
          <w:p w14:paraId="16CFB827"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La metodología para determinar la asignación y despacho de las Centrales Eléctricas, los Sistemas de Almacenamiento de Energía Eléctrica y los recursos de Demanda Controlable que participen en el Mercado Eléctrico Mayorista, que incorpore el programa hidrológico anual, las restricciones al transporte de energía eléctrica que pudieran existir en la Red Nacional de Transmisión y las Redes Generales de Distribución y los demás factores relevantes;</w:t>
            </w:r>
          </w:p>
        </w:tc>
        <w:tc>
          <w:tcPr>
            <w:tcW w:w="4644" w:type="dxa"/>
          </w:tcPr>
          <w:p w14:paraId="0320852B" w14:textId="05264E8C"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t xml:space="preserve">VI. </w:t>
            </w:r>
            <w:r w:rsidRPr="006815C5">
              <w:rPr>
                <w:rFonts w:ascii="Verdana" w:hAnsi="Verdana"/>
                <w:b/>
                <w:sz w:val="16"/>
                <w:szCs w:val="16"/>
                <w:lang w:val="en-US"/>
              </w:rPr>
              <w:tab/>
            </w:r>
            <w:r w:rsidRPr="006815C5">
              <w:rPr>
                <w:rFonts w:ascii="Verdana" w:hAnsi="Verdana"/>
                <w:sz w:val="16"/>
                <w:szCs w:val="16"/>
                <w:lang w:val="en-US"/>
              </w:rPr>
              <w:t xml:space="preserve">The methodology for determining the </w:t>
            </w:r>
            <w:r>
              <w:rPr>
                <w:rFonts w:ascii="Verdana" w:hAnsi="Verdana"/>
                <w:sz w:val="16"/>
                <w:szCs w:val="16"/>
                <w:lang w:val="en-US"/>
              </w:rPr>
              <w:t>assignment</w:t>
            </w:r>
            <w:r w:rsidRPr="006815C5">
              <w:rPr>
                <w:rFonts w:ascii="Verdana" w:hAnsi="Verdana"/>
                <w:sz w:val="16"/>
                <w:szCs w:val="16"/>
                <w:lang w:val="en-US"/>
              </w:rPr>
              <w:t xml:space="preserve"> and dispatch of power plants, electric energy storage systems and controllable demand resources participating in the wholesale electricity market, which incorporates the annual hydrological program, restrictions on the transportation of electric energy that may exist in the National Transmission Grid and the General Distribution Networks and other relevant factors;</w:t>
            </w:r>
          </w:p>
        </w:tc>
      </w:tr>
      <w:tr w:rsidR="003A38FF" w:rsidRPr="00D83DA2" w14:paraId="3C6F55BB" w14:textId="11A17221" w:rsidTr="00FB5DAD">
        <w:tc>
          <w:tcPr>
            <w:tcW w:w="4706" w:type="dxa"/>
          </w:tcPr>
          <w:p w14:paraId="3F5F0C80"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Los procedimientos de operación incluidos los que deben aplicarse en caso de emergencia;</w:t>
            </w:r>
          </w:p>
        </w:tc>
        <w:tc>
          <w:tcPr>
            <w:tcW w:w="4644" w:type="dxa"/>
          </w:tcPr>
          <w:p w14:paraId="79A4159B" w14:textId="5E1065E6"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t>VII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Operating</w:t>
            </w:r>
            <w:proofErr w:type="gramEnd"/>
            <w:r w:rsidRPr="006815C5">
              <w:rPr>
                <w:rFonts w:ascii="Verdana" w:hAnsi="Verdana"/>
                <w:sz w:val="16"/>
                <w:szCs w:val="16"/>
                <w:lang w:val="en-US"/>
              </w:rPr>
              <w:t xml:space="preserve"> procedures including those to be applied in case of emergency;</w:t>
            </w:r>
          </w:p>
        </w:tc>
      </w:tr>
      <w:tr w:rsidR="003A38FF" w:rsidRPr="00D83DA2" w14:paraId="16A4E782" w14:textId="26DDE64D" w:rsidTr="00FB5DAD">
        <w:tc>
          <w:tcPr>
            <w:tcW w:w="4706" w:type="dxa"/>
          </w:tcPr>
          <w:p w14:paraId="1638A880"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lastRenderedPageBreak/>
              <w:t>VIII.</w:t>
            </w:r>
            <w:r w:rsidRPr="00D0180E">
              <w:rPr>
                <w:rFonts w:ascii="Verdana" w:hAnsi="Verdana"/>
                <w:b/>
                <w:sz w:val="16"/>
                <w:szCs w:val="16"/>
              </w:rPr>
              <w:tab/>
            </w:r>
            <w:r w:rsidRPr="00D0180E">
              <w:rPr>
                <w:rFonts w:ascii="Verdana" w:hAnsi="Verdana"/>
                <w:sz w:val="16"/>
                <w:szCs w:val="16"/>
              </w:rPr>
              <w:t>Los criterios para determinar los niveles óptimos y requeridos, actuales y previsibles, de los Servicios Conexos y otros productos necesarios para el funcionamiento eficiente del Sistema Eléctrico Nacional;</w:t>
            </w:r>
          </w:p>
        </w:tc>
        <w:tc>
          <w:tcPr>
            <w:tcW w:w="4644" w:type="dxa"/>
          </w:tcPr>
          <w:p w14:paraId="29D8EFB7" w14:textId="7D345141"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t>VIII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criteria for determining the optimal and required levels, current and foreseeable, of the related services and other products necessary for the efficient operation of the </w:t>
            </w:r>
            <w:r>
              <w:rPr>
                <w:rFonts w:ascii="Verdana" w:hAnsi="Verdana"/>
                <w:sz w:val="16"/>
                <w:szCs w:val="16"/>
                <w:lang w:val="en-US"/>
              </w:rPr>
              <w:t>National Electric System</w:t>
            </w:r>
            <w:r w:rsidRPr="006815C5">
              <w:rPr>
                <w:rFonts w:ascii="Verdana" w:hAnsi="Verdana"/>
                <w:sz w:val="16"/>
                <w:szCs w:val="16"/>
                <w:lang w:val="en-US"/>
              </w:rPr>
              <w:t>;</w:t>
            </w:r>
          </w:p>
        </w:tc>
      </w:tr>
      <w:tr w:rsidR="003A38FF" w:rsidRPr="00D83DA2" w14:paraId="1A802DC6" w14:textId="02710DDC" w:rsidTr="00FB5DAD">
        <w:tc>
          <w:tcPr>
            <w:tcW w:w="4706" w:type="dxa"/>
          </w:tcPr>
          <w:p w14:paraId="4F5211C2"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IX.</w:t>
            </w:r>
            <w:r w:rsidRPr="00D0180E">
              <w:rPr>
                <w:rFonts w:ascii="Verdana" w:hAnsi="Verdana"/>
                <w:b/>
                <w:sz w:val="16"/>
                <w:szCs w:val="16"/>
              </w:rPr>
              <w:tab/>
            </w:r>
            <w:r w:rsidRPr="00D0180E">
              <w:rPr>
                <w:rFonts w:ascii="Verdana" w:hAnsi="Verdana"/>
                <w:sz w:val="16"/>
                <w:szCs w:val="16"/>
              </w:rPr>
              <w:t>Los diferentes tipos de nodos incluidos en el Mercado Eléctrico Mayorista;</w:t>
            </w:r>
          </w:p>
        </w:tc>
        <w:tc>
          <w:tcPr>
            <w:tcW w:w="4644" w:type="dxa"/>
          </w:tcPr>
          <w:p w14:paraId="462D643F" w14:textId="2DA87955"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t>IX</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different types of nodes included in the wholesale electricity market;</w:t>
            </w:r>
          </w:p>
        </w:tc>
      </w:tr>
      <w:tr w:rsidR="003A38FF" w:rsidRPr="00D83DA2" w14:paraId="489F269F" w14:textId="566BAEFD" w:rsidTr="00FB5DAD">
        <w:tc>
          <w:tcPr>
            <w:tcW w:w="4706" w:type="dxa"/>
          </w:tcPr>
          <w:p w14:paraId="4268C6CB"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X.</w:t>
            </w:r>
            <w:r w:rsidRPr="00D0180E">
              <w:rPr>
                <w:rFonts w:ascii="Verdana" w:hAnsi="Verdana"/>
                <w:b/>
                <w:sz w:val="16"/>
                <w:szCs w:val="16"/>
              </w:rPr>
              <w:tab/>
            </w:r>
            <w:r w:rsidRPr="00D0180E">
              <w:rPr>
                <w:rFonts w:ascii="Verdana" w:hAnsi="Verdana"/>
                <w:sz w:val="16"/>
                <w:szCs w:val="16"/>
              </w:rPr>
              <w:t>La metodología para determinar los precios de los productos incluidos en el Mercado Eléctrico Mayorista, así como los procedimientos para su facturación. Para tal efecto los Precios Marginales Locales se deben integrar por un componente de energía eléctrica, un componente de congestión y un componente de pérdidas;</w:t>
            </w:r>
          </w:p>
        </w:tc>
        <w:tc>
          <w:tcPr>
            <w:tcW w:w="4644" w:type="dxa"/>
          </w:tcPr>
          <w:p w14:paraId="7C24F22E" w14:textId="14B23216"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t>X</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methodology for determining the prices of products included in the wholesale electricity market, as well as the procedures for their billing. For this purpose, local marginal prices must be composed of an electricity component, a congestion component, and a loss component;</w:t>
            </w:r>
          </w:p>
        </w:tc>
      </w:tr>
      <w:tr w:rsidR="003A38FF" w:rsidRPr="00D83DA2" w14:paraId="493E3C90" w14:textId="306BB97C" w:rsidTr="00FB5DAD">
        <w:tc>
          <w:tcPr>
            <w:tcW w:w="4706" w:type="dxa"/>
          </w:tcPr>
          <w:p w14:paraId="1C99898A"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XI.</w:t>
            </w:r>
            <w:r w:rsidRPr="00D0180E">
              <w:rPr>
                <w:rFonts w:ascii="Verdana" w:hAnsi="Verdana"/>
                <w:b/>
                <w:sz w:val="16"/>
                <w:szCs w:val="16"/>
              </w:rPr>
              <w:tab/>
            </w:r>
            <w:r w:rsidRPr="00D0180E">
              <w:rPr>
                <w:rFonts w:ascii="Verdana" w:hAnsi="Verdana"/>
                <w:sz w:val="16"/>
                <w:szCs w:val="16"/>
              </w:rPr>
              <w:t>La información que las Generadoras, las Comercializadoras y los Usuarios Calificados están obligados a reportar cuando celebren Contratos de Cobertura Eléctrica directamente entre ellas, así como los procedimientos para que estas transacciones se contemplen en la facturación del Mercado Eléctrico Mayorista;</w:t>
            </w:r>
          </w:p>
        </w:tc>
        <w:tc>
          <w:tcPr>
            <w:tcW w:w="4644" w:type="dxa"/>
          </w:tcPr>
          <w:p w14:paraId="2FB79DBE" w14:textId="5FDBD243"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t>XI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information that generators, marketers and qualified users are required to report when they </w:t>
            </w:r>
            <w:proofErr w:type="gramStart"/>
            <w:r w:rsidRPr="006815C5">
              <w:rPr>
                <w:rFonts w:ascii="Verdana" w:hAnsi="Verdana"/>
                <w:sz w:val="16"/>
                <w:szCs w:val="16"/>
                <w:lang w:val="en-US"/>
              </w:rPr>
              <w:t>enter into</w:t>
            </w:r>
            <w:proofErr w:type="gramEnd"/>
            <w:r w:rsidRPr="006815C5">
              <w:rPr>
                <w:rFonts w:ascii="Verdana" w:hAnsi="Verdana"/>
                <w:sz w:val="16"/>
                <w:szCs w:val="16"/>
                <w:lang w:val="en-US"/>
              </w:rPr>
              <w:t xml:space="preserve"> Electric Coverage Contracts directly between them, as well as the procedures for these transactions to be included in the billing of the wholesale electricity market;</w:t>
            </w:r>
          </w:p>
        </w:tc>
      </w:tr>
      <w:tr w:rsidR="003A38FF" w:rsidRPr="00D83DA2" w14:paraId="4B1D3B52" w14:textId="322B57BE" w:rsidTr="00FB5DAD">
        <w:tc>
          <w:tcPr>
            <w:tcW w:w="4706" w:type="dxa"/>
          </w:tcPr>
          <w:p w14:paraId="73A63A73"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XII.</w:t>
            </w:r>
            <w:r w:rsidRPr="00D0180E">
              <w:rPr>
                <w:rFonts w:ascii="Verdana" w:hAnsi="Verdana"/>
                <w:b/>
                <w:sz w:val="16"/>
                <w:szCs w:val="16"/>
              </w:rPr>
              <w:tab/>
            </w:r>
            <w:r w:rsidRPr="00D0180E">
              <w:rPr>
                <w:rFonts w:ascii="Verdana" w:hAnsi="Verdana"/>
                <w:sz w:val="16"/>
                <w:szCs w:val="16"/>
              </w:rPr>
              <w:t>Los modelos del Sistema Eléctrico Nacional utilizados en la operación del Mercado Eléctrico Mayorista y los procedimientos para actualizarlos;</w:t>
            </w:r>
          </w:p>
        </w:tc>
        <w:tc>
          <w:tcPr>
            <w:tcW w:w="4644" w:type="dxa"/>
          </w:tcPr>
          <w:p w14:paraId="43D1E612" w14:textId="144E8758"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t>XII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models of the </w:t>
            </w:r>
            <w:r>
              <w:rPr>
                <w:rFonts w:ascii="Verdana" w:hAnsi="Verdana"/>
                <w:sz w:val="16"/>
                <w:szCs w:val="16"/>
                <w:lang w:val="en-US"/>
              </w:rPr>
              <w:t>National Electric System</w:t>
            </w:r>
            <w:r w:rsidRPr="006815C5">
              <w:rPr>
                <w:rFonts w:ascii="Verdana" w:hAnsi="Verdana"/>
                <w:sz w:val="16"/>
                <w:szCs w:val="16"/>
                <w:lang w:val="en-US"/>
              </w:rPr>
              <w:t xml:space="preserve"> used in the operation of the wholesale electricity market and the procedures to update them;</w:t>
            </w:r>
          </w:p>
        </w:tc>
      </w:tr>
      <w:tr w:rsidR="003A38FF" w:rsidRPr="00D83DA2" w14:paraId="4536D6EA" w14:textId="66741668" w:rsidTr="00FB5DAD">
        <w:tc>
          <w:tcPr>
            <w:tcW w:w="4706" w:type="dxa"/>
          </w:tcPr>
          <w:p w14:paraId="3B79A835"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XIII.</w:t>
            </w:r>
            <w:r w:rsidRPr="00D0180E">
              <w:rPr>
                <w:rFonts w:ascii="Verdana" w:hAnsi="Verdana"/>
                <w:b/>
                <w:sz w:val="16"/>
                <w:szCs w:val="16"/>
              </w:rPr>
              <w:tab/>
            </w:r>
            <w:r w:rsidRPr="00D0180E">
              <w:rPr>
                <w:rFonts w:ascii="Verdana" w:hAnsi="Verdana"/>
                <w:sz w:val="16"/>
                <w:szCs w:val="16"/>
              </w:rPr>
              <w:t>La metodología para la asignación de los Derechos Financieros de Transmisión;</w:t>
            </w:r>
          </w:p>
        </w:tc>
        <w:tc>
          <w:tcPr>
            <w:tcW w:w="4644" w:type="dxa"/>
          </w:tcPr>
          <w:p w14:paraId="0E8C73C5" w14:textId="289A54F7"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t>XIII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methodology for the </w:t>
            </w:r>
            <w:r>
              <w:rPr>
                <w:rFonts w:ascii="Verdana" w:hAnsi="Verdana"/>
                <w:sz w:val="16"/>
                <w:szCs w:val="16"/>
                <w:lang w:val="en-US"/>
              </w:rPr>
              <w:t>assignment</w:t>
            </w:r>
            <w:r w:rsidRPr="006815C5">
              <w:rPr>
                <w:rFonts w:ascii="Verdana" w:hAnsi="Verdana"/>
                <w:sz w:val="16"/>
                <w:szCs w:val="16"/>
                <w:lang w:val="en-US"/>
              </w:rPr>
              <w:t xml:space="preserve"> of financial transmission rights;</w:t>
            </w:r>
          </w:p>
        </w:tc>
      </w:tr>
      <w:tr w:rsidR="003A38FF" w:rsidRPr="00D83DA2" w14:paraId="16A81B25" w14:textId="3D41F3D4" w:rsidTr="00FB5DAD">
        <w:tc>
          <w:tcPr>
            <w:tcW w:w="4706" w:type="dxa"/>
          </w:tcPr>
          <w:p w14:paraId="63DFAACB"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XIV.</w:t>
            </w:r>
            <w:r w:rsidRPr="00D0180E">
              <w:rPr>
                <w:rFonts w:ascii="Verdana" w:hAnsi="Verdana"/>
                <w:b/>
                <w:sz w:val="16"/>
                <w:szCs w:val="16"/>
              </w:rPr>
              <w:tab/>
            </w:r>
            <w:r w:rsidRPr="00D0180E">
              <w:rPr>
                <w:rFonts w:ascii="Verdana" w:hAnsi="Verdana"/>
                <w:sz w:val="16"/>
                <w:szCs w:val="16"/>
              </w:rPr>
              <w:t>Los procedimientos para el cálculo de las pérdidas técnicas de referencia y pérdidas reales de energía eléctrica en la Red Nacional de Transmisión y las Redes Generales de Distribución que correspondan a la operación del Mercado Eléctrico Mayorista;</w:t>
            </w:r>
          </w:p>
        </w:tc>
        <w:tc>
          <w:tcPr>
            <w:tcW w:w="4644" w:type="dxa"/>
          </w:tcPr>
          <w:p w14:paraId="2633ECC0" w14:textId="0CC8FAC2"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t>XIV</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procedures for calculating the reference</w:t>
            </w:r>
            <w:r>
              <w:rPr>
                <w:rFonts w:ascii="Verdana" w:hAnsi="Verdana"/>
                <w:sz w:val="16"/>
                <w:szCs w:val="16"/>
                <w:lang w:val="en-US"/>
              </w:rPr>
              <w:t>d</w:t>
            </w:r>
            <w:r w:rsidRPr="006815C5">
              <w:rPr>
                <w:rFonts w:ascii="Verdana" w:hAnsi="Verdana"/>
                <w:sz w:val="16"/>
                <w:szCs w:val="16"/>
                <w:lang w:val="en-US"/>
              </w:rPr>
              <w:t xml:space="preserve"> technical losses and actual losses of electrical energy in the national transmission network and the general distribution networks that correspond to the operation of the wholesale electricity market;</w:t>
            </w:r>
          </w:p>
        </w:tc>
      </w:tr>
      <w:tr w:rsidR="003A38FF" w:rsidRPr="00D83DA2" w14:paraId="3210351D" w14:textId="310E4855" w:rsidTr="00FB5DAD">
        <w:tc>
          <w:tcPr>
            <w:tcW w:w="4706" w:type="dxa"/>
          </w:tcPr>
          <w:p w14:paraId="4A261569"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XV.</w:t>
            </w:r>
            <w:r w:rsidRPr="00D0180E">
              <w:rPr>
                <w:rFonts w:ascii="Verdana" w:hAnsi="Verdana"/>
                <w:b/>
                <w:sz w:val="16"/>
                <w:szCs w:val="16"/>
              </w:rPr>
              <w:tab/>
            </w:r>
            <w:r w:rsidRPr="00D0180E">
              <w:rPr>
                <w:rFonts w:ascii="Verdana" w:hAnsi="Verdana"/>
                <w:sz w:val="16"/>
                <w:szCs w:val="16"/>
              </w:rPr>
              <w:t>Los procedimientos para incluir la importación y exportación de energía eléctrica, potencia y Servicios Conexos en el Mercado Eléctrico Mayorista;</w:t>
            </w:r>
          </w:p>
        </w:tc>
        <w:tc>
          <w:tcPr>
            <w:tcW w:w="4644" w:type="dxa"/>
          </w:tcPr>
          <w:p w14:paraId="0BF9C2C4" w14:textId="256069D5"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t>XV</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procedures for including the import and export of electrical energy, power and related services in the wholesale electricity market;</w:t>
            </w:r>
          </w:p>
        </w:tc>
      </w:tr>
      <w:tr w:rsidR="003A38FF" w:rsidRPr="00D83DA2" w14:paraId="4A4B6D77" w14:textId="07B1A389" w:rsidTr="00FB5DAD">
        <w:tc>
          <w:tcPr>
            <w:tcW w:w="4706" w:type="dxa"/>
          </w:tcPr>
          <w:p w14:paraId="32D25674"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XVI.</w:t>
            </w:r>
            <w:r w:rsidRPr="00D0180E">
              <w:rPr>
                <w:rFonts w:ascii="Verdana" w:hAnsi="Verdana"/>
                <w:b/>
                <w:sz w:val="16"/>
                <w:szCs w:val="16"/>
              </w:rPr>
              <w:tab/>
            </w:r>
            <w:r w:rsidRPr="00D0180E">
              <w:rPr>
                <w:rFonts w:ascii="Verdana" w:hAnsi="Verdana"/>
                <w:sz w:val="16"/>
                <w:szCs w:val="16"/>
              </w:rPr>
              <w:t>Las garantías que las Participantes del Mercado deben presentar al CENACE;</w:t>
            </w:r>
          </w:p>
        </w:tc>
        <w:tc>
          <w:tcPr>
            <w:tcW w:w="4644" w:type="dxa"/>
          </w:tcPr>
          <w:p w14:paraId="44DB7970" w14:textId="7872EA31"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t>XVI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guarantees that market participants must present to CENACE;</w:t>
            </w:r>
          </w:p>
        </w:tc>
      </w:tr>
      <w:tr w:rsidR="003A38FF" w:rsidRPr="00D83DA2" w14:paraId="5D7B8E35" w14:textId="32CEA025" w:rsidTr="00FB5DAD">
        <w:tc>
          <w:tcPr>
            <w:tcW w:w="4706" w:type="dxa"/>
          </w:tcPr>
          <w:p w14:paraId="4AB35974"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XVII.</w:t>
            </w:r>
            <w:r w:rsidRPr="00D0180E">
              <w:rPr>
                <w:rFonts w:ascii="Verdana" w:hAnsi="Verdana"/>
                <w:b/>
                <w:sz w:val="16"/>
                <w:szCs w:val="16"/>
              </w:rPr>
              <w:tab/>
            </w:r>
            <w:r w:rsidRPr="00D0180E">
              <w:rPr>
                <w:rFonts w:ascii="Verdana" w:hAnsi="Verdana"/>
                <w:sz w:val="16"/>
                <w:szCs w:val="16"/>
              </w:rPr>
              <w:t>Los límites que se deben imponer al volumen de transacciones que pueden comprometer las Participantes del Mercado, que tomen en cuenta su situación financiera y las garantías que presenten al CENACE;</w:t>
            </w:r>
          </w:p>
        </w:tc>
        <w:tc>
          <w:tcPr>
            <w:tcW w:w="4644" w:type="dxa"/>
          </w:tcPr>
          <w:p w14:paraId="3BE278D8" w14:textId="7399BFD5"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t>XVII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limits that should be imposed on the volume of transactions that market participants may undertake, </w:t>
            </w:r>
            <w:proofErr w:type="gramStart"/>
            <w:r w:rsidRPr="006815C5">
              <w:rPr>
                <w:rFonts w:ascii="Verdana" w:hAnsi="Verdana"/>
                <w:sz w:val="16"/>
                <w:szCs w:val="16"/>
                <w:lang w:val="en-US"/>
              </w:rPr>
              <w:t>taking into account</w:t>
            </w:r>
            <w:proofErr w:type="gramEnd"/>
            <w:r w:rsidRPr="006815C5">
              <w:rPr>
                <w:rFonts w:ascii="Verdana" w:hAnsi="Verdana"/>
                <w:sz w:val="16"/>
                <w:szCs w:val="16"/>
                <w:lang w:val="en-US"/>
              </w:rPr>
              <w:t xml:space="preserve"> their financial situation and the guarantees they present to CENACE;</w:t>
            </w:r>
          </w:p>
        </w:tc>
      </w:tr>
      <w:tr w:rsidR="003A38FF" w:rsidRPr="00D83DA2" w14:paraId="17FA62FF" w14:textId="7A42C24B" w:rsidTr="00FB5DAD">
        <w:tc>
          <w:tcPr>
            <w:tcW w:w="4706" w:type="dxa"/>
          </w:tcPr>
          <w:p w14:paraId="680B63A3"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XVIII.</w:t>
            </w:r>
            <w:r w:rsidRPr="00D0180E">
              <w:rPr>
                <w:rFonts w:ascii="Verdana" w:hAnsi="Verdana"/>
                <w:b/>
                <w:sz w:val="16"/>
                <w:szCs w:val="16"/>
              </w:rPr>
              <w:tab/>
            </w:r>
            <w:r w:rsidRPr="00D0180E">
              <w:rPr>
                <w:rFonts w:ascii="Verdana" w:hAnsi="Verdana"/>
                <w:sz w:val="16"/>
                <w:szCs w:val="16"/>
              </w:rPr>
              <w:t>Los procedimientos para la solución de controversias y para restringir o suspender la participación de quienes incumplan con las Reglas del Mercado;</w:t>
            </w:r>
          </w:p>
        </w:tc>
        <w:tc>
          <w:tcPr>
            <w:tcW w:w="4644" w:type="dxa"/>
          </w:tcPr>
          <w:p w14:paraId="6E24B08D" w14:textId="6D526D64"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t>XVIII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Procedures</w:t>
            </w:r>
            <w:proofErr w:type="gramEnd"/>
            <w:r w:rsidRPr="006815C5">
              <w:rPr>
                <w:rFonts w:ascii="Verdana" w:hAnsi="Verdana"/>
                <w:sz w:val="16"/>
                <w:szCs w:val="16"/>
                <w:lang w:val="en-US"/>
              </w:rPr>
              <w:t xml:space="preserve"> for resolving disputes and for restricting or suspending the participation of those who fail to comply with the market rules;</w:t>
            </w:r>
          </w:p>
        </w:tc>
      </w:tr>
      <w:tr w:rsidR="003A38FF" w:rsidRPr="00D83DA2" w14:paraId="592B87F6" w14:textId="1096146D" w:rsidTr="00FB5DAD">
        <w:tc>
          <w:tcPr>
            <w:tcW w:w="4706" w:type="dxa"/>
          </w:tcPr>
          <w:p w14:paraId="7BB490FF"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XIX.</w:t>
            </w:r>
            <w:r w:rsidRPr="00D0180E">
              <w:rPr>
                <w:rFonts w:ascii="Verdana" w:hAnsi="Verdana"/>
                <w:b/>
                <w:sz w:val="16"/>
                <w:szCs w:val="16"/>
              </w:rPr>
              <w:tab/>
            </w:r>
            <w:r w:rsidRPr="00D0180E">
              <w:rPr>
                <w:rFonts w:ascii="Verdana" w:hAnsi="Verdana"/>
                <w:sz w:val="16"/>
                <w:szCs w:val="16"/>
              </w:rPr>
              <w:t>Los procedimientos para la aplicación de los cargos que se deban aplicar por el incumplimiento a las Reglas del Mercado;</w:t>
            </w:r>
          </w:p>
        </w:tc>
        <w:tc>
          <w:tcPr>
            <w:tcW w:w="4644" w:type="dxa"/>
          </w:tcPr>
          <w:p w14:paraId="689A4F2B" w14:textId="19F38D0F"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t>XIX</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procedures for applying the charges to be applied for non-compliance with the market rules;</w:t>
            </w:r>
          </w:p>
        </w:tc>
      </w:tr>
      <w:tr w:rsidR="003A38FF" w:rsidRPr="00D83DA2" w14:paraId="3F1D1AC9" w14:textId="02DC1FF5" w:rsidTr="00FB5DAD">
        <w:tc>
          <w:tcPr>
            <w:tcW w:w="4706" w:type="dxa"/>
          </w:tcPr>
          <w:p w14:paraId="760BD5FC"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XX.</w:t>
            </w:r>
            <w:r w:rsidRPr="00D0180E">
              <w:rPr>
                <w:rFonts w:ascii="Verdana" w:hAnsi="Verdana"/>
                <w:b/>
                <w:sz w:val="16"/>
                <w:szCs w:val="16"/>
              </w:rPr>
              <w:tab/>
            </w:r>
            <w:r w:rsidRPr="00D0180E">
              <w:rPr>
                <w:rFonts w:ascii="Verdana" w:hAnsi="Verdana"/>
                <w:sz w:val="16"/>
                <w:szCs w:val="16"/>
              </w:rPr>
              <w:t>La información que el CENACE debe poner a la disposición de las Participantes del Mercado, y del público en general;</w:t>
            </w:r>
          </w:p>
        </w:tc>
        <w:tc>
          <w:tcPr>
            <w:tcW w:w="4644" w:type="dxa"/>
          </w:tcPr>
          <w:p w14:paraId="51C2ACBB" w14:textId="0C5DF7EF"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t>XX</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information that CENACE must make available to market participants and the </w:t>
            </w:r>
            <w:proofErr w:type="gramStart"/>
            <w:r w:rsidRPr="006815C5">
              <w:rPr>
                <w:rFonts w:ascii="Verdana" w:hAnsi="Verdana"/>
                <w:sz w:val="16"/>
                <w:szCs w:val="16"/>
                <w:lang w:val="en-US"/>
              </w:rPr>
              <w:t>general public</w:t>
            </w:r>
            <w:proofErr w:type="gramEnd"/>
            <w:r w:rsidRPr="006815C5">
              <w:rPr>
                <w:rFonts w:ascii="Verdana" w:hAnsi="Verdana"/>
                <w:sz w:val="16"/>
                <w:szCs w:val="16"/>
                <w:lang w:val="en-US"/>
              </w:rPr>
              <w:t>;</w:t>
            </w:r>
          </w:p>
        </w:tc>
      </w:tr>
      <w:tr w:rsidR="003A38FF" w:rsidRPr="00D83DA2" w14:paraId="4888E3E8" w14:textId="34695AA7" w:rsidTr="00FB5DAD">
        <w:tc>
          <w:tcPr>
            <w:tcW w:w="4706" w:type="dxa"/>
          </w:tcPr>
          <w:p w14:paraId="5A995CC5"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XXI.</w:t>
            </w:r>
            <w:r w:rsidRPr="00D0180E">
              <w:rPr>
                <w:rFonts w:ascii="Verdana" w:hAnsi="Verdana"/>
                <w:b/>
                <w:sz w:val="16"/>
                <w:szCs w:val="16"/>
              </w:rPr>
              <w:tab/>
            </w:r>
            <w:r w:rsidRPr="00D0180E">
              <w:rPr>
                <w:rFonts w:ascii="Verdana" w:hAnsi="Verdana"/>
                <w:sz w:val="16"/>
                <w:szCs w:val="16"/>
              </w:rPr>
              <w:t xml:space="preserve">La información reservada o confidencial, conforme a la legislación en materia de transparencia y </w:t>
            </w:r>
            <w:r w:rsidRPr="00D0180E">
              <w:rPr>
                <w:rFonts w:ascii="Verdana" w:hAnsi="Verdana"/>
                <w:sz w:val="16"/>
                <w:szCs w:val="16"/>
              </w:rPr>
              <w:lastRenderedPageBreak/>
              <w:t>acceso a la información pública y de protección de datos personales;</w:t>
            </w:r>
          </w:p>
        </w:tc>
        <w:tc>
          <w:tcPr>
            <w:tcW w:w="4644" w:type="dxa"/>
          </w:tcPr>
          <w:p w14:paraId="48C7858B" w14:textId="229FE720" w:rsidR="003A38FF" w:rsidRPr="00D0180E" w:rsidRDefault="003A38FF" w:rsidP="003A38FF">
            <w:pPr>
              <w:pStyle w:val="Texto"/>
              <w:spacing w:line="220" w:lineRule="exact"/>
              <w:ind w:firstLine="0"/>
              <w:rPr>
                <w:rFonts w:ascii="Verdana" w:hAnsi="Verdana"/>
                <w:b/>
                <w:sz w:val="16"/>
                <w:szCs w:val="16"/>
                <w:lang w:val="en-US"/>
              </w:rPr>
            </w:pPr>
            <w:r w:rsidRPr="006815C5">
              <w:rPr>
                <w:rFonts w:ascii="Verdana" w:hAnsi="Verdana"/>
                <w:b/>
                <w:sz w:val="16"/>
                <w:szCs w:val="16"/>
                <w:lang w:val="en-US"/>
              </w:rPr>
              <w:lastRenderedPageBreak/>
              <w:t>XXI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Confidential</w:t>
            </w:r>
            <w:proofErr w:type="gramEnd"/>
            <w:r w:rsidRPr="006815C5">
              <w:rPr>
                <w:rFonts w:ascii="Verdana" w:hAnsi="Verdana"/>
                <w:sz w:val="16"/>
                <w:szCs w:val="16"/>
                <w:lang w:val="en-US"/>
              </w:rPr>
              <w:t xml:space="preserve"> or reserved information, in accordance with legislation on transparency and access </w:t>
            </w:r>
            <w:r w:rsidRPr="006815C5">
              <w:rPr>
                <w:rFonts w:ascii="Verdana" w:hAnsi="Verdana"/>
                <w:sz w:val="16"/>
                <w:szCs w:val="16"/>
                <w:lang w:val="en-US"/>
              </w:rPr>
              <w:lastRenderedPageBreak/>
              <w:t>to public information and the protection of personal data;</w:t>
            </w:r>
          </w:p>
        </w:tc>
      </w:tr>
      <w:tr w:rsidR="003A38FF" w:rsidRPr="00D83DA2" w14:paraId="6DF14BC6" w14:textId="295B0D46" w:rsidTr="00FB5DAD">
        <w:tc>
          <w:tcPr>
            <w:tcW w:w="4706" w:type="dxa"/>
          </w:tcPr>
          <w:p w14:paraId="469C1C2A" w14:textId="77777777" w:rsidR="003A38FF" w:rsidRPr="00D0180E" w:rsidRDefault="003A38FF" w:rsidP="003A38FF">
            <w:pPr>
              <w:pStyle w:val="Texto"/>
              <w:spacing w:line="222" w:lineRule="exact"/>
              <w:ind w:firstLine="0"/>
              <w:rPr>
                <w:rFonts w:ascii="Verdana" w:hAnsi="Verdana"/>
                <w:sz w:val="16"/>
                <w:szCs w:val="16"/>
              </w:rPr>
            </w:pPr>
            <w:r w:rsidRPr="00D0180E">
              <w:rPr>
                <w:rFonts w:ascii="Verdana" w:hAnsi="Verdana"/>
                <w:b/>
                <w:sz w:val="16"/>
                <w:szCs w:val="16"/>
              </w:rPr>
              <w:lastRenderedPageBreak/>
              <w:t>XXII.</w:t>
            </w:r>
            <w:r w:rsidRPr="00D0180E">
              <w:rPr>
                <w:rFonts w:ascii="Verdana" w:hAnsi="Verdana"/>
                <w:b/>
                <w:sz w:val="16"/>
                <w:szCs w:val="16"/>
              </w:rPr>
              <w:tab/>
            </w:r>
            <w:r w:rsidRPr="00D0180E">
              <w:rPr>
                <w:rFonts w:ascii="Verdana" w:hAnsi="Verdana"/>
                <w:sz w:val="16"/>
                <w:szCs w:val="16"/>
              </w:rPr>
              <w:t>Los procedimientos para el desarrollo de las Disposiciones Operativas del Mercado;</w:t>
            </w:r>
          </w:p>
        </w:tc>
        <w:tc>
          <w:tcPr>
            <w:tcW w:w="4644" w:type="dxa"/>
          </w:tcPr>
          <w:p w14:paraId="2518FFDD" w14:textId="0DA31C73" w:rsidR="003A38FF" w:rsidRPr="00D0180E" w:rsidRDefault="003A38FF" w:rsidP="003A38FF">
            <w:pPr>
              <w:pStyle w:val="Texto"/>
              <w:spacing w:line="222" w:lineRule="exact"/>
              <w:ind w:firstLine="0"/>
              <w:rPr>
                <w:rFonts w:ascii="Verdana" w:hAnsi="Verdana"/>
                <w:b/>
                <w:sz w:val="16"/>
                <w:szCs w:val="16"/>
                <w:lang w:val="en-US"/>
              </w:rPr>
            </w:pPr>
            <w:r w:rsidRPr="006815C5">
              <w:rPr>
                <w:rFonts w:ascii="Verdana" w:hAnsi="Verdana"/>
                <w:b/>
                <w:sz w:val="16"/>
                <w:szCs w:val="16"/>
                <w:lang w:val="en-US"/>
              </w:rPr>
              <w:t>XXII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The</w:t>
            </w:r>
            <w:proofErr w:type="gramEnd"/>
            <w:r w:rsidRPr="006815C5">
              <w:rPr>
                <w:rFonts w:ascii="Verdana" w:hAnsi="Verdana"/>
                <w:sz w:val="16"/>
                <w:szCs w:val="16"/>
                <w:lang w:val="en-US"/>
              </w:rPr>
              <w:t xml:space="preserve"> procedures for the development of the market's operational provisions;</w:t>
            </w:r>
          </w:p>
        </w:tc>
      </w:tr>
      <w:tr w:rsidR="003A38FF" w:rsidRPr="00D83DA2" w14:paraId="3A4C5057" w14:textId="4B1C750F" w:rsidTr="00FB5DAD">
        <w:tc>
          <w:tcPr>
            <w:tcW w:w="4706" w:type="dxa"/>
          </w:tcPr>
          <w:p w14:paraId="5CF4E6EF" w14:textId="77777777" w:rsidR="003A38FF" w:rsidRPr="00D0180E" w:rsidRDefault="003A38FF" w:rsidP="003A38FF">
            <w:pPr>
              <w:pStyle w:val="Texto"/>
              <w:spacing w:line="222" w:lineRule="exact"/>
              <w:ind w:firstLine="0"/>
              <w:rPr>
                <w:rFonts w:ascii="Verdana" w:hAnsi="Verdana"/>
                <w:sz w:val="16"/>
                <w:szCs w:val="16"/>
              </w:rPr>
            </w:pPr>
            <w:r w:rsidRPr="00D0180E">
              <w:rPr>
                <w:rFonts w:ascii="Verdana" w:hAnsi="Verdana"/>
                <w:b/>
                <w:sz w:val="16"/>
                <w:szCs w:val="16"/>
              </w:rPr>
              <w:t>XXIII.</w:t>
            </w:r>
            <w:r w:rsidRPr="00D0180E">
              <w:rPr>
                <w:rFonts w:ascii="Verdana" w:hAnsi="Verdana"/>
                <w:b/>
                <w:sz w:val="16"/>
                <w:szCs w:val="16"/>
              </w:rPr>
              <w:tab/>
            </w:r>
            <w:r w:rsidRPr="00D0180E">
              <w:rPr>
                <w:rFonts w:ascii="Verdana" w:hAnsi="Verdana"/>
                <w:sz w:val="16"/>
                <w:szCs w:val="16"/>
              </w:rPr>
              <w:t>Las actividades de supervisión y Vigilancia del Mercado, y</w:t>
            </w:r>
          </w:p>
        </w:tc>
        <w:tc>
          <w:tcPr>
            <w:tcW w:w="4644" w:type="dxa"/>
          </w:tcPr>
          <w:p w14:paraId="1DC3ADFF" w14:textId="015E1DAF" w:rsidR="003A38FF" w:rsidRPr="00D0180E" w:rsidRDefault="003A38FF" w:rsidP="003A38FF">
            <w:pPr>
              <w:pStyle w:val="Texto"/>
              <w:spacing w:line="222" w:lineRule="exact"/>
              <w:ind w:firstLine="0"/>
              <w:rPr>
                <w:rFonts w:ascii="Verdana" w:hAnsi="Verdana"/>
                <w:b/>
                <w:sz w:val="16"/>
                <w:szCs w:val="16"/>
                <w:lang w:val="en-US"/>
              </w:rPr>
            </w:pPr>
            <w:r w:rsidRPr="006815C5">
              <w:rPr>
                <w:rFonts w:ascii="Verdana" w:hAnsi="Verdana"/>
                <w:b/>
                <w:sz w:val="16"/>
                <w:szCs w:val="16"/>
                <w:lang w:val="en-US"/>
              </w:rPr>
              <w:t>XXIII</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Market</w:t>
            </w:r>
            <w:proofErr w:type="gramEnd"/>
            <w:r w:rsidRPr="006815C5">
              <w:rPr>
                <w:rFonts w:ascii="Verdana" w:hAnsi="Verdana"/>
                <w:sz w:val="16"/>
                <w:szCs w:val="16"/>
                <w:lang w:val="en-US"/>
              </w:rPr>
              <w:t xml:space="preserve"> supervision and </w:t>
            </w:r>
            <w:r>
              <w:rPr>
                <w:rFonts w:ascii="Verdana" w:hAnsi="Verdana"/>
                <w:sz w:val="16"/>
                <w:szCs w:val="16"/>
                <w:lang w:val="en-US"/>
              </w:rPr>
              <w:t>Oversight</w:t>
            </w:r>
            <w:r w:rsidRPr="006815C5">
              <w:rPr>
                <w:rFonts w:ascii="Verdana" w:hAnsi="Verdana"/>
                <w:sz w:val="16"/>
                <w:szCs w:val="16"/>
                <w:lang w:val="en-US"/>
              </w:rPr>
              <w:t xml:space="preserve"> activities, and</w:t>
            </w:r>
          </w:p>
        </w:tc>
      </w:tr>
      <w:tr w:rsidR="003A38FF" w:rsidRPr="00D83DA2" w14:paraId="194341CD" w14:textId="76F6D88A" w:rsidTr="00FB5DAD">
        <w:tc>
          <w:tcPr>
            <w:tcW w:w="4706" w:type="dxa"/>
          </w:tcPr>
          <w:p w14:paraId="1CB2FA91" w14:textId="77777777" w:rsidR="003A38FF" w:rsidRPr="00D0180E" w:rsidRDefault="003A38FF" w:rsidP="003A38FF">
            <w:pPr>
              <w:pStyle w:val="Texto"/>
              <w:spacing w:line="222" w:lineRule="exact"/>
              <w:ind w:firstLine="0"/>
              <w:rPr>
                <w:rFonts w:ascii="Verdana" w:hAnsi="Verdana"/>
                <w:sz w:val="16"/>
                <w:szCs w:val="16"/>
              </w:rPr>
            </w:pPr>
            <w:r w:rsidRPr="00D0180E">
              <w:rPr>
                <w:rFonts w:ascii="Verdana" w:hAnsi="Verdana"/>
                <w:b/>
                <w:sz w:val="16"/>
                <w:szCs w:val="16"/>
              </w:rPr>
              <w:t>XXIV.</w:t>
            </w:r>
            <w:r w:rsidRPr="00D0180E">
              <w:rPr>
                <w:rFonts w:ascii="Verdana" w:hAnsi="Verdana"/>
                <w:b/>
                <w:sz w:val="16"/>
                <w:szCs w:val="16"/>
              </w:rPr>
              <w:tab/>
            </w:r>
            <w:r w:rsidRPr="00D0180E">
              <w:rPr>
                <w:rFonts w:ascii="Verdana" w:hAnsi="Verdana"/>
                <w:sz w:val="16"/>
                <w:szCs w:val="16"/>
              </w:rPr>
              <w:t>Las demás necesarias para la mejor organización y buen funcionamiento del Mercado Eléctrico Mayorista.</w:t>
            </w:r>
          </w:p>
        </w:tc>
        <w:tc>
          <w:tcPr>
            <w:tcW w:w="4644" w:type="dxa"/>
          </w:tcPr>
          <w:p w14:paraId="76DE1C37" w14:textId="6C1BF38C" w:rsidR="003A38FF" w:rsidRPr="00D0180E" w:rsidRDefault="003A38FF" w:rsidP="003A38FF">
            <w:pPr>
              <w:pStyle w:val="Texto"/>
              <w:spacing w:line="222" w:lineRule="exact"/>
              <w:ind w:firstLine="0"/>
              <w:rPr>
                <w:rFonts w:ascii="Verdana" w:hAnsi="Verdana"/>
                <w:b/>
                <w:sz w:val="16"/>
                <w:szCs w:val="16"/>
                <w:lang w:val="en-US"/>
              </w:rPr>
            </w:pPr>
            <w:r w:rsidRPr="006815C5">
              <w:rPr>
                <w:rFonts w:ascii="Verdana" w:hAnsi="Verdana"/>
                <w:b/>
                <w:sz w:val="16"/>
                <w:szCs w:val="16"/>
                <w:lang w:val="en-US"/>
              </w:rPr>
              <w:t>XXIV</w:t>
            </w:r>
            <w:proofErr w:type="gramStart"/>
            <w:r w:rsidRPr="006815C5">
              <w:rPr>
                <w:rFonts w:ascii="Verdana" w:hAnsi="Verdana"/>
                <w:b/>
                <w:sz w:val="16"/>
                <w:szCs w:val="16"/>
                <w:lang w:val="en-US"/>
              </w:rPr>
              <w:t xml:space="preserve">. </w:t>
            </w:r>
            <w:r w:rsidRPr="006815C5">
              <w:rPr>
                <w:rFonts w:ascii="Verdana" w:hAnsi="Verdana"/>
                <w:b/>
                <w:sz w:val="16"/>
                <w:szCs w:val="16"/>
                <w:lang w:val="en-US"/>
              </w:rPr>
              <w:tab/>
            </w:r>
            <w:r w:rsidRPr="006815C5">
              <w:rPr>
                <w:rFonts w:ascii="Verdana" w:hAnsi="Verdana"/>
                <w:sz w:val="16"/>
                <w:szCs w:val="16"/>
                <w:lang w:val="en-US"/>
              </w:rPr>
              <w:t>Other</w:t>
            </w:r>
            <w:proofErr w:type="gramEnd"/>
            <w:r w:rsidRPr="006815C5">
              <w:rPr>
                <w:rFonts w:ascii="Verdana" w:hAnsi="Verdana"/>
                <w:sz w:val="16"/>
                <w:szCs w:val="16"/>
                <w:lang w:val="en-US"/>
              </w:rPr>
              <w:t xml:space="preserve"> matters </w:t>
            </w:r>
            <w:proofErr w:type="gramStart"/>
            <w:r w:rsidRPr="006815C5">
              <w:rPr>
                <w:rFonts w:ascii="Verdana" w:hAnsi="Verdana"/>
                <w:sz w:val="16"/>
                <w:szCs w:val="16"/>
                <w:lang w:val="en-US"/>
              </w:rPr>
              <w:t>necessary</w:t>
            </w:r>
            <w:proofErr w:type="gramEnd"/>
            <w:r w:rsidRPr="006815C5">
              <w:rPr>
                <w:rFonts w:ascii="Verdana" w:hAnsi="Verdana"/>
                <w:sz w:val="16"/>
                <w:szCs w:val="16"/>
                <w:lang w:val="en-US"/>
              </w:rPr>
              <w:t xml:space="preserve"> for the better organization and proper functioning of the wholesale electricity market.</w:t>
            </w:r>
          </w:p>
        </w:tc>
      </w:tr>
      <w:tr w:rsidR="003A38FF" w:rsidRPr="00D83DA2" w14:paraId="6C24D016" w14:textId="41ED7460" w:rsidTr="00FB5DAD">
        <w:tc>
          <w:tcPr>
            <w:tcW w:w="4706" w:type="dxa"/>
          </w:tcPr>
          <w:p w14:paraId="444026FF" w14:textId="77777777" w:rsidR="003A38FF" w:rsidRPr="00D0180E" w:rsidRDefault="003A38FF" w:rsidP="003A38FF">
            <w:pPr>
              <w:pStyle w:val="Texto"/>
              <w:spacing w:line="222" w:lineRule="exact"/>
              <w:ind w:firstLine="0"/>
              <w:rPr>
                <w:rFonts w:ascii="Verdana" w:hAnsi="Verdana"/>
                <w:sz w:val="16"/>
                <w:szCs w:val="16"/>
              </w:rPr>
            </w:pPr>
            <w:r w:rsidRPr="00D0180E">
              <w:rPr>
                <w:rFonts w:ascii="Verdana" w:hAnsi="Verdana"/>
                <w:sz w:val="16"/>
                <w:szCs w:val="16"/>
                <w:lang w:val="es"/>
              </w:rPr>
              <w:t xml:space="preserve">En </w:t>
            </w:r>
            <w:r w:rsidRPr="00D0180E">
              <w:rPr>
                <w:rFonts w:ascii="Verdana" w:hAnsi="Verdana"/>
                <w:sz w:val="16"/>
                <w:szCs w:val="16"/>
              </w:rPr>
              <w:t>términos</w:t>
            </w:r>
            <w:r w:rsidRPr="00D0180E">
              <w:rPr>
                <w:rFonts w:ascii="Verdana" w:hAnsi="Verdana"/>
                <w:sz w:val="16"/>
                <w:szCs w:val="16"/>
                <w:lang w:val="es"/>
              </w:rPr>
              <w:t xml:space="preserve"> de lo previsto en el artículo 111 de la Ley, las Reglas del Mercado no están sujetas a las disposiciones normativas en materia de mejora regulatoria.</w:t>
            </w:r>
          </w:p>
        </w:tc>
        <w:tc>
          <w:tcPr>
            <w:tcW w:w="4644" w:type="dxa"/>
          </w:tcPr>
          <w:p w14:paraId="4D964D3B" w14:textId="536C8CB3" w:rsidR="003A38FF" w:rsidRPr="00D0180E" w:rsidRDefault="003A38FF" w:rsidP="003A38FF">
            <w:pPr>
              <w:pStyle w:val="Texto"/>
              <w:spacing w:line="222" w:lineRule="exact"/>
              <w:ind w:firstLine="0"/>
              <w:rPr>
                <w:rFonts w:ascii="Verdana" w:hAnsi="Verdana"/>
                <w:sz w:val="16"/>
                <w:szCs w:val="16"/>
                <w:lang w:val="en-US"/>
              </w:rPr>
            </w:pPr>
            <w:r w:rsidRPr="006815C5">
              <w:rPr>
                <w:rFonts w:ascii="Verdana" w:hAnsi="Verdana"/>
                <w:sz w:val="16"/>
                <w:szCs w:val="16"/>
                <w:lang w:val="en-US"/>
              </w:rPr>
              <w:t>Pursuant to Article 111 of the Law, the market rules are not subject to regulatory provisions on regulatory improvement.</w:t>
            </w:r>
          </w:p>
        </w:tc>
      </w:tr>
      <w:tr w:rsidR="003A38FF" w:rsidRPr="00D0180E" w14:paraId="213DE1CF" w14:textId="1A1DBFC8" w:rsidTr="00FB5DAD">
        <w:tc>
          <w:tcPr>
            <w:tcW w:w="4706" w:type="dxa"/>
          </w:tcPr>
          <w:p w14:paraId="5B4FD8D2" w14:textId="77777777" w:rsidR="003A38FF" w:rsidRPr="00D0180E" w:rsidRDefault="003A38FF" w:rsidP="003A38FF">
            <w:pPr>
              <w:pStyle w:val="Texto"/>
              <w:spacing w:line="222" w:lineRule="exact"/>
              <w:ind w:firstLine="0"/>
              <w:jc w:val="center"/>
              <w:rPr>
                <w:rFonts w:ascii="Verdana" w:hAnsi="Verdana"/>
                <w:b/>
                <w:sz w:val="16"/>
                <w:szCs w:val="16"/>
              </w:rPr>
            </w:pPr>
            <w:r w:rsidRPr="00D0180E">
              <w:rPr>
                <w:rFonts w:ascii="Verdana" w:hAnsi="Verdana"/>
                <w:b/>
                <w:sz w:val="16"/>
                <w:szCs w:val="16"/>
              </w:rPr>
              <w:t>Capítulo IV</w:t>
            </w:r>
          </w:p>
        </w:tc>
        <w:tc>
          <w:tcPr>
            <w:tcW w:w="4644" w:type="dxa"/>
          </w:tcPr>
          <w:p w14:paraId="02530BFD" w14:textId="3619A171" w:rsidR="003A38FF" w:rsidRPr="00D57E85" w:rsidRDefault="003A38FF" w:rsidP="003A38FF">
            <w:pPr>
              <w:pStyle w:val="Texto"/>
              <w:spacing w:line="222" w:lineRule="exact"/>
              <w:ind w:firstLine="0"/>
              <w:jc w:val="center"/>
              <w:rPr>
                <w:rFonts w:ascii="Verdana" w:hAnsi="Verdana"/>
                <w:b/>
                <w:sz w:val="16"/>
                <w:szCs w:val="16"/>
                <w:lang w:val="en-US"/>
              </w:rPr>
            </w:pPr>
            <w:r w:rsidRPr="00D57E85">
              <w:rPr>
                <w:rFonts w:ascii="Verdana" w:hAnsi="Verdana"/>
                <w:b/>
                <w:sz w:val="16"/>
                <w:szCs w:val="16"/>
                <w:lang w:val="en-US"/>
              </w:rPr>
              <w:t>Chapter IV</w:t>
            </w:r>
          </w:p>
        </w:tc>
      </w:tr>
      <w:tr w:rsidR="003A38FF" w:rsidRPr="00D83DA2" w14:paraId="201C533C" w14:textId="46FFA274" w:rsidTr="00FB5DAD">
        <w:tc>
          <w:tcPr>
            <w:tcW w:w="4706" w:type="dxa"/>
          </w:tcPr>
          <w:p w14:paraId="5E0C7CCB" w14:textId="77777777" w:rsidR="003A38FF" w:rsidRPr="00D0180E" w:rsidRDefault="003A38FF" w:rsidP="003A38FF">
            <w:pPr>
              <w:pStyle w:val="Texto"/>
              <w:spacing w:line="222" w:lineRule="exact"/>
              <w:ind w:firstLine="0"/>
              <w:jc w:val="center"/>
              <w:rPr>
                <w:rFonts w:ascii="Verdana" w:hAnsi="Verdana"/>
                <w:b/>
                <w:sz w:val="16"/>
                <w:szCs w:val="16"/>
              </w:rPr>
            </w:pPr>
            <w:r w:rsidRPr="00D0180E">
              <w:rPr>
                <w:rFonts w:ascii="Verdana" w:hAnsi="Verdana"/>
                <w:b/>
                <w:sz w:val="16"/>
                <w:szCs w:val="16"/>
              </w:rPr>
              <w:t>De la Separación de las Integrantes del Sector Eléctrico</w:t>
            </w:r>
          </w:p>
        </w:tc>
        <w:tc>
          <w:tcPr>
            <w:tcW w:w="4644" w:type="dxa"/>
          </w:tcPr>
          <w:p w14:paraId="5808292A" w14:textId="065E8965" w:rsidR="003A38FF" w:rsidRPr="00D0180E" w:rsidRDefault="003A38FF" w:rsidP="003A38FF">
            <w:pPr>
              <w:pStyle w:val="Texto"/>
              <w:spacing w:line="222" w:lineRule="exact"/>
              <w:ind w:firstLine="0"/>
              <w:jc w:val="center"/>
              <w:rPr>
                <w:rFonts w:ascii="Verdana" w:hAnsi="Verdana"/>
                <w:b/>
                <w:sz w:val="16"/>
                <w:szCs w:val="16"/>
                <w:lang w:val="en-US"/>
              </w:rPr>
            </w:pPr>
            <w:r w:rsidRPr="006815C5">
              <w:rPr>
                <w:rFonts w:ascii="Verdana" w:hAnsi="Verdana"/>
                <w:b/>
                <w:sz w:val="16"/>
                <w:szCs w:val="16"/>
                <w:lang w:val="en-US"/>
              </w:rPr>
              <w:t>Separation of the Members of the Electric Sector</w:t>
            </w:r>
          </w:p>
        </w:tc>
      </w:tr>
      <w:tr w:rsidR="003A38FF" w:rsidRPr="00D83DA2" w14:paraId="3B43733E" w14:textId="4C2005C0" w:rsidTr="00FB5DAD">
        <w:tc>
          <w:tcPr>
            <w:tcW w:w="4706" w:type="dxa"/>
          </w:tcPr>
          <w:p w14:paraId="79B1F651" w14:textId="77777777" w:rsidR="003A38FF" w:rsidRPr="00D0180E" w:rsidRDefault="003A38FF" w:rsidP="003A38FF">
            <w:pPr>
              <w:pStyle w:val="Texto"/>
              <w:spacing w:line="222" w:lineRule="exact"/>
              <w:ind w:firstLine="0"/>
              <w:rPr>
                <w:rFonts w:ascii="Verdana" w:hAnsi="Verdana"/>
                <w:sz w:val="16"/>
                <w:szCs w:val="16"/>
              </w:rPr>
            </w:pPr>
            <w:r w:rsidRPr="00D0180E">
              <w:rPr>
                <w:rFonts w:ascii="Verdana" w:hAnsi="Verdana"/>
                <w:b/>
                <w:sz w:val="16"/>
                <w:szCs w:val="16"/>
              </w:rPr>
              <w:t>Artículo 178.</w:t>
            </w:r>
            <w:r w:rsidRPr="00D0180E">
              <w:rPr>
                <w:rFonts w:ascii="Verdana" w:hAnsi="Verdana"/>
                <w:sz w:val="16"/>
                <w:szCs w:val="16"/>
              </w:rPr>
              <w:t xml:space="preserve"> La Secretaría puede ordenar y regular la separación legal de las Generadoras, las Comercializadoras y las personas proveedoras de insumos primarios para el sector eléctrico, así como ordenar la desincorporación de activos, derechos, partes sociales o acciones, cuando sea necesario para fomentar el acceso y la operación eficiente y confiable del sector eléctrico, lo anterior a excepción de la Empresa Pública del Estado.</w:t>
            </w:r>
          </w:p>
        </w:tc>
        <w:tc>
          <w:tcPr>
            <w:tcW w:w="4644" w:type="dxa"/>
          </w:tcPr>
          <w:p w14:paraId="03897A42" w14:textId="37CAF985" w:rsidR="003A38FF" w:rsidRPr="00D0180E" w:rsidRDefault="003A38FF" w:rsidP="003A38FF">
            <w:pPr>
              <w:pStyle w:val="Texto"/>
              <w:spacing w:line="222" w:lineRule="exact"/>
              <w:ind w:firstLine="0"/>
              <w:rPr>
                <w:rFonts w:ascii="Verdana" w:hAnsi="Verdana"/>
                <w:b/>
                <w:sz w:val="16"/>
                <w:szCs w:val="16"/>
                <w:lang w:val="en-US"/>
              </w:rPr>
            </w:pPr>
            <w:r w:rsidRPr="006815C5">
              <w:rPr>
                <w:rFonts w:ascii="Verdana" w:hAnsi="Verdana"/>
                <w:b/>
                <w:sz w:val="16"/>
                <w:szCs w:val="16"/>
                <w:lang w:val="en-US"/>
              </w:rPr>
              <w:t xml:space="preserve">Article 178. </w:t>
            </w:r>
            <w:r w:rsidRPr="006815C5">
              <w:rPr>
                <w:rFonts w:ascii="Verdana" w:hAnsi="Verdana"/>
                <w:sz w:val="16"/>
                <w:szCs w:val="16"/>
                <w:lang w:val="en-US"/>
              </w:rPr>
              <w:t xml:space="preserve">The Secretary may order and regulate the legal separation of generators, marketers, and suppliers of primary inputs for the electricity sector, as well as order the divestiture of assets, rights, shares, or stocks, when necessary to promote access to and the efficient and reliable operation of the electricity sector, </w:t>
            </w:r>
            <w:proofErr w:type="gramStart"/>
            <w:r w:rsidRPr="006815C5">
              <w:rPr>
                <w:rFonts w:ascii="Verdana" w:hAnsi="Verdana"/>
                <w:sz w:val="16"/>
                <w:szCs w:val="16"/>
                <w:lang w:val="en-US"/>
              </w:rPr>
              <w:t>with the exception of</w:t>
            </w:r>
            <w:proofErr w:type="gramEnd"/>
            <w:r w:rsidRPr="006815C5">
              <w:rPr>
                <w:rFonts w:ascii="Verdana" w:hAnsi="Verdana"/>
                <w:sz w:val="16"/>
                <w:szCs w:val="16"/>
                <w:lang w:val="en-US"/>
              </w:rPr>
              <w:t xml:space="preserve"> the State-owned Public Enterprise.</w:t>
            </w:r>
          </w:p>
        </w:tc>
      </w:tr>
      <w:tr w:rsidR="003A38FF" w:rsidRPr="00D83DA2" w14:paraId="5BDBA625" w14:textId="4C23F1D8" w:rsidTr="00FB5DAD">
        <w:tc>
          <w:tcPr>
            <w:tcW w:w="4706" w:type="dxa"/>
          </w:tcPr>
          <w:p w14:paraId="25A8E811" w14:textId="77777777" w:rsidR="003A38FF" w:rsidRPr="00D0180E" w:rsidRDefault="003A38FF" w:rsidP="003A38FF">
            <w:pPr>
              <w:pStyle w:val="Texto"/>
              <w:spacing w:line="222" w:lineRule="exact"/>
              <w:ind w:firstLine="0"/>
              <w:rPr>
                <w:rFonts w:ascii="Verdana" w:hAnsi="Verdana"/>
                <w:sz w:val="16"/>
                <w:szCs w:val="16"/>
              </w:rPr>
            </w:pPr>
            <w:r w:rsidRPr="00D0180E">
              <w:rPr>
                <w:rFonts w:ascii="Verdana" w:hAnsi="Verdana"/>
                <w:sz w:val="16"/>
                <w:szCs w:val="16"/>
              </w:rPr>
              <w:t>Asimismo, la Secretaría debe emitir las reglas bajo las cuales se permite la coordinación y las transacciones que realicen entre sí las Generadoras y las Comercializadoras u otras Integrantes del Sector Eléctrico que pertenezcan a un mismo Grupo de Interés Económico.</w:t>
            </w:r>
          </w:p>
        </w:tc>
        <w:tc>
          <w:tcPr>
            <w:tcW w:w="4644" w:type="dxa"/>
          </w:tcPr>
          <w:p w14:paraId="1A01CA55" w14:textId="36EF9B15" w:rsidR="003A38FF" w:rsidRPr="00D0180E" w:rsidRDefault="003A38FF" w:rsidP="003A38FF">
            <w:pPr>
              <w:pStyle w:val="Texto"/>
              <w:spacing w:line="222" w:lineRule="exact"/>
              <w:ind w:firstLine="0"/>
              <w:rPr>
                <w:rFonts w:ascii="Verdana" w:hAnsi="Verdana"/>
                <w:sz w:val="16"/>
                <w:szCs w:val="16"/>
                <w:lang w:val="en-US"/>
              </w:rPr>
            </w:pPr>
            <w:r>
              <w:rPr>
                <w:rFonts w:ascii="Verdana" w:hAnsi="Verdana"/>
                <w:sz w:val="16"/>
                <w:szCs w:val="16"/>
                <w:lang w:val="en-US"/>
              </w:rPr>
              <w:t>In addition</w:t>
            </w:r>
            <w:r w:rsidRPr="006815C5">
              <w:rPr>
                <w:rFonts w:ascii="Verdana" w:hAnsi="Verdana"/>
                <w:sz w:val="16"/>
                <w:szCs w:val="16"/>
                <w:lang w:val="en-US"/>
              </w:rPr>
              <w:t>, the Secretary must issue the rules under which coordination and transactions between generators and marketers or other members of the electricity sector belonging to the same economic interest group are permitted.</w:t>
            </w:r>
          </w:p>
        </w:tc>
      </w:tr>
      <w:tr w:rsidR="003A38FF" w:rsidRPr="00D83DA2" w14:paraId="52E3B37E" w14:textId="51BBD0B5" w:rsidTr="00FB5DAD">
        <w:tc>
          <w:tcPr>
            <w:tcW w:w="4706" w:type="dxa"/>
          </w:tcPr>
          <w:p w14:paraId="1481CEB5" w14:textId="77777777" w:rsidR="003A38FF" w:rsidRPr="00D0180E" w:rsidRDefault="003A38FF" w:rsidP="003A38FF">
            <w:pPr>
              <w:pStyle w:val="Texto"/>
              <w:spacing w:line="222" w:lineRule="exact"/>
              <w:ind w:firstLine="0"/>
              <w:rPr>
                <w:rFonts w:ascii="Verdana" w:hAnsi="Verdana"/>
                <w:sz w:val="16"/>
                <w:szCs w:val="16"/>
              </w:rPr>
            </w:pPr>
            <w:r w:rsidRPr="00D0180E">
              <w:rPr>
                <w:rFonts w:ascii="Verdana" w:hAnsi="Verdana"/>
                <w:b/>
                <w:sz w:val="16"/>
                <w:szCs w:val="16"/>
              </w:rPr>
              <w:t>Artículo 179.</w:t>
            </w:r>
            <w:r w:rsidRPr="00D0180E">
              <w:rPr>
                <w:rFonts w:ascii="Verdana" w:hAnsi="Verdana"/>
                <w:sz w:val="16"/>
                <w:szCs w:val="16"/>
              </w:rPr>
              <w:t xml:space="preserve"> Sin perjuicio de la facultad de la Secretaría a que se refiere el artículo anterior, la CNE debe establecer mediante disposiciones administrativas de carácter general, las condiciones bajo las cuales se debe llevar a cabo la separación contable, operativa y funcional de las Integrantes del Sector Eléctrico, con excepción de la Empresa Pública del Estado.</w:t>
            </w:r>
          </w:p>
        </w:tc>
        <w:tc>
          <w:tcPr>
            <w:tcW w:w="4644" w:type="dxa"/>
          </w:tcPr>
          <w:p w14:paraId="2D428194" w14:textId="3E9E4D9F" w:rsidR="003A38FF" w:rsidRPr="00D0180E" w:rsidRDefault="003A38FF" w:rsidP="003A38FF">
            <w:pPr>
              <w:pStyle w:val="Texto"/>
              <w:spacing w:line="222" w:lineRule="exact"/>
              <w:ind w:firstLine="0"/>
              <w:rPr>
                <w:rFonts w:ascii="Verdana" w:hAnsi="Verdana"/>
                <w:b/>
                <w:sz w:val="16"/>
                <w:szCs w:val="16"/>
                <w:lang w:val="en-US"/>
              </w:rPr>
            </w:pPr>
            <w:r w:rsidRPr="001E598D">
              <w:rPr>
                <w:rFonts w:ascii="Verdana" w:hAnsi="Verdana"/>
                <w:b/>
                <w:sz w:val="16"/>
                <w:szCs w:val="16"/>
                <w:lang w:val="en-US"/>
              </w:rPr>
              <w:t xml:space="preserve">Article 179. </w:t>
            </w:r>
            <w:r w:rsidRPr="001E598D">
              <w:rPr>
                <w:rFonts w:ascii="Verdana" w:hAnsi="Verdana"/>
                <w:sz w:val="16"/>
                <w:szCs w:val="16"/>
                <w:lang w:val="en-US"/>
              </w:rPr>
              <w:t xml:space="preserve">Without prejudice to the Secretary's authority referred to in the </w:t>
            </w:r>
            <w:r>
              <w:rPr>
                <w:rFonts w:ascii="Verdana" w:hAnsi="Verdana"/>
                <w:sz w:val="16"/>
                <w:szCs w:val="16"/>
                <w:lang w:val="en-US"/>
              </w:rPr>
              <w:t>preceding article</w:t>
            </w:r>
            <w:r w:rsidRPr="001E598D">
              <w:rPr>
                <w:rFonts w:ascii="Verdana" w:hAnsi="Verdana"/>
                <w:sz w:val="16"/>
                <w:szCs w:val="16"/>
                <w:lang w:val="en-US"/>
              </w:rPr>
              <w:t xml:space="preserve">, the CNE must establish, through general administrative provisions, the conditions under which the accounting, operational and functional separation of the members of the electric sector must be carried out, </w:t>
            </w:r>
            <w:proofErr w:type="gramStart"/>
            <w:r w:rsidRPr="001E598D">
              <w:rPr>
                <w:rFonts w:ascii="Verdana" w:hAnsi="Verdana"/>
                <w:sz w:val="16"/>
                <w:szCs w:val="16"/>
                <w:lang w:val="en-US"/>
              </w:rPr>
              <w:t>with the exception of</w:t>
            </w:r>
            <w:proofErr w:type="gramEnd"/>
            <w:r w:rsidRPr="001E598D">
              <w:rPr>
                <w:rFonts w:ascii="Verdana" w:hAnsi="Verdana"/>
                <w:sz w:val="16"/>
                <w:szCs w:val="16"/>
                <w:lang w:val="en-US"/>
              </w:rPr>
              <w:t xml:space="preserve"> the </w:t>
            </w:r>
            <w:r>
              <w:rPr>
                <w:rFonts w:ascii="Verdana" w:hAnsi="Verdana"/>
                <w:sz w:val="16"/>
                <w:szCs w:val="16"/>
                <w:lang w:val="en-US"/>
              </w:rPr>
              <w:t>State Public Enterprise.</w:t>
            </w:r>
          </w:p>
        </w:tc>
      </w:tr>
      <w:tr w:rsidR="003A38FF" w:rsidRPr="00D83DA2" w14:paraId="6C38A637" w14:textId="6B71CBBA" w:rsidTr="00FB5DAD">
        <w:tc>
          <w:tcPr>
            <w:tcW w:w="4706" w:type="dxa"/>
          </w:tcPr>
          <w:p w14:paraId="0469DC64" w14:textId="77777777" w:rsidR="003A38FF" w:rsidRPr="00D0180E" w:rsidRDefault="003A38FF" w:rsidP="003A38FF">
            <w:pPr>
              <w:pStyle w:val="Texto"/>
              <w:spacing w:line="222" w:lineRule="exact"/>
              <w:ind w:firstLine="0"/>
              <w:rPr>
                <w:rFonts w:ascii="Verdana" w:hAnsi="Verdana"/>
                <w:sz w:val="16"/>
                <w:szCs w:val="16"/>
              </w:rPr>
            </w:pPr>
            <w:r w:rsidRPr="00D0180E">
              <w:rPr>
                <w:rFonts w:ascii="Verdana" w:hAnsi="Verdana"/>
                <w:sz w:val="16"/>
                <w:szCs w:val="16"/>
              </w:rPr>
              <w:t>Dichas disposiciones y reglas tienen por objeto fomentar el desarrollo eficiente del sector eléctrico, fortalecer el acceso a la Red Nacional de Transmisión y a las Redes Generales de Distribución, impedir los subsidios cruzados entre actividades y evitar el abuso de poder de mercado y la utilización indebida de información privilegiada.</w:t>
            </w:r>
          </w:p>
        </w:tc>
        <w:tc>
          <w:tcPr>
            <w:tcW w:w="4644" w:type="dxa"/>
          </w:tcPr>
          <w:p w14:paraId="07A18AEC" w14:textId="653134A6" w:rsidR="003A38FF" w:rsidRPr="00D0180E" w:rsidRDefault="003A38FF" w:rsidP="003A38FF">
            <w:pPr>
              <w:pStyle w:val="Texto"/>
              <w:spacing w:line="222" w:lineRule="exact"/>
              <w:ind w:firstLine="0"/>
              <w:rPr>
                <w:rFonts w:ascii="Verdana" w:hAnsi="Verdana"/>
                <w:sz w:val="16"/>
                <w:szCs w:val="16"/>
                <w:lang w:val="en-US"/>
              </w:rPr>
            </w:pPr>
            <w:r w:rsidRPr="001E598D">
              <w:rPr>
                <w:rFonts w:ascii="Verdana" w:hAnsi="Verdana"/>
                <w:sz w:val="16"/>
                <w:szCs w:val="16"/>
                <w:lang w:val="en-US"/>
              </w:rPr>
              <w:t xml:space="preserve">These provisions and rules are intended to promote the efficient development of the electricity sector, strengthen access to the national transmission network and the general distribution networks, prevent cross-subsidies between activities, and avoid the abuse of market power and </w:t>
            </w:r>
            <w:proofErr w:type="gramStart"/>
            <w:r w:rsidRPr="001E598D">
              <w:rPr>
                <w:rFonts w:ascii="Verdana" w:hAnsi="Verdana"/>
                <w:sz w:val="16"/>
                <w:szCs w:val="16"/>
                <w:lang w:val="en-US"/>
              </w:rPr>
              <w:t>the improper</w:t>
            </w:r>
            <w:proofErr w:type="gramEnd"/>
            <w:r w:rsidRPr="001E598D">
              <w:rPr>
                <w:rFonts w:ascii="Verdana" w:hAnsi="Verdana"/>
                <w:sz w:val="16"/>
                <w:szCs w:val="16"/>
                <w:lang w:val="en-US"/>
              </w:rPr>
              <w:t xml:space="preserve"> use of privileged information.</w:t>
            </w:r>
          </w:p>
        </w:tc>
      </w:tr>
      <w:tr w:rsidR="003A38FF" w:rsidRPr="00D0180E" w14:paraId="3E3B767E" w14:textId="5B5B2605" w:rsidTr="00FB5DAD">
        <w:tc>
          <w:tcPr>
            <w:tcW w:w="4706" w:type="dxa"/>
          </w:tcPr>
          <w:p w14:paraId="544D8D88" w14:textId="77777777" w:rsidR="003A38FF" w:rsidRPr="00D0180E" w:rsidRDefault="003A38FF" w:rsidP="003A38FF">
            <w:pPr>
              <w:pStyle w:val="Texto"/>
              <w:spacing w:line="222" w:lineRule="exact"/>
              <w:ind w:firstLine="0"/>
              <w:jc w:val="center"/>
              <w:rPr>
                <w:rFonts w:ascii="Verdana" w:hAnsi="Verdana"/>
                <w:b/>
                <w:sz w:val="16"/>
                <w:szCs w:val="16"/>
              </w:rPr>
            </w:pPr>
            <w:r w:rsidRPr="00D0180E">
              <w:rPr>
                <w:rFonts w:ascii="Verdana" w:hAnsi="Verdana"/>
                <w:b/>
                <w:sz w:val="16"/>
                <w:szCs w:val="16"/>
              </w:rPr>
              <w:t>Capítulo V</w:t>
            </w:r>
          </w:p>
        </w:tc>
        <w:tc>
          <w:tcPr>
            <w:tcW w:w="4644" w:type="dxa"/>
          </w:tcPr>
          <w:p w14:paraId="52CE870D" w14:textId="6CBA3EF5" w:rsidR="003A38FF" w:rsidRPr="00D0180E" w:rsidRDefault="003A38FF" w:rsidP="003A38FF">
            <w:pPr>
              <w:pStyle w:val="Texto"/>
              <w:spacing w:line="222" w:lineRule="exact"/>
              <w:ind w:firstLine="0"/>
              <w:jc w:val="center"/>
              <w:rPr>
                <w:rFonts w:ascii="Verdana" w:hAnsi="Verdana"/>
                <w:b/>
                <w:sz w:val="16"/>
                <w:szCs w:val="16"/>
                <w:lang w:val="en-US"/>
              </w:rPr>
            </w:pPr>
            <w:r w:rsidRPr="00AA12BF">
              <w:rPr>
                <w:rFonts w:ascii="Verdana" w:hAnsi="Verdana"/>
                <w:b/>
                <w:sz w:val="16"/>
                <w:szCs w:val="16"/>
                <w:lang w:val="en-US"/>
              </w:rPr>
              <w:t xml:space="preserve">Chapter </w:t>
            </w:r>
            <w:r w:rsidRPr="00D0180E">
              <w:rPr>
                <w:rFonts w:ascii="Verdana" w:hAnsi="Verdana"/>
                <w:b/>
                <w:sz w:val="16"/>
                <w:szCs w:val="16"/>
              </w:rPr>
              <w:t>V</w:t>
            </w:r>
          </w:p>
        </w:tc>
      </w:tr>
      <w:tr w:rsidR="003A38FF" w:rsidRPr="00D83DA2" w14:paraId="7996BE0E" w14:textId="581FD384" w:rsidTr="00FB5DAD">
        <w:tc>
          <w:tcPr>
            <w:tcW w:w="4706" w:type="dxa"/>
          </w:tcPr>
          <w:p w14:paraId="0A3DA2AF" w14:textId="77777777" w:rsidR="003A38FF" w:rsidRPr="00D0180E" w:rsidRDefault="003A38FF" w:rsidP="003A38FF">
            <w:pPr>
              <w:pStyle w:val="Texto"/>
              <w:spacing w:line="222" w:lineRule="exact"/>
              <w:ind w:firstLine="0"/>
              <w:jc w:val="center"/>
              <w:rPr>
                <w:rFonts w:ascii="Verdana" w:hAnsi="Verdana"/>
                <w:b/>
                <w:sz w:val="16"/>
                <w:szCs w:val="16"/>
              </w:rPr>
            </w:pPr>
            <w:r w:rsidRPr="00D0180E">
              <w:rPr>
                <w:rFonts w:ascii="Verdana" w:hAnsi="Verdana"/>
                <w:b/>
                <w:sz w:val="16"/>
                <w:szCs w:val="16"/>
              </w:rPr>
              <w:t>De las Obligaciones para Energías Limpias, Transición Energética y Descarbonización del Sector Eléctrico</w:t>
            </w:r>
          </w:p>
        </w:tc>
        <w:tc>
          <w:tcPr>
            <w:tcW w:w="4644" w:type="dxa"/>
          </w:tcPr>
          <w:p w14:paraId="580247F7" w14:textId="2BBDBEAA" w:rsidR="003A38FF" w:rsidRPr="00D0180E" w:rsidRDefault="003A38FF" w:rsidP="003A38FF">
            <w:pPr>
              <w:pStyle w:val="Texto"/>
              <w:spacing w:line="222" w:lineRule="exact"/>
              <w:ind w:firstLine="0"/>
              <w:jc w:val="center"/>
              <w:rPr>
                <w:rFonts w:ascii="Verdana" w:hAnsi="Verdana"/>
                <w:b/>
                <w:sz w:val="16"/>
                <w:szCs w:val="16"/>
                <w:lang w:val="en-US"/>
              </w:rPr>
            </w:pPr>
            <w:r w:rsidRPr="001E598D">
              <w:rPr>
                <w:rFonts w:ascii="Verdana" w:hAnsi="Verdana"/>
                <w:b/>
                <w:sz w:val="16"/>
                <w:szCs w:val="16"/>
                <w:lang w:val="en-US"/>
              </w:rPr>
              <w:t>Obligations for Clean Energy, Energy Transition and Decarbonization of the Electricity Sector</w:t>
            </w:r>
          </w:p>
        </w:tc>
      </w:tr>
      <w:tr w:rsidR="003A38FF" w:rsidRPr="00D83DA2" w14:paraId="30DCCC5A" w14:textId="6A8FC6D7" w:rsidTr="00FB5DAD">
        <w:tc>
          <w:tcPr>
            <w:tcW w:w="4706" w:type="dxa"/>
          </w:tcPr>
          <w:p w14:paraId="27061EEA" w14:textId="77777777" w:rsidR="003A38FF" w:rsidRPr="00D0180E" w:rsidRDefault="003A38FF" w:rsidP="003A38FF">
            <w:pPr>
              <w:pStyle w:val="Texto"/>
              <w:spacing w:line="222" w:lineRule="exact"/>
              <w:ind w:firstLine="0"/>
              <w:rPr>
                <w:rFonts w:ascii="Verdana" w:hAnsi="Verdana"/>
                <w:sz w:val="16"/>
                <w:szCs w:val="16"/>
                <w:lang w:val="es"/>
              </w:rPr>
            </w:pPr>
            <w:r w:rsidRPr="00D0180E">
              <w:rPr>
                <w:rFonts w:ascii="Verdana" w:hAnsi="Verdana"/>
                <w:b/>
                <w:sz w:val="16"/>
                <w:szCs w:val="16"/>
              </w:rPr>
              <w:t xml:space="preserve">Artículo 180. </w:t>
            </w:r>
            <w:r w:rsidRPr="00D0180E">
              <w:rPr>
                <w:rFonts w:ascii="Verdana" w:hAnsi="Verdana"/>
                <w:sz w:val="16"/>
                <w:szCs w:val="16"/>
                <w:lang w:val="es"/>
              </w:rPr>
              <w:t xml:space="preserve">La Secretaría debe establecer a través de disposiciones administrativas de carácter general, los instrumentos, mecanismos y requisitos de transición </w:t>
            </w:r>
            <w:r w:rsidRPr="00D0180E">
              <w:rPr>
                <w:rFonts w:ascii="Verdana" w:hAnsi="Verdana"/>
                <w:sz w:val="16"/>
                <w:szCs w:val="16"/>
                <w:lang w:val="es"/>
              </w:rPr>
              <w:lastRenderedPageBreak/>
              <w:t>energética y descarbonización que se establecen en el artículo 147 de la Ley.</w:t>
            </w:r>
          </w:p>
        </w:tc>
        <w:tc>
          <w:tcPr>
            <w:tcW w:w="4644" w:type="dxa"/>
          </w:tcPr>
          <w:p w14:paraId="28CC0677" w14:textId="6DF6B3E1" w:rsidR="003A38FF" w:rsidRPr="00D0180E" w:rsidRDefault="003A38FF" w:rsidP="003A38FF">
            <w:pPr>
              <w:pStyle w:val="Texto"/>
              <w:spacing w:line="222" w:lineRule="exact"/>
              <w:ind w:firstLine="0"/>
              <w:rPr>
                <w:rFonts w:ascii="Verdana" w:hAnsi="Verdana"/>
                <w:b/>
                <w:sz w:val="16"/>
                <w:szCs w:val="16"/>
                <w:lang w:val="en-US"/>
              </w:rPr>
            </w:pPr>
            <w:r w:rsidRPr="001E598D">
              <w:rPr>
                <w:rFonts w:ascii="Verdana" w:hAnsi="Verdana"/>
                <w:b/>
                <w:sz w:val="16"/>
                <w:szCs w:val="16"/>
                <w:lang w:val="en-US"/>
              </w:rPr>
              <w:lastRenderedPageBreak/>
              <w:t xml:space="preserve">Article 180. </w:t>
            </w:r>
            <w:r w:rsidRPr="001E598D">
              <w:rPr>
                <w:rFonts w:ascii="Verdana" w:hAnsi="Verdana"/>
                <w:sz w:val="16"/>
                <w:szCs w:val="16"/>
                <w:lang w:val="en-US"/>
              </w:rPr>
              <w:t xml:space="preserve">The Secretary must establish, through general administrative provisions, the instruments, mechanisms, and requirements for energy transition </w:t>
            </w:r>
            <w:r w:rsidRPr="001E598D">
              <w:rPr>
                <w:rFonts w:ascii="Verdana" w:hAnsi="Verdana"/>
                <w:sz w:val="16"/>
                <w:szCs w:val="16"/>
                <w:lang w:val="en-US"/>
              </w:rPr>
              <w:lastRenderedPageBreak/>
              <w:t>and decarbonization established in Article 147 of the Law.</w:t>
            </w:r>
          </w:p>
        </w:tc>
      </w:tr>
      <w:tr w:rsidR="003A38FF" w:rsidRPr="00D83DA2" w14:paraId="6FCAEACF" w14:textId="3620CD56" w:rsidTr="00FB5DAD">
        <w:tc>
          <w:tcPr>
            <w:tcW w:w="4706" w:type="dxa"/>
          </w:tcPr>
          <w:p w14:paraId="21986E44" w14:textId="77777777" w:rsidR="003A38FF" w:rsidRPr="00D0180E" w:rsidRDefault="003A38FF" w:rsidP="003A38FF">
            <w:pPr>
              <w:pStyle w:val="Texto"/>
              <w:spacing w:line="222" w:lineRule="exact"/>
              <w:ind w:firstLine="0"/>
              <w:rPr>
                <w:rFonts w:ascii="Verdana" w:hAnsi="Verdana"/>
                <w:sz w:val="16"/>
                <w:szCs w:val="16"/>
              </w:rPr>
            </w:pPr>
            <w:r w:rsidRPr="00D0180E">
              <w:rPr>
                <w:rFonts w:ascii="Verdana" w:hAnsi="Verdana"/>
                <w:b/>
                <w:sz w:val="16"/>
                <w:szCs w:val="16"/>
              </w:rPr>
              <w:lastRenderedPageBreak/>
              <w:t>Artículo 181.</w:t>
            </w:r>
            <w:r w:rsidRPr="00D0180E">
              <w:rPr>
                <w:rFonts w:ascii="Verdana" w:hAnsi="Verdana"/>
                <w:sz w:val="16"/>
                <w:szCs w:val="16"/>
              </w:rPr>
              <w:t xml:space="preserve"> Los Certificados de Energías Limpias deben coadyuvar a lograr las metas de participación de fuentes de Energías Limpias en la generación de energía eléctrica, la diversificación de fuentes de energía, la descarbonización y la transición energética, con el mínimo costo factible.</w:t>
            </w:r>
          </w:p>
        </w:tc>
        <w:tc>
          <w:tcPr>
            <w:tcW w:w="4644" w:type="dxa"/>
          </w:tcPr>
          <w:p w14:paraId="2372285F" w14:textId="273B6DE8" w:rsidR="003A38FF" w:rsidRPr="00D0180E" w:rsidRDefault="003A38FF" w:rsidP="003A38FF">
            <w:pPr>
              <w:pStyle w:val="Texto"/>
              <w:spacing w:line="222" w:lineRule="exact"/>
              <w:ind w:firstLine="0"/>
              <w:rPr>
                <w:rFonts w:ascii="Verdana" w:hAnsi="Verdana"/>
                <w:b/>
                <w:sz w:val="16"/>
                <w:szCs w:val="16"/>
                <w:lang w:val="en-US"/>
              </w:rPr>
            </w:pPr>
            <w:r w:rsidRPr="001E598D">
              <w:rPr>
                <w:rFonts w:ascii="Verdana" w:hAnsi="Verdana"/>
                <w:b/>
                <w:sz w:val="16"/>
                <w:szCs w:val="16"/>
                <w:lang w:val="en-US"/>
              </w:rPr>
              <w:t xml:space="preserve">Article 181. </w:t>
            </w:r>
            <w:r w:rsidRPr="001E598D">
              <w:rPr>
                <w:rFonts w:ascii="Verdana" w:hAnsi="Verdana"/>
                <w:sz w:val="16"/>
                <w:szCs w:val="16"/>
                <w:lang w:val="en-US"/>
              </w:rPr>
              <w:t>Clean Energy Certificates must contribute to achieving the goals of participation of Clean Energy sources in the generation of electric power, the diversification of energy sources, decarbonization, and the energy transition, at the lowest feasible cost.</w:t>
            </w:r>
          </w:p>
        </w:tc>
      </w:tr>
      <w:tr w:rsidR="003A38FF" w:rsidRPr="00D83DA2" w14:paraId="2E8FA4B8" w14:textId="6D838CF7" w:rsidTr="00FB5DAD">
        <w:tc>
          <w:tcPr>
            <w:tcW w:w="4706" w:type="dxa"/>
          </w:tcPr>
          <w:p w14:paraId="569F0BAC" w14:textId="77777777" w:rsidR="003A38FF" w:rsidRPr="00D0180E" w:rsidRDefault="003A38FF" w:rsidP="003A38FF">
            <w:pPr>
              <w:pStyle w:val="Texto"/>
              <w:spacing w:line="222" w:lineRule="exact"/>
              <w:ind w:firstLine="0"/>
              <w:rPr>
                <w:rFonts w:ascii="Verdana" w:hAnsi="Verdana"/>
                <w:sz w:val="16"/>
                <w:szCs w:val="16"/>
              </w:rPr>
            </w:pPr>
            <w:r w:rsidRPr="00D0180E">
              <w:rPr>
                <w:rFonts w:ascii="Verdana" w:hAnsi="Verdana"/>
                <w:b/>
                <w:sz w:val="16"/>
                <w:szCs w:val="16"/>
              </w:rPr>
              <w:t>Artículo 182.</w:t>
            </w:r>
            <w:r w:rsidRPr="00D0180E">
              <w:rPr>
                <w:rFonts w:ascii="Verdana" w:hAnsi="Verdana"/>
                <w:sz w:val="16"/>
                <w:szCs w:val="16"/>
              </w:rPr>
              <w:t xml:space="preserve"> Los Certificados de Energías Limpias son otorgados por la CNE en función de los criterios que para tal efecto emita la Secretaría en términos de la Ley y la Ley de Planeación y Transición Energética y su reglamento. La CNE, en coordinación con la Secretaría, debe emitir las disposiciones administrativas de carácter general que regulen el otorgamiento, liquidación, cancelación voluntaria y transacciones relacionadas con los Certificados de Energías Limpias, las cuales deben incluir el funcionamiento del sistema electrónico por el cual se registren dichas actividades. Este sistema constituye el registro de certificados a que se refiere el artículo 149 de la Ley.</w:t>
            </w:r>
          </w:p>
        </w:tc>
        <w:tc>
          <w:tcPr>
            <w:tcW w:w="4644" w:type="dxa"/>
          </w:tcPr>
          <w:p w14:paraId="6AC3D25E" w14:textId="2588137F" w:rsidR="003A38FF" w:rsidRPr="00D0180E" w:rsidRDefault="003A38FF" w:rsidP="003A38FF">
            <w:pPr>
              <w:pStyle w:val="Texto"/>
              <w:spacing w:line="222" w:lineRule="exact"/>
              <w:ind w:firstLine="0"/>
              <w:rPr>
                <w:rFonts w:ascii="Verdana" w:hAnsi="Verdana"/>
                <w:b/>
                <w:sz w:val="16"/>
                <w:szCs w:val="16"/>
                <w:lang w:val="en-US"/>
              </w:rPr>
            </w:pPr>
            <w:r w:rsidRPr="001E598D">
              <w:rPr>
                <w:rFonts w:ascii="Verdana" w:hAnsi="Verdana"/>
                <w:b/>
                <w:sz w:val="16"/>
                <w:szCs w:val="16"/>
                <w:lang w:val="en-US"/>
              </w:rPr>
              <w:t xml:space="preserve">Article 182. </w:t>
            </w:r>
            <w:r w:rsidRPr="001E598D">
              <w:rPr>
                <w:rFonts w:ascii="Verdana" w:hAnsi="Verdana"/>
                <w:sz w:val="16"/>
                <w:szCs w:val="16"/>
                <w:lang w:val="en-US"/>
              </w:rPr>
              <w:t xml:space="preserve">Clean Energy Certificates are granted by the CNE based on the criteria issued for such purposes by the Secretary in accordance with the Law and the </w:t>
            </w:r>
            <w:r>
              <w:rPr>
                <w:rFonts w:ascii="Verdana" w:hAnsi="Verdana"/>
                <w:sz w:val="16"/>
                <w:szCs w:val="16"/>
                <w:lang w:val="en-US"/>
              </w:rPr>
              <w:t>Law of Energy Planning and Transition</w:t>
            </w:r>
            <w:r w:rsidRPr="001E598D">
              <w:rPr>
                <w:rFonts w:ascii="Verdana" w:hAnsi="Verdana"/>
                <w:sz w:val="16"/>
                <w:szCs w:val="16"/>
                <w:lang w:val="en-US"/>
              </w:rPr>
              <w:t xml:space="preserve"> and its Regulation. The CNE, in coordination with the Secretary, must issue general administrative provisions governing the granting, liquidation, voluntary cancellation, and transactions related to Clean Energy Certificates, which must include the operation of the electronic system through which such activities are registered. This system constitutes the certificate registry referred to in Article 149 of the Law.</w:t>
            </w:r>
          </w:p>
        </w:tc>
      </w:tr>
      <w:tr w:rsidR="003A38FF" w:rsidRPr="00D83DA2" w14:paraId="6EF3B42B" w14:textId="756A5D0D" w:rsidTr="00FB5DAD">
        <w:tc>
          <w:tcPr>
            <w:tcW w:w="4706" w:type="dxa"/>
          </w:tcPr>
          <w:p w14:paraId="57AEFB83" w14:textId="77777777" w:rsidR="003A38FF" w:rsidRPr="00D0180E" w:rsidRDefault="003A38FF" w:rsidP="003A38FF">
            <w:pPr>
              <w:pStyle w:val="Texto"/>
              <w:spacing w:line="222" w:lineRule="exact"/>
              <w:ind w:firstLine="0"/>
              <w:rPr>
                <w:rFonts w:ascii="Verdana" w:hAnsi="Verdana"/>
                <w:sz w:val="16"/>
                <w:szCs w:val="16"/>
              </w:rPr>
            </w:pPr>
            <w:r w:rsidRPr="00D0180E">
              <w:rPr>
                <w:rFonts w:ascii="Verdana" w:hAnsi="Verdana"/>
                <w:b/>
                <w:sz w:val="16"/>
                <w:szCs w:val="16"/>
              </w:rPr>
              <w:t>Artículo 183.</w:t>
            </w:r>
            <w:r w:rsidRPr="00D0180E">
              <w:rPr>
                <w:rFonts w:ascii="Verdana" w:hAnsi="Verdana"/>
                <w:sz w:val="16"/>
                <w:szCs w:val="16"/>
              </w:rPr>
              <w:t xml:space="preserve"> La Secretaría puede celebrar convenios que permitan la homologación de los Certificados de Energías Limpias con los instrumentos correspondientes de otras jurisdicciones, siempre que se cumplan los criterios de trazabilidad, verificabilidad y en su caso de certificación que determine la Secretaría mediante el instrumento normativo que para tales efectos emita.</w:t>
            </w:r>
          </w:p>
        </w:tc>
        <w:tc>
          <w:tcPr>
            <w:tcW w:w="4644" w:type="dxa"/>
          </w:tcPr>
          <w:p w14:paraId="0C80B410" w14:textId="01F78166" w:rsidR="003A38FF" w:rsidRPr="00D0180E" w:rsidRDefault="003A38FF" w:rsidP="003A38FF">
            <w:pPr>
              <w:pStyle w:val="Texto"/>
              <w:spacing w:line="222" w:lineRule="exact"/>
              <w:ind w:firstLine="0"/>
              <w:rPr>
                <w:rFonts w:ascii="Verdana" w:hAnsi="Verdana"/>
                <w:b/>
                <w:sz w:val="16"/>
                <w:szCs w:val="16"/>
                <w:lang w:val="en-US"/>
              </w:rPr>
            </w:pPr>
            <w:r w:rsidRPr="001E598D">
              <w:rPr>
                <w:rFonts w:ascii="Verdana" w:hAnsi="Verdana"/>
                <w:b/>
                <w:sz w:val="16"/>
                <w:szCs w:val="16"/>
                <w:lang w:val="en-US"/>
              </w:rPr>
              <w:t xml:space="preserve">Article 183. </w:t>
            </w:r>
            <w:r w:rsidRPr="001E598D">
              <w:rPr>
                <w:rFonts w:ascii="Verdana" w:hAnsi="Verdana"/>
                <w:sz w:val="16"/>
                <w:szCs w:val="16"/>
                <w:lang w:val="en-US"/>
              </w:rPr>
              <w:t xml:space="preserve">The Secretary may enter into agreements that allow for the homologation of Clean Energy Certificates with the corresponding instruments of other jurisdictions, provided that the criteria of traceability, verifiability and, where applicable, certification determined by the Secretary through the regulatory </w:t>
            </w:r>
            <w:proofErr w:type="gramStart"/>
            <w:r w:rsidRPr="001E598D">
              <w:rPr>
                <w:rFonts w:ascii="Verdana" w:hAnsi="Verdana"/>
                <w:sz w:val="16"/>
                <w:szCs w:val="16"/>
                <w:lang w:val="en-US"/>
              </w:rPr>
              <w:t>instrument it</w:t>
            </w:r>
            <w:proofErr w:type="gramEnd"/>
            <w:r w:rsidRPr="001E598D">
              <w:rPr>
                <w:rFonts w:ascii="Verdana" w:hAnsi="Verdana"/>
                <w:sz w:val="16"/>
                <w:szCs w:val="16"/>
                <w:lang w:val="en-US"/>
              </w:rPr>
              <w:t xml:space="preserve"> issues for such purposes are met.</w:t>
            </w:r>
          </w:p>
        </w:tc>
      </w:tr>
      <w:tr w:rsidR="003A38FF" w:rsidRPr="00D83DA2" w14:paraId="25CC5907" w14:textId="40887280" w:rsidTr="00FB5DAD">
        <w:tc>
          <w:tcPr>
            <w:tcW w:w="4706" w:type="dxa"/>
          </w:tcPr>
          <w:p w14:paraId="1653BED3" w14:textId="77777777" w:rsidR="003A38FF" w:rsidRPr="00D0180E" w:rsidRDefault="003A38FF" w:rsidP="003A38FF">
            <w:pPr>
              <w:pStyle w:val="Texto"/>
              <w:spacing w:line="222" w:lineRule="exact"/>
              <w:ind w:firstLine="0"/>
              <w:rPr>
                <w:rFonts w:ascii="Verdana" w:hAnsi="Verdana"/>
                <w:sz w:val="16"/>
                <w:szCs w:val="16"/>
              </w:rPr>
            </w:pPr>
            <w:r w:rsidRPr="00D0180E">
              <w:rPr>
                <w:rFonts w:ascii="Verdana" w:hAnsi="Verdana"/>
                <w:b/>
                <w:sz w:val="16"/>
                <w:szCs w:val="16"/>
              </w:rPr>
              <w:t>Artículo 184.</w:t>
            </w:r>
            <w:r w:rsidRPr="00D0180E">
              <w:rPr>
                <w:rFonts w:ascii="Verdana" w:hAnsi="Verdana"/>
                <w:sz w:val="16"/>
                <w:szCs w:val="16"/>
              </w:rPr>
              <w:t xml:space="preserve"> Los Certificados de Energías Limpias se pueden comercializar libremente entre los Participantes del Mercado.</w:t>
            </w:r>
          </w:p>
        </w:tc>
        <w:tc>
          <w:tcPr>
            <w:tcW w:w="4644" w:type="dxa"/>
          </w:tcPr>
          <w:p w14:paraId="4D9D642D" w14:textId="155B76F6" w:rsidR="003A38FF" w:rsidRPr="00D0180E" w:rsidRDefault="003A38FF" w:rsidP="003A38FF">
            <w:pPr>
              <w:pStyle w:val="Texto"/>
              <w:spacing w:line="222" w:lineRule="exact"/>
              <w:ind w:firstLine="0"/>
              <w:rPr>
                <w:rFonts w:ascii="Verdana" w:hAnsi="Verdana"/>
                <w:b/>
                <w:sz w:val="16"/>
                <w:szCs w:val="16"/>
                <w:lang w:val="en-US"/>
              </w:rPr>
            </w:pPr>
            <w:r w:rsidRPr="001E598D">
              <w:rPr>
                <w:rFonts w:ascii="Verdana" w:hAnsi="Verdana"/>
                <w:b/>
                <w:sz w:val="16"/>
                <w:szCs w:val="16"/>
                <w:lang w:val="en-US"/>
              </w:rPr>
              <w:t xml:space="preserve">Article 184. </w:t>
            </w:r>
            <w:r w:rsidRPr="001E598D">
              <w:rPr>
                <w:rFonts w:ascii="Verdana" w:hAnsi="Verdana"/>
                <w:sz w:val="16"/>
                <w:szCs w:val="16"/>
                <w:lang w:val="en-US"/>
              </w:rPr>
              <w:t>Clean Energy Certificates may be freely traded among market participants.</w:t>
            </w:r>
          </w:p>
        </w:tc>
      </w:tr>
      <w:tr w:rsidR="003A38FF" w:rsidRPr="00D83DA2" w14:paraId="71421278" w14:textId="2A18FDB9" w:rsidTr="00FB5DAD">
        <w:tc>
          <w:tcPr>
            <w:tcW w:w="4706" w:type="dxa"/>
          </w:tcPr>
          <w:p w14:paraId="2B803A1C" w14:textId="77777777" w:rsidR="003A38FF" w:rsidRPr="00D0180E" w:rsidRDefault="003A38FF" w:rsidP="003A38FF">
            <w:pPr>
              <w:pStyle w:val="Texto"/>
              <w:spacing w:line="222" w:lineRule="exact"/>
              <w:ind w:firstLine="0"/>
              <w:rPr>
                <w:rFonts w:ascii="Verdana" w:hAnsi="Verdana"/>
                <w:sz w:val="16"/>
                <w:szCs w:val="16"/>
              </w:rPr>
            </w:pPr>
            <w:r w:rsidRPr="00D0180E">
              <w:rPr>
                <w:rFonts w:ascii="Verdana" w:hAnsi="Verdana"/>
                <w:sz w:val="16"/>
                <w:szCs w:val="16"/>
              </w:rPr>
              <w:t>Las transacciones de compraventa, liquidación y cancelación voluntaria de Certificados de Energías Limpias solo se pueden realizar a través del sistema electrónico que se habilite en términos del artículo 149 de la Ley y el 182 del presente reglamento.</w:t>
            </w:r>
          </w:p>
        </w:tc>
        <w:tc>
          <w:tcPr>
            <w:tcW w:w="4644" w:type="dxa"/>
          </w:tcPr>
          <w:p w14:paraId="1BCA60DA" w14:textId="0A039B13" w:rsidR="003A38FF" w:rsidRPr="00D0180E" w:rsidRDefault="003A38FF" w:rsidP="003A38FF">
            <w:pPr>
              <w:pStyle w:val="Texto"/>
              <w:spacing w:line="222" w:lineRule="exact"/>
              <w:ind w:firstLine="0"/>
              <w:rPr>
                <w:rFonts w:ascii="Verdana" w:hAnsi="Verdana"/>
                <w:sz w:val="16"/>
                <w:szCs w:val="16"/>
                <w:lang w:val="en-US"/>
              </w:rPr>
            </w:pPr>
            <w:r w:rsidRPr="001E598D">
              <w:rPr>
                <w:rFonts w:ascii="Verdana" w:hAnsi="Verdana"/>
                <w:sz w:val="16"/>
                <w:szCs w:val="16"/>
                <w:lang w:val="en-US"/>
              </w:rPr>
              <w:t>Purchase and sale transactions, liquidation, and voluntary cancellation of Clean Energy Certificates can only be carried out through the electronic system enabled in accordance with Article 149 of the Law and Article 182 of this Regulation.</w:t>
            </w:r>
          </w:p>
        </w:tc>
      </w:tr>
      <w:tr w:rsidR="003A38FF" w:rsidRPr="00D83DA2" w14:paraId="2FC7A112" w14:textId="3DF238FA" w:rsidTr="00FB5DAD">
        <w:tc>
          <w:tcPr>
            <w:tcW w:w="4706" w:type="dxa"/>
          </w:tcPr>
          <w:p w14:paraId="0ECB7EAE" w14:textId="77777777" w:rsidR="003A38FF" w:rsidRPr="00D0180E" w:rsidRDefault="003A38FF" w:rsidP="003A38FF">
            <w:pPr>
              <w:pStyle w:val="Texto"/>
              <w:spacing w:line="222" w:lineRule="exact"/>
              <w:ind w:firstLine="0"/>
              <w:rPr>
                <w:rFonts w:ascii="Verdana" w:hAnsi="Verdana"/>
                <w:sz w:val="16"/>
                <w:szCs w:val="16"/>
              </w:rPr>
            </w:pPr>
            <w:r w:rsidRPr="00D0180E">
              <w:rPr>
                <w:rFonts w:ascii="Verdana" w:hAnsi="Verdana"/>
                <w:b/>
                <w:sz w:val="16"/>
                <w:szCs w:val="16"/>
              </w:rPr>
              <w:t>Artículo 185.</w:t>
            </w:r>
            <w:r w:rsidRPr="00D0180E">
              <w:rPr>
                <w:rFonts w:ascii="Verdana" w:hAnsi="Verdana"/>
                <w:sz w:val="16"/>
                <w:szCs w:val="16"/>
              </w:rPr>
              <w:t xml:space="preserve"> La Secretaría debe emitir las disposiciones administrativas de carácter general que prevean la metodología para establecer el requisito de Certificados de Energías Limpias al que se refiere el artículo 145 de la Ley. Para tales efectos, la CNE debe brindar apoyo técnico a la Secretaría.</w:t>
            </w:r>
          </w:p>
        </w:tc>
        <w:tc>
          <w:tcPr>
            <w:tcW w:w="4644" w:type="dxa"/>
          </w:tcPr>
          <w:p w14:paraId="1080A7FD" w14:textId="009BFA11" w:rsidR="003A38FF" w:rsidRPr="00D0180E" w:rsidRDefault="003A38FF" w:rsidP="003A38FF">
            <w:pPr>
              <w:pStyle w:val="Texto"/>
              <w:spacing w:line="222" w:lineRule="exact"/>
              <w:ind w:firstLine="0"/>
              <w:rPr>
                <w:rFonts w:ascii="Verdana" w:hAnsi="Verdana"/>
                <w:b/>
                <w:sz w:val="16"/>
                <w:szCs w:val="16"/>
                <w:lang w:val="en-US"/>
              </w:rPr>
            </w:pPr>
            <w:r w:rsidRPr="001E598D">
              <w:rPr>
                <w:rFonts w:ascii="Verdana" w:hAnsi="Verdana"/>
                <w:b/>
                <w:sz w:val="16"/>
                <w:szCs w:val="16"/>
                <w:lang w:val="en-US"/>
              </w:rPr>
              <w:t xml:space="preserve">Article 185. </w:t>
            </w:r>
            <w:r w:rsidRPr="001E598D">
              <w:rPr>
                <w:rFonts w:ascii="Verdana" w:hAnsi="Verdana"/>
                <w:sz w:val="16"/>
                <w:szCs w:val="16"/>
                <w:lang w:val="en-US"/>
              </w:rPr>
              <w:t>The Secretary must issue general administrative provisions that establish the methodology for establishing the Clean Energy Certificate requirement referred to in Article 145 of the Law. For such purposes, the CNE must provide technical support to the Secretary.</w:t>
            </w:r>
          </w:p>
        </w:tc>
      </w:tr>
      <w:tr w:rsidR="003A38FF" w:rsidRPr="00D83DA2" w14:paraId="3E807552" w14:textId="32B94E3B" w:rsidTr="00FB5DAD">
        <w:tc>
          <w:tcPr>
            <w:tcW w:w="4706" w:type="dxa"/>
          </w:tcPr>
          <w:p w14:paraId="187AEA6F"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 xml:space="preserve">Artículo 186. </w:t>
            </w:r>
            <w:r w:rsidRPr="00D0180E">
              <w:rPr>
                <w:rFonts w:ascii="Verdana" w:hAnsi="Verdana"/>
                <w:sz w:val="16"/>
                <w:szCs w:val="16"/>
              </w:rPr>
              <w:t>Los requisitos para adquirir Certificados de Energías Limpias se deben establecer como una proporción del total de la energía eléctrica consumida en los Centros de Carga, de acuerdo con la planeación vinculante y la Confiabilidad del Sistema Eléctrico Nacional.</w:t>
            </w:r>
          </w:p>
        </w:tc>
        <w:tc>
          <w:tcPr>
            <w:tcW w:w="4644" w:type="dxa"/>
          </w:tcPr>
          <w:p w14:paraId="09FB058E" w14:textId="76EEDD81" w:rsidR="003A38FF" w:rsidRPr="00D0180E" w:rsidRDefault="003A38FF" w:rsidP="003A38FF">
            <w:pPr>
              <w:pStyle w:val="Texto"/>
              <w:spacing w:line="228" w:lineRule="exact"/>
              <w:ind w:firstLine="0"/>
              <w:rPr>
                <w:rFonts w:ascii="Verdana" w:hAnsi="Verdana"/>
                <w:b/>
                <w:sz w:val="16"/>
                <w:szCs w:val="16"/>
                <w:lang w:val="en-US"/>
              </w:rPr>
            </w:pPr>
            <w:r w:rsidRPr="001E598D">
              <w:rPr>
                <w:rFonts w:ascii="Verdana" w:hAnsi="Verdana"/>
                <w:b/>
                <w:sz w:val="16"/>
                <w:szCs w:val="16"/>
                <w:lang w:val="en-US"/>
              </w:rPr>
              <w:t xml:space="preserve">Article 186. </w:t>
            </w:r>
            <w:r w:rsidRPr="001E598D">
              <w:rPr>
                <w:rFonts w:ascii="Verdana" w:hAnsi="Verdana"/>
                <w:sz w:val="16"/>
                <w:szCs w:val="16"/>
                <w:lang w:val="en-US"/>
              </w:rPr>
              <w:t xml:space="preserve">The requirements for acquiring Clean Energy Certificates must be established as a proportion of the total electrical energy consumed at Load Centers, in accordance with the binding planning and reliability of the </w:t>
            </w:r>
            <w:r>
              <w:rPr>
                <w:rFonts w:ascii="Verdana" w:hAnsi="Verdana"/>
                <w:sz w:val="16"/>
                <w:szCs w:val="16"/>
                <w:lang w:val="en-US"/>
              </w:rPr>
              <w:t>National Electric System</w:t>
            </w:r>
            <w:r w:rsidRPr="001E598D">
              <w:rPr>
                <w:rFonts w:ascii="Verdana" w:hAnsi="Verdana"/>
                <w:sz w:val="16"/>
                <w:szCs w:val="16"/>
                <w:lang w:val="en-US"/>
              </w:rPr>
              <w:t>.</w:t>
            </w:r>
          </w:p>
        </w:tc>
      </w:tr>
      <w:tr w:rsidR="003A38FF" w:rsidRPr="00D83DA2" w14:paraId="64BDCEC0" w14:textId="7E10BD13" w:rsidTr="00FB5DAD">
        <w:tc>
          <w:tcPr>
            <w:tcW w:w="4706" w:type="dxa"/>
          </w:tcPr>
          <w:p w14:paraId="6121B230"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 xml:space="preserve">Artículo 187. </w:t>
            </w:r>
            <w:r w:rsidRPr="00D0180E">
              <w:rPr>
                <w:rFonts w:ascii="Verdana" w:hAnsi="Verdana"/>
                <w:sz w:val="16"/>
                <w:szCs w:val="16"/>
              </w:rPr>
              <w:t xml:space="preserve">Las Centrales Eléctricas con permiso de generación de energía eléctrica para autoconsumo, pueden recibir Certificados de Energías Limpias por la generación de Energía Limpia en términos de las Reglas del Mercado, los criterios emitidos por la Secretaría y las </w:t>
            </w:r>
            <w:r w:rsidRPr="00D0180E">
              <w:rPr>
                <w:rFonts w:ascii="Verdana" w:hAnsi="Verdana"/>
                <w:sz w:val="16"/>
                <w:szCs w:val="16"/>
              </w:rPr>
              <w:lastRenderedPageBreak/>
              <w:t>disposiciones administrativas de carácter general a que se refiere el artículo 182 del presente reglamento.</w:t>
            </w:r>
          </w:p>
        </w:tc>
        <w:tc>
          <w:tcPr>
            <w:tcW w:w="4644" w:type="dxa"/>
          </w:tcPr>
          <w:p w14:paraId="63326D59" w14:textId="7DCD2ADD" w:rsidR="003A38FF" w:rsidRPr="00D0180E" w:rsidRDefault="003A38FF" w:rsidP="003A38FF">
            <w:pPr>
              <w:pStyle w:val="Texto"/>
              <w:spacing w:line="228" w:lineRule="exact"/>
              <w:ind w:firstLine="0"/>
              <w:rPr>
                <w:rFonts w:ascii="Verdana" w:hAnsi="Verdana"/>
                <w:b/>
                <w:sz w:val="16"/>
                <w:szCs w:val="16"/>
                <w:lang w:val="en-US"/>
              </w:rPr>
            </w:pPr>
            <w:r w:rsidRPr="001E598D">
              <w:rPr>
                <w:rFonts w:ascii="Verdana" w:hAnsi="Verdana"/>
                <w:b/>
                <w:sz w:val="16"/>
                <w:szCs w:val="16"/>
                <w:lang w:val="en-US"/>
              </w:rPr>
              <w:lastRenderedPageBreak/>
              <w:t xml:space="preserve">Article 187. </w:t>
            </w:r>
            <w:r w:rsidRPr="001E598D">
              <w:rPr>
                <w:rFonts w:ascii="Verdana" w:hAnsi="Verdana"/>
                <w:sz w:val="16"/>
                <w:szCs w:val="16"/>
                <w:lang w:val="en-US"/>
              </w:rPr>
              <w:t xml:space="preserve">Power plants with a permit to generate electricity for self-consumption may receive Clean Energy Certificates for the generation of </w:t>
            </w:r>
            <w:r>
              <w:rPr>
                <w:rFonts w:ascii="Verdana" w:hAnsi="Verdana"/>
                <w:sz w:val="16"/>
                <w:szCs w:val="16"/>
                <w:lang w:val="en-US"/>
              </w:rPr>
              <w:t>c</w:t>
            </w:r>
            <w:r w:rsidRPr="001E598D">
              <w:rPr>
                <w:rFonts w:ascii="Verdana" w:hAnsi="Verdana"/>
                <w:sz w:val="16"/>
                <w:szCs w:val="16"/>
                <w:lang w:val="en-US"/>
              </w:rPr>
              <w:t xml:space="preserve">lean </w:t>
            </w:r>
            <w:r>
              <w:rPr>
                <w:rFonts w:ascii="Verdana" w:hAnsi="Verdana"/>
                <w:sz w:val="16"/>
                <w:szCs w:val="16"/>
                <w:lang w:val="en-US"/>
              </w:rPr>
              <w:t>e</w:t>
            </w:r>
            <w:r w:rsidRPr="001E598D">
              <w:rPr>
                <w:rFonts w:ascii="Verdana" w:hAnsi="Verdana"/>
                <w:sz w:val="16"/>
                <w:szCs w:val="16"/>
                <w:lang w:val="en-US"/>
              </w:rPr>
              <w:t xml:space="preserve">nergy in accordance with the market rules, the criteria issued </w:t>
            </w:r>
            <w:r w:rsidRPr="001E598D">
              <w:rPr>
                <w:rFonts w:ascii="Verdana" w:hAnsi="Verdana"/>
                <w:sz w:val="16"/>
                <w:szCs w:val="16"/>
                <w:lang w:val="en-US"/>
              </w:rPr>
              <w:lastRenderedPageBreak/>
              <w:t>by the Secretary, and the general administrative provisions referred to in Article 182 of this regulation.</w:t>
            </w:r>
          </w:p>
        </w:tc>
      </w:tr>
      <w:tr w:rsidR="003A38FF" w:rsidRPr="00D83DA2" w14:paraId="161AEF73" w14:textId="2099DB75" w:rsidTr="00FB5DAD">
        <w:tc>
          <w:tcPr>
            <w:tcW w:w="4706" w:type="dxa"/>
          </w:tcPr>
          <w:p w14:paraId="60B18A7E"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sz w:val="16"/>
                <w:szCs w:val="16"/>
              </w:rPr>
              <w:lastRenderedPageBreak/>
              <w:t>La persona titular del permiso de generación de energía eléctrica para autoconsumo asume la responsabilidad por los Certificados de Energía Limpia por la energía eléctrica consumida por los centros de consumo a los que provea energía eléctrica que no provenga de Energías Limpias en términos de las disposiciones administrativas de carácter general a que se refiere el artículo 182 del presente reglamento.</w:t>
            </w:r>
          </w:p>
        </w:tc>
        <w:tc>
          <w:tcPr>
            <w:tcW w:w="4644" w:type="dxa"/>
          </w:tcPr>
          <w:p w14:paraId="4984CF1A" w14:textId="7CCDC78F" w:rsidR="003A38FF" w:rsidRPr="00D0180E" w:rsidRDefault="003A38FF" w:rsidP="003A38FF">
            <w:pPr>
              <w:pStyle w:val="Texto"/>
              <w:spacing w:line="228" w:lineRule="exact"/>
              <w:ind w:firstLine="0"/>
              <w:rPr>
                <w:rFonts w:ascii="Verdana" w:hAnsi="Verdana"/>
                <w:sz w:val="16"/>
                <w:szCs w:val="16"/>
                <w:lang w:val="en-US"/>
              </w:rPr>
            </w:pPr>
            <w:r w:rsidRPr="001E598D">
              <w:rPr>
                <w:rFonts w:ascii="Verdana" w:hAnsi="Verdana"/>
                <w:sz w:val="16"/>
                <w:szCs w:val="16"/>
                <w:lang w:val="en-US"/>
              </w:rPr>
              <w:t xml:space="preserve">The holder of the electricity generation permit for self-consumption assumes responsibility for the Clean Energy Certificates for the electricity consumed by the consumption centers to which they supply electricity that does not originate from </w:t>
            </w:r>
            <w:r>
              <w:rPr>
                <w:rFonts w:ascii="Verdana" w:hAnsi="Verdana"/>
                <w:sz w:val="16"/>
                <w:szCs w:val="16"/>
                <w:lang w:val="en-US"/>
              </w:rPr>
              <w:t>c</w:t>
            </w:r>
            <w:r w:rsidRPr="001E598D">
              <w:rPr>
                <w:rFonts w:ascii="Verdana" w:hAnsi="Verdana"/>
                <w:sz w:val="16"/>
                <w:szCs w:val="16"/>
                <w:lang w:val="en-US"/>
              </w:rPr>
              <w:t xml:space="preserve">lean </w:t>
            </w:r>
            <w:r>
              <w:rPr>
                <w:rFonts w:ascii="Verdana" w:hAnsi="Verdana"/>
                <w:sz w:val="16"/>
                <w:szCs w:val="16"/>
                <w:lang w:val="en-US"/>
              </w:rPr>
              <w:t>e</w:t>
            </w:r>
            <w:r w:rsidRPr="001E598D">
              <w:rPr>
                <w:rFonts w:ascii="Verdana" w:hAnsi="Verdana"/>
                <w:sz w:val="16"/>
                <w:szCs w:val="16"/>
                <w:lang w:val="en-US"/>
              </w:rPr>
              <w:t>nergy, in accordance with the general administrative provisions referred to in Article 182 of this regulation.</w:t>
            </w:r>
          </w:p>
        </w:tc>
      </w:tr>
      <w:tr w:rsidR="003A38FF" w:rsidRPr="00D83DA2" w14:paraId="7522E81E" w14:textId="0709E9BF" w:rsidTr="00FB5DAD">
        <w:tc>
          <w:tcPr>
            <w:tcW w:w="4706" w:type="dxa"/>
          </w:tcPr>
          <w:p w14:paraId="2260C2EE"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Artículo 188.</w:t>
            </w:r>
            <w:r w:rsidRPr="00D0180E">
              <w:rPr>
                <w:rFonts w:ascii="Verdana" w:hAnsi="Verdana"/>
                <w:sz w:val="16"/>
                <w:szCs w:val="16"/>
              </w:rPr>
              <w:t xml:space="preserve"> Las Centrales Eléctricas bajo el esquema de Generación Distribuida y las Generadoras Exentas pueden recibir Certificados de Energías Limpias cuando cumplan con lo siguiente:</w:t>
            </w:r>
          </w:p>
        </w:tc>
        <w:tc>
          <w:tcPr>
            <w:tcW w:w="4644" w:type="dxa"/>
          </w:tcPr>
          <w:p w14:paraId="2258FAF0" w14:textId="3A7EF10F" w:rsidR="003A38FF" w:rsidRPr="00D0180E" w:rsidRDefault="003A38FF" w:rsidP="003A38FF">
            <w:pPr>
              <w:pStyle w:val="Texto"/>
              <w:spacing w:line="228" w:lineRule="exact"/>
              <w:ind w:firstLine="0"/>
              <w:rPr>
                <w:rFonts w:ascii="Verdana" w:hAnsi="Verdana"/>
                <w:b/>
                <w:sz w:val="16"/>
                <w:szCs w:val="16"/>
                <w:lang w:val="en-US"/>
              </w:rPr>
            </w:pPr>
            <w:r w:rsidRPr="001E598D">
              <w:rPr>
                <w:rFonts w:ascii="Verdana" w:hAnsi="Verdana"/>
                <w:b/>
                <w:sz w:val="16"/>
                <w:szCs w:val="16"/>
                <w:lang w:val="en-US"/>
              </w:rPr>
              <w:t xml:space="preserve">Article 188. </w:t>
            </w:r>
            <w:r>
              <w:rPr>
                <w:rFonts w:ascii="Verdana" w:hAnsi="Verdana"/>
                <w:sz w:val="16"/>
                <w:szCs w:val="16"/>
                <w:lang w:val="en-US"/>
              </w:rPr>
              <w:t>Power plant</w:t>
            </w:r>
            <w:r w:rsidRPr="001E598D">
              <w:rPr>
                <w:rFonts w:ascii="Verdana" w:hAnsi="Verdana"/>
                <w:sz w:val="16"/>
                <w:szCs w:val="16"/>
                <w:lang w:val="en-US"/>
              </w:rPr>
              <w:t>s under the distributed generation scheme and exempt generators may receive Clean Energy Certificates when they comply with the following:</w:t>
            </w:r>
          </w:p>
        </w:tc>
      </w:tr>
      <w:tr w:rsidR="003A38FF" w:rsidRPr="00D83DA2" w14:paraId="5F15A0D8" w14:textId="4A9F85A8" w:rsidTr="00FB5DAD">
        <w:tc>
          <w:tcPr>
            <w:tcW w:w="4706" w:type="dxa"/>
          </w:tcPr>
          <w:p w14:paraId="572FC7ED"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Sean representadas por una Suministradora;</w:t>
            </w:r>
          </w:p>
        </w:tc>
        <w:tc>
          <w:tcPr>
            <w:tcW w:w="4644" w:type="dxa"/>
          </w:tcPr>
          <w:p w14:paraId="64D747E9" w14:textId="5428BA5D" w:rsidR="003A38FF" w:rsidRPr="00D0180E" w:rsidRDefault="003A38FF" w:rsidP="003A38FF">
            <w:pPr>
              <w:pStyle w:val="Texto"/>
              <w:spacing w:line="228" w:lineRule="exact"/>
              <w:ind w:firstLine="0"/>
              <w:rPr>
                <w:rFonts w:ascii="Verdana" w:hAnsi="Verdana"/>
                <w:b/>
                <w:sz w:val="16"/>
                <w:szCs w:val="16"/>
                <w:lang w:val="en-US"/>
              </w:rPr>
            </w:pPr>
            <w:r w:rsidRPr="001E598D">
              <w:rPr>
                <w:rFonts w:ascii="Verdana" w:hAnsi="Verdana"/>
                <w:b/>
                <w:sz w:val="16"/>
                <w:szCs w:val="16"/>
                <w:lang w:val="en-US"/>
              </w:rPr>
              <w:t xml:space="preserve">I. </w:t>
            </w:r>
            <w:r w:rsidRPr="001E598D">
              <w:rPr>
                <w:rFonts w:ascii="Verdana" w:hAnsi="Verdana"/>
                <w:b/>
                <w:sz w:val="16"/>
                <w:szCs w:val="16"/>
                <w:lang w:val="en-US"/>
              </w:rPr>
              <w:tab/>
            </w:r>
            <w:r w:rsidRPr="001E598D">
              <w:rPr>
                <w:rFonts w:ascii="Verdana" w:hAnsi="Verdana"/>
                <w:sz w:val="16"/>
                <w:szCs w:val="16"/>
                <w:lang w:val="en-US"/>
              </w:rPr>
              <w:t>Be represented by a Supplier;</w:t>
            </w:r>
          </w:p>
        </w:tc>
      </w:tr>
      <w:tr w:rsidR="003A38FF" w:rsidRPr="00D83DA2" w14:paraId="30EAB51F" w14:textId="31EE933B" w:rsidTr="00FB5DAD">
        <w:tc>
          <w:tcPr>
            <w:tcW w:w="4706" w:type="dxa"/>
          </w:tcPr>
          <w:p w14:paraId="5BC85ED3"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Cumplan con los requisitos de medición de acuerdo con su nivel de tensión, y</w:t>
            </w:r>
          </w:p>
        </w:tc>
        <w:tc>
          <w:tcPr>
            <w:tcW w:w="4644" w:type="dxa"/>
          </w:tcPr>
          <w:p w14:paraId="28931341" w14:textId="3982570E" w:rsidR="003A38FF" w:rsidRPr="00D0180E" w:rsidRDefault="003A38FF" w:rsidP="003A38FF">
            <w:pPr>
              <w:pStyle w:val="Texto"/>
              <w:spacing w:line="228" w:lineRule="exact"/>
              <w:ind w:firstLine="0"/>
              <w:rPr>
                <w:rFonts w:ascii="Verdana" w:hAnsi="Verdana"/>
                <w:b/>
                <w:sz w:val="16"/>
                <w:szCs w:val="16"/>
                <w:lang w:val="en-US"/>
              </w:rPr>
            </w:pPr>
            <w:r w:rsidRPr="001E598D">
              <w:rPr>
                <w:rFonts w:ascii="Verdana" w:hAnsi="Verdana"/>
                <w:b/>
                <w:sz w:val="16"/>
                <w:szCs w:val="16"/>
                <w:lang w:val="en-US"/>
              </w:rPr>
              <w:t>II</w:t>
            </w:r>
            <w:proofErr w:type="gramStart"/>
            <w:r w:rsidRPr="001E598D">
              <w:rPr>
                <w:rFonts w:ascii="Verdana" w:hAnsi="Verdana"/>
                <w:b/>
                <w:sz w:val="16"/>
                <w:szCs w:val="16"/>
                <w:lang w:val="en-US"/>
              </w:rPr>
              <w:t xml:space="preserve">. </w:t>
            </w:r>
            <w:r w:rsidRPr="001E598D">
              <w:rPr>
                <w:rFonts w:ascii="Verdana" w:hAnsi="Verdana"/>
                <w:b/>
                <w:sz w:val="16"/>
                <w:szCs w:val="16"/>
                <w:lang w:val="en-US"/>
              </w:rPr>
              <w:tab/>
            </w:r>
            <w:r w:rsidRPr="001E598D">
              <w:rPr>
                <w:rFonts w:ascii="Verdana" w:hAnsi="Verdana"/>
                <w:sz w:val="16"/>
                <w:szCs w:val="16"/>
                <w:lang w:val="en-US"/>
              </w:rPr>
              <w:t>Meet</w:t>
            </w:r>
            <w:proofErr w:type="gramEnd"/>
            <w:r w:rsidRPr="001E598D">
              <w:rPr>
                <w:rFonts w:ascii="Verdana" w:hAnsi="Verdana"/>
                <w:sz w:val="16"/>
                <w:szCs w:val="16"/>
                <w:lang w:val="en-US"/>
              </w:rPr>
              <w:t xml:space="preserve"> the measurement requirements according to their voltage level, and</w:t>
            </w:r>
          </w:p>
        </w:tc>
      </w:tr>
      <w:tr w:rsidR="003A38FF" w:rsidRPr="00D83DA2" w14:paraId="4220EEC9" w14:textId="2D566FC5" w:rsidTr="00FB5DAD">
        <w:tc>
          <w:tcPr>
            <w:tcW w:w="4706" w:type="dxa"/>
          </w:tcPr>
          <w:p w14:paraId="37333264"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Cumplan con los requisitos que establezcan las disposiciones administrativas de carácter general a que se refiere el artículo 182 del presente reglamento.</w:t>
            </w:r>
          </w:p>
        </w:tc>
        <w:tc>
          <w:tcPr>
            <w:tcW w:w="4644" w:type="dxa"/>
          </w:tcPr>
          <w:p w14:paraId="680A9329" w14:textId="585282AF" w:rsidR="003A38FF" w:rsidRPr="00D0180E" w:rsidRDefault="003A38FF" w:rsidP="003A38FF">
            <w:pPr>
              <w:pStyle w:val="Texto"/>
              <w:spacing w:line="228" w:lineRule="exact"/>
              <w:ind w:firstLine="0"/>
              <w:rPr>
                <w:rFonts w:ascii="Verdana" w:hAnsi="Verdana"/>
                <w:b/>
                <w:sz w:val="16"/>
                <w:szCs w:val="16"/>
                <w:lang w:val="en-US"/>
              </w:rPr>
            </w:pPr>
            <w:r w:rsidRPr="001E598D">
              <w:rPr>
                <w:rFonts w:ascii="Verdana" w:hAnsi="Verdana"/>
                <w:b/>
                <w:sz w:val="16"/>
                <w:szCs w:val="16"/>
                <w:lang w:val="en-US"/>
              </w:rPr>
              <w:t>III</w:t>
            </w:r>
            <w:proofErr w:type="gramStart"/>
            <w:r w:rsidRPr="001E598D">
              <w:rPr>
                <w:rFonts w:ascii="Verdana" w:hAnsi="Verdana"/>
                <w:b/>
                <w:sz w:val="16"/>
                <w:szCs w:val="16"/>
                <w:lang w:val="en-US"/>
              </w:rPr>
              <w:t xml:space="preserve">. </w:t>
            </w:r>
            <w:r w:rsidRPr="001E598D">
              <w:rPr>
                <w:rFonts w:ascii="Verdana" w:hAnsi="Verdana"/>
                <w:b/>
                <w:sz w:val="16"/>
                <w:szCs w:val="16"/>
                <w:lang w:val="en-US"/>
              </w:rPr>
              <w:tab/>
            </w:r>
            <w:r w:rsidRPr="001E598D">
              <w:rPr>
                <w:rFonts w:ascii="Verdana" w:hAnsi="Verdana"/>
                <w:sz w:val="16"/>
                <w:szCs w:val="16"/>
                <w:lang w:val="en-US"/>
              </w:rPr>
              <w:t>Comply</w:t>
            </w:r>
            <w:proofErr w:type="gramEnd"/>
            <w:r w:rsidRPr="001E598D">
              <w:rPr>
                <w:rFonts w:ascii="Verdana" w:hAnsi="Verdana"/>
                <w:sz w:val="16"/>
                <w:szCs w:val="16"/>
                <w:lang w:val="en-US"/>
              </w:rPr>
              <w:t xml:space="preserve"> with the requirements established by the general administrative provisions referred to in Article 182 of this regulation.</w:t>
            </w:r>
          </w:p>
        </w:tc>
      </w:tr>
      <w:tr w:rsidR="003A38FF" w:rsidRPr="00D83DA2" w14:paraId="26227701" w14:textId="78BC6761" w:rsidTr="00FB5DAD">
        <w:tc>
          <w:tcPr>
            <w:tcW w:w="4706" w:type="dxa"/>
          </w:tcPr>
          <w:p w14:paraId="0475614D"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Artículo 189.</w:t>
            </w:r>
            <w:r w:rsidRPr="00D0180E">
              <w:rPr>
                <w:rFonts w:ascii="Verdana" w:hAnsi="Verdana"/>
                <w:sz w:val="16"/>
                <w:szCs w:val="16"/>
              </w:rPr>
              <w:t xml:space="preserve"> El otorgamiento de los Certificados de Energía Limpia a que se refiere el artículo anterior se debe realizar de acuerdo con las disposiciones administrativas de carácter general a que se refiere el artículo 182 del presente reglamento.</w:t>
            </w:r>
          </w:p>
        </w:tc>
        <w:tc>
          <w:tcPr>
            <w:tcW w:w="4644" w:type="dxa"/>
          </w:tcPr>
          <w:p w14:paraId="6ED6EC1F" w14:textId="251DDD8F" w:rsidR="003A38FF" w:rsidRPr="00D0180E" w:rsidRDefault="003A38FF" w:rsidP="003A38FF">
            <w:pPr>
              <w:pStyle w:val="Texto"/>
              <w:spacing w:line="228" w:lineRule="exact"/>
              <w:ind w:firstLine="0"/>
              <w:rPr>
                <w:rFonts w:ascii="Verdana" w:hAnsi="Verdana"/>
                <w:b/>
                <w:sz w:val="16"/>
                <w:szCs w:val="16"/>
                <w:lang w:val="en-US"/>
              </w:rPr>
            </w:pPr>
            <w:r w:rsidRPr="001E598D">
              <w:rPr>
                <w:rFonts w:ascii="Verdana" w:hAnsi="Verdana"/>
                <w:b/>
                <w:sz w:val="16"/>
                <w:szCs w:val="16"/>
                <w:lang w:val="en-US"/>
              </w:rPr>
              <w:t xml:space="preserve">Article 189. </w:t>
            </w:r>
            <w:r w:rsidRPr="001E598D">
              <w:rPr>
                <w:rFonts w:ascii="Verdana" w:hAnsi="Verdana"/>
                <w:sz w:val="16"/>
                <w:szCs w:val="16"/>
                <w:lang w:val="en-US"/>
              </w:rPr>
              <w:t xml:space="preserve">The granting of the Clean Energy Certificates referred to in the </w:t>
            </w:r>
            <w:r>
              <w:rPr>
                <w:rFonts w:ascii="Verdana" w:hAnsi="Verdana"/>
                <w:sz w:val="16"/>
                <w:szCs w:val="16"/>
                <w:lang w:val="en-US"/>
              </w:rPr>
              <w:t>preceding article</w:t>
            </w:r>
            <w:r w:rsidRPr="001E598D">
              <w:rPr>
                <w:rFonts w:ascii="Verdana" w:hAnsi="Verdana"/>
                <w:sz w:val="16"/>
                <w:szCs w:val="16"/>
                <w:lang w:val="en-US"/>
              </w:rPr>
              <w:t xml:space="preserve"> must be carried out in accordance with the general administrative provisions referred to in Article 182 of this regulation.</w:t>
            </w:r>
          </w:p>
        </w:tc>
      </w:tr>
      <w:tr w:rsidR="003A38FF" w:rsidRPr="00D83DA2" w14:paraId="05739133" w14:textId="462D5314" w:rsidTr="00FB5DAD">
        <w:tc>
          <w:tcPr>
            <w:tcW w:w="4706" w:type="dxa"/>
          </w:tcPr>
          <w:p w14:paraId="133C2567"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Artículo 190.</w:t>
            </w:r>
            <w:r w:rsidRPr="00D0180E">
              <w:rPr>
                <w:rFonts w:ascii="Verdana" w:hAnsi="Verdana"/>
                <w:sz w:val="16"/>
                <w:szCs w:val="16"/>
              </w:rPr>
              <w:t xml:space="preserve"> La CNE debe emitir las disposiciones administrativas de carácter general para establecer los términos para acreditar a las unidades que certifican a las Centrales Eléctricas que generan Energía Limpia, la medición de variables requeridas para determinar el porcentaje de energía libre de combustible generada por las Centrales Eléctricas susceptibles de recibir Certificados de Energía Limpia y determinar el porcentaje de Energías Limpias consumida por los Centros de Carga.</w:t>
            </w:r>
          </w:p>
        </w:tc>
        <w:tc>
          <w:tcPr>
            <w:tcW w:w="4644" w:type="dxa"/>
          </w:tcPr>
          <w:p w14:paraId="53D8FCCF" w14:textId="30DC7F11" w:rsidR="003A38FF" w:rsidRPr="00D0180E" w:rsidRDefault="003A38FF" w:rsidP="003A38FF">
            <w:pPr>
              <w:pStyle w:val="Texto"/>
              <w:spacing w:line="228" w:lineRule="exact"/>
              <w:ind w:firstLine="0"/>
              <w:rPr>
                <w:rFonts w:ascii="Verdana" w:hAnsi="Verdana"/>
                <w:b/>
                <w:sz w:val="16"/>
                <w:szCs w:val="16"/>
                <w:lang w:val="en-US"/>
              </w:rPr>
            </w:pPr>
            <w:r w:rsidRPr="001E598D">
              <w:rPr>
                <w:rFonts w:ascii="Verdana" w:hAnsi="Verdana"/>
                <w:b/>
                <w:sz w:val="16"/>
                <w:szCs w:val="16"/>
                <w:lang w:val="en-US"/>
              </w:rPr>
              <w:t xml:space="preserve">Article 190. </w:t>
            </w:r>
            <w:r w:rsidRPr="001E598D">
              <w:rPr>
                <w:rFonts w:ascii="Verdana" w:hAnsi="Verdana"/>
                <w:sz w:val="16"/>
                <w:szCs w:val="16"/>
                <w:lang w:val="en-US"/>
              </w:rPr>
              <w:t xml:space="preserve">The CNE must issue general administrative provisions to establish the terms for accrediting the units that certify </w:t>
            </w:r>
            <w:r>
              <w:rPr>
                <w:rFonts w:ascii="Verdana" w:hAnsi="Verdana"/>
                <w:sz w:val="16"/>
                <w:szCs w:val="16"/>
                <w:lang w:val="en-US"/>
              </w:rPr>
              <w:t>power plant</w:t>
            </w:r>
            <w:r w:rsidRPr="001E598D">
              <w:rPr>
                <w:rFonts w:ascii="Verdana" w:hAnsi="Verdana"/>
                <w:sz w:val="16"/>
                <w:szCs w:val="16"/>
                <w:lang w:val="en-US"/>
              </w:rPr>
              <w:t xml:space="preserve">s that generate </w:t>
            </w:r>
            <w:r>
              <w:rPr>
                <w:rFonts w:ascii="Verdana" w:hAnsi="Verdana"/>
                <w:sz w:val="16"/>
                <w:szCs w:val="16"/>
                <w:lang w:val="en-US"/>
              </w:rPr>
              <w:t>c</w:t>
            </w:r>
            <w:r w:rsidRPr="001E598D">
              <w:rPr>
                <w:rFonts w:ascii="Verdana" w:hAnsi="Verdana"/>
                <w:sz w:val="16"/>
                <w:szCs w:val="16"/>
                <w:lang w:val="en-US"/>
              </w:rPr>
              <w:t xml:space="preserve">lean </w:t>
            </w:r>
            <w:r>
              <w:rPr>
                <w:rFonts w:ascii="Verdana" w:hAnsi="Verdana"/>
                <w:sz w:val="16"/>
                <w:szCs w:val="16"/>
                <w:lang w:val="en-US"/>
              </w:rPr>
              <w:t>e</w:t>
            </w:r>
            <w:r w:rsidRPr="001E598D">
              <w:rPr>
                <w:rFonts w:ascii="Verdana" w:hAnsi="Verdana"/>
                <w:sz w:val="16"/>
                <w:szCs w:val="16"/>
                <w:lang w:val="en-US"/>
              </w:rPr>
              <w:t xml:space="preserve">nergy, the measurement of variables required to determine the percentage of fuel-free energy generated by </w:t>
            </w:r>
            <w:r>
              <w:rPr>
                <w:rFonts w:ascii="Verdana" w:hAnsi="Verdana"/>
                <w:sz w:val="16"/>
                <w:szCs w:val="16"/>
                <w:lang w:val="en-US"/>
              </w:rPr>
              <w:t>power plant</w:t>
            </w:r>
            <w:r w:rsidRPr="001E598D">
              <w:rPr>
                <w:rFonts w:ascii="Verdana" w:hAnsi="Verdana"/>
                <w:sz w:val="16"/>
                <w:szCs w:val="16"/>
                <w:lang w:val="en-US"/>
              </w:rPr>
              <w:t>s eligible to receive Clean Energy Certificates and determine the percentage of clean energy consumed by load centers.</w:t>
            </w:r>
          </w:p>
        </w:tc>
      </w:tr>
      <w:tr w:rsidR="003A38FF" w:rsidRPr="00D83DA2" w14:paraId="40B7D89C" w14:textId="4667632C" w:rsidTr="00FB5DAD">
        <w:tc>
          <w:tcPr>
            <w:tcW w:w="4706" w:type="dxa"/>
          </w:tcPr>
          <w:p w14:paraId="3D960E85"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Artículo 191.</w:t>
            </w:r>
            <w:r w:rsidRPr="00D0180E">
              <w:rPr>
                <w:rFonts w:ascii="Verdana" w:hAnsi="Verdana"/>
                <w:sz w:val="16"/>
                <w:szCs w:val="16"/>
              </w:rPr>
              <w:t xml:space="preserve"> Las Centrales Eléctricas que generan Energía Limpia con permiso de generación en la modalidad de cogeneración eficiente, pueden recibir Certificados de Energías Limpias por el porcentaje de energía libre de combustible fósil que generen, de acuerdo con el valor que se determine en el dictamen técnico vigente correspondiente y de conformidad con las disposiciones administrativas de carácter general a que se refiere el artículo anterior y el artículo 182 del presente reglamento.</w:t>
            </w:r>
          </w:p>
        </w:tc>
        <w:tc>
          <w:tcPr>
            <w:tcW w:w="4644" w:type="dxa"/>
          </w:tcPr>
          <w:p w14:paraId="07545DE3" w14:textId="03395BEC" w:rsidR="003A38FF" w:rsidRPr="00D0180E" w:rsidRDefault="003A38FF" w:rsidP="003A38FF">
            <w:pPr>
              <w:pStyle w:val="Texto"/>
              <w:spacing w:line="228" w:lineRule="exact"/>
              <w:ind w:firstLine="0"/>
              <w:rPr>
                <w:rFonts w:ascii="Verdana" w:hAnsi="Verdana"/>
                <w:b/>
                <w:sz w:val="16"/>
                <w:szCs w:val="16"/>
                <w:lang w:val="en-US"/>
              </w:rPr>
            </w:pPr>
            <w:r w:rsidRPr="001E598D">
              <w:rPr>
                <w:rFonts w:ascii="Verdana" w:hAnsi="Verdana"/>
                <w:b/>
                <w:sz w:val="16"/>
                <w:szCs w:val="16"/>
                <w:lang w:val="en-US"/>
              </w:rPr>
              <w:t xml:space="preserve">Article 191. </w:t>
            </w:r>
            <w:r>
              <w:rPr>
                <w:rFonts w:ascii="Verdana" w:hAnsi="Verdana"/>
                <w:sz w:val="16"/>
                <w:szCs w:val="16"/>
                <w:lang w:val="en-US"/>
              </w:rPr>
              <w:t>Power plant</w:t>
            </w:r>
            <w:r w:rsidRPr="001E598D">
              <w:rPr>
                <w:rFonts w:ascii="Verdana" w:hAnsi="Verdana"/>
                <w:sz w:val="16"/>
                <w:szCs w:val="16"/>
                <w:lang w:val="en-US"/>
              </w:rPr>
              <w:t xml:space="preserve">s that generate clean energy with a generation permit in the efficient cogeneration mode, may receive Clean Energy Certificates for the percentage of fossil fuel-free energy they generate, in accordance with the value determined in the corresponding current technical opinion and in accordance with the general administrative provisions referred to in the </w:t>
            </w:r>
            <w:r>
              <w:rPr>
                <w:rFonts w:ascii="Verdana" w:hAnsi="Verdana"/>
                <w:sz w:val="16"/>
                <w:szCs w:val="16"/>
                <w:lang w:val="en-US"/>
              </w:rPr>
              <w:t>preceding article</w:t>
            </w:r>
            <w:r w:rsidRPr="001E598D">
              <w:rPr>
                <w:rFonts w:ascii="Verdana" w:hAnsi="Verdana"/>
                <w:sz w:val="16"/>
                <w:szCs w:val="16"/>
                <w:lang w:val="en-US"/>
              </w:rPr>
              <w:t xml:space="preserve"> and in article 182 of this regulation.</w:t>
            </w:r>
          </w:p>
        </w:tc>
      </w:tr>
      <w:tr w:rsidR="003A38FF" w:rsidRPr="00D0180E" w14:paraId="0CB2E660" w14:textId="4AA28B35" w:rsidTr="00FB5DAD">
        <w:tc>
          <w:tcPr>
            <w:tcW w:w="4706" w:type="dxa"/>
          </w:tcPr>
          <w:p w14:paraId="67FDBFC5" w14:textId="77777777" w:rsidR="003A38FF" w:rsidRPr="00D0180E" w:rsidRDefault="003A38FF" w:rsidP="003A38FF">
            <w:pPr>
              <w:pStyle w:val="Texto"/>
              <w:spacing w:line="228" w:lineRule="exact"/>
              <w:ind w:firstLine="0"/>
              <w:jc w:val="center"/>
              <w:rPr>
                <w:rFonts w:ascii="Verdana" w:hAnsi="Verdana"/>
                <w:b/>
                <w:sz w:val="16"/>
                <w:szCs w:val="16"/>
              </w:rPr>
            </w:pPr>
            <w:r w:rsidRPr="00D0180E">
              <w:rPr>
                <w:rFonts w:ascii="Verdana" w:hAnsi="Verdana"/>
                <w:b/>
                <w:sz w:val="16"/>
                <w:szCs w:val="16"/>
              </w:rPr>
              <w:t>Capítulo VI</w:t>
            </w:r>
          </w:p>
        </w:tc>
        <w:tc>
          <w:tcPr>
            <w:tcW w:w="4644" w:type="dxa"/>
          </w:tcPr>
          <w:p w14:paraId="58C33D81" w14:textId="7CB936B4" w:rsidR="003A38FF" w:rsidRPr="001C1E46" w:rsidRDefault="003A38FF" w:rsidP="003A38FF">
            <w:pPr>
              <w:pStyle w:val="Texto"/>
              <w:spacing w:line="228" w:lineRule="exact"/>
              <w:ind w:firstLine="0"/>
              <w:jc w:val="center"/>
              <w:rPr>
                <w:rFonts w:ascii="Verdana" w:hAnsi="Verdana"/>
                <w:b/>
                <w:sz w:val="16"/>
                <w:szCs w:val="16"/>
                <w:lang w:val="en-US"/>
              </w:rPr>
            </w:pPr>
            <w:r w:rsidRPr="001C1E46">
              <w:rPr>
                <w:rFonts w:ascii="Verdana" w:hAnsi="Verdana"/>
                <w:b/>
                <w:sz w:val="16"/>
                <w:szCs w:val="16"/>
                <w:lang w:val="en-US"/>
              </w:rPr>
              <w:t>Chapter VI</w:t>
            </w:r>
          </w:p>
        </w:tc>
      </w:tr>
      <w:tr w:rsidR="003A38FF" w:rsidRPr="00D0180E" w14:paraId="1F54840D" w14:textId="551B621E" w:rsidTr="00FB5DAD">
        <w:tc>
          <w:tcPr>
            <w:tcW w:w="4706" w:type="dxa"/>
          </w:tcPr>
          <w:p w14:paraId="463CA360" w14:textId="77777777" w:rsidR="003A38FF" w:rsidRPr="00D0180E" w:rsidRDefault="003A38FF" w:rsidP="003A38FF">
            <w:pPr>
              <w:pStyle w:val="Texto"/>
              <w:spacing w:line="228" w:lineRule="exact"/>
              <w:ind w:firstLine="0"/>
              <w:jc w:val="center"/>
              <w:rPr>
                <w:rFonts w:ascii="Verdana" w:hAnsi="Verdana"/>
                <w:b/>
                <w:sz w:val="16"/>
                <w:szCs w:val="16"/>
              </w:rPr>
            </w:pPr>
            <w:r w:rsidRPr="00D0180E">
              <w:rPr>
                <w:rFonts w:ascii="Verdana" w:hAnsi="Verdana"/>
                <w:b/>
                <w:sz w:val="16"/>
                <w:szCs w:val="16"/>
              </w:rPr>
              <w:t>Del Almacenamiento de Energía</w:t>
            </w:r>
          </w:p>
        </w:tc>
        <w:tc>
          <w:tcPr>
            <w:tcW w:w="4644" w:type="dxa"/>
          </w:tcPr>
          <w:p w14:paraId="168FF417" w14:textId="4A8823A8" w:rsidR="003A38FF" w:rsidRPr="001C1E46" w:rsidRDefault="003A38FF" w:rsidP="003A38FF">
            <w:pPr>
              <w:pStyle w:val="Texto"/>
              <w:spacing w:line="228" w:lineRule="exact"/>
              <w:ind w:firstLine="0"/>
              <w:jc w:val="center"/>
              <w:rPr>
                <w:rFonts w:ascii="Verdana" w:hAnsi="Verdana"/>
                <w:b/>
                <w:sz w:val="16"/>
                <w:szCs w:val="16"/>
                <w:lang w:val="en-US"/>
              </w:rPr>
            </w:pPr>
            <w:r w:rsidRPr="001C1E46">
              <w:rPr>
                <w:rFonts w:ascii="Verdana" w:hAnsi="Verdana"/>
                <w:b/>
                <w:sz w:val="16"/>
                <w:szCs w:val="16"/>
                <w:lang w:val="en-US"/>
              </w:rPr>
              <w:t>Energy Storage</w:t>
            </w:r>
          </w:p>
        </w:tc>
      </w:tr>
      <w:tr w:rsidR="003A38FF" w:rsidRPr="00D83DA2" w14:paraId="1910AEBA" w14:textId="2B93CC01" w:rsidTr="00FB5DAD">
        <w:tc>
          <w:tcPr>
            <w:tcW w:w="4706" w:type="dxa"/>
          </w:tcPr>
          <w:p w14:paraId="085AA8F7"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Artículo 192.</w:t>
            </w:r>
            <w:r w:rsidRPr="00D0180E">
              <w:rPr>
                <w:rFonts w:ascii="Verdana" w:hAnsi="Verdana"/>
                <w:sz w:val="16"/>
                <w:szCs w:val="16"/>
              </w:rPr>
              <w:t xml:space="preserve"> Los Sistemas de Almacenamiento de Energía Eléctrica pueden participar de forma conjunta en las actividades de generación y comercialización, asociados o no, a Centros de Carga o Centrales </w:t>
            </w:r>
            <w:r w:rsidRPr="00D0180E">
              <w:rPr>
                <w:rFonts w:ascii="Verdana" w:hAnsi="Verdana"/>
                <w:sz w:val="16"/>
                <w:szCs w:val="16"/>
              </w:rPr>
              <w:lastRenderedPageBreak/>
              <w:t>Eléctricas, o bien ser integrados como parte de la infraestructura para el Servicio Público de Transmisión y Distribución de Energía Eléctrica, así como en los servicios que considere la CNE y la Secretaría, para mantener la Accesibilidad, Calidad, Confiabilidad, Continuidad, Eficiencia, Seguridad y Sostenibilidad del Sistema Eléctrico Nacional, y contribuir a la Justicia Energética.</w:t>
            </w:r>
          </w:p>
        </w:tc>
        <w:tc>
          <w:tcPr>
            <w:tcW w:w="4644" w:type="dxa"/>
          </w:tcPr>
          <w:p w14:paraId="60061E4C" w14:textId="181762E1" w:rsidR="003A38FF" w:rsidRPr="00D0180E" w:rsidRDefault="003A38FF" w:rsidP="003A38FF">
            <w:pPr>
              <w:pStyle w:val="Texto"/>
              <w:spacing w:line="228" w:lineRule="exact"/>
              <w:ind w:firstLine="0"/>
              <w:rPr>
                <w:rFonts w:ascii="Verdana" w:hAnsi="Verdana"/>
                <w:b/>
                <w:sz w:val="16"/>
                <w:szCs w:val="16"/>
                <w:lang w:val="en-US"/>
              </w:rPr>
            </w:pPr>
            <w:r w:rsidRPr="003C1294">
              <w:rPr>
                <w:rFonts w:ascii="Verdana" w:hAnsi="Verdana"/>
                <w:b/>
                <w:sz w:val="16"/>
                <w:szCs w:val="16"/>
                <w:lang w:val="en-US"/>
              </w:rPr>
              <w:lastRenderedPageBreak/>
              <w:t xml:space="preserve">Article 192. </w:t>
            </w:r>
            <w:r w:rsidRPr="003C1294">
              <w:rPr>
                <w:rFonts w:ascii="Verdana" w:hAnsi="Verdana"/>
                <w:sz w:val="16"/>
                <w:szCs w:val="16"/>
                <w:lang w:val="en-US"/>
              </w:rPr>
              <w:t xml:space="preserve">Electric Energy Storage Systems may participate jointly in generation and marketing activities, whether or not associated with load centers or </w:t>
            </w:r>
            <w:r>
              <w:rPr>
                <w:rFonts w:ascii="Verdana" w:hAnsi="Verdana"/>
                <w:sz w:val="16"/>
                <w:szCs w:val="16"/>
                <w:lang w:val="en-US"/>
              </w:rPr>
              <w:t>power plant</w:t>
            </w:r>
            <w:r w:rsidRPr="003C1294">
              <w:rPr>
                <w:rFonts w:ascii="Verdana" w:hAnsi="Verdana"/>
                <w:sz w:val="16"/>
                <w:szCs w:val="16"/>
                <w:lang w:val="en-US"/>
              </w:rPr>
              <w:t xml:space="preserve">s, or be integrated as part of the </w:t>
            </w:r>
            <w:r w:rsidRPr="003C1294">
              <w:rPr>
                <w:rFonts w:ascii="Verdana" w:hAnsi="Verdana"/>
                <w:sz w:val="16"/>
                <w:szCs w:val="16"/>
                <w:lang w:val="en-US"/>
              </w:rPr>
              <w:lastRenderedPageBreak/>
              <w:t xml:space="preserve">infrastructure for the public service of transmission and distribution of electric energy, as well as in the services considered by the CNE and the Secretary, to maintain the accessibility, quality, reliability, continuity, efficiency, security and sustainability of the </w:t>
            </w:r>
            <w:r>
              <w:rPr>
                <w:rFonts w:ascii="Verdana" w:hAnsi="Verdana"/>
                <w:sz w:val="16"/>
                <w:szCs w:val="16"/>
                <w:lang w:val="en-US"/>
              </w:rPr>
              <w:t>national electric system</w:t>
            </w:r>
            <w:r w:rsidRPr="003C1294">
              <w:rPr>
                <w:rFonts w:ascii="Verdana" w:hAnsi="Verdana"/>
                <w:sz w:val="16"/>
                <w:szCs w:val="16"/>
                <w:lang w:val="en-US"/>
              </w:rPr>
              <w:t>, and contribute to energy justice.</w:t>
            </w:r>
          </w:p>
        </w:tc>
      </w:tr>
      <w:tr w:rsidR="003A38FF" w:rsidRPr="00D83DA2" w14:paraId="4E2CCE8A" w14:textId="65C544F0" w:rsidTr="00FB5DAD">
        <w:tc>
          <w:tcPr>
            <w:tcW w:w="4706" w:type="dxa"/>
          </w:tcPr>
          <w:p w14:paraId="300BC261"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sz w:val="16"/>
                <w:szCs w:val="16"/>
              </w:rPr>
              <w:lastRenderedPageBreak/>
              <w:t>Los Sistemas de Almacenamiento de Energía Eléctrica integrados como elementos de infraestructura a la Red Nacional de Transmisión y Redes Generales de Distribución, son considerados como parte de las actividades de transmisión y distribución exclusivas de la Empresa Pública del Estado, por lo que debe ponerlos a disposición del CENACE para mantener la Calidad, Confiabilidad, Continuidad y Seguridad de Despacho del Sistema Eléctrico Nacional.</w:t>
            </w:r>
          </w:p>
        </w:tc>
        <w:tc>
          <w:tcPr>
            <w:tcW w:w="4644" w:type="dxa"/>
          </w:tcPr>
          <w:p w14:paraId="5BF2AAA4" w14:textId="0FD54BED" w:rsidR="003A38FF" w:rsidRPr="00D0180E" w:rsidRDefault="003A38FF" w:rsidP="003A38FF">
            <w:pPr>
              <w:pStyle w:val="Texto"/>
              <w:spacing w:line="228" w:lineRule="exact"/>
              <w:ind w:firstLine="0"/>
              <w:rPr>
                <w:rFonts w:ascii="Verdana" w:hAnsi="Verdana"/>
                <w:sz w:val="16"/>
                <w:szCs w:val="16"/>
                <w:lang w:val="en-US"/>
              </w:rPr>
            </w:pPr>
            <w:r w:rsidRPr="003C1294">
              <w:rPr>
                <w:rFonts w:ascii="Verdana" w:hAnsi="Verdana"/>
                <w:sz w:val="16"/>
                <w:szCs w:val="16"/>
                <w:lang w:val="en-US"/>
              </w:rPr>
              <w:t xml:space="preserve">Electric energy storage systems integrated as infrastructure elements into the National Transmission and General Distribution Networks are considered part of the exclusive transmission and distribution activities of the </w:t>
            </w:r>
            <w:r>
              <w:rPr>
                <w:rFonts w:ascii="Verdana" w:hAnsi="Verdana"/>
                <w:sz w:val="16"/>
                <w:szCs w:val="16"/>
                <w:lang w:val="en-US"/>
              </w:rPr>
              <w:t xml:space="preserve">State Public </w:t>
            </w:r>
            <w:proofErr w:type="gramStart"/>
            <w:r>
              <w:rPr>
                <w:rFonts w:ascii="Verdana" w:hAnsi="Verdana"/>
                <w:sz w:val="16"/>
                <w:szCs w:val="16"/>
                <w:lang w:val="en-US"/>
              </w:rPr>
              <w:t>Enterprise,</w:t>
            </w:r>
            <w:r w:rsidRPr="003C1294">
              <w:rPr>
                <w:rFonts w:ascii="Verdana" w:hAnsi="Verdana"/>
                <w:sz w:val="16"/>
                <w:szCs w:val="16"/>
                <w:lang w:val="en-US"/>
              </w:rPr>
              <w:t xml:space="preserve"> and</w:t>
            </w:r>
            <w:proofErr w:type="gramEnd"/>
            <w:r w:rsidRPr="003C1294">
              <w:rPr>
                <w:rFonts w:ascii="Verdana" w:hAnsi="Verdana"/>
                <w:sz w:val="16"/>
                <w:szCs w:val="16"/>
                <w:lang w:val="en-US"/>
              </w:rPr>
              <w:t xml:space="preserve"> therefore must be made available to CENACE to maintain the quality, reliability, continuity, and security of dispatch of the </w:t>
            </w:r>
            <w:r>
              <w:rPr>
                <w:rFonts w:ascii="Verdana" w:hAnsi="Verdana"/>
                <w:sz w:val="16"/>
                <w:szCs w:val="16"/>
                <w:lang w:val="en-US"/>
              </w:rPr>
              <w:t>national electric system</w:t>
            </w:r>
            <w:r w:rsidRPr="003C1294">
              <w:rPr>
                <w:rFonts w:ascii="Verdana" w:hAnsi="Verdana"/>
                <w:sz w:val="16"/>
                <w:szCs w:val="16"/>
                <w:lang w:val="en-US"/>
              </w:rPr>
              <w:t>.</w:t>
            </w:r>
          </w:p>
        </w:tc>
      </w:tr>
      <w:tr w:rsidR="003A38FF" w:rsidRPr="00D83DA2" w14:paraId="1AD5A6CA" w14:textId="07892E4C" w:rsidTr="00FB5DAD">
        <w:tc>
          <w:tcPr>
            <w:tcW w:w="4706" w:type="dxa"/>
          </w:tcPr>
          <w:p w14:paraId="27FC7307"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sz w:val="16"/>
                <w:szCs w:val="16"/>
              </w:rPr>
              <w:t>La Empresa Pública del Estado puede proponer para autorización de la Secretaría proyectos y modalidades de participación que incluyan Sistemas de Almacenamiento de Energía Eléctrica cuando estos sean utilizados con fines sistémicos. El CENACE puede coordinar su operación conforme a los lineamientos técnicos y a los contratos respectivos.</w:t>
            </w:r>
          </w:p>
        </w:tc>
        <w:tc>
          <w:tcPr>
            <w:tcW w:w="4644" w:type="dxa"/>
          </w:tcPr>
          <w:p w14:paraId="34C1CF7C" w14:textId="728A9378" w:rsidR="003A38FF" w:rsidRPr="00D0180E" w:rsidRDefault="003A38FF" w:rsidP="003A38FF">
            <w:pPr>
              <w:pStyle w:val="Texto"/>
              <w:spacing w:line="228" w:lineRule="exact"/>
              <w:ind w:firstLine="0"/>
              <w:rPr>
                <w:rFonts w:ascii="Verdana" w:hAnsi="Verdana"/>
                <w:sz w:val="16"/>
                <w:szCs w:val="16"/>
                <w:lang w:val="en-US"/>
              </w:rPr>
            </w:pPr>
            <w:r w:rsidRPr="003C1294">
              <w:rPr>
                <w:rFonts w:ascii="Verdana" w:hAnsi="Verdana"/>
                <w:sz w:val="16"/>
                <w:szCs w:val="16"/>
                <w:lang w:val="en-US"/>
              </w:rPr>
              <w:t>The State-owned Public Enterprise may propose, for authorization by the Secretary, projects and participation modalities that include Electric Energy Storage Systems when these are used for systemic purposes. CENACE may coordinate their operation in accordance with the technical guidelines and respective contracts.</w:t>
            </w:r>
          </w:p>
        </w:tc>
      </w:tr>
      <w:tr w:rsidR="003A38FF" w:rsidRPr="00D83DA2" w14:paraId="0684A272" w14:textId="0A419287" w:rsidTr="00FB5DAD">
        <w:tc>
          <w:tcPr>
            <w:tcW w:w="4706" w:type="dxa"/>
          </w:tcPr>
          <w:p w14:paraId="116C65A8"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 xml:space="preserve">Artículo 193. </w:t>
            </w:r>
            <w:r w:rsidRPr="00D0180E">
              <w:rPr>
                <w:rFonts w:ascii="Verdana" w:hAnsi="Verdana"/>
                <w:sz w:val="16"/>
                <w:szCs w:val="16"/>
              </w:rPr>
              <w:t>Los servicios que pueden proveer los Sistemas de Almacenamiento de Energía Eléctrica en el Sistema Eléctrico Nacional, sus modalidades de participación, así como los supuestos bajo los cuales se pueden instalar de forma agrupada en los términos del artículo 50 de la Ley, deben establecerse en las disposiciones administrativas de carácter general que al efecto emita la CNE, en coordinación con la Secretaría.</w:t>
            </w:r>
          </w:p>
        </w:tc>
        <w:tc>
          <w:tcPr>
            <w:tcW w:w="4644" w:type="dxa"/>
          </w:tcPr>
          <w:p w14:paraId="109F0DA7" w14:textId="05639049" w:rsidR="003A38FF" w:rsidRPr="00D0180E" w:rsidRDefault="003A38FF" w:rsidP="003A38FF">
            <w:pPr>
              <w:pStyle w:val="Texto"/>
              <w:spacing w:line="228" w:lineRule="exact"/>
              <w:ind w:firstLine="0"/>
              <w:rPr>
                <w:rFonts w:ascii="Verdana" w:hAnsi="Verdana"/>
                <w:b/>
                <w:sz w:val="16"/>
                <w:szCs w:val="16"/>
                <w:lang w:val="en-US"/>
              </w:rPr>
            </w:pPr>
            <w:r w:rsidRPr="003C1294">
              <w:rPr>
                <w:rFonts w:ascii="Verdana" w:hAnsi="Verdana"/>
                <w:b/>
                <w:sz w:val="16"/>
                <w:szCs w:val="16"/>
                <w:lang w:val="en-US"/>
              </w:rPr>
              <w:t xml:space="preserve">Article 193. </w:t>
            </w:r>
            <w:r w:rsidRPr="003C1294">
              <w:rPr>
                <w:rFonts w:ascii="Verdana" w:hAnsi="Verdana"/>
                <w:sz w:val="16"/>
                <w:szCs w:val="16"/>
                <w:lang w:val="en-US"/>
              </w:rPr>
              <w:t xml:space="preserve">The services that Electric Energy Storage Systems may provide in the </w:t>
            </w:r>
            <w:r>
              <w:rPr>
                <w:rFonts w:ascii="Verdana" w:hAnsi="Verdana"/>
                <w:sz w:val="16"/>
                <w:szCs w:val="16"/>
                <w:lang w:val="en-US"/>
              </w:rPr>
              <w:t>National Electric System</w:t>
            </w:r>
            <w:r w:rsidRPr="003C1294">
              <w:rPr>
                <w:rFonts w:ascii="Verdana" w:hAnsi="Verdana"/>
                <w:sz w:val="16"/>
                <w:szCs w:val="16"/>
                <w:lang w:val="en-US"/>
              </w:rPr>
              <w:t xml:space="preserve">, their participation modalities, as well as the assumptions under which they may be installed in a grouped manner </w:t>
            </w:r>
            <w:r>
              <w:rPr>
                <w:rFonts w:ascii="Verdana" w:hAnsi="Verdana"/>
                <w:sz w:val="16"/>
                <w:szCs w:val="16"/>
                <w:lang w:val="en-US"/>
              </w:rPr>
              <w:t>under the terms</w:t>
            </w:r>
            <w:r w:rsidRPr="003C1294">
              <w:rPr>
                <w:rFonts w:ascii="Verdana" w:hAnsi="Verdana"/>
                <w:sz w:val="16"/>
                <w:szCs w:val="16"/>
                <w:lang w:val="en-US"/>
              </w:rPr>
              <w:t xml:space="preserve"> of Article 50 of the Law, must be established in the general administrative provisions issued for this purpose by the CNE, in coordination with the Secretary.</w:t>
            </w:r>
          </w:p>
        </w:tc>
      </w:tr>
      <w:tr w:rsidR="003A38FF" w:rsidRPr="00D83DA2" w14:paraId="477F413C" w14:textId="40DB7385" w:rsidTr="00FB5DAD">
        <w:tc>
          <w:tcPr>
            <w:tcW w:w="4706" w:type="dxa"/>
          </w:tcPr>
          <w:p w14:paraId="29589CAC"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sz w:val="16"/>
                <w:szCs w:val="16"/>
              </w:rPr>
              <w:t>Todos los Sistemas de Almacenamiento de Energía Eléctrica no asociados a una Central Eléctrica o Centro de Carga con capacidad mayor o igual a 0.7 MW, requieren permiso de almacenamiento otorgado por la CNE.</w:t>
            </w:r>
          </w:p>
        </w:tc>
        <w:tc>
          <w:tcPr>
            <w:tcW w:w="4644" w:type="dxa"/>
          </w:tcPr>
          <w:p w14:paraId="3DEB8378" w14:textId="4119066A" w:rsidR="003A38FF" w:rsidRPr="00D0180E" w:rsidRDefault="003A38FF" w:rsidP="003A38FF">
            <w:pPr>
              <w:pStyle w:val="Texto"/>
              <w:spacing w:line="224" w:lineRule="exact"/>
              <w:ind w:firstLine="0"/>
              <w:rPr>
                <w:rFonts w:ascii="Verdana" w:hAnsi="Verdana"/>
                <w:sz w:val="16"/>
                <w:szCs w:val="16"/>
                <w:lang w:val="en-US"/>
              </w:rPr>
            </w:pPr>
            <w:r w:rsidRPr="003C1294">
              <w:rPr>
                <w:rFonts w:ascii="Verdana" w:hAnsi="Verdana"/>
                <w:sz w:val="16"/>
                <w:szCs w:val="16"/>
                <w:lang w:val="en-US"/>
              </w:rPr>
              <w:t xml:space="preserve">All Electric Energy Storage Systems not associated with a </w:t>
            </w:r>
            <w:r>
              <w:rPr>
                <w:rFonts w:ascii="Verdana" w:hAnsi="Verdana"/>
                <w:sz w:val="16"/>
                <w:szCs w:val="16"/>
                <w:lang w:val="en-US"/>
              </w:rPr>
              <w:t>power plant</w:t>
            </w:r>
            <w:r w:rsidRPr="003C1294">
              <w:rPr>
                <w:rFonts w:ascii="Verdana" w:hAnsi="Verdana"/>
                <w:sz w:val="16"/>
                <w:szCs w:val="16"/>
                <w:lang w:val="en-US"/>
              </w:rPr>
              <w:t xml:space="preserve"> or load center with a capacity greater than or equal to 0.7 MW require a storage permit granted by the CNE.</w:t>
            </w:r>
          </w:p>
        </w:tc>
      </w:tr>
      <w:tr w:rsidR="003A38FF" w:rsidRPr="00D83DA2" w14:paraId="44588939" w14:textId="0F1F5762" w:rsidTr="00FB5DAD">
        <w:tc>
          <w:tcPr>
            <w:tcW w:w="4706" w:type="dxa"/>
          </w:tcPr>
          <w:p w14:paraId="77F670F6"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sz w:val="16"/>
                <w:szCs w:val="16"/>
              </w:rPr>
              <w:t>Los Sistemas de Almacenamiento de Energía Eléctrica que forman parte de una Central Eléctrica con permiso de generación, no requieren permiso de almacenamiento.</w:t>
            </w:r>
          </w:p>
        </w:tc>
        <w:tc>
          <w:tcPr>
            <w:tcW w:w="4644" w:type="dxa"/>
          </w:tcPr>
          <w:p w14:paraId="4067F456" w14:textId="0B784A38" w:rsidR="003A38FF" w:rsidRPr="00D0180E" w:rsidRDefault="003A38FF" w:rsidP="003A38FF">
            <w:pPr>
              <w:pStyle w:val="Texto"/>
              <w:spacing w:line="224" w:lineRule="exact"/>
              <w:ind w:firstLine="0"/>
              <w:rPr>
                <w:rFonts w:ascii="Verdana" w:hAnsi="Verdana"/>
                <w:sz w:val="16"/>
                <w:szCs w:val="16"/>
                <w:lang w:val="en-US"/>
              </w:rPr>
            </w:pPr>
            <w:r w:rsidRPr="003C1294">
              <w:rPr>
                <w:rFonts w:ascii="Verdana" w:hAnsi="Verdana"/>
                <w:sz w:val="16"/>
                <w:szCs w:val="16"/>
                <w:lang w:val="en-US"/>
              </w:rPr>
              <w:t xml:space="preserve">Electric Energy Storage Systems that are part of a </w:t>
            </w:r>
            <w:r>
              <w:rPr>
                <w:rFonts w:ascii="Verdana" w:hAnsi="Verdana"/>
                <w:sz w:val="16"/>
                <w:szCs w:val="16"/>
                <w:lang w:val="en-US"/>
              </w:rPr>
              <w:t>power plant</w:t>
            </w:r>
            <w:r w:rsidRPr="003C1294">
              <w:rPr>
                <w:rFonts w:ascii="Verdana" w:hAnsi="Verdana"/>
                <w:sz w:val="16"/>
                <w:szCs w:val="16"/>
                <w:lang w:val="en-US"/>
              </w:rPr>
              <w:t xml:space="preserve"> with a generation permit do not require a storage permit.</w:t>
            </w:r>
          </w:p>
        </w:tc>
      </w:tr>
      <w:tr w:rsidR="003A38FF" w:rsidRPr="00D83DA2" w14:paraId="5DDD60B8" w14:textId="6F1567BF" w:rsidTr="00FB5DAD">
        <w:tc>
          <w:tcPr>
            <w:tcW w:w="4706" w:type="dxa"/>
          </w:tcPr>
          <w:p w14:paraId="1395334A"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sz w:val="16"/>
                <w:szCs w:val="16"/>
              </w:rPr>
              <w:t>Todos los Sistemas de Almacenamiento de Energía Eléctrica que participen en el Mercado Eléctrico Mayorista deben contar con permiso otorgado por la CNE o con autorización de la Secretaría, según corresponda, y deben ser representados por una Almacenadora, Generadora o Suministradora que sean Participantes del Mercado, de acuerdo con lo establecido en las Reglas del Mercado y la regulación aplicable. Las personas permisionarias y sus representantes están obligadas al cumplimiento de las Reglas del Mercado.</w:t>
            </w:r>
          </w:p>
        </w:tc>
        <w:tc>
          <w:tcPr>
            <w:tcW w:w="4644" w:type="dxa"/>
          </w:tcPr>
          <w:p w14:paraId="233A08CB" w14:textId="1848AA5F" w:rsidR="003A38FF" w:rsidRPr="00D0180E" w:rsidRDefault="003A38FF" w:rsidP="003A38FF">
            <w:pPr>
              <w:pStyle w:val="Texto"/>
              <w:spacing w:line="224" w:lineRule="exact"/>
              <w:ind w:firstLine="0"/>
              <w:rPr>
                <w:rFonts w:ascii="Verdana" w:hAnsi="Verdana"/>
                <w:sz w:val="16"/>
                <w:szCs w:val="16"/>
                <w:lang w:val="en-US"/>
              </w:rPr>
            </w:pPr>
            <w:r w:rsidRPr="003C1294">
              <w:rPr>
                <w:rFonts w:ascii="Verdana" w:hAnsi="Verdana"/>
                <w:sz w:val="16"/>
                <w:szCs w:val="16"/>
                <w:lang w:val="en-US"/>
              </w:rPr>
              <w:t xml:space="preserve">All Electric Energy Storage Systems participating in the wholesale electricity market must have a permit granted by the CNE or authorization from the Secretary, as applicable, and must be represented by a storage company, generator, or supplier that is a market participant, in accordance with the market rules and </w:t>
            </w:r>
            <w:r>
              <w:rPr>
                <w:rFonts w:ascii="Verdana" w:hAnsi="Verdana"/>
                <w:sz w:val="16"/>
                <w:szCs w:val="16"/>
                <w:lang w:val="en-US"/>
              </w:rPr>
              <w:t>applicable legislation</w:t>
            </w:r>
            <w:r w:rsidRPr="003C1294">
              <w:rPr>
                <w:rFonts w:ascii="Verdana" w:hAnsi="Verdana"/>
                <w:sz w:val="16"/>
                <w:szCs w:val="16"/>
                <w:lang w:val="en-US"/>
              </w:rPr>
              <w:t>. Permit holders and their representatives are required to comply with the market rules.</w:t>
            </w:r>
          </w:p>
        </w:tc>
      </w:tr>
      <w:tr w:rsidR="003A38FF" w:rsidRPr="00D83DA2" w14:paraId="3BB125B2" w14:textId="047017B6" w:rsidTr="00FB5DAD">
        <w:tc>
          <w:tcPr>
            <w:tcW w:w="4706" w:type="dxa"/>
          </w:tcPr>
          <w:p w14:paraId="10D44D96"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sz w:val="16"/>
                <w:szCs w:val="16"/>
              </w:rPr>
              <w:t xml:space="preserve">Las Reglas del Mercado deben establecer cómo los Sistemas de Almacenamiento de Energía Eléctrica deben realizar las transacciones, operaciones y mecanismos a </w:t>
            </w:r>
            <w:r w:rsidRPr="00D0180E">
              <w:rPr>
                <w:rFonts w:ascii="Verdana" w:hAnsi="Verdana"/>
                <w:sz w:val="16"/>
                <w:szCs w:val="16"/>
              </w:rPr>
              <w:lastRenderedPageBreak/>
              <w:t>los que se refieren los artículos 112, 113 y 114 de la Ley; los términos en los que se les reconocen y se realizan las transacciones de compraventa de la energía eléctrica, potencia, Servicios Conexos y otros Productos Asociados, así como los términos en los que deben operar los Sistemas de Almacenamiento de Energía Eléctrica incluidos en los contratos señalados en el artículo 14 y 194 del presente reglamento.</w:t>
            </w:r>
          </w:p>
        </w:tc>
        <w:tc>
          <w:tcPr>
            <w:tcW w:w="4644" w:type="dxa"/>
          </w:tcPr>
          <w:p w14:paraId="5B4A4AED" w14:textId="12B9DABC" w:rsidR="003A38FF" w:rsidRPr="00D0180E" w:rsidRDefault="003A38FF" w:rsidP="003A38FF">
            <w:pPr>
              <w:pStyle w:val="Texto"/>
              <w:spacing w:line="224" w:lineRule="exact"/>
              <w:ind w:firstLine="0"/>
              <w:rPr>
                <w:rFonts w:ascii="Verdana" w:hAnsi="Verdana"/>
                <w:sz w:val="16"/>
                <w:szCs w:val="16"/>
                <w:lang w:val="en-US"/>
              </w:rPr>
            </w:pPr>
            <w:r w:rsidRPr="003C1294">
              <w:rPr>
                <w:rFonts w:ascii="Verdana" w:hAnsi="Verdana"/>
                <w:sz w:val="16"/>
                <w:szCs w:val="16"/>
                <w:lang w:val="en-US"/>
              </w:rPr>
              <w:lastRenderedPageBreak/>
              <w:t xml:space="preserve">The </w:t>
            </w:r>
            <w:r>
              <w:rPr>
                <w:rFonts w:ascii="Verdana" w:hAnsi="Verdana"/>
                <w:sz w:val="16"/>
                <w:szCs w:val="16"/>
                <w:lang w:val="en-US"/>
              </w:rPr>
              <w:t>m</w:t>
            </w:r>
            <w:r w:rsidRPr="003C1294">
              <w:rPr>
                <w:rFonts w:ascii="Verdana" w:hAnsi="Verdana"/>
                <w:sz w:val="16"/>
                <w:szCs w:val="16"/>
                <w:lang w:val="en-US"/>
              </w:rPr>
              <w:t xml:space="preserve">arket </w:t>
            </w:r>
            <w:r>
              <w:rPr>
                <w:rFonts w:ascii="Verdana" w:hAnsi="Verdana"/>
                <w:sz w:val="16"/>
                <w:szCs w:val="16"/>
                <w:lang w:val="en-US"/>
              </w:rPr>
              <w:t>r</w:t>
            </w:r>
            <w:r w:rsidRPr="003C1294">
              <w:rPr>
                <w:rFonts w:ascii="Verdana" w:hAnsi="Verdana"/>
                <w:sz w:val="16"/>
                <w:szCs w:val="16"/>
                <w:lang w:val="en-US"/>
              </w:rPr>
              <w:t xml:space="preserve">ules must establish how Electric Energy Storage Systems must carry out the transactions, operations, and mechanisms referred to in Articles 112, </w:t>
            </w:r>
            <w:r w:rsidRPr="003C1294">
              <w:rPr>
                <w:rFonts w:ascii="Verdana" w:hAnsi="Verdana"/>
                <w:sz w:val="16"/>
                <w:szCs w:val="16"/>
                <w:lang w:val="en-US"/>
              </w:rPr>
              <w:lastRenderedPageBreak/>
              <w:t>113, and 114 of the Law; the terms under which they are recognized and carry out purchase and sale transactions for electrical energy, power, related services, and other associated products; as well as the terms under which the Electric Energy Storage Systems included in the contracts indicated in Articles 14 and 194 of this Regulation must operate.</w:t>
            </w:r>
          </w:p>
        </w:tc>
      </w:tr>
      <w:tr w:rsidR="003A38FF" w:rsidRPr="00D83DA2" w14:paraId="160C3574" w14:textId="4C294D93" w:rsidTr="00FB5DAD">
        <w:tc>
          <w:tcPr>
            <w:tcW w:w="4706" w:type="dxa"/>
          </w:tcPr>
          <w:p w14:paraId="15FFEBF8"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sz w:val="16"/>
                <w:szCs w:val="16"/>
              </w:rPr>
              <w:lastRenderedPageBreak/>
              <w:t>No requieren de permiso los Sistemas de Almacenamiento de Energía Eléctrica integrados a la infraestructura de la Empresa Pública del Estado para la prestación del Servicio Público de Transmisión y Distribución de Energía Eléctrica. Dichos Sistemas de Almacenamiento de Energía Eléctrica no deben participar en el Mercado Eléctrico Mayorista.</w:t>
            </w:r>
          </w:p>
        </w:tc>
        <w:tc>
          <w:tcPr>
            <w:tcW w:w="4644" w:type="dxa"/>
          </w:tcPr>
          <w:p w14:paraId="6791D452" w14:textId="00C486F2" w:rsidR="003A38FF" w:rsidRPr="00D0180E" w:rsidRDefault="003A38FF" w:rsidP="003A38FF">
            <w:pPr>
              <w:pStyle w:val="Texto"/>
              <w:spacing w:line="224" w:lineRule="exact"/>
              <w:ind w:firstLine="0"/>
              <w:rPr>
                <w:rFonts w:ascii="Verdana" w:hAnsi="Verdana"/>
                <w:sz w:val="16"/>
                <w:szCs w:val="16"/>
                <w:lang w:val="en-US"/>
              </w:rPr>
            </w:pPr>
            <w:r w:rsidRPr="003C1294">
              <w:rPr>
                <w:rFonts w:ascii="Verdana" w:hAnsi="Verdana"/>
                <w:sz w:val="16"/>
                <w:szCs w:val="16"/>
                <w:lang w:val="en-US"/>
              </w:rPr>
              <w:t>Electric Energy Storage Systems integrated into the infrastructure of a State-owned Public Company for the provision of the public service of electric energy transmission and distribution do not require a permit. These Electric Energy Storage Systems are not required to participate in the wholesale electricity market.</w:t>
            </w:r>
          </w:p>
        </w:tc>
      </w:tr>
      <w:tr w:rsidR="003A38FF" w:rsidRPr="00D83DA2" w14:paraId="4CF499E5" w14:textId="608B3869" w:rsidTr="00FB5DAD">
        <w:tc>
          <w:tcPr>
            <w:tcW w:w="4706" w:type="dxa"/>
          </w:tcPr>
          <w:p w14:paraId="6D6B6AFF"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b/>
                <w:sz w:val="16"/>
                <w:szCs w:val="16"/>
              </w:rPr>
              <w:t xml:space="preserve">Artículo 194. </w:t>
            </w:r>
            <w:r w:rsidRPr="00D0180E">
              <w:rPr>
                <w:rFonts w:ascii="Verdana" w:hAnsi="Verdana"/>
                <w:sz w:val="16"/>
                <w:szCs w:val="16"/>
              </w:rPr>
              <w:t>La operación de los Sistemas de Almacenamiento de Energía Eléctrica debe sujetarse a las instrucciones operativas del CENACE en términos de las disposiciones administrativas previstas en el artículo anterior.</w:t>
            </w:r>
          </w:p>
        </w:tc>
        <w:tc>
          <w:tcPr>
            <w:tcW w:w="4644" w:type="dxa"/>
          </w:tcPr>
          <w:p w14:paraId="58000031" w14:textId="1591D698" w:rsidR="003A38FF" w:rsidRPr="00D0180E" w:rsidRDefault="003A38FF" w:rsidP="003A38FF">
            <w:pPr>
              <w:pStyle w:val="Texto"/>
              <w:spacing w:line="224" w:lineRule="exact"/>
              <w:ind w:firstLine="0"/>
              <w:rPr>
                <w:rFonts w:ascii="Verdana" w:hAnsi="Verdana"/>
                <w:b/>
                <w:sz w:val="16"/>
                <w:szCs w:val="16"/>
                <w:lang w:val="en-US"/>
              </w:rPr>
            </w:pPr>
            <w:r w:rsidRPr="003C1294">
              <w:rPr>
                <w:rFonts w:ascii="Verdana" w:hAnsi="Verdana"/>
                <w:b/>
                <w:sz w:val="16"/>
                <w:szCs w:val="16"/>
                <w:lang w:val="en-US"/>
              </w:rPr>
              <w:t xml:space="preserve">Article 194. </w:t>
            </w:r>
            <w:r w:rsidRPr="003C1294">
              <w:rPr>
                <w:rFonts w:ascii="Verdana" w:hAnsi="Verdana"/>
                <w:sz w:val="16"/>
                <w:szCs w:val="16"/>
                <w:lang w:val="en-US"/>
              </w:rPr>
              <w:t xml:space="preserve">The operation of Electric Energy Storage Systems must be subject to the operational instructions of CENACE in terms of the administrative provisions provided in the </w:t>
            </w:r>
            <w:r>
              <w:rPr>
                <w:rFonts w:ascii="Verdana" w:hAnsi="Verdana"/>
                <w:sz w:val="16"/>
                <w:szCs w:val="16"/>
                <w:lang w:val="en-US"/>
              </w:rPr>
              <w:t>preceding article</w:t>
            </w:r>
            <w:r w:rsidRPr="003C1294">
              <w:rPr>
                <w:rFonts w:ascii="Verdana" w:hAnsi="Verdana"/>
                <w:sz w:val="16"/>
                <w:szCs w:val="16"/>
                <w:lang w:val="en-US"/>
              </w:rPr>
              <w:t>.</w:t>
            </w:r>
          </w:p>
        </w:tc>
      </w:tr>
      <w:tr w:rsidR="003A38FF" w:rsidRPr="00D0180E" w14:paraId="22465395" w14:textId="13142ECC" w:rsidTr="00FB5DAD">
        <w:tc>
          <w:tcPr>
            <w:tcW w:w="4706" w:type="dxa"/>
          </w:tcPr>
          <w:p w14:paraId="5EC0B756"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sz w:val="16"/>
                <w:szCs w:val="16"/>
              </w:rPr>
              <w:t>El CENACE puede celebrar contratos específicos de prestación de servicios múltiples con Sistemas de Almacenamiento de Energía Eléctrica, cuando el análisis técnico demuestre que dichos recursos aportan a la Confiabilidad, Seguridad, Eficiencia o integración de energías renovables. Estos contratos pueden incluir obligaciones de desempeño y disponibilidad.</w:t>
            </w:r>
          </w:p>
        </w:tc>
        <w:tc>
          <w:tcPr>
            <w:tcW w:w="4644" w:type="dxa"/>
          </w:tcPr>
          <w:p w14:paraId="0853F72B" w14:textId="38453F31" w:rsidR="003A38FF" w:rsidRPr="00D0180E" w:rsidRDefault="003A38FF" w:rsidP="003A38FF">
            <w:pPr>
              <w:pStyle w:val="Texto"/>
              <w:spacing w:line="224" w:lineRule="exact"/>
              <w:ind w:firstLine="0"/>
              <w:rPr>
                <w:rFonts w:ascii="Verdana" w:hAnsi="Verdana"/>
                <w:sz w:val="16"/>
                <w:szCs w:val="16"/>
                <w:lang w:val="en-US"/>
              </w:rPr>
            </w:pPr>
            <w:r w:rsidRPr="003C1294">
              <w:rPr>
                <w:rFonts w:ascii="Verdana" w:hAnsi="Verdana"/>
                <w:sz w:val="16"/>
                <w:szCs w:val="16"/>
                <w:lang w:val="en-US"/>
              </w:rPr>
              <w:t xml:space="preserve">CENACE may </w:t>
            </w:r>
            <w:proofErr w:type="gramStart"/>
            <w:r w:rsidRPr="003C1294">
              <w:rPr>
                <w:rFonts w:ascii="Verdana" w:hAnsi="Verdana"/>
                <w:sz w:val="16"/>
                <w:szCs w:val="16"/>
                <w:lang w:val="en-US"/>
              </w:rPr>
              <w:t>enter into</w:t>
            </w:r>
            <w:proofErr w:type="gramEnd"/>
            <w:r w:rsidRPr="003C1294">
              <w:rPr>
                <w:rFonts w:ascii="Verdana" w:hAnsi="Verdana"/>
                <w:sz w:val="16"/>
                <w:szCs w:val="16"/>
                <w:lang w:val="en-US"/>
              </w:rPr>
              <w:t xml:space="preserve"> specific multi-service contracts with Electric Energy Storage Systems when technical analysis demonstrates that these resources contribute to reliability, safety, efficiency, or the integration of renewable energy. </w:t>
            </w:r>
            <w:r w:rsidRPr="00835006">
              <w:rPr>
                <w:rFonts w:ascii="Verdana" w:hAnsi="Verdana"/>
                <w:sz w:val="16"/>
                <w:szCs w:val="16"/>
                <w:lang w:val="en-US"/>
              </w:rPr>
              <w:t>These contracts may include performance and availability obligations</w:t>
            </w:r>
            <w:r w:rsidRPr="00D0180E">
              <w:rPr>
                <w:rFonts w:ascii="Verdana" w:hAnsi="Verdana"/>
                <w:sz w:val="16"/>
                <w:szCs w:val="16"/>
              </w:rPr>
              <w:t>.</w:t>
            </w:r>
          </w:p>
        </w:tc>
      </w:tr>
      <w:tr w:rsidR="003A38FF" w:rsidRPr="00D83DA2" w14:paraId="6DFAE43C" w14:textId="183DE2CC" w:rsidTr="00FB5DAD">
        <w:tc>
          <w:tcPr>
            <w:tcW w:w="4706" w:type="dxa"/>
          </w:tcPr>
          <w:p w14:paraId="7F013FD6"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sz w:val="16"/>
                <w:szCs w:val="16"/>
              </w:rPr>
              <w:t>En caso de una emergencia en el Sistema Eléctrico Nacional, los Sistemas de Almacenamiento de Energía Eléctrica están obligados a poner a disposición del CENACE la totalidad de sus recursos disponibles.</w:t>
            </w:r>
          </w:p>
        </w:tc>
        <w:tc>
          <w:tcPr>
            <w:tcW w:w="4644" w:type="dxa"/>
          </w:tcPr>
          <w:p w14:paraId="19326C1A" w14:textId="1FED8107" w:rsidR="003A38FF" w:rsidRPr="00D0180E" w:rsidRDefault="003A38FF" w:rsidP="003A38FF">
            <w:pPr>
              <w:pStyle w:val="Texto"/>
              <w:spacing w:line="224" w:lineRule="exact"/>
              <w:ind w:firstLine="0"/>
              <w:rPr>
                <w:rFonts w:ascii="Verdana" w:hAnsi="Verdana"/>
                <w:sz w:val="16"/>
                <w:szCs w:val="16"/>
                <w:lang w:val="en-US"/>
              </w:rPr>
            </w:pPr>
            <w:r w:rsidRPr="003C1294">
              <w:rPr>
                <w:rFonts w:ascii="Verdana" w:hAnsi="Verdana"/>
                <w:sz w:val="16"/>
                <w:szCs w:val="16"/>
                <w:lang w:val="en-US"/>
              </w:rPr>
              <w:t xml:space="preserve">In the event of an emergency in the </w:t>
            </w:r>
            <w:r>
              <w:rPr>
                <w:rFonts w:ascii="Verdana" w:hAnsi="Verdana"/>
                <w:sz w:val="16"/>
                <w:szCs w:val="16"/>
                <w:lang w:val="en-US"/>
              </w:rPr>
              <w:t>National Electric System</w:t>
            </w:r>
            <w:r w:rsidRPr="003C1294">
              <w:rPr>
                <w:rFonts w:ascii="Verdana" w:hAnsi="Verdana"/>
                <w:sz w:val="16"/>
                <w:szCs w:val="16"/>
                <w:lang w:val="en-US"/>
              </w:rPr>
              <w:t xml:space="preserve">, the Electric Energy Storage Systems are required to make </w:t>
            </w:r>
            <w:proofErr w:type="gramStart"/>
            <w:r w:rsidRPr="003C1294">
              <w:rPr>
                <w:rFonts w:ascii="Verdana" w:hAnsi="Verdana"/>
                <w:sz w:val="16"/>
                <w:szCs w:val="16"/>
                <w:lang w:val="en-US"/>
              </w:rPr>
              <w:t>all of</w:t>
            </w:r>
            <w:proofErr w:type="gramEnd"/>
            <w:r w:rsidRPr="003C1294">
              <w:rPr>
                <w:rFonts w:ascii="Verdana" w:hAnsi="Verdana"/>
                <w:sz w:val="16"/>
                <w:szCs w:val="16"/>
                <w:lang w:val="en-US"/>
              </w:rPr>
              <w:t xml:space="preserve"> their available resources available to CENACE.</w:t>
            </w:r>
          </w:p>
        </w:tc>
      </w:tr>
      <w:tr w:rsidR="003A38FF" w:rsidRPr="00D83DA2" w14:paraId="61ED4B56" w14:textId="3E69D991" w:rsidTr="00FB5DAD">
        <w:tc>
          <w:tcPr>
            <w:tcW w:w="4706" w:type="dxa"/>
          </w:tcPr>
          <w:p w14:paraId="4D12B66D"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b/>
                <w:sz w:val="16"/>
                <w:szCs w:val="16"/>
              </w:rPr>
              <w:t>Artículo 195.</w:t>
            </w:r>
            <w:r w:rsidRPr="00D0180E">
              <w:rPr>
                <w:rFonts w:ascii="Verdana" w:hAnsi="Verdana"/>
                <w:sz w:val="16"/>
                <w:szCs w:val="16"/>
              </w:rPr>
              <w:t xml:space="preserve"> Los Sistemas de Almacenamiento de Energía Eléctrica no pueden recibir Certificados de Energía Limpia y tampoco le son aplicables los requisitos en la materia, toda vez que la acreditación y el requerimiento de los Certificados de Energía Limpia se originan por la generación y consumo de energía eléctrica y no por su almacenamiento.</w:t>
            </w:r>
          </w:p>
        </w:tc>
        <w:tc>
          <w:tcPr>
            <w:tcW w:w="4644" w:type="dxa"/>
          </w:tcPr>
          <w:p w14:paraId="7DCC6B62" w14:textId="3C13723F" w:rsidR="003A38FF" w:rsidRPr="00D0180E" w:rsidRDefault="003A38FF" w:rsidP="003A38FF">
            <w:pPr>
              <w:pStyle w:val="Texto"/>
              <w:spacing w:line="224" w:lineRule="exact"/>
              <w:ind w:firstLine="0"/>
              <w:rPr>
                <w:rFonts w:ascii="Verdana" w:hAnsi="Verdana"/>
                <w:b/>
                <w:sz w:val="16"/>
                <w:szCs w:val="16"/>
                <w:lang w:val="en-US"/>
              </w:rPr>
            </w:pPr>
            <w:r w:rsidRPr="003C1294">
              <w:rPr>
                <w:rFonts w:ascii="Verdana" w:hAnsi="Verdana"/>
                <w:b/>
                <w:sz w:val="16"/>
                <w:szCs w:val="16"/>
                <w:lang w:val="en-US"/>
              </w:rPr>
              <w:t xml:space="preserve">Article 195. </w:t>
            </w:r>
            <w:r w:rsidRPr="003C1294">
              <w:rPr>
                <w:rFonts w:ascii="Verdana" w:hAnsi="Verdana"/>
                <w:sz w:val="16"/>
                <w:szCs w:val="16"/>
                <w:lang w:val="en-US"/>
              </w:rPr>
              <w:t>Electric Energy Storage Systems cannot receive Clean Energy Certificates, nor are the requirements in this area applicable to them, since the accreditation and requirement for Clean Energy Certificates arise from the generation and consumption of electric energy and not from its storage.</w:t>
            </w:r>
          </w:p>
        </w:tc>
      </w:tr>
      <w:tr w:rsidR="003A38FF" w:rsidRPr="00D0180E" w14:paraId="522E74DF" w14:textId="26409B65" w:rsidTr="00FB5DAD">
        <w:tc>
          <w:tcPr>
            <w:tcW w:w="4706" w:type="dxa"/>
          </w:tcPr>
          <w:p w14:paraId="677016FA" w14:textId="77777777" w:rsidR="003A38FF" w:rsidRPr="00D0180E" w:rsidRDefault="003A38FF" w:rsidP="003A38FF">
            <w:pPr>
              <w:pStyle w:val="Texto"/>
              <w:spacing w:line="224" w:lineRule="exact"/>
              <w:ind w:firstLine="0"/>
              <w:jc w:val="center"/>
              <w:rPr>
                <w:rFonts w:ascii="Verdana" w:hAnsi="Verdana"/>
                <w:b/>
                <w:sz w:val="16"/>
                <w:szCs w:val="16"/>
              </w:rPr>
            </w:pPr>
            <w:r w:rsidRPr="00D0180E">
              <w:rPr>
                <w:rFonts w:ascii="Verdana" w:hAnsi="Verdana"/>
                <w:b/>
                <w:sz w:val="16"/>
                <w:szCs w:val="16"/>
              </w:rPr>
              <w:t>Capítulo VII</w:t>
            </w:r>
          </w:p>
        </w:tc>
        <w:tc>
          <w:tcPr>
            <w:tcW w:w="4644" w:type="dxa"/>
          </w:tcPr>
          <w:p w14:paraId="179630DC" w14:textId="5112B64C" w:rsidR="003A38FF" w:rsidRPr="00D0180E" w:rsidRDefault="003A38FF" w:rsidP="003A38FF">
            <w:pPr>
              <w:pStyle w:val="Texto"/>
              <w:spacing w:line="224" w:lineRule="exact"/>
              <w:ind w:firstLine="0"/>
              <w:jc w:val="center"/>
              <w:rPr>
                <w:rFonts w:ascii="Verdana" w:hAnsi="Verdana"/>
                <w:b/>
                <w:sz w:val="16"/>
                <w:szCs w:val="16"/>
                <w:lang w:val="en-US"/>
              </w:rPr>
            </w:pPr>
            <w:r w:rsidRPr="00D0180E">
              <w:rPr>
                <w:rFonts w:ascii="Verdana" w:hAnsi="Verdana"/>
                <w:b/>
                <w:sz w:val="16"/>
                <w:szCs w:val="16"/>
              </w:rPr>
              <w:t>Chapter VII</w:t>
            </w:r>
          </w:p>
        </w:tc>
      </w:tr>
      <w:tr w:rsidR="003A38FF" w:rsidRPr="00D83DA2" w14:paraId="39A108CE" w14:textId="77DD201D" w:rsidTr="00FB5DAD">
        <w:tc>
          <w:tcPr>
            <w:tcW w:w="4706" w:type="dxa"/>
          </w:tcPr>
          <w:p w14:paraId="5B46791C" w14:textId="77777777" w:rsidR="003A38FF" w:rsidRPr="00D0180E" w:rsidRDefault="003A38FF" w:rsidP="003A38FF">
            <w:pPr>
              <w:pStyle w:val="Texto"/>
              <w:spacing w:line="224" w:lineRule="exact"/>
              <w:ind w:firstLine="0"/>
              <w:jc w:val="center"/>
              <w:rPr>
                <w:rFonts w:ascii="Verdana" w:hAnsi="Verdana"/>
                <w:b/>
                <w:sz w:val="16"/>
                <w:szCs w:val="16"/>
              </w:rPr>
            </w:pPr>
            <w:r w:rsidRPr="00D0180E">
              <w:rPr>
                <w:rFonts w:ascii="Verdana" w:hAnsi="Verdana"/>
                <w:b/>
                <w:sz w:val="16"/>
                <w:szCs w:val="16"/>
              </w:rPr>
              <w:t>De la Infraestructura y el Suministro de Electricidad en Materia de Electromovilidad</w:t>
            </w:r>
          </w:p>
        </w:tc>
        <w:tc>
          <w:tcPr>
            <w:tcW w:w="4644" w:type="dxa"/>
          </w:tcPr>
          <w:p w14:paraId="79260193" w14:textId="5FA7D21E" w:rsidR="003A38FF" w:rsidRPr="00D0180E" w:rsidRDefault="003A38FF" w:rsidP="003A38FF">
            <w:pPr>
              <w:pStyle w:val="Texto"/>
              <w:spacing w:line="224" w:lineRule="exact"/>
              <w:ind w:firstLine="0"/>
              <w:jc w:val="center"/>
              <w:rPr>
                <w:rFonts w:ascii="Verdana" w:hAnsi="Verdana"/>
                <w:b/>
                <w:sz w:val="16"/>
                <w:szCs w:val="16"/>
                <w:lang w:val="en-US"/>
              </w:rPr>
            </w:pPr>
            <w:r w:rsidRPr="003C1294">
              <w:rPr>
                <w:rFonts w:ascii="Verdana" w:hAnsi="Verdana"/>
                <w:b/>
                <w:sz w:val="16"/>
                <w:szCs w:val="16"/>
                <w:lang w:val="en-US"/>
              </w:rPr>
              <w:t>Infrastructure and Electricity Supply in the Field of Electromobility</w:t>
            </w:r>
          </w:p>
        </w:tc>
      </w:tr>
      <w:tr w:rsidR="003A38FF" w:rsidRPr="00D83DA2" w14:paraId="0FD593DD" w14:textId="42176D26" w:rsidTr="00FB5DAD">
        <w:tc>
          <w:tcPr>
            <w:tcW w:w="4706" w:type="dxa"/>
          </w:tcPr>
          <w:p w14:paraId="71DB944F"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b/>
                <w:sz w:val="16"/>
                <w:szCs w:val="16"/>
              </w:rPr>
              <w:t xml:space="preserve">Artículo 196. </w:t>
            </w:r>
            <w:r w:rsidRPr="00D0180E">
              <w:rPr>
                <w:rFonts w:ascii="Verdana" w:hAnsi="Verdana"/>
                <w:sz w:val="16"/>
                <w:szCs w:val="16"/>
              </w:rPr>
              <w:t>En materia de electromovilidad, la carga eléctrica comprende aquellas instalaciones desde el punto de conexión con la red y hasta el punto de suministro de energía eléctrica al equipo de carga.</w:t>
            </w:r>
          </w:p>
        </w:tc>
        <w:tc>
          <w:tcPr>
            <w:tcW w:w="4644" w:type="dxa"/>
          </w:tcPr>
          <w:p w14:paraId="17C31151" w14:textId="517E749E" w:rsidR="003A38FF" w:rsidRPr="00D0180E" w:rsidRDefault="003A38FF" w:rsidP="003A38FF">
            <w:pPr>
              <w:pStyle w:val="Texto"/>
              <w:spacing w:line="224" w:lineRule="exact"/>
              <w:ind w:firstLine="0"/>
              <w:rPr>
                <w:rFonts w:ascii="Verdana" w:hAnsi="Verdana"/>
                <w:b/>
                <w:sz w:val="16"/>
                <w:szCs w:val="16"/>
                <w:lang w:val="en-US"/>
              </w:rPr>
            </w:pPr>
            <w:r w:rsidRPr="003C1294">
              <w:rPr>
                <w:rFonts w:ascii="Verdana" w:hAnsi="Verdana"/>
                <w:b/>
                <w:sz w:val="16"/>
                <w:szCs w:val="16"/>
                <w:lang w:val="en-US"/>
              </w:rPr>
              <w:t xml:space="preserve">Article 196. </w:t>
            </w:r>
            <w:r w:rsidRPr="003C1294">
              <w:rPr>
                <w:rFonts w:ascii="Verdana" w:hAnsi="Verdana"/>
                <w:sz w:val="16"/>
                <w:szCs w:val="16"/>
                <w:lang w:val="en-US"/>
              </w:rPr>
              <w:t>In the area of electromobility, electric charging includes those installations from the point of connection to the grid to the point of supply of electrical energy to the charging equipment.</w:t>
            </w:r>
          </w:p>
        </w:tc>
      </w:tr>
      <w:tr w:rsidR="003A38FF" w:rsidRPr="00D83DA2" w14:paraId="0F68B566" w14:textId="317C00FB" w:rsidTr="00FB5DAD">
        <w:tc>
          <w:tcPr>
            <w:tcW w:w="4706" w:type="dxa"/>
          </w:tcPr>
          <w:p w14:paraId="0F962DD3"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b/>
                <w:sz w:val="16"/>
                <w:szCs w:val="16"/>
              </w:rPr>
              <w:t>Artículo 197.</w:t>
            </w:r>
            <w:r w:rsidRPr="00D0180E">
              <w:rPr>
                <w:rFonts w:ascii="Verdana" w:hAnsi="Verdana"/>
                <w:sz w:val="16"/>
                <w:szCs w:val="16"/>
              </w:rPr>
              <w:t xml:space="preserve"> Los Centros de Carga para electromovilidad pueden registrarse como Demanda Controlable en los términos que prevean las disposiciones administrativas de carácter general a que se refiere el artículo 86 de la Ley sin que ello implique su clasificación automática como Sistema de Almacenamiento de Energía Eléctrica.</w:t>
            </w:r>
          </w:p>
        </w:tc>
        <w:tc>
          <w:tcPr>
            <w:tcW w:w="4644" w:type="dxa"/>
          </w:tcPr>
          <w:p w14:paraId="7D3E6BA1" w14:textId="5163C9FE" w:rsidR="003A38FF" w:rsidRPr="00D0180E" w:rsidRDefault="003A38FF" w:rsidP="003A38FF">
            <w:pPr>
              <w:pStyle w:val="Texto"/>
              <w:spacing w:line="224" w:lineRule="exact"/>
              <w:ind w:firstLine="0"/>
              <w:rPr>
                <w:rFonts w:ascii="Verdana" w:hAnsi="Verdana"/>
                <w:b/>
                <w:sz w:val="16"/>
                <w:szCs w:val="16"/>
                <w:lang w:val="en-US"/>
              </w:rPr>
            </w:pPr>
            <w:r w:rsidRPr="003C1294">
              <w:rPr>
                <w:rFonts w:ascii="Verdana" w:hAnsi="Verdana"/>
                <w:b/>
                <w:sz w:val="16"/>
                <w:szCs w:val="16"/>
                <w:lang w:val="en-US"/>
              </w:rPr>
              <w:t xml:space="preserve">Article 197. </w:t>
            </w:r>
            <w:r w:rsidRPr="003C1294">
              <w:rPr>
                <w:rFonts w:ascii="Verdana" w:hAnsi="Verdana"/>
                <w:sz w:val="16"/>
                <w:szCs w:val="16"/>
                <w:lang w:val="en-US"/>
              </w:rPr>
              <w:t xml:space="preserve">Charging Centers for electromobility may be registered as </w:t>
            </w:r>
            <w:r>
              <w:rPr>
                <w:rFonts w:ascii="Verdana" w:hAnsi="Verdana"/>
                <w:sz w:val="16"/>
                <w:szCs w:val="16"/>
                <w:lang w:val="en-US"/>
              </w:rPr>
              <w:t>c</w:t>
            </w:r>
            <w:r w:rsidRPr="003C1294">
              <w:rPr>
                <w:rFonts w:ascii="Verdana" w:hAnsi="Verdana"/>
                <w:sz w:val="16"/>
                <w:szCs w:val="16"/>
                <w:lang w:val="en-US"/>
              </w:rPr>
              <w:t xml:space="preserve">ontrollable </w:t>
            </w:r>
            <w:r>
              <w:rPr>
                <w:rFonts w:ascii="Verdana" w:hAnsi="Verdana"/>
                <w:sz w:val="16"/>
                <w:szCs w:val="16"/>
                <w:lang w:val="en-US"/>
              </w:rPr>
              <w:t>d</w:t>
            </w:r>
            <w:r w:rsidRPr="003C1294">
              <w:rPr>
                <w:rFonts w:ascii="Verdana" w:hAnsi="Verdana"/>
                <w:sz w:val="16"/>
                <w:szCs w:val="16"/>
                <w:lang w:val="en-US"/>
              </w:rPr>
              <w:t>emand under the terms provided for in the general administrative provisions referred to in Article 86 of the Law, without this implying their automatic classification as an Electric Energy Storage System.</w:t>
            </w:r>
          </w:p>
        </w:tc>
      </w:tr>
      <w:tr w:rsidR="003A38FF" w:rsidRPr="00D83DA2" w14:paraId="0BA7F1CF" w14:textId="5EB40682" w:rsidTr="00FB5DAD">
        <w:tc>
          <w:tcPr>
            <w:tcW w:w="4706" w:type="dxa"/>
          </w:tcPr>
          <w:p w14:paraId="3F03B0F1"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sz w:val="16"/>
                <w:szCs w:val="16"/>
              </w:rPr>
              <w:lastRenderedPageBreak/>
              <w:t>La CNE en coordinación con la Secretaría debe emitir las disposiciones administrativas de carácter general a que se refiere el párrafo anterior, dichas disposiciones deben considerar el desarrollo, instalación, operación y mantenimiento de la infraestructura del Sistema Eléctrico Nacional.</w:t>
            </w:r>
          </w:p>
        </w:tc>
        <w:tc>
          <w:tcPr>
            <w:tcW w:w="4644" w:type="dxa"/>
          </w:tcPr>
          <w:p w14:paraId="3B6A8F5B" w14:textId="26514BCE" w:rsidR="003A38FF" w:rsidRPr="00D0180E" w:rsidRDefault="003A38FF" w:rsidP="003A38FF">
            <w:pPr>
              <w:pStyle w:val="Texto"/>
              <w:spacing w:line="224" w:lineRule="exact"/>
              <w:ind w:firstLine="0"/>
              <w:rPr>
                <w:rFonts w:ascii="Verdana" w:hAnsi="Verdana"/>
                <w:sz w:val="16"/>
                <w:szCs w:val="16"/>
                <w:lang w:val="en-US"/>
              </w:rPr>
            </w:pPr>
            <w:r w:rsidRPr="003C1294">
              <w:rPr>
                <w:rFonts w:ascii="Verdana" w:hAnsi="Verdana"/>
                <w:sz w:val="16"/>
                <w:szCs w:val="16"/>
                <w:lang w:val="en-US"/>
              </w:rPr>
              <w:t xml:space="preserve">The CNE, in coordination with the Secretary, must issue the general administrative provisions referred to in the </w:t>
            </w:r>
            <w:r>
              <w:rPr>
                <w:rFonts w:ascii="Verdana" w:hAnsi="Verdana"/>
                <w:sz w:val="16"/>
                <w:szCs w:val="16"/>
                <w:lang w:val="en-US"/>
              </w:rPr>
              <w:t>preceding paragraph</w:t>
            </w:r>
            <w:r w:rsidRPr="003C1294">
              <w:rPr>
                <w:rFonts w:ascii="Verdana" w:hAnsi="Verdana"/>
                <w:sz w:val="16"/>
                <w:szCs w:val="16"/>
                <w:lang w:val="en-US"/>
              </w:rPr>
              <w:t xml:space="preserve">. These provisions must consider the development, installation, operation, and maintenance of the </w:t>
            </w:r>
            <w:r>
              <w:rPr>
                <w:rFonts w:ascii="Verdana" w:hAnsi="Verdana"/>
                <w:sz w:val="16"/>
                <w:szCs w:val="16"/>
                <w:lang w:val="en-US"/>
              </w:rPr>
              <w:t>National Electric System</w:t>
            </w:r>
            <w:r w:rsidRPr="003C1294">
              <w:rPr>
                <w:rFonts w:ascii="Verdana" w:hAnsi="Verdana"/>
                <w:sz w:val="16"/>
                <w:szCs w:val="16"/>
                <w:lang w:val="en-US"/>
              </w:rPr>
              <w:t xml:space="preserve"> infrastructure.</w:t>
            </w:r>
          </w:p>
        </w:tc>
      </w:tr>
      <w:tr w:rsidR="003A38FF" w:rsidRPr="00D83DA2" w14:paraId="6A558D30" w14:textId="020A5FA4" w:rsidTr="00FB5DAD">
        <w:tc>
          <w:tcPr>
            <w:tcW w:w="4706" w:type="dxa"/>
          </w:tcPr>
          <w:p w14:paraId="44F44706" w14:textId="77777777" w:rsidR="003A38FF" w:rsidRPr="00D0180E" w:rsidRDefault="003A38FF" w:rsidP="003A38FF">
            <w:pPr>
              <w:pStyle w:val="Texto"/>
              <w:spacing w:line="224" w:lineRule="exact"/>
              <w:ind w:firstLine="0"/>
              <w:rPr>
                <w:rFonts w:ascii="Verdana" w:hAnsi="Verdana"/>
                <w:sz w:val="16"/>
                <w:szCs w:val="16"/>
              </w:rPr>
            </w:pPr>
            <w:bookmarkStart w:id="9" w:name="OLE_LINK12"/>
            <w:r w:rsidRPr="00D0180E">
              <w:rPr>
                <w:rFonts w:ascii="Verdana" w:hAnsi="Verdana"/>
                <w:b/>
                <w:sz w:val="16"/>
                <w:szCs w:val="16"/>
              </w:rPr>
              <w:t>Artículo 198.</w:t>
            </w:r>
            <w:r w:rsidRPr="00D0180E">
              <w:rPr>
                <w:rFonts w:ascii="Verdana" w:hAnsi="Verdana"/>
                <w:sz w:val="16"/>
                <w:szCs w:val="16"/>
              </w:rPr>
              <w:t xml:space="preserve"> Para efectos de lo previsto en el artículo 87 de la Ley, se entiende por suministro de energía, el aprovisionamiento de energía eléctrica de una Suministradora a una Usuaria Final con fines de carga de equipos de electromovilidad, en términos de las disposiciones administrativas de carácter general a que se refiere el artículo anterior.</w:t>
            </w:r>
            <w:bookmarkEnd w:id="9"/>
          </w:p>
        </w:tc>
        <w:tc>
          <w:tcPr>
            <w:tcW w:w="4644" w:type="dxa"/>
          </w:tcPr>
          <w:p w14:paraId="6303D84A" w14:textId="78279BDF" w:rsidR="003A38FF" w:rsidRPr="00D0180E" w:rsidRDefault="003A38FF" w:rsidP="003A38FF">
            <w:pPr>
              <w:pStyle w:val="Texto"/>
              <w:spacing w:line="224" w:lineRule="exact"/>
              <w:ind w:firstLine="0"/>
              <w:rPr>
                <w:rFonts w:ascii="Verdana" w:hAnsi="Verdana"/>
                <w:b/>
                <w:sz w:val="16"/>
                <w:szCs w:val="16"/>
                <w:lang w:val="en-US"/>
              </w:rPr>
            </w:pPr>
            <w:r w:rsidRPr="003C1294">
              <w:rPr>
                <w:rFonts w:ascii="Verdana" w:hAnsi="Verdana"/>
                <w:b/>
                <w:sz w:val="16"/>
                <w:szCs w:val="16"/>
                <w:lang w:val="en-US"/>
              </w:rPr>
              <w:t xml:space="preserve">Article 198. </w:t>
            </w:r>
            <w:r w:rsidRPr="003C1294">
              <w:rPr>
                <w:rFonts w:ascii="Verdana" w:hAnsi="Verdana"/>
                <w:sz w:val="16"/>
                <w:szCs w:val="16"/>
                <w:lang w:val="en-US"/>
              </w:rPr>
              <w:t xml:space="preserve">For the purposes of the provisions of Article 87 of the Law, energy supply is understood to be the provision of electrical energy from a supplier to an end user for the purpose of charging electromobility equipment, in terms of the general administrative provisions referred to in the </w:t>
            </w:r>
            <w:r>
              <w:rPr>
                <w:rFonts w:ascii="Verdana" w:hAnsi="Verdana"/>
                <w:sz w:val="16"/>
                <w:szCs w:val="16"/>
                <w:lang w:val="en-US"/>
              </w:rPr>
              <w:t>preceding article</w:t>
            </w:r>
            <w:r w:rsidRPr="003C1294">
              <w:rPr>
                <w:rFonts w:ascii="Verdana" w:hAnsi="Verdana"/>
                <w:sz w:val="16"/>
                <w:szCs w:val="16"/>
                <w:lang w:val="en-US"/>
              </w:rPr>
              <w:t>.</w:t>
            </w:r>
          </w:p>
        </w:tc>
      </w:tr>
      <w:tr w:rsidR="003A38FF" w:rsidRPr="00D83DA2" w14:paraId="4A5663A1" w14:textId="258D7431" w:rsidTr="00FB5DAD">
        <w:tc>
          <w:tcPr>
            <w:tcW w:w="4706" w:type="dxa"/>
          </w:tcPr>
          <w:p w14:paraId="6F166CBC"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b/>
                <w:sz w:val="16"/>
                <w:szCs w:val="16"/>
              </w:rPr>
              <w:t>Artículo 199.</w:t>
            </w:r>
            <w:r w:rsidRPr="00D0180E">
              <w:rPr>
                <w:rFonts w:ascii="Verdana" w:hAnsi="Verdana"/>
                <w:sz w:val="16"/>
                <w:szCs w:val="16"/>
              </w:rPr>
              <w:t xml:space="preserve"> La Secretaría puede establecer, en el ámbito de sus atribuciones, mecanismos de fomento, provisión y planeación de la infraestructura de carga eléctrica para vehículos eléctricos, en los que se priorice aquella destinada al transporte público masivo, así como mecanismos de coordinación interinstitucional que promuevan el uso de Energías Limpias y tecnologías de bajas emisiones en el transporte.</w:t>
            </w:r>
          </w:p>
        </w:tc>
        <w:tc>
          <w:tcPr>
            <w:tcW w:w="4644" w:type="dxa"/>
          </w:tcPr>
          <w:p w14:paraId="3EAF3618" w14:textId="6809275D" w:rsidR="003A38FF" w:rsidRPr="00D0180E" w:rsidRDefault="003A38FF" w:rsidP="003A38FF">
            <w:pPr>
              <w:pStyle w:val="Texto"/>
              <w:spacing w:line="224" w:lineRule="exact"/>
              <w:ind w:firstLine="0"/>
              <w:rPr>
                <w:rFonts w:ascii="Verdana" w:hAnsi="Verdana"/>
                <w:b/>
                <w:sz w:val="16"/>
                <w:szCs w:val="16"/>
                <w:lang w:val="en-US"/>
              </w:rPr>
            </w:pPr>
            <w:r w:rsidRPr="003C1294">
              <w:rPr>
                <w:rFonts w:ascii="Verdana" w:hAnsi="Verdana"/>
                <w:b/>
                <w:sz w:val="16"/>
                <w:szCs w:val="16"/>
                <w:lang w:val="en-US"/>
              </w:rPr>
              <w:t xml:space="preserve">Article 199. </w:t>
            </w:r>
            <w:r w:rsidRPr="003C1294">
              <w:rPr>
                <w:rFonts w:ascii="Verdana" w:hAnsi="Verdana"/>
                <w:sz w:val="16"/>
                <w:szCs w:val="16"/>
                <w:lang w:val="en-US"/>
              </w:rPr>
              <w:t>The Secretary may establish, within the scope of its powers, mechanisms for promoting, providing, and planning electric charging infrastructure for electric vehicles, prioritizing infrastructure for mass public transportation, as well as inter-institutional coordination mechanisms that promote the use of clean energy and low-emission technologies in transportation.</w:t>
            </w:r>
          </w:p>
        </w:tc>
      </w:tr>
      <w:tr w:rsidR="003A38FF" w:rsidRPr="00D83DA2" w14:paraId="7677F638" w14:textId="62BB1CB2" w:rsidTr="00FB5DAD">
        <w:tc>
          <w:tcPr>
            <w:tcW w:w="4706" w:type="dxa"/>
          </w:tcPr>
          <w:p w14:paraId="6F38F0BA"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Artículo 200.</w:t>
            </w:r>
            <w:r w:rsidRPr="00D0180E">
              <w:rPr>
                <w:rFonts w:ascii="Verdana" w:hAnsi="Verdana"/>
                <w:sz w:val="16"/>
                <w:szCs w:val="16"/>
              </w:rPr>
              <w:t xml:space="preserve"> El despliegue de infraestructura de carga debe alinearse con los instrumentos de planeación vinculante establecidos en la Ley, la Ley de Planeación y Transición Energética y su reglamento, así como considerar las zonas prioritarias, los nodos estratégicos y los criterios técnicos definidos por la Secretaría, en coordinación con el CENACE. Asimismo, la Secretaría debe promover, en coordinación con los distintos niveles de gobierno, la planificación y el despliegue ordenado de redes de infraestructura de carga pública que considere criterios de eficiencia energética, Sostenibilidad y Justicia Energética.</w:t>
            </w:r>
          </w:p>
        </w:tc>
        <w:tc>
          <w:tcPr>
            <w:tcW w:w="4644" w:type="dxa"/>
          </w:tcPr>
          <w:p w14:paraId="3F48BAAC" w14:textId="535624DF" w:rsidR="003A38FF" w:rsidRPr="00D0180E" w:rsidRDefault="003A38FF" w:rsidP="003A38FF">
            <w:pPr>
              <w:pStyle w:val="Texto"/>
              <w:ind w:firstLine="0"/>
              <w:rPr>
                <w:rFonts w:ascii="Verdana" w:hAnsi="Verdana"/>
                <w:b/>
                <w:sz w:val="16"/>
                <w:szCs w:val="16"/>
                <w:lang w:val="en-US"/>
              </w:rPr>
            </w:pPr>
            <w:r w:rsidRPr="003C1294">
              <w:rPr>
                <w:rFonts w:ascii="Verdana" w:hAnsi="Verdana"/>
                <w:b/>
                <w:sz w:val="16"/>
                <w:szCs w:val="16"/>
                <w:lang w:val="en-US"/>
              </w:rPr>
              <w:t xml:space="preserve">Article 200. </w:t>
            </w:r>
            <w:r w:rsidRPr="003C1294">
              <w:rPr>
                <w:rFonts w:ascii="Verdana" w:hAnsi="Verdana"/>
                <w:sz w:val="16"/>
                <w:szCs w:val="16"/>
                <w:lang w:val="en-US"/>
              </w:rPr>
              <w:t xml:space="preserve">The deployment of charging infrastructure must be aligned with the binding planning instruments established in the Law, the </w:t>
            </w:r>
            <w:r>
              <w:rPr>
                <w:rFonts w:ascii="Verdana" w:hAnsi="Verdana"/>
                <w:sz w:val="16"/>
                <w:szCs w:val="16"/>
                <w:lang w:val="en-US"/>
              </w:rPr>
              <w:t>Law of Energy Planning and Transition</w:t>
            </w:r>
            <w:r w:rsidRPr="003C1294">
              <w:rPr>
                <w:rFonts w:ascii="Verdana" w:hAnsi="Verdana"/>
                <w:sz w:val="16"/>
                <w:szCs w:val="16"/>
                <w:lang w:val="en-US"/>
              </w:rPr>
              <w:t xml:space="preserve">, and its Regulation, as well as consider the priority zones, strategic nodes, and technical criteria defined by the Secretary, in coordination with CENACE. </w:t>
            </w:r>
            <w:r>
              <w:rPr>
                <w:rFonts w:ascii="Verdana" w:hAnsi="Verdana"/>
                <w:sz w:val="16"/>
                <w:szCs w:val="16"/>
                <w:lang w:val="en-US"/>
              </w:rPr>
              <w:t>In addition</w:t>
            </w:r>
            <w:r w:rsidRPr="003C1294">
              <w:rPr>
                <w:rFonts w:ascii="Verdana" w:hAnsi="Verdana"/>
                <w:sz w:val="16"/>
                <w:szCs w:val="16"/>
                <w:lang w:val="en-US"/>
              </w:rPr>
              <w:t>, the Secretary must promote, in coordination with the various levels of government, the planning and orderly deployment of public charging infrastructure networks that consider energy efficiency, sustainability, and energy justice criteria.</w:t>
            </w:r>
          </w:p>
        </w:tc>
      </w:tr>
      <w:tr w:rsidR="003A38FF" w:rsidRPr="00D0180E" w14:paraId="3CB2D06F" w14:textId="642E2270" w:rsidTr="00FB5DAD">
        <w:tc>
          <w:tcPr>
            <w:tcW w:w="4706" w:type="dxa"/>
          </w:tcPr>
          <w:p w14:paraId="732DBCD9" w14:textId="77777777" w:rsidR="003A38FF" w:rsidRPr="00D0180E" w:rsidRDefault="003A38FF" w:rsidP="003A38FF">
            <w:pPr>
              <w:pStyle w:val="Texto"/>
              <w:ind w:firstLine="0"/>
              <w:jc w:val="center"/>
              <w:rPr>
                <w:rFonts w:ascii="Verdana" w:hAnsi="Verdana"/>
                <w:b/>
                <w:sz w:val="16"/>
                <w:szCs w:val="16"/>
              </w:rPr>
            </w:pPr>
            <w:r w:rsidRPr="00D0180E">
              <w:rPr>
                <w:rFonts w:ascii="Verdana" w:hAnsi="Verdana"/>
                <w:b/>
                <w:sz w:val="16"/>
                <w:szCs w:val="16"/>
              </w:rPr>
              <w:t>TÍTULO SEXTO</w:t>
            </w:r>
          </w:p>
        </w:tc>
        <w:tc>
          <w:tcPr>
            <w:tcW w:w="4644" w:type="dxa"/>
          </w:tcPr>
          <w:p w14:paraId="58EC073D" w14:textId="3894DFE6" w:rsidR="003A38FF" w:rsidRPr="00D0180E" w:rsidRDefault="003A38FF" w:rsidP="003A38FF">
            <w:pPr>
              <w:pStyle w:val="Texto"/>
              <w:ind w:firstLine="0"/>
              <w:jc w:val="center"/>
              <w:rPr>
                <w:rFonts w:ascii="Verdana" w:hAnsi="Verdana"/>
                <w:b/>
                <w:sz w:val="16"/>
                <w:szCs w:val="16"/>
                <w:lang w:val="en-US"/>
              </w:rPr>
            </w:pPr>
            <w:r>
              <w:rPr>
                <w:rFonts w:ascii="Verdana" w:hAnsi="Verdana"/>
                <w:b/>
                <w:sz w:val="16"/>
                <w:szCs w:val="16"/>
              </w:rPr>
              <w:t>SIXTH TITLE</w:t>
            </w:r>
          </w:p>
        </w:tc>
      </w:tr>
      <w:tr w:rsidR="003A38FF" w:rsidRPr="00D83DA2" w14:paraId="3314E2B0" w14:textId="71DEA638" w:rsidTr="00FB5DAD">
        <w:tc>
          <w:tcPr>
            <w:tcW w:w="4706" w:type="dxa"/>
          </w:tcPr>
          <w:p w14:paraId="32F3190D" w14:textId="77777777" w:rsidR="003A38FF" w:rsidRPr="00D0180E" w:rsidRDefault="003A38FF" w:rsidP="003A38FF">
            <w:pPr>
              <w:pStyle w:val="Texto"/>
              <w:ind w:firstLine="0"/>
              <w:jc w:val="center"/>
              <w:rPr>
                <w:rFonts w:ascii="Verdana" w:hAnsi="Verdana"/>
                <w:b/>
                <w:sz w:val="16"/>
                <w:szCs w:val="16"/>
              </w:rPr>
            </w:pPr>
            <w:r w:rsidRPr="00D0180E">
              <w:rPr>
                <w:rFonts w:ascii="Verdana" w:hAnsi="Verdana"/>
                <w:b/>
                <w:sz w:val="16"/>
                <w:szCs w:val="16"/>
              </w:rPr>
              <w:t>DE LA MANIFESTACIÓN DE IMPACTO SOCIAL DEL SECTOR ENERGÉTICO Y LA CONSULTA PREVIA</w:t>
            </w:r>
          </w:p>
        </w:tc>
        <w:tc>
          <w:tcPr>
            <w:tcW w:w="4644" w:type="dxa"/>
          </w:tcPr>
          <w:p w14:paraId="059BA43D" w14:textId="4875EF09" w:rsidR="003A38FF" w:rsidRPr="00D0180E" w:rsidRDefault="003A38FF" w:rsidP="003A38FF">
            <w:pPr>
              <w:pStyle w:val="Texto"/>
              <w:ind w:firstLine="0"/>
              <w:jc w:val="center"/>
              <w:rPr>
                <w:rFonts w:ascii="Verdana" w:hAnsi="Verdana"/>
                <w:b/>
                <w:sz w:val="16"/>
                <w:szCs w:val="16"/>
                <w:lang w:val="en-US"/>
              </w:rPr>
            </w:pPr>
            <w:r w:rsidRPr="003C1294">
              <w:rPr>
                <w:rFonts w:ascii="Verdana" w:hAnsi="Verdana"/>
                <w:b/>
                <w:sz w:val="16"/>
                <w:szCs w:val="16"/>
                <w:lang w:val="en-US"/>
              </w:rPr>
              <w:t>SOCIAL IMPACT</w:t>
            </w:r>
            <w:r>
              <w:rPr>
                <w:rFonts w:ascii="Verdana" w:hAnsi="Verdana"/>
                <w:b/>
                <w:sz w:val="16"/>
                <w:szCs w:val="16"/>
                <w:lang w:val="en-US"/>
              </w:rPr>
              <w:t xml:space="preserve"> STATEMENT</w:t>
            </w:r>
            <w:r w:rsidRPr="003C1294">
              <w:rPr>
                <w:rFonts w:ascii="Verdana" w:hAnsi="Verdana"/>
                <w:b/>
                <w:sz w:val="16"/>
                <w:szCs w:val="16"/>
                <w:lang w:val="en-US"/>
              </w:rPr>
              <w:t xml:space="preserve"> OF THE ENERGY SECTOR AND PRIOR CONSULTATION</w:t>
            </w:r>
          </w:p>
        </w:tc>
      </w:tr>
      <w:tr w:rsidR="003A38FF" w:rsidRPr="00D0180E" w14:paraId="6C512B4B" w14:textId="3EF86F3C" w:rsidTr="00FB5DAD">
        <w:tc>
          <w:tcPr>
            <w:tcW w:w="4706" w:type="dxa"/>
          </w:tcPr>
          <w:p w14:paraId="4349410B" w14:textId="77777777" w:rsidR="003A38FF" w:rsidRPr="00D0180E" w:rsidRDefault="003A38FF" w:rsidP="003A38FF">
            <w:pPr>
              <w:pStyle w:val="Texto"/>
              <w:ind w:firstLine="0"/>
              <w:jc w:val="center"/>
              <w:rPr>
                <w:rFonts w:ascii="Verdana" w:hAnsi="Verdana"/>
                <w:b/>
                <w:sz w:val="16"/>
                <w:szCs w:val="16"/>
              </w:rPr>
            </w:pPr>
            <w:r w:rsidRPr="00D0180E">
              <w:rPr>
                <w:rFonts w:ascii="Verdana" w:hAnsi="Verdana"/>
                <w:b/>
                <w:sz w:val="16"/>
                <w:szCs w:val="16"/>
              </w:rPr>
              <w:t>Capítulo I</w:t>
            </w:r>
          </w:p>
        </w:tc>
        <w:tc>
          <w:tcPr>
            <w:tcW w:w="4644" w:type="dxa"/>
          </w:tcPr>
          <w:p w14:paraId="5BD017AD" w14:textId="48C8B025" w:rsidR="003A38FF" w:rsidRPr="00D0180E" w:rsidRDefault="003A38FF" w:rsidP="003A38FF">
            <w:pPr>
              <w:pStyle w:val="Texto"/>
              <w:ind w:firstLine="0"/>
              <w:jc w:val="center"/>
              <w:rPr>
                <w:rFonts w:ascii="Verdana" w:hAnsi="Verdana"/>
                <w:b/>
                <w:sz w:val="16"/>
                <w:szCs w:val="16"/>
                <w:lang w:val="en-US"/>
              </w:rPr>
            </w:pPr>
            <w:r w:rsidRPr="00D0180E">
              <w:rPr>
                <w:rFonts w:ascii="Verdana" w:hAnsi="Verdana"/>
                <w:b/>
                <w:sz w:val="16"/>
                <w:szCs w:val="16"/>
              </w:rPr>
              <w:t>Chapter I</w:t>
            </w:r>
          </w:p>
        </w:tc>
      </w:tr>
      <w:tr w:rsidR="003A38FF" w:rsidRPr="00D83DA2" w14:paraId="188E03DF" w14:textId="5929419B" w:rsidTr="00FB5DAD">
        <w:tc>
          <w:tcPr>
            <w:tcW w:w="4706" w:type="dxa"/>
          </w:tcPr>
          <w:p w14:paraId="00F6D675" w14:textId="77777777" w:rsidR="003A38FF" w:rsidRPr="00D0180E" w:rsidRDefault="003A38FF" w:rsidP="003A38FF">
            <w:pPr>
              <w:pStyle w:val="Texto"/>
              <w:ind w:firstLine="0"/>
              <w:jc w:val="center"/>
              <w:rPr>
                <w:rFonts w:ascii="Verdana" w:hAnsi="Verdana"/>
                <w:b/>
                <w:sz w:val="16"/>
                <w:szCs w:val="16"/>
              </w:rPr>
            </w:pPr>
            <w:r w:rsidRPr="00D0180E">
              <w:rPr>
                <w:rFonts w:ascii="Verdana" w:hAnsi="Verdana"/>
                <w:b/>
                <w:sz w:val="16"/>
                <w:szCs w:val="16"/>
              </w:rPr>
              <w:t>De la Manifestación de Impacto Social del Sector Energético</w:t>
            </w:r>
          </w:p>
        </w:tc>
        <w:tc>
          <w:tcPr>
            <w:tcW w:w="4644" w:type="dxa"/>
          </w:tcPr>
          <w:p w14:paraId="1EC6B785" w14:textId="6091CDF0" w:rsidR="003A38FF" w:rsidRPr="00D0180E" w:rsidRDefault="003A38FF" w:rsidP="003A38FF">
            <w:pPr>
              <w:pStyle w:val="Texto"/>
              <w:ind w:firstLine="0"/>
              <w:jc w:val="center"/>
              <w:rPr>
                <w:rFonts w:ascii="Verdana" w:hAnsi="Verdana"/>
                <w:b/>
                <w:sz w:val="16"/>
                <w:szCs w:val="16"/>
                <w:lang w:val="en-US"/>
              </w:rPr>
            </w:pPr>
            <w:r w:rsidRPr="003C1294">
              <w:rPr>
                <w:rFonts w:ascii="Verdana" w:hAnsi="Verdana"/>
                <w:b/>
                <w:sz w:val="16"/>
                <w:szCs w:val="16"/>
                <w:lang w:val="en-US"/>
              </w:rPr>
              <w:t>Social Impact Statement of the Energy Sector</w:t>
            </w:r>
          </w:p>
        </w:tc>
      </w:tr>
      <w:tr w:rsidR="003A38FF" w:rsidRPr="00D83DA2" w14:paraId="346FC705" w14:textId="487B257C" w:rsidTr="00FB5DAD">
        <w:tc>
          <w:tcPr>
            <w:tcW w:w="4706" w:type="dxa"/>
          </w:tcPr>
          <w:p w14:paraId="1B3752CA"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Artículo 201.</w:t>
            </w:r>
            <w:r w:rsidRPr="00D0180E">
              <w:rPr>
                <w:rFonts w:ascii="Verdana" w:hAnsi="Verdana"/>
                <w:sz w:val="16"/>
                <w:szCs w:val="16"/>
              </w:rPr>
              <w:t xml:space="preserve"> Deben presentar para autorización de la Secretaría, la Manifestación de Impacto Social del Sector Energético a que se refiere el artículo 136 de la Ley, la Empresa Pública del Estado y las personas interesadas en desarrollar proyectos del sector eléctrico sujetos a autorización o permiso en términos de la Ley y el presente reglamento, así como de las disposiciones administrativas de carácter general que en materia de impacto social emita la Secretaría.</w:t>
            </w:r>
          </w:p>
        </w:tc>
        <w:tc>
          <w:tcPr>
            <w:tcW w:w="4644" w:type="dxa"/>
          </w:tcPr>
          <w:p w14:paraId="3759DA6B" w14:textId="4ACC5D79" w:rsidR="003A38FF" w:rsidRPr="00D0180E" w:rsidRDefault="003A38FF" w:rsidP="003A38FF">
            <w:pPr>
              <w:pStyle w:val="Texto"/>
              <w:ind w:firstLine="0"/>
              <w:rPr>
                <w:rFonts w:ascii="Verdana" w:hAnsi="Verdana"/>
                <w:b/>
                <w:sz w:val="16"/>
                <w:szCs w:val="16"/>
                <w:lang w:val="en-US"/>
              </w:rPr>
            </w:pPr>
            <w:r w:rsidRPr="003C1294">
              <w:rPr>
                <w:rFonts w:ascii="Verdana" w:hAnsi="Verdana"/>
                <w:b/>
                <w:sz w:val="16"/>
                <w:szCs w:val="16"/>
                <w:lang w:val="en-US"/>
              </w:rPr>
              <w:t xml:space="preserve">Article 201. </w:t>
            </w:r>
            <w:r w:rsidRPr="003C1294">
              <w:rPr>
                <w:rFonts w:ascii="Verdana" w:hAnsi="Verdana"/>
                <w:sz w:val="16"/>
                <w:szCs w:val="16"/>
                <w:lang w:val="en-US"/>
              </w:rPr>
              <w:t>The State-owned company and persons interested in developing electricity sector projects subject to authorization or permit in terms of the Law and this Regulation, as well as the general administrative provisions issued by the Secretary regarding social impact, must submit for authorization to the Secretary the Social Impact Statement for the Energy Sector referred to in Article 136 of the Law.</w:t>
            </w:r>
          </w:p>
        </w:tc>
      </w:tr>
      <w:tr w:rsidR="003A38FF" w:rsidRPr="00D83DA2" w14:paraId="1AD8EC8B" w14:textId="0D1D0295" w:rsidTr="00FB5DAD">
        <w:tc>
          <w:tcPr>
            <w:tcW w:w="4706" w:type="dxa"/>
          </w:tcPr>
          <w:p w14:paraId="3F32CC6B" w14:textId="77777777" w:rsidR="003A38FF" w:rsidRPr="00D0180E" w:rsidRDefault="003A38FF" w:rsidP="003A38FF">
            <w:pPr>
              <w:pStyle w:val="Texto"/>
              <w:ind w:firstLine="0"/>
              <w:rPr>
                <w:rFonts w:ascii="Verdana" w:hAnsi="Verdana"/>
                <w:sz w:val="16"/>
                <w:szCs w:val="16"/>
              </w:rPr>
            </w:pPr>
            <w:r w:rsidRPr="00D0180E">
              <w:rPr>
                <w:rFonts w:ascii="Verdana" w:hAnsi="Verdana"/>
                <w:sz w:val="16"/>
                <w:szCs w:val="16"/>
              </w:rPr>
              <w:t>Las disposiciones administrativas de carácter general deben señalar los formatos, requisitos y características que, además de las previstas en el artículo 136 de la Ley, deben contener las Manifestaciones de Impacto Social del Sector Energético, así como las modalidades en las que se puede presentar.</w:t>
            </w:r>
          </w:p>
        </w:tc>
        <w:tc>
          <w:tcPr>
            <w:tcW w:w="4644" w:type="dxa"/>
          </w:tcPr>
          <w:p w14:paraId="2CF8BB16" w14:textId="1D374E75" w:rsidR="003A38FF" w:rsidRPr="00D0180E" w:rsidRDefault="003A38FF" w:rsidP="003A38FF">
            <w:pPr>
              <w:pStyle w:val="Texto"/>
              <w:ind w:firstLine="0"/>
              <w:rPr>
                <w:rFonts w:ascii="Verdana" w:hAnsi="Verdana"/>
                <w:sz w:val="16"/>
                <w:szCs w:val="16"/>
                <w:lang w:val="en-US"/>
              </w:rPr>
            </w:pPr>
            <w:r w:rsidRPr="003C1294">
              <w:rPr>
                <w:rFonts w:ascii="Verdana" w:hAnsi="Verdana"/>
                <w:sz w:val="16"/>
                <w:szCs w:val="16"/>
                <w:lang w:val="en-US"/>
              </w:rPr>
              <w:t>General administrative provisions must specify the formats, requirements, and characteristics that, in addition to those provided for in Article 136 of the Law, must be included in the Energy Sector Social Impact Statements, as well as the methods in which they may be submitted.</w:t>
            </w:r>
          </w:p>
        </w:tc>
      </w:tr>
      <w:tr w:rsidR="003A38FF" w:rsidRPr="00D83DA2" w14:paraId="40590939" w14:textId="5D2E143B" w:rsidTr="00FB5DAD">
        <w:tc>
          <w:tcPr>
            <w:tcW w:w="4706" w:type="dxa"/>
          </w:tcPr>
          <w:p w14:paraId="0EF74D31"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lastRenderedPageBreak/>
              <w:t>Artículo 202.</w:t>
            </w:r>
            <w:r w:rsidRPr="00D0180E">
              <w:rPr>
                <w:rFonts w:ascii="Verdana" w:hAnsi="Verdana"/>
                <w:sz w:val="16"/>
                <w:szCs w:val="16"/>
              </w:rPr>
              <w:t xml:space="preserve"> La autorización definitiva de la Manifestación de Impacto Social del Sector Energético tiene validez, siempre y cuando el proyecto no sufra modificaciones sustanciales, entendiéndose por estas, uno o más de los siguientes casos:</w:t>
            </w:r>
          </w:p>
        </w:tc>
        <w:tc>
          <w:tcPr>
            <w:tcW w:w="4644" w:type="dxa"/>
          </w:tcPr>
          <w:p w14:paraId="4BCB0216" w14:textId="6DC9A875" w:rsidR="003A38FF" w:rsidRPr="00D0180E" w:rsidRDefault="003A38FF" w:rsidP="003A38FF">
            <w:pPr>
              <w:pStyle w:val="Texto"/>
              <w:ind w:firstLine="0"/>
              <w:rPr>
                <w:rFonts w:ascii="Verdana" w:hAnsi="Verdana"/>
                <w:b/>
                <w:sz w:val="16"/>
                <w:szCs w:val="16"/>
                <w:lang w:val="en-US"/>
              </w:rPr>
            </w:pPr>
            <w:r w:rsidRPr="003C1294">
              <w:rPr>
                <w:rFonts w:ascii="Verdana" w:hAnsi="Verdana"/>
                <w:b/>
                <w:sz w:val="16"/>
                <w:szCs w:val="16"/>
                <w:lang w:val="en-US"/>
              </w:rPr>
              <w:t xml:space="preserve">Article 202. </w:t>
            </w:r>
            <w:r w:rsidRPr="003C1294">
              <w:rPr>
                <w:rFonts w:ascii="Verdana" w:hAnsi="Verdana"/>
                <w:sz w:val="16"/>
                <w:szCs w:val="16"/>
                <w:lang w:val="en-US"/>
              </w:rPr>
              <w:t>The final authorization of the Social Impact Statement for the Energy Sector is valid, provided that the project does not undergo substantial modifications, meaning one or more of the following cases:</w:t>
            </w:r>
          </w:p>
        </w:tc>
      </w:tr>
      <w:tr w:rsidR="003A38FF" w:rsidRPr="00D83DA2" w14:paraId="1601A068" w14:textId="461BD9FD" w:rsidTr="00FB5DAD">
        <w:tc>
          <w:tcPr>
            <w:tcW w:w="4706" w:type="dxa"/>
          </w:tcPr>
          <w:p w14:paraId="32C3A0EE"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Cambio en la ubicación o el área de influencia que implique la identificación de nuevas localidades, o comunidades y pueblos;</w:t>
            </w:r>
          </w:p>
        </w:tc>
        <w:tc>
          <w:tcPr>
            <w:tcW w:w="4644" w:type="dxa"/>
          </w:tcPr>
          <w:p w14:paraId="35868A24" w14:textId="6C50750E" w:rsidR="003A38FF" w:rsidRPr="00D0180E" w:rsidRDefault="003A38FF" w:rsidP="003A38FF">
            <w:pPr>
              <w:pStyle w:val="Texto"/>
              <w:ind w:firstLine="0"/>
              <w:rPr>
                <w:rFonts w:ascii="Verdana" w:hAnsi="Verdana"/>
                <w:b/>
                <w:sz w:val="16"/>
                <w:szCs w:val="16"/>
                <w:lang w:val="en-US"/>
              </w:rPr>
            </w:pPr>
            <w:r w:rsidRPr="003C1294">
              <w:rPr>
                <w:rFonts w:ascii="Verdana" w:hAnsi="Verdana"/>
                <w:b/>
                <w:sz w:val="16"/>
                <w:szCs w:val="16"/>
                <w:lang w:val="en-US"/>
              </w:rPr>
              <w:t>I</w:t>
            </w:r>
            <w:proofErr w:type="gramStart"/>
            <w:r w:rsidRPr="003C1294">
              <w:rPr>
                <w:rFonts w:ascii="Verdana" w:hAnsi="Verdana"/>
                <w:b/>
                <w:sz w:val="16"/>
                <w:szCs w:val="16"/>
                <w:lang w:val="en-US"/>
              </w:rPr>
              <w:t xml:space="preserve">. </w:t>
            </w:r>
            <w:r w:rsidRPr="003C1294">
              <w:rPr>
                <w:rFonts w:ascii="Verdana" w:hAnsi="Verdana"/>
                <w:b/>
                <w:sz w:val="16"/>
                <w:szCs w:val="16"/>
                <w:lang w:val="en-US"/>
              </w:rPr>
              <w:tab/>
            </w:r>
            <w:r w:rsidRPr="003C1294">
              <w:rPr>
                <w:rFonts w:ascii="Verdana" w:hAnsi="Verdana"/>
                <w:sz w:val="16"/>
                <w:szCs w:val="16"/>
                <w:lang w:val="en-US"/>
              </w:rPr>
              <w:t>Change</w:t>
            </w:r>
            <w:proofErr w:type="gramEnd"/>
            <w:r w:rsidRPr="003C1294">
              <w:rPr>
                <w:rFonts w:ascii="Verdana" w:hAnsi="Verdana"/>
                <w:sz w:val="16"/>
                <w:szCs w:val="16"/>
                <w:lang w:val="en-US"/>
              </w:rPr>
              <w:t xml:space="preserve"> in location or area of influence that involves the identification of new localities, or communities and towns;</w:t>
            </w:r>
          </w:p>
        </w:tc>
      </w:tr>
      <w:tr w:rsidR="003A38FF" w:rsidRPr="00D83DA2" w14:paraId="0390E405" w14:textId="056E48A5" w:rsidTr="00FB5DAD">
        <w:tc>
          <w:tcPr>
            <w:tcW w:w="4706" w:type="dxa"/>
          </w:tcPr>
          <w:p w14:paraId="5773765E"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Cambio en el proyecto que implique Impactos Sociales adicionales, y</w:t>
            </w:r>
          </w:p>
        </w:tc>
        <w:tc>
          <w:tcPr>
            <w:tcW w:w="4644" w:type="dxa"/>
          </w:tcPr>
          <w:p w14:paraId="72E592F1" w14:textId="65A7914B" w:rsidR="003A38FF" w:rsidRPr="00D0180E" w:rsidRDefault="003A38FF" w:rsidP="003A38FF">
            <w:pPr>
              <w:pStyle w:val="Texto"/>
              <w:ind w:firstLine="0"/>
              <w:rPr>
                <w:rFonts w:ascii="Verdana" w:hAnsi="Verdana"/>
                <w:b/>
                <w:sz w:val="16"/>
                <w:szCs w:val="16"/>
                <w:lang w:val="en-US"/>
              </w:rPr>
            </w:pPr>
            <w:r w:rsidRPr="003C1294">
              <w:rPr>
                <w:rFonts w:ascii="Verdana" w:hAnsi="Verdana"/>
                <w:b/>
                <w:sz w:val="16"/>
                <w:szCs w:val="16"/>
                <w:lang w:val="en-US"/>
              </w:rPr>
              <w:t>II</w:t>
            </w:r>
            <w:proofErr w:type="gramStart"/>
            <w:r w:rsidRPr="003C1294">
              <w:rPr>
                <w:rFonts w:ascii="Verdana" w:hAnsi="Verdana"/>
                <w:b/>
                <w:sz w:val="16"/>
                <w:szCs w:val="16"/>
                <w:lang w:val="en-US"/>
              </w:rPr>
              <w:t xml:space="preserve">. </w:t>
            </w:r>
            <w:r w:rsidRPr="003C1294">
              <w:rPr>
                <w:rFonts w:ascii="Verdana" w:hAnsi="Verdana"/>
                <w:b/>
                <w:sz w:val="16"/>
                <w:szCs w:val="16"/>
                <w:lang w:val="en-US"/>
              </w:rPr>
              <w:tab/>
            </w:r>
            <w:r w:rsidRPr="003C1294">
              <w:rPr>
                <w:rFonts w:ascii="Verdana" w:hAnsi="Verdana"/>
                <w:sz w:val="16"/>
                <w:szCs w:val="16"/>
                <w:lang w:val="en-US"/>
              </w:rPr>
              <w:t>Change</w:t>
            </w:r>
            <w:proofErr w:type="gramEnd"/>
            <w:r w:rsidRPr="003C1294">
              <w:rPr>
                <w:rFonts w:ascii="Verdana" w:hAnsi="Verdana"/>
                <w:sz w:val="16"/>
                <w:szCs w:val="16"/>
                <w:lang w:val="en-US"/>
              </w:rPr>
              <w:t xml:space="preserve"> in the project that implies additional Social Impacts, and</w:t>
            </w:r>
          </w:p>
        </w:tc>
      </w:tr>
      <w:tr w:rsidR="003A38FF" w:rsidRPr="00D83DA2" w14:paraId="503AAD5F" w14:textId="6C431FCF" w:rsidTr="00FB5DAD">
        <w:tc>
          <w:tcPr>
            <w:tcW w:w="4706" w:type="dxa"/>
          </w:tcPr>
          <w:p w14:paraId="68884E8F"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Cualquier otra que se determine por la Secretaría en las disposiciones administrativas de carácter general en materia de impacto social.</w:t>
            </w:r>
          </w:p>
        </w:tc>
        <w:tc>
          <w:tcPr>
            <w:tcW w:w="4644" w:type="dxa"/>
          </w:tcPr>
          <w:p w14:paraId="66283691" w14:textId="7B705476" w:rsidR="003A38FF" w:rsidRPr="00D0180E" w:rsidRDefault="003A38FF" w:rsidP="003A38FF">
            <w:pPr>
              <w:pStyle w:val="Texto"/>
              <w:ind w:firstLine="0"/>
              <w:rPr>
                <w:rFonts w:ascii="Verdana" w:hAnsi="Verdana"/>
                <w:b/>
                <w:sz w:val="16"/>
                <w:szCs w:val="16"/>
                <w:lang w:val="en-US"/>
              </w:rPr>
            </w:pPr>
            <w:r w:rsidRPr="003C1294">
              <w:rPr>
                <w:rFonts w:ascii="Verdana" w:hAnsi="Verdana"/>
                <w:b/>
                <w:sz w:val="16"/>
                <w:szCs w:val="16"/>
                <w:lang w:val="en-US"/>
              </w:rPr>
              <w:t>III</w:t>
            </w:r>
            <w:proofErr w:type="gramStart"/>
            <w:r w:rsidRPr="003C1294">
              <w:rPr>
                <w:rFonts w:ascii="Verdana" w:hAnsi="Verdana"/>
                <w:b/>
                <w:sz w:val="16"/>
                <w:szCs w:val="16"/>
                <w:lang w:val="en-US"/>
              </w:rPr>
              <w:t xml:space="preserve">. </w:t>
            </w:r>
            <w:r w:rsidRPr="003C1294">
              <w:rPr>
                <w:rFonts w:ascii="Verdana" w:hAnsi="Verdana"/>
                <w:b/>
                <w:sz w:val="16"/>
                <w:szCs w:val="16"/>
                <w:lang w:val="en-US"/>
              </w:rPr>
              <w:tab/>
            </w:r>
            <w:r w:rsidRPr="003C1294">
              <w:rPr>
                <w:rFonts w:ascii="Verdana" w:hAnsi="Verdana"/>
                <w:sz w:val="16"/>
                <w:szCs w:val="16"/>
                <w:lang w:val="en-US"/>
              </w:rPr>
              <w:t>Any</w:t>
            </w:r>
            <w:proofErr w:type="gramEnd"/>
            <w:r w:rsidRPr="003C1294">
              <w:rPr>
                <w:rFonts w:ascii="Verdana" w:hAnsi="Verdana"/>
                <w:sz w:val="16"/>
                <w:szCs w:val="16"/>
                <w:lang w:val="en-US"/>
              </w:rPr>
              <w:t xml:space="preserve"> other measure determined by the Secretary in the general administrative provisions on social impact.</w:t>
            </w:r>
          </w:p>
        </w:tc>
      </w:tr>
      <w:tr w:rsidR="003A38FF" w:rsidRPr="00D83DA2" w14:paraId="5F449BBB" w14:textId="2FC247F2" w:rsidTr="00FB5DAD">
        <w:tc>
          <w:tcPr>
            <w:tcW w:w="4706" w:type="dxa"/>
          </w:tcPr>
          <w:p w14:paraId="761A0527"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Artículo 203.</w:t>
            </w:r>
            <w:r w:rsidRPr="00D0180E">
              <w:rPr>
                <w:rFonts w:ascii="Verdana" w:hAnsi="Verdana"/>
                <w:sz w:val="16"/>
                <w:szCs w:val="16"/>
              </w:rPr>
              <w:t xml:space="preserve"> Además de las excepciones de la presentación de las solicitudes de autorización señaladas en el artículo 137 de la Ley y 54 del presente reglamento, no se requiere presentar la Manifestación de Impacto Social del Sector Energético, en los casos siguientes:</w:t>
            </w:r>
          </w:p>
        </w:tc>
        <w:tc>
          <w:tcPr>
            <w:tcW w:w="4644" w:type="dxa"/>
          </w:tcPr>
          <w:p w14:paraId="4B4EDEA3" w14:textId="418C8FF7" w:rsidR="003A38FF" w:rsidRPr="00D0180E" w:rsidRDefault="003A38FF" w:rsidP="003A38FF">
            <w:pPr>
              <w:pStyle w:val="Texto"/>
              <w:ind w:firstLine="0"/>
              <w:rPr>
                <w:rFonts w:ascii="Verdana" w:hAnsi="Verdana"/>
                <w:b/>
                <w:sz w:val="16"/>
                <w:szCs w:val="16"/>
                <w:lang w:val="en-US"/>
              </w:rPr>
            </w:pPr>
            <w:r w:rsidRPr="003C1294">
              <w:rPr>
                <w:rFonts w:ascii="Verdana" w:hAnsi="Verdana"/>
                <w:b/>
                <w:sz w:val="16"/>
                <w:szCs w:val="16"/>
                <w:lang w:val="en-US"/>
              </w:rPr>
              <w:t xml:space="preserve">Article 203. </w:t>
            </w:r>
            <w:r w:rsidRPr="003C1294">
              <w:rPr>
                <w:rFonts w:ascii="Verdana" w:hAnsi="Verdana"/>
                <w:sz w:val="16"/>
                <w:szCs w:val="16"/>
                <w:lang w:val="en-US"/>
              </w:rPr>
              <w:t>In addition to the exceptions to the submission of authorization applications indicated in Article 137 of the Law and 54 of this regulation, it is not required to submit the Social Impact Statement of the Energy Sector in the following cases:</w:t>
            </w:r>
          </w:p>
        </w:tc>
      </w:tr>
      <w:tr w:rsidR="003A38FF" w:rsidRPr="00D83DA2" w14:paraId="269D433C" w14:textId="2BBFF73F" w:rsidTr="00FB5DAD">
        <w:tc>
          <w:tcPr>
            <w:tcW w:w="4706" w:type="dxa"/>
          </w:tcPr>
          <w:p w14:paraId="66174ACB"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La generación de energía eléctrica que no requiera permiso en los términos de lo establecido en el artículo 19 de la Ley;</w:t>
            </w:r>
          </w:p>
        </w:tc>
        <w:tc>
          <w:tcPr>
            <w:tcW w:w="4644" w:type="dxa"/>
          </w:tcPr>
          <w:p w14:paraId="7E7CF22A" w14:textId="487BE09B" w:rsidR="003A38FF" w:rsidRPr="00D0180E" w:rsidRDefault="003A38FF" w:rsidP="003A38FF">
            <w:pPr>
              <w:pStyle w:val="Texto"/>
              <w:ind w:firstLine="0"/>
              <w:rPr>
                <w:rFonts w:ascii="Verdana" w:hAnsi="Verdana"/>
                <w:b/>
                <w:sz w:val="16"/>
                <w:szCs w:val="16"/>
                <w:lang w:val="en-US"/>
              </w:rPr>
            </w:pPr>
            <w:r w:rsidRPr="003C1294">
              <w:rPr>
                <w:rFonts w:ascii="Verdana" w:hAnsi="Verdana"/>
                <w:b/>
                <w:sz w:val="16"/>
                <w:szCs w:val="16"/>
                <w:lang w:val="en-US"/>
              </w:rPr>
              <w:t>I</w:t>
            </w:r>
            <w:proofErr w:type="gramStart"/>
            <w:r w:rsidRPr="003C1294">
              <w:rPr>
                <w:rFonts w:ascii="Verdana" w:hAnsi="Verdana"/>
                <w:b/>
                <w:sz w:val="16"/>
                <w:szCs w:val="16"/>
                <w:lang w:val="en-US"/>
              </w:rPr>
              <w:t xml:space="preserve">. </w:t>
            </w:r>
            <w:r w:rsidRPr="003C1294">
              <w:rPr>
                <w:rFonts w:ascii="Verdana" w:hAnsi="Verdana"/>
                <w:b/>
                <w:sz w:val="16"/>
                <w:szCs w:val="16"/>
                <w:lang w:val="en-US"/>
              </w:rPr>
              <w:tab/>
            </w:r>
            <w:r w:rsidRPr="003C1294">
              <w:rPr>
                <w:rFonts w:ascii="Verdana" w:hAnsi="Verdana"/>
                <w:sz w:val="16"/>
                <w:szCs w:val="16"/>
                <w:lang w:val="en-US"/>
              </w:rPr>
              <w:t>The</w:t>
            </w:r>
            <w:proofErr w:type="gramEnd"/>
            <w:r w:rsidRPr="003C1294">
              <w:rPr>
                <w:rFonts w:ascii="Verdana" w:hAnsi="Verdana"/>
                <w:sz w:val="16"/>
                <w:szCs w:val="16"/>
                <w:lang w:val="en-US"/>
              </w:rPr>
              <w:t xml:space="preserve"> generation of electrical energy that does not require a permit under the terms established in article 19 of the Law;</w:t>
            </w:r>
          </w:p>
        </w:tc>
      </w:tr>
      <w:tr w:rsidR="003A38FF" w:rsidRPr="00D83DA2" w14:paraId="17DB014E" w14:textId="1A634400" w:rsidTr="00FB5DAD">
        <w:tc>
          <w:tcPr>
            <w:tcW w:w="4706" w:type="dxa"/>
          </w:tcPr>
          <w:p w14:paraId="7A292771"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Las obras o actividades de mantenimiento, reconfiguración, recalibración, modernización, repotenciación, modificación, sustitución, rehabilitación, reparación o mejora de la infraestructura eléctrica del Servicio Público de Transmisión y Distribución de Energía Eléctrica y que se encuentren en operación;</w:t>
            </w:r>
          </w:p>
        </w:tc>
        <w:tc>
          <w:tcPr>
            <w:tcW w:w="4644" w:type="dxa"/>
          </w:tcPr>
          <w:p w14:paraId="6D346886" w14:textId="21FFBCC7" w:rsidR="003A38FF" w:rsidRPr="00D0180E" w:rsidRDefault="003A38FF" w:rsidP="003A38FF">
            <w:pPr>
              <w:pStyle w:val="Texto"/>
              <w:ind w:firstLine="0"/>
              <w:rPr>
                <w:rFonts w:ascii="Verdana" w:hAnsi="Verdana"/>
                <w:b/>
                <w:sz w:val="16"/>
                <w:szCs w:val="16"/>
                <w:lang w:val="en-US"/>
              </w:rPr>
            </w:pPr>
            <w:r w:rsidRPr="003C1294">
              <w:rPr>
                <w:rFonts w:ascii="Verdana" w:hAnsi="Verdana"/>
                <w:b/>
                <w:sz w:val="16"/>
                <w:szCs w:val="16"/>
                <w:lang w:val="en-US"/>
              </w:rPr>
              <w:t>II</w:t>
            </w:r>
            <w:proofErr w:type="gramStart"/>
            <w:r w:rsidRPr="003C1294">
              <w:rPr>
                <w:rFonts w:ascii="Verdana" w:hAnsi="Verdana"/>
                <w:b/>
                <w:sz w:val="16"/>
                <w:szCs w:val="16"/>
                <w:lang w:val="en-US"/>
              </w:rPr>
              <w:t xml:space="preserve">. </w:t>
            </w:r>
            <w:r w:rsidRPr="003C1294">
              <w:rPr>
                <w:rFonts w:ascii="Verdana" w:hAnsi="Verdana"/>
                <w:b/>
                <w:sz w:val="16"/>
                <w:szCs w:val="16"/>
                <w:lang w:val="en-US"/>
              </w:rPr>
              <w:tab/>
            </w:r>
            <w:r w:rsidRPr="003C1294">
              <w:rPr>
                <w:rFonts w:ascii="Verdana" w:hAnsi="Verdana"/>
                <w:sz w:val="16"/>
                <w:szCs w:val="16"/>
                <w:lang w:val="en-US"/>
              </w:rPr>
              <w:t>Works</w:t>
            </w:r>
            <w:proofErr w:type="gramEnd"/>
            <w:r w:rsidRPr="003C1294">
              <w:rPr>
                <w:rFonts w:ascii="Verdana" w:hAnsi="Verdana"/>
                <w:sz w:val="16"/>
                <w:szCs w:val="16"/>
                <w:lang w:val="en-US"/>
              </w:rPr>
              <w:t xml:space="preserve"> or activities of maintenance, reconfiguration, recalibration, modernization, repowering, modification, replacement, rehabilitation, repair or improvement of the electrical infrastructure of the public service of transmission and distribution of electric energy and that are in operation;</w:t>
            </w:r>
          </w:p>
        </w:tc>
      </w:tr>
      <w:tr w:rsidR="003A38FF" w:rsidRPr="00D83DA2" w14:paraId="3D2B290F" w14:textId="0E9AC32F" w:rsidTr="00FB5DAD">
        <w:tc>
          <w:tcPr>
            <w:tcW w:w="4706" w:type="dxa"/>
          </w:tcPr>
          <w:p w14:paraId="47CDCC80"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Las obras y actividades del servicio público de distribución de energía eléctrica consistente en ampliaciones de redes ya existentes y que no impliquen una longitud mayor a dos kilómetros;</w:t>
            </w:r>
          </w:p>
        </w:tc>
        <w:tc>
          <w:tcPr>
            <w:tcW w:w="4644" w:type="dxa"/>
          </w:tcPr>
          <w:p w14:paraId="623EA821" w14:textId="4DD19E1C" w:rsidR="003A38FF" w:rsidRPr="00D0180E" w:rsidRDefault="003A38FF" w:rsidP="003A38FF">
            <w:pPr>
              <w:pStyle w:val="Texto"/>
              <w:ind w:firstLine="0"/>
              <w:rPr>
                <w:rFonts w:ascii="Verdana" w:hAnsi="Verdana"/>
                <w:b/>
                <w:sz w:val="16"/>
                <w:szCs w:val="16"/>
                <w:lang w:val="en-US"/>
              </w:rPr>
            </w:pPr>
            <w:r w:rsidRPr="003C1294">
              <w:rPr>
                <w:rFonts w:ascii="Verdana" w:hAnsi="Verdana"/>
                <w:b/>
                <w:sz w:val="16"/>
                <w:szCs w:val="16"/>
                <w:lang w:val="en-US"/>
              </w:rPr>
              <w:t xml:space="preserve">III. </w:t>
            </w:r>
            <w:r w:rsidRPr="003C1294">
              <w:rPr>
                <w:rFonts w:ascii="Verdana" w:hAnsi="Verdana"/>
                <w:b/>
                <w:sz w:val="16"/>
                <w:szCs w:val="16"/>
                <w:lang w:val="en-US"/>
              </w:rPr>
              <w:tab/>
            </w:r>
            <w:r w:rsidRPr="003C1294">
              <w:rPr>
                <w:rFonts w:ascii="Verdana" w:hAnsi="Verdana"/>
                <w:sz w:val="16"/>
                <w:szCs w:val="16"/>
                <w:lang w:val="en-US"/>
              </w:rPr>
              <w:t>Works and activities of the public service of electric power distribution consisting of extensions of existing networks and which do not involve a length greater than two kilometers;</w:t>
            </w:r>
          </w:p>
        </w:tc>
      </w:tr>
      <w:tr w:rsidR="003A38FF" w:rsidRPr="00D83DA2" w14:paraId="29C55F4C" w14:textId="18C4F3D3" w:rsidTr="00FB5DAD">
        <w:tc>
          <w:tcPr>
            <w:tcW w:w="4706" w:type="dxa"/>
          </w:tcPr>
          <w:p w14:paraId="3BD30721"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Las obras y actividades que, ante la inminencia de un desastre, se realicen con fines preventivos, o bien las que se ejecuten para salvar una situación de emergencia, y</w:t>
            </w:r>
          </w:p>
        </w:tc>
        <w:tc>
          <w:tcPr>
            <w:tcW w:w="4644" w:type="dxa"/>
          </w:tcPr>
          <w:p w14:paraId="56CAA677" w14:textId="7DAB69D7" w:rsidR="003A38FF" w:rsidRPr="00D0180E" w:rsidRDefault="003A38FF" w:rsidP="003A38FF">
            <w:pPr>
              <w:pStyle w:val="Texto"/>
              <w:ind w:firstLine="0"/>
              <w:rPr>
                <w:rFonts w:ascii="Verdana" w:hAnsi="Verdana"/>
                <w:b/>
                <w:sz w:val="16"/>
                <w:szCs w:val="16"/>
                <w:lang w:val="en-US"/>
              </w:rPr>
            </w:pPr>
            <w:r w:rsidRPr="003C1294">
              <w:rPr>
                <w:rFonts w:ascii="Verdana" w:hAnsi="Verdana"/>
                <w:b/>
                <w:sz w:val="16"/>
                <w:szCs w:val="16"/>
                <w:lang w:val="en-US"/>
              </w:rPr>
              <w:t>IV</w:t>
            </w:r>
            <w:proofErr w:type="gramStart"/>
            <w:r w:rsidRPr="003C1294">
              <w:rPr>
                <w:rFonts w:ascii="Verdana" w:hAnsi="Verdana"/>
                <w:b/>
                <w:sz w:val="16"/>
                <w:szCs w:val="16"/>
                <w:lang w:val="en-US"/>
              </w:rPr>
              <w:t xml:space="preserve">. </w:t>
            </w:r>
            <w:r w:rsidRPr="003C1294">
              <w:rPr>
                <w:rFonts w:ascii="Verdana" w:hAnsi="Verdana"/>
                <w:b/>
                <w:sz w:val="16"/>
                <w:szCs w:val="16"/>
                <w:lang w:val="en-US"/>
              </w:rPr>
              <w:tab/>
            </w:r>
            <w:r w:rsidRPr="003C1294">
              <w:rPr>
                <w:rFonts w:ascii="Verdana" w:hAnsi="Verdana"/>
                <w:sz w:val="16"/>
                <w:szCs w:val="16"/>
                <w:lang w:val="en-US"/>
              </w:rPr>
              <w:t>Works</w:t>
            </w:r>
            <w:proofErr w:type="gramEnd"/>
            <w:r w:rsidRPr="003C1294">
              <w:rPr>
                <w:rFonts w:ascii="Verdana" w:hAnsi="Verdana"/>
                <w:sz w:val="16"/>
                <w:szCs w:val="16"/>
                <w:lang w:val="en-US"/>
              </w:rPr>
              <w:t xml:space="preserve"> and activities that, in the face of the imminence of a disaster, are carried out for preventive purposes, or those carried out to save </w:t>
            </w:r>
            <w:proofErr w:type="gramStart"/>
            <w:r w:rsidRPr="003C1294">
              <w:rPr>
                <w:rFonts w:ascii="Verdana" w:hAnsi="Verdana"/>
                <w:sz w:val="16"/>
                <w:szCs w:val="16"/>
                <w:lang w:val="en-US"/>
              </w:rPr>
              <w:t>an emergency situation</w:t>
            </w:r>
            <w:proofErr w:type="gramEnd"/>
            <w:r w:rsidRPr="003C1294">
              <w:rPr>
                <w:rFonts w:ascii="Verdana" w:hAnsi="Verdana"/>
                <w:sz w:val="16"/>
                <w:szCs w:val="16"/>
                <w:lang w:val="en-US"/>
              </w:rPr>
              <w:t>, and</w:t>
            </w:r>
          </w:p>
        </w:tc>
      </w:tr>
      <w:tr w:rsidR="003A38FF" w:rsidRPr="00D83DA2" w14:paraId="6C20FAF8" w14:textId="376101A4" w:rsidTr="00FB5DAD">
        <w:tc>
          <w:tcPr>
            <w:tcW w:w="4706" w:type="dxa"/>
          </w:tcPr>
          <w:p w14:paraId="13E5A614"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Las demás que, en su caso, se establezcan en las disposiciones administrativas de carácter general en materia de impacto social.</w:t>
            </w:r>
          </w:p>
        </w:tc>
        <w:tc>
          <w:tcPr>
            <w:tcW w:w="4644" w:type="dxa"/>
          </w:tcPr>
          <w:p w14:paraId="1F88C553" w14:textId="34085CDC" w:rsidR="003A38FF" w:rsidRPr="00D0180E" w:rsidRDefault="003A38FF" w:rsidP="003A38FF">
            <w:pPr>
              <w:pStyle w:val="Texto"/>
              <w:ind w:firstLine="0"/>
              <w:rPr>
                <w:rFonts w:ascii="Verdana" w:hAnsi="Verdana"/>
                <w:b/>
                <w:sz w:val="16"/>
                <w:szCs w:val="16"/>
                <w:lang w:val="en-US"/>
              </w:rPr>
            </w:pPr>
            <w:r w:rsidRPr="003C1294">
              <w:rPr>
                <w:rFonts w:ascii="Verdana" w:hAnsi="Verdana"/>
                <w:b/>
                <w:sz w:val="16"/>
                <w:szCs w:val="16"/>
                <w:lang w:val="en-US"/>
              </w:rPr>
              <w:t>V</w:t>
            </w:r>
            <w:proofErr w:type="gramStart"/>
            <w:r w:rsidRPr="003C1294">
              <w:rPr>
                <w:rFonts w:ascii="Verdana" w:hAnsi="Verdana"/>
                <w:b/>
                <w:sz w:val="16"/>
                <w:szCs w:val="16"/>
                <w:lang w:val="en-US"/>
              </w:rPr>
              <w:t xml:space="preserve">. </w:t>
            </w:r>
            <w:r w:rsidRPr="003C1294">
              <w:rPr>
                <w:rFonts w:ascii="Verdana" w:hAnsi="Verdana"/>
                <w:b/>
                <w:sz w:val="16"/>
                <w:szCs w:val="16"/>
                <w:lang w:val="en-US"/>
              </w:rPr>
              <w:tab/>
            </w:r>
            <w:r w:rsidRPr="003C1294">
              <w:rPr>
                <w:rFonts w:ascii="Verdana" w:hAnsi="Verdana"/>
                <w:sz w:val="16"/>
                <w:szCs w:val="16"/>
                <w:lang w:val="en-US"/>
              </w:rPr>
              <w:t>Others</w:t>
            </w:r>
            <w:proofErr w:type="gramEnd"/>
            <w:r w:rsidRPr="003C1294">
              <w:rPr>
                <w:rFonts w:ascii="Verdana" w:hAnsi="Verdana"/>
                <w:sz w:val="16"/>
                <w:szCs w:val="16"/>
                <w:lang w:val="en-US"/>
              </w:rPr>
              <w:t xml:space="preserve"> that, where applicable, are established in the general administrative provisions regarding social impact.</w:t>
            </w:r>
          </w:p>
        </w:tc>
      </w:tr>
      <w:tr w:rsidR="003A38FF" w:rsidRPr="00D83DA2" w14:paraId="31DE8E8C" w14:textId="5D06C556" w:rsidTr="00FB5DAD">
        <w:tc>
          <w:tcPr>
            <w:tcW w:w="4706" w:type="dxa"/>
          </w:tcPr>
          <w:p w14:paraId="4848F4A7" w14:textId="77777777" w:rsidR="003A38FF" w:rsidRPr="00D0180E" w:rsidRDefault="003A38FF" w:rsidP="003A38FF">
            <w:pPr>
              <w:pStyle w:val="Texto"/>
              <w:ind w:firstLine="0"/>
              <w:rPr>
                <w:rFonts w:ascii="Verdana" w:hAnsi="Verdana"/>
                <w:sz w:val="16"/>
                <w:szCs w:val="16"/>
              </w:rPr>
            </w:pPr>
            <w:r w:rsidRPr="00D0180E">
              <w:rPr>
                <w:rFonts w:ascii="Verdana" w:hAnsi="Verdana"/>
                <w:sz w:val="16"/>
                <w:szCs w:val="16"/>
              </w:rPr>
              <w:t>En los supuestos previamente señalados, la Secretaría debe desechar la solicitud.</w:t>
            </w:r>
          </w:p>
        </w:tc>
        <w:tc>
          <w:tcPr>
            <w:tcW w:w="4644" w:type="dxa"/>
          </w:tcPr>
          <w:p w14:paraId="67CD5951" w14:textId="07739627" w:rsidR="003A38FF" w:rsidRPr="00D0180E" w:rsidRDefault="003A38FF" w:rsidP="003A38FF">
            <w:pPr>
              <w:pStyle w:val="Texto"/>
              <w:ind w:firstLine="0"/>
              <w:rPr>
                <w:rFonts w:ascii="Verdana" w:hAnsi="Verdana"/>
                <w:sz w:val="16"/>
                <w:szCs w:val="16"/>
                <w:lang w:val="en-US"/>
              </w:rPr>
            </w:pPr>
            <w:r w:rsidRPr="003C1294">
              <w:rPr>
                <w:rFonts w:ascii="Verdana" w:hAnsi="Verdana"/>
                <w:sz w:val="16"/>
                <w:szCs w:val="16"/>
                <w:lang w:val="en-US"/>
              </w:rPr>
              <w:t>In the cases previously indicated, the Secretary must reject the request.</w:t>
            </w:r>
          </w:p>
        </w:tc>
      </w:tr>
      <w:tr w:rsidR="003A38FF" w:rsidRPr="00D83DA2" w14:paraId="6537FE4B" w14:textId="4BE879E7" w:rsidTr="00FB5DAD">
        <w:tc>
          <w:tcPr>
            <w:tcW w:w="4706" w:type="dxa"/>
          </w:tcPr>
          <w:p w14:paraId="420F6F92"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Artículo 204.</w:t>
            </w:r>
            <w:r w:rsidRPr="00D0180E">
              <w:rPr>
                <w:rFonts w:ascii="Verdana" w:hAnsi="Verdana"/>
                <w:sz w:val="16"/>
                <w:szCs w:val="16"/>
              </w:rPr>
              <w:t xml:space="preserve"> La presentación de la Manifestación de Impacto Social del Sector Energético y sus modificaciones son improcedentes en los casos siguientes:</w:t>
            </w:r>
          </w:p>
        </w:tc>
        <w:tc>
          <w:tcPr>
            <w:tcW w:w="4644" w:type="dxa"/>
          </w:tcPr>
          <w:p w14:paraId="309967F6" w14:textId="7096876D" w:rsidR="003A38FF" w:rsidRPr="00D0180E" w:rsidRDefault="003A38FF" w:rsidP="003A38FF">
            <w:pPr>
              <w:pStyle w:val="Texto"/>
              <w:ind w:firstLine="0"/>
              <w:rPr>
                <w:rFonts w:ascii="Verdana" w:hAnsi="Verdana"/>
                <w:b/>
                <w:sz w:val="16"/>
                <w:szCs w:val="16"/>
                <w:lang w:val="en-US"/>
              </w:rPr>
            </w:pPr>
            <w:r w:rsidRPr="003C1294">
              <w:rPr>
                <w:rFonts w:ascii="Verdana" w:hAnsi="Verdana"/>
                <w:b/>
                <w:sz w:val="16"/>
                <w:szCs w:val="16"/>
                <w:lang w:val="en-US"/>
              </w:rPr>
              <w:t xml:space="preserve">Article 204. </w:t>
            </w:r>
            <w:r w:rsidRPr="003C1294">
              <w:rPr>
                <w:rFonts w:ascii="Verdana" w:hAnsi="Verdana"/>
                <w:sz w:val="16"/>
                <w:szCs w:val="16"/>
                <w:lang w:val="en-US"/>
              </w:rPr>
              <w:t>The submission of the Social Impact Statement of the Energy Sector and its modifications are inadmissible in the following cases:</w:t>
            </w:r>
          </w:p>
        </w:tc>
      </w:tr>
      <w:tr w:rsidR="003A38FF" w:rsidRPr="00D83DA2" w14:paraId="57BF8646" w14:textId="0836286E" w:rsidTr="00FB5DAD">
        <w:tc>
          <w:tcPr>
            <w:tcW w:w="4706" w:type="dxa"/>
          </w:tcPr>
          <w:p w14:paraId="30235D50"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Cuando se trate de las actividades exceptuadas en los supuestos establecidos en el artículo anterior, así como los señalados en el artículo 137 de la Ley;</w:t>
            </w:r>
          </w:p>
        </w:tc>
        <w:tc>
          <w:tcPr>
            <w:tcW w:w="4644" w:type="dxa"/>
          </w:tcPr>
          <w:p w14:paraId="20B9B232" w14:textId="613594DB" w:rsidR="003A38FF" w:rsidRPr="00D0180E" w:rsidRDefault="003A38FF" w:rsidP="003A38FF">
            <w:pPr>
              <w:pStyle w:val="Texto"/>
              <w:ind w:firstLine="0"/>
              <w:rPr>
                <w:rFonts w:ascii="Verdana" w:hAnsi="Verdana"/>
                <w:b/>
                <w:sz w:val="16"/>
                <w:szCs w:val="16"/>
                <w:lang w:val="en-US"/>
              </w:rPr>
            </w:pPr>
            <w:r w:rsidRPr="003C1294">
              <w:rPr>
                <w:rFonts w:ascii="Verdana" w:hAnsi="Verdana"/>
                <w:b/>
                <w:sz w:val="16"/>
                <w:szCs w:val="16"/>
                <w:lang w:val="en-US"/>
              </w:rPr>
              <w:t>I</w:t>
            </w:r>
            <w:proofErr w:type="gramStart"/>
            <w:r w:rsidRPr="003C1294">
              <w:rPr>
                <w:rFonts w:ascii="Verdana" w:hAnsi="Verdana"/>
                <w:b/>
                <w:sz w:val="16"/>
                <w:szCs w:val="16"/>
                <w:lang w:val="en-US"/>
              </w:rPr>
              <w:t xml:space="preserve">. </w:t>
            </w:r>
            <w:r w:rsidRPr="003C1294">
              <w:rPr>
                <w:rFonts w:ascii="Verdana" w:hAnsi="Verdana"/>
                <w:b/>
                <w:sz w:val="16"/>
                <w:szCs w:val="16"/>
                <w:lang w:val="en-US"/>
              </w:rPr>
              <w:tab/>
            </w:r>
            <w:r w:rsidRPr="003C1294">
              <w:rPr>
                <w:rFonts w:ascii="Verdana" w:hAnsi="Verdana"/>
                <w:sz w:val="16"/>
                <w:szCs w:val="16"/>
                <w:lang w:val="en-US"/>
              </w:rPr>
              <w:t>When</w:t>
            </w:r>
            <w:proofErr w:type="gramEnd"/>
            <w:r w:rsidRPr="003C1294">
              <w:rPr>
                <w:rFonts w:ascii="Verdana" w:hAnsi="Verdana"/>
                <w:sz w:val="16"/>
                <w:szCs w:val="16"/>
                <w:lang w:val="en-US"/>
              </w:rPr>
              <w:t xml:space="preserve"> it concerns activities ex</w:t>
            </w:r>
            <w:r>
              <w:rPr>
                <w:rFonts w:ascii="Verdana" w:hAnsi="Verdana"/>
                <w:sz w:val="16"/>
                <w:szCs w:val="16"/>
                <w:lang w:val="en-US"/>
              </w:rPr>
              <w:t>em</w:t>
            </w:r>
            <w:r w:rsidRPr="003C1294">
              <w:rPr>
                <w:rFonts w:ascii="Verdana" w:hAnsi="Verdana"/>
                <w:sz w:val="16"/>
                <w:szCs w:val="16"/>
                <w:lang w:val="en-US"/>
              </w:rPr>
              <w:t xml:space="preserve">pted in the cases established in the </w:t>
            </w:r>
            <w:r>
              <w:rPr>
                <w:rFonts w:ascii="Verdana" w:hAnsi="Verdana"/>
                <w:sz w:val="16"/>
                <w:szCs w:val="16"/>
                <w:lang w:val="en-US"/>
              </w:rPr>
              <w:t>preceding article</w:t>
            </w:r>
            <w:r w:rsidRPr="003C1294">
              <w:rPr>
                <w:rFonts w:ascii="Verdana" w:hAnsi="Verdana"/>
                <w:sz w:val="16"/>
                <w:szCs w:val="16"/>
                <w:lang w:val="en-US"/>
              </w:rPr>
              <w:t>, as well as those indicated in article 137 of the Law;</w:t>
            </w:r>
          </w:p>
        </w:tc>
      </w:tr>
      <w:tr w:rsidR="003A38FF" w:rsidRPr="00D83DA2" w14:paraId="329E2DA4" w14:textId="0EF5DE6A" w:rsidTr="00FB5DAD">
        <w:tc>
          <w:tcPr>
            <w:tcW w:w="4706" w:type="dxa"/>
          </w:tcPr>
          <w:p w14:paraId="698F1ED1"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Cuando exista en trámite una Manifestación de Impacto Social del Sector Energético pendiente de resolución respecto un mismo proyecto;</w:t>
            </w:r>
          </w:p>
        </w:tc>
        <w:tc>
          <w:tcPr>
            <w:tcW w:w="4644" w:type="dxa"/>
          </w:tcPr>
          <w:p w14:paraId="09624F78" w14:textId="0D9A8943" w:rsidR="003A38FF" w:rsidRPr="00D0180E" w:rsidRDefault="003A38FF" w:rsidP="003A38FF">
            <w:pPr>
              <w:pStyle w:val="Texto"/>
              <w:ind w:firstLine="0"/>
              <w:rPr>
                <w:rFonts w:ascii="Verdana" w:hAnsi="Verdana"/>
                <w:b/>
                <w:sz w:val="16"/>
                <w:szCs w:val="16"/>
                <w:lang w:val="en-US"/>
              </w:rPr>
            </w:pPr>
            <w:r w:rsidRPr="003C1294">
              <w:rPr>
                <w:rFonts w:ascii="Verdana" w:hAnsi="Verdana"/>
                <w:b/>
                <w:sz w:val="16"/>
                <w:szCs w:val="16"/>
                <w:lang w:val="en-US"/>
              </w:rPr>
              <w:t>II</w:t>
            </w:r>
            <w:proofErr w:type="gramStart"/>
            <w:r w:rsidRPr="003C1294">
              <w:rPr>
                <w:rFonts w:ascii="Verdana" w:hAnsi="Verdana"/>
                <w:b/>
                <w:sz w:val="16"/>
                <w:szCs w:val="16"/>
                <w:lang w:val="en-US"/>
              </w:rPr>
              <w:t xml:space="preserve">. </w:t>
            </w:r>
            <w:r w:rsidRPr="003C1294">
              <w:rPr>
                <w:rFonts w:ascii="Verdana" w:hAnsi="Verdana"/>
                <w:b/>
                <w:sz w:val="16"/>
                <w:szCs w:val="16"/>
                <w:lang w:val="en-US"/>
              </w:rPr>
              <w:tab/>
            </w:r>
            <w:r w:rsidRPr="003C1294">
              <w:rPr>
                <w:rFonts w:ascii="Verdana" w:hAnsi="Verdana"/>
                <w:sz w:val="16"/>
                <w:szCs w:val="16"/>
                <w:lang w:val="en-US"/>
              </w:rPr>
              <w:t>When</w:t>
            </w:r>
            <w:proofErr w:type="gramEnd"/>
            <w:r w:rsidRPr="003C1294">
              <w:rPr>
                <w:rFonts w:ascii="Verdana" w:hAnsi="Verdana"/>
                <w:sz w:val="16"/>
                <w:szCs w:val="16"/>
                <w:lang w:val="en-US"/>
              </w:rPr>
              <w:t xml:space="preserve"> there is a pending Energy Sector Social Impact Statement for resolution regarding the same project;</w:t>
            </w:r>
          </w:p>
        </w:tc>
      </w:tr>
      <w:tr w:rsidR="003A38FF" w:rsidRPr="00D83DA2" w14:paraId="1A9C1318" w14:textId="1B8F6299" w:rsidTr="00FB5DAD">
        <w:tc>
          <w:tcPr>
            <w:tcW w:w="4706" w:type="dxa"/>
          </w:tcPr>
          <w:p w14:paraId="7949ADC3"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 xml:space="preserve">Cuando se haya resuelto negar la autorización de la Manifestación de Impacto Social del Sector </w:t>
            </w:r>
            <w:r w:rsidRPr="00D0180E">
              <w:rPr>
                <w:rFonts w:ascii="Verdana" w:hAnsi="Verdana"/>
                <w:sz w:val="16"/>
                <w:szCs w:val="16"/>
              </w:rPr>
              <w:lastRenderedPageBreak/>
              <w:t>Energético sobre el mismo proyecto y se trate de un proyecto presentado en los mismos términos;</w:t>
            </w:r>
          </w:p>
        </w:tc>
        <w:tc>
          <w:tcPr>
            <w:tcW w:w="4644" w:type="dxa"/>
          </w:tcPr>
          <w:p w14:paraId="66C63D4E" w14:textId="7C9080F0" w:rsidR="003A38FF" w:rsidRPr="00D0180E" w:rsidRDefault="003A38FF" w:rsidP="003A38FF">
            <w:pPr>
              <w:pStyle w:val="Texto"/>
              <w:ind w:firstLine="0"/>
              <w:rPr>
                <w:rFonts w:ascii="Verdana" w:hAnsi="Verdana"/>
                <w:b/>
                <w:sz w:val="16"/>
                <w:szCs w:val="16"/>
                <w:lang w:val="en-US"/>
              </w:rPr>
            </w:pPr>
            <w:r w:rsidRPr="003C1294">
              <w:rPr>
                <w:rFonts w:ascii="Verdana" w:hAnsi="Verdana"/>
                <w:b/>
                <w:sz w:val="16"/>
                <w:szCs w:val="16"/>
                <w:lang w:val="en-US"/>
              </w:rPr>
              <w:lastRenderedPageBreak/>
              <w:t>III</w:t>
            </w:r>
            <w:proofErr w:type="gramStart"/>
            <w:r w:rsidRPr="003C1294">
              <w:rPr>
                <w:rFonts w:ascii="Verdana" w:hAnsi="Verdana"/>
                <w:b/>
                <w:sz w:val="16"/>
                <w:szCs w:val="16"/>
                <w:lang w:val="en-US"/>
              </w:rPr>
              <w:t xml:space="preserve">. </w:t>
            </w:r>
            <w:r w:rsidRPr="003C1294">
              <w:rPr>
                <w:rFonts w:ascii="Verdana" w:hAnsi="Verdana"/>
                <w:b/>
                <w:sz w:val="16"/>
                <w:szCs w:val="16"/>
                <w:lang w:val="en-US"/>
              </w:rPr>
              <w:tab/>
            </w:r>
            <w:r w:rsidRPr="003C1294">
              <w:rPr>
                <w:rFonts w:ascii="Verdana" w:hAnsi="Verdana"/>
                <w:sz w:val="16"/>
                <w:szCs w:val="16"/>
                <w:lang w:val="en-US"/>
              </w:rPr>
              <w:t>When</w:t>
            </w:r>
            <w:proofErr w:type="gramEnd"/>
            <w:r w:rsidRPr="003C1294">
              <w:rPr>
                <w:rFonts w:ascii="Verdana" w:hAnsi="Verdana"/>
                <w:sz w:val="16"/>
                <w:szCs w:val="16"/>
                <w:lang w:val="en-US"/>
              </w:rPr>
              <w:t xml:space="preserve"> it has been decided to deny authorization of the Social Impact Statement of the </w:t>
            </w:r>
            <w:r w:rsidRPr="003C1294">
              <w:rPr>
                <w:rFonts w:ascii="Verdana" w:hAnsi="Verdana"/>
                <w:sz w:val="16"/>
                <w:szCs w:val="16"/>
                <w:lang w:val="en-US"/>
              </w:rPr>
              <w:lastRenderedPageBreak/>
              <w:t>Energy Sector on the same project and it is a project presented under the same terms;</w:t>
            </w:r>
          </w:p>
        </w:tc>
      </w:tr>
      <w:tr w:rsidR="003A38FF" w:rsidRPr="00D83DA2" w14:paraId="28C280DA" w14:textId="5E2ABC3D" w:rsidTr="00FB5DAD">
        <w:tc>
          <w:tcPr>
            <w:tcW w:w="4706" w:type="dxa"/>
          </w:tcPr>
          <w:p w14:paraId="70953FEE"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b/>
                <w:sz w:val="16"/>
                <w:szCs w:val="16"/>
              </w:rPr>
              <w:lastRenderedPageBreak/>
              <w:t>IV.</w:t>
            </w:r>
            <w:r w:rsidRPr="00D0180E">
              <w:rPr>
                <w:rFonts w:ascii="Verdana" w:hAnsi="Verdana"/>
                <w:b/>
                <w:sz w:val="16"/>
                <w:szCs w:val="16"/>
              </w:rPr>
              <w:tab/>
            </w:r>
            <w:r w:rsidRPr="00D0180E">
              <w:rPr>
                <w:rFonts w:ascii="Verdana" w:hAnsi="Verdana"/>
                <w:sz w:val="16"/>
                <w:szCs w:val="16"/>
              </w:rPr>
              <w:t>Cuando se trate de actualizaciones de infraestructura siempre que no haya una modificación sustancial en términos del artículo 202 de este reglamento;</w:t>
            </w:r>
          </w:p>
        </w:tc>
        <w:tc>
          <w:tcPr>
            <w:tcW w:w="4644" w:type="dxa"/>
          </w:tcPr>
          <w:p w14:paraId="2884675F" w14:textId="4EAF80D5" w:rsidR="003A38FF" w:rsidRPr="00D0180E" w:rsidRDefault="003A38FF" w:rsidP="003A38FF">
            <w:pPr>
              <w:pStyle w:val="Texto"/>
              <w:spacing w:line="223" w:lineRule="exact"/>
              <w:ind w:firstLine="0"/>
              <w:rPr>
                <w:rFonts w:ascii="Verdana" w:hAnsi="Verdana"/>
                <w:b/>
                <w:sz w:val="16"/>
                <w:szCs w:val="16"/>
                <w:lang w:val="en-US"/>
              </w:rPr>
            </w:pPr>
            <w:r w:rsidRPr="003C1294">
              <w:rPr>
                <w:rFonts w:ascii="Verdana" w:hAnsi="Verdana"/>
                <w:b/>
                <w:sz w:val="16"/>
                <w:szCs w:val="16"/>
                <w:lang w:val="en-US"/>
              </w:rPr>
              <w:t>IV</w:t>
            </w:r>
            <w:proofErr w:type="gramStart"/>
            <w:r w:rsidRPr="003C1294">
              <w:rPr>
                <w:rFonts w:ascii="Verdana" w:hAnsi="Verdana"/>
                <w:b/>
                <w:sz w:val="16"/>
                <w:szCs w:val="16"/>
                <w:lang w:val="en-US"/>
              </w:rPr>
              <w:t xml:space="preserve">. </w:t>
            </w:r>
            <w:r w:rsidRPr="003C1294">
              <w:rPr>
                <w:rFonts w:ascii="Verdana" w:hAnsi="Verdana"/>
                <w:b/>
                <w:sz w:val="16"/>
                <w:szCs w:val="16"/>
                <w:lang w:val="en-US"/>
              </w:rPr>
              <w:tab/>
            </w:r>
            <w:r w:rsidRPr="003C1294">
              <w:rPr>
                <w:rFonts w:ascii="Verdana" w:hAnsi="Verdana"/>
                <w:sz w:val="16"/>
                <w:szCs w:val="16"/>
                <w:lang w:val="en-US"/>
              </w:rPr>
              <w:t>When</w:t>
            </w:r>
            <w:proofErr w:type="gramEnd"/>
            <w:r w:rsidRPr="003C1294">
              <w:rPr>
                <w:rFonts w:ascii="Verdana" w:hAnsi="Verdana"/>
                <w:sz w:val="16"/>
                <w:szCs w:val="16"/>
                <w:lang w:val="en-US"/>
              </w:rPr>
              <w:t xml:space="preserve"> it comes to infrastructure updates, </w:t>
            </w:r>
            <w:proofErr w:type="gramStart"/>
            <w:r w:rsidRPr="003C1294">
              <w:rPr>
                <w:rFonts w:ascii="Verdana" w:hAnsi="Verdana"/>
                <w:sz w:val="16"/>
                <w:szCs w:val="16"/>
                <w:lang w:val="en-US"/>
              </w:rPr>
              <w:t>provided that</w:t>
            </w:r>
            <w:proofErr w:type="gramEnd"/>
            <w:r w:rsidRPr="003C1294">
              <w:rPr>
                <w:rFonts w:ascii="Verdana" w:hAnsi="Verdana"/>
                <w:sz w:val="16"/>
                <w:szCs w:val="16"/>
                <w:lang w:val="en-US"/>
              </w:rPr>
              <w:t xml:space="preserve"> there is no substantial modification in terms of Article 202 of this regulation;</w:t>
            </w:r>
          </w:p>
        </w:tc>
      </w:tr>
      <w:tr w:rsidR="003A38FF" w:rsidRPr="00D83DA2" w14:paraId="53F98E0C" w14:textId="7A7E80F9" w:rsidTr="00FB5DAD">
        <w:tc>
          <w:tcPr>
            <w:tcW w:w="4706" w:type="dxa"/>
          </w:tcPr>
          <w:p w14:paraId="48D5FA8B"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Cuando se trate de modificación o cambio de denominación del proyecto o de la razón social, y</w:t>
            </w:r>
          </w:p>
        </w:tc>
        <w:tc>
          <w:tcPr>
            <w:tcW w:w="4644" w:type="dxa"/>
          </w:tcPr>
          <w:p w14:paraId="6226CC03" w14:textId="3DEE38C8" w:rsidR="003A38FF" w:rsidRPr="00D0180E" w:rsidRDefault="003A38FF" w:rsidP="003A38FF">
            <w:pPr>
              <w:pStyle w:val="Texto"/>
              <w:spacing w:line="223" w:lineRule="exact"/>
              <w:ind w:firstLine="0"/>
              <w:rPr>
                <w:rFonts w:ascii="Verdana" w:hAnsi="Verdana"/>
                <w:b/>
                <w:sz w:val="16"/>
                <w:szCs w:val="16"/>
                <w:lang w:val="en-US"/>
              </w:rPr>
            </w:pPr>
            <w:r w:rsidRPr="00770953">
              <w:rPr>
                <w:rFonts w:ascii="Verdana" w:hAnsi="Verdana"/>
                <w:b/>
                <w:sz w:val="16"/>
                <w:szCs w:val="16"/>
                <w:lang w:val="en-US"/>
              </w:rPr>
              <w:t>V</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When</w:t>
            </w:r>
            <w:proofErr w:type="gramEnd"/>
            <w:r w:rsidRPr="00770953">
              <w:rPr>
                <w:rFonts w:ascii="Verdana" w:hAnsi="Verdana"/>
                <w:sz w:val="16"/>
                <w:szCs w:val="16"/>
                <w:lang w:val="en-US"/>
              </w:rPr>
              <w:t xml:space="preserve"> it involves a modification or </w:t>
            </w:r>
            <w:proofErr w:type="gramStart"/>
            <w:r w:rsidRPr="00770953">
              <w:rPr>
                <w:rFonts w:ascii="Verdana" w:hAnsi="Verdana"/>
                <w:sz w:val="16"/>
                <w:szCs w:val="16"/>
                <w:lang w:val="en-US"/>
              </w:rPr>
              <w:t>change</w:t>
            </w:r>
            <w:proofErr w:type="gramEnd"/>
            <w:r w:rsidRPr="00770953">
              <w:rPr>
                <w:rFonts w:ascii="Verdana" w:hAnsi="Verdana"/>
                <w:sz w:val="16"/>
                <w:szCs w:val="16"/>
                <w:lang w:val="en-US"/>
              </w:rPr>
              <w:t xml:space="preserve"> of name of the project or the company name, and</w:t>
            </w:r>
          </w:p>
        </w:tc>
      </w:tr>
      <w:tr w:rsidR="003A38FF" w:rsidRPr="00D83DA2" w14:paraId="3AF98064" w14:textId="056D7D2A" w:rsidTr="00FB5DAD">
        <w:tc>
          <w:tcPr>
            <w:tcW w:w="4706" w:type="dxa"/>
          </w:tcPr>
          <w:p w14:paraId="27CB3D40"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Cualquier otra que se establezca en las disposiciones administrativas de carácter general en materia de impacto social.</w:t>
            </w:r>
          </w:p>
        </w:tc>
        <w:tc>
          <w:tcPr>
            <w:tcW w:w="4644" w:type="dxa"/>
          </w:tcPr>
          <w:p w14:paraId="54676137" w14:textId="77051C7B" w:rsidR="003A38FF" w:rsidRPr="00D0180E" w:rsidRDefault="003A38FF" w:rsidP="003A38FF">
            <w:pPr>
              <w:pStyle w:val="Texto"/>
              <w:spacing w:line="223" w:lineRule="exact"/>
              <w:ind w:firstLine="0"/>
              <w:rPr>
                <w:rFonts w:ascii="Verdana" w:hAnsi="Verdana"/>
                <w:b/>
                <w:sz w:val="16"/>
                <w:szCs w:val="16"/>
                <w:lang w:val="en-US"/>
              </w:rPr>
            </w:pPr>
            <w:r w:rsidRPr="00770953">
              <w:rPr>
                <w:rFonts w:ascii="Verdana" w:hAnsi="Verdana"/>
                <w:b/>
                <w:sz w:val="16"/>
                <w:szCs w:val="16"/>
                <w:lang w:val="en-US"/>
              </w:rPr>
              <w:t>VI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Any</w:t>
            </w:r>
            <w:proofErr w:type="gramEnd"/>
            <w:r w:rsidRPr="00770953">
              <w:rPr>
                <w:rFonts w:ascii="Verdana" w:hAnsi="Verdana"/>
                <w:sz w:val="16"/>
                <w:szCs w:val="16"/>
                <w:lang w:val="en-US"/>
              </w:rPr>
              <w:t xml:space="preserve"> other provisions established in general administrative provisions regarding social impact.</w:t>
            </w:r>
          </w:p>
        </w:tc>
      </w:tr>
      <w:tr w:rsidR="003A38FF" w:rsidRPr="00D83DA2" w14:paraId="1462A370" w14:textId="1D095439" w:rsidTr="00FB5DAD">
        <w:tc>
          <w:tcPr>
            <w:tcW w:w="4706" w:type="dxa"/>
          </w:tcPr>
          <w:p w14:paraId="10BF4264"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sz w:val="16"/>
                <w:szCs w:val="16"/>
              </w:rPr>
              <w:t>En los supuestos previamente señalados, la Secretaría debe desechar el trámite.</w:t>
            </w:r>
          </w:p>
        </w:tc>
        <w:tc>
          <w:tcPr>
            <w:tcW w:w="4644" w:type="dxa"/>
          </w:tcPr>
          <w:p w14:paraId="09F0CF00" w14:textId="4C1F63CF" w:rsidR="003A38FF" w:rsidRPr="00D0180E" w:rsidRDefault="003A38FF" w:rsidP="003A38FF">
            <w:pPr>
              <w:pStyle w:val="Texto"/>
              <w:spacing w:line="223" w:lineRule="exact"/>
              <w:ind w:firstLine="0"/>
              <w:rPr>
                <w:rFonts w:ascii="Verdana" w:hAnsi="Verdana"/>
                <w:sz w:val="16"/>
                <w:szCs w:val="16"/>
                <w:lang w:val="en-US"/>
              </w:rPr>
            </w:pPr>
            <w:r w:rsidRPr="00770953">
              <w:rPr>
                <w:rFonts w:ascii="Verdana" w:hAnsi="Verdana"/>
                <w:sz w:val="16"/>
                <w:szCs w:val="16"/>
                <w:lang w:val="en-US"/>
              </w:rPr>
              <w:t>In the cases previously indicated, the Secretary must reject the procedure.</w:t>
            </w:r>
          </w:p>
        </w:tc>
      </w:tr>
      <w:tr w:rsidR="003A38FF" w:rsidRPr="00D83DA2" w14:paraId="47F9CCE9" w14:textId="7641E0A1" w:rsidTr="00FB5DAD">
        <w:tc>
          <w:tcPr>
            <w:tcW w:w="4706" w:type="dxa"/>
          </w:tcPr>
          <w:p w14:paraId="2724C081"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b/>
                <w:sz w:val="16"/>
                <w:szCs w:val="16"/>
              </w:rPr>
              <w:t>Artículo 205.</w:t>
            </w:r>
            <w:r w:rsidRPr="00D0180E">
              <w:rPr>
                <w:rFonts w:ascii="Verdana" w:hAnsi="Verdana"/>
                <w:sz w:val="16"/>
                <w:szCs w:val="16"/>
              </w:rPr>
              <w:t xml:space="preserve"> La autorización definitiva que emita la Secretaría sobre la Manifestación de Impacto Social del Sector Energético es un requisito obligatorio previo a que la Empresa Pública del Estado o las personas interesadas en obtener un permiso o una autorización inicien la construcción de la infraestructura.</w:t>
            </w:r>
          </w:p>
        </w:tc>
        <w:tc>
          <w:tcPr>
            <w:tcW w:w="4644" w:type="dxa"/>
          </w:tcPr>
          <w:p w14:paraId="58537214" w14:textId="06214C2A" w:rsidR="003A38FF" w:rsidRPr="00D0180E" w:rsidRDefault="003A38FF" w:rsidP="003A38FF">
            <w:pPr>
              <w:pStyle w:val="Texto"/>
              <w:spacing w:line="223" w:lineRule="exact"/>
              <w:ind w:firstLine="0"/>
              <w:rPr>
                <w:rFonts w:ascii="Verdana" w:hAnsi="Verdana"/>
                <w:b/>
                <w:sz w:val="16"/>
                <w:szCs w:val="16"/>
                <w:lang w:val="en-US"/>
              </w:rPr>
            </w:pPr>
            <w:r w:rsidRPr="00770953">
              <w:rPr>
                <w:rFonts w:ascii="Verdana" w:hAnsi="Verdana"/>
                <w:b/>
                <w:sz w:val="16"/>
                <w:szCs w:val="16"/>
                <w:lang w:val="en-US"/>
              </w:rPr>
              <w:t xml:space="preserve">Article 205. </w:t>
            </w:r>
            <w:r w:rsidRPr="00770953">
              <w:rPr>
                <w:rFonts w:ascii="Verdana" w:hAnsi="Verdana"/>
                <w:sz w:val="16"/>
                <w:szCs w:val="16"/>
                <w:lang w:val="en-US"/>
              </w:rPr>
              <w:t xml:space="preserve">The final authorization issued by the Secretary on the Social Impact Statement of the Energy Sector is a mandatory requirement prior to the </w:t>
            </w:r>
            <w:r>
              <w:rPr>
                <w:rFonts w:ascii="Verdana" w:hAnsi="Verdana"/>
                <w:sz w:val="16"/>
                <w:szCs w:val="16"/>
                <w:lang w:val="en-US"/>
              </w:rPr>
              <w:t xml:space="preserve">State Public Enterprise </w:t>
            </w:r>
            <w:r w:rsidRPr="00770953">
              <w:rPr>
                <w:rFonts w:ascii="Verdana" w:hAnsi="Verdana"/>
                <w:sz w:val="16"/>
                <w:szCs w:val="16"/>
                <w:lang w:val="en-US"/>
              </w:rPr>
              <w:t>or the persons interested in obtaining a permit or authorization beginning the construction of the infrastructure.</w:t>
            </w:r>
          </w:p>
        </w:tc>
      </w:tr>
      <w:tr w:rsidR="003A38FF" w:rsidRPr="00D83DA2" w14:paraId="348B4F84" w14:textId="144C5132" w:rsidTr="00FB5DAD">
        <w:tc>
          <w:tcPr>
            <w:tcW w:w="4706" w:type="dxa"/>
          </w:tcPr>
          <w:p w14:paraId="5536DB63"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b/>
                <w:sz w:val="16"/>
                <w:szCs w:val="16"/>
              </w:rPr>
              <w:t>Artículo 206.</w:t>
            </w:r>
            <w:r w:rsidRPr="00D0180E">
              <w:rPr>
                <w:rFonts w:ascii="Verdana" w:hAnsi="Verdana"/>
                <w:sz w:val="16"/>
                <w:szCs w:val="16"/>
              </w:rPr>
              <w:t xml:space="preserve"> Además de lo señalado en el artículo 136 de la Ley, la Manifestación de Impacto Social del Sector Energético, debe elaborarse conforme al formato correspondiente e incluir la estimación del costo-beneficio, y presentarse de acuerdo con las disposiciones administrativas de carácter general que emita la Secretaría en materia de impacto social.</w:t>
            </w:r>
          </w:p>
        </w:tc>
        <w:tc>
          <w:tcPr>
            <w:tcW w:w="4644" w:type="dxa"/>
          </w:tcPr>
          <w:p w14:paraId="4ED39C2B" w14:textId="21263B25" w:rsidR="003A38FF" w:rsidRPr="00D0180E" w:rsidRDefault="003A38FF" w:rsidP="003A38FF">
            <w:pPr>
              <w:pStyle w:val="Texto"/>
              <w:spacing w:line="223" w:lineRule="exact"/>
              <w:ind w:firstLine="0"/>
              <w:rPr>
                <w:rFonts w:ascii="Verdana" w:hAnsi="Verdana"/>
                <w:b/>
                <w:sz w:val="16"/>
                <w:szCs w:val="16"/>
                <w:lang w:val="en-US"/>
              </w:rPr>
            </w:pPr>
            <w:r w:rsidRPr="00770953">
              <w:rPr>
                <w:rFonts w:ascii="Verdana" w:hAnsi="Verdana"/>
                <w:b/>
                <w:sz w:val="16"/>
                <w:szCs w:val="16"/>
                <w:lang w:val="en-US"/>
              </w:rPr>
              <w:t xml:space="preserve">Article 206. </w:t>
            </w:r>
            <w:r w:rsidRPr="00770953">
              <w:rPr>
                <w:rFonts w:ascii="Verdana" w:hAnsi="Verdana"/>
                <w:sz w:val="16"/>
                <w:szCs w:val="16"/>
                <w:lang w:val="en-US"/>
              </w:rPr>
              <w:t>In addition to what is indicated in Article 136 of the Law, the Social Impact Statement for the Energy Sector must be prepared in accordance with the corresponding format and include the cost-benefit estimate and be submitted in accordance with the general administrative provisions issued by the Secretary regarding social impact.</w:t>
            </w:r>
          </w:p>
        </w:tc>
      </w:tr>
      <w:tr w:rsidR="003A38FF" w:rsidRPr="00D83DA2" w14:paraId="558F303C" w14:textId="271AEF85" w:rsidTr="00FB5DAD">
        <w:tc>
          <w:tcPr>
            <w:tcW w:w="4706" w:type="dxa"/>
          </w:tcPr>
          <w:p w14:paraId="5F7639AB" w14:textId="362AE4C4"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sz w:val="16"/>
                <w:szCs w:val="16"/>
              </w:rPr>
              <w:t>La responsabilidad respecto del contenido de la Manifestación de Impacto Social del Sector Energético corresponde a la Empresa Pública del Estado o a las personas interesadas en obtener un permiso o una autorización.</w:t>
            </w:r>
            <w:r>
              <w:rPr>
                <w:rFonts w:ascii="Verdana" w:hAnsi="Verdana"/>
                <w:sz w:val="16"/>
                <w:szCs w:val="16"/>
              </w:rPr>
              <w:t xml:space="preserve"> </w:t>
            </w:r>
          </w:p>
        </w:tc>
        <w:tc>
          <w:tcPr>
            <w:tcW w:w="4644" w:type="dxa"/>
          </w:tcPr>
          <w:p w14:paraId="4F63893F" w14:textId="34DD4B43" w:rsidR="003A38FF" w:rsidRPr="00D0180E" w:rsidRDefault="003A38FF" w:rsidP="003A38FF">
            <w:pPr>
              <w:pStyle w:val="Texto"/>
              <w:spacing w:line="223" w:lineRule="exact"/>
              <w:ind w:firstLine="0"/>
              <w:rPr>
                <w:rFonts w:ascii="Verdana" w:hAnsi="Verdana"/>
                <w:sz w:val="16"/>
                <w:szCs w:val="16"/>
                <w:lang w:val="en-US"/>
              </w:rPr>
            </w:pPr>
            <w:r w:rsidRPr="00770953">
              <w:rPr>
                <w:rFonts w:ascii="Verdana" w:hAnsi="Verdana"/>
                <w:sz w:val="16"/>
                <w:szCs w:val="16"/>
                <w:lang w:val="en-US"/>
              </w:rPr>
              <w:t xml:space="preserve">Responsibility for the content of the Social Impact Statement </w:t>
            </w:r>
            <w:r>
              <w:rPr>
                <w:rFonts w:ascii="Verdana" w:hAnsi="Verdana"/>
                <w:sz w:val="16"/>
                <w:szCs w:val="16"/>
                <w:lang w:val="en-US"/>
              </w:rPr>
              <w:t xml:space="preserve">of the </w:t>
            </w:r>
            <w:r w:rsidRPr="00770953">
              <w:rPr>
                <w:rFonts w:ascii="Verdana" w:hAnsi="Verdana"/>
                <w:sz w:val="16"/>
                <w:szCs w:val="16"/>
                <w:lang w:val="en-US"/>
              </w:rPr>
              <w:t xml:space="preserve">Energy Sector lies with the </w:t>
            </w:r>
            <w:r w:rsidRPr="00F20AFA">
              <w:rPr>
                <w:rFonts w:ascii="Verdana" w:hAnsi="Verdana"/>
                <w:sz w:val="16"/>
                <w:szCs w:val="16"/>
                <w:lang w:val="en-US"/>
              </w:rPr>
              <w:t>State Public Enterprise</w:t>
            </w:r>
            <w:r w:rsidRPr="00770953">
              <w:rPr>
                <w:rFonts w:ascii="Verdana" w:hAnsi="Verdana"/>
                <w:sz w:val="16"/>
                <w:szCs w:val="16"/>
                <w:lang w:val="en-US"/>
              </w:rPr>
              <w:t xml:space="preserve"> or the </w:t>
            </w:r>
            <w:proofErr w:type="gramStart"/>
            <w:r w:rsidRPr="00770953">
              <w:rPr>
                <w:rFonts w:ascii="Verdana" w:hAnsi="Verdana"/>
                <w:sz w:val="16"/>
                <w:szCs w:val="16"/>
                <w:lang w:val="en-US"/>
              </w:rPr>
              <w:t>persons</w:t>
            </w:r>
            <w:proofErr w:type="gramEnd"/>
            <w:r w:rsidRPr="00770953">
              <w:rPr>
                <w:rFonts w:ascii="Verdana" w:hAnsi="Verdana"/>
                <w:sz w:val="16"/>
                <w:szCs w:val="16"/>
                <w:lang w:val="en-US"/>
              </w:rPr>
              <w:t xml:space="preserve"> interested in obtaining a permit or</w:t>
            </w:r>
            <w:r>
              <w:rPr>
                <w:rFonts w:ascii="Verdana" w:hAnsi="Verdana"/>
                <w:sz w:val="16"/>
                <w:szCs w:val="16"/>
                <w:lang w:val="en-US"/>
              </w:rPr>
              <w:t xml:space="preserve"> an</w:t>
            </w:r>
            <w:r w:rsidRPr="00770953">
              <w:rPr>
                <w:rFonts w:ascii="Verdana" w:hAnsi="Verdana"/>
                <w:sz w:val="16"/>
                <w:szCs w:val="16"/>
                <w:lang w:val="en-US"/>
              </w:rPr>
              <w:t xml:space="preserve"> authorization.</w:t>
            </w:r>
          </w:p>
        </w:tc>
      </w:tr>
      <w:tr w:rsidR="003A38FF" w:rsidRPr="00D83DA2" w14:paraId="63231229" w14:textId="38951E1D" w:rsidTr="00FB5DAD">
        <w:tc>
          <w:tcPr>
            <w:tcW w:w="4706" w:type="dxa"/>
          </w:tcPr>
          <w:p w14:paraId="713A42D6"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sz w:val="16"/>
                <w:szCs w:val="16"/>
              </w:rPr>
              <w:t>La Empresa Pública del Estado o las personas interesadas en obtener un permiso o una autorización, deben acreditar el pago del derecho o aprovechamiento en los términos de las disposiciones aplicables para iniciar el trámite de la Manifestación de Impacto Social del Sector Energético.</w:t>
            </w:r>
          </w:p>
        </w:tc>
        <w:tc>
          <w:tcPr>
            <w:tcW w:w="4644" w:type="dxa"/>
          </w:tcPr>
          <w:p w14:paraId="4BB10B69" w14:textId="7E49819A" w:rsidR="003A38FF" w:rsidRPr="00D0180E" w:rsidRDefault="003A38FF" w:rsidP="003A38FF">
            <w:pPr>
              <w:pStyle w:val="Texto"/>
              <w:spacing w:line="223" w:lineRule="exact"/>
              <w:ind w:firstLine="0"/>
              <w:rPr>
                <w:rFonts w:ascii="Verdana" w:hAnsi="Verdana"/>
                <w:sz w:val="16"/>
                <w:szCs w:val="16"/>
                <w:lang w:val="en-US"/>
              </w:rPr>
            </w:pPr>
            <w:r w:rsidRPr="00770953">
              <w:rPr>
                <w:rFonts w:ascii="Verdana" w:hAnsi="Verdana"/>
                <w:sz w:val="16"/>
                <w:szCs w:val="16"/>
                <w:lang w:val="en-US"/>
              </w:rPr>
              <w:t xml:space="preserve">The </w:t>
            </w:r>
            <w:r>
              <w:rPr>
                <w:rFonts w:ascii="Verdana" w:hAnsi="Verdana"/>
                <w:sz w:val="16"/>
                <w:szCs w:val="16"/>
                <w:lang w:val="en-US"/>
              </w:rPr>
              <w:t>State Public Enterprise</w:t>
            </w:r>
            <w:r w:rsidRPr="00770953">
              <w:rPr>
                <w:rFonts w:ascii="Verdana" w:hAnsi="Verdana"/>
                <w:sz w:val="16"/>
                <w:szCs w:val="16"/>
                <w:lang w:val="en-US"/>
              </w:rPr>
              <w:t xml:space="preserve"> or the person interested in obtaining a permit or</w:t>
            </w:r>
            <w:r>
              <w:rPr>
                <w:rFonts w:ascii="Verdana" w:hAnsi="Verdana"/>
                <w:sz w:val="16"/>
                <w:szCs w:val="16"/>
                <w:lang w:val="en-US"/>
              </w:rPr>
              <w:t xml:space="preserve"> an</w:t>
            </w:r>
            <w:r w:rsidRPr="00770953">
              <w:rPr>
                <w:rFonts w:ascii="Verdana" w:hAnsi="Verdana"/>
                <w:sz w:val="16"/>
                <w:szCs w:val="16"/>
                <w:lang w:val="en-US"/>
              </w:rPr>
              <w:t xml:space="preserve"> authorization must prove payment of the fee or use in accordance with the applicable provisions to begin the process of the Energy Sector Social Impact Statement.</w:t>
            </w:r>
          </w:p>
        </w:tc>
      </w:tr>
      <w:tr w:rsidR="003A38FF" w:rsidRPr="00D83DA2" w14:paraId="7092AC8C" w14:textId="620FA2EB" w:rsidTr="00FB5DAD">
        <w:tc>
          <w:tcPr>
            <w:tcW w:w="4706" w:type="dxa"/>
          </w:tcPr>
          <w:p w14:paraId="537CAA00"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sz w:val="16"/>
                <w:szCs w:val="16"/>
              </w:rPr>
              <w:t>La solicitud debe contener la versión pública de la Manifestación de Impacto Social del Sector Energético en la que deben expresar su conformidad para hacerla pública con fines de transparencia y acceso a la información pública.</w:t>
            </w:r>
          </w:p>
        </w:tc>
        <w:tc>
          <w:tcPr>
            <w:tcW w:w="4644" w:type="dxa"/>
          </w:tcPr>
          <w:p w14:paraId="0CEA012B" w14:textId="644ED922" w:rsidR="003A38FF" w:rsidRPr="00D0180E" w:rsidRDefault="003A38FF" w:rsidP="003A38FF">
            <w:pPr>
              <w:pStyle w:val="Texto"/>
              <w:spacing w:line="223" w:lineRule="exact"/>
              <w:ind w:firstLine="0"/>
              <w:rPr>
                <w:rFonts w:ascii="Verdana" w:hAnsi="Verdana"/>
                <w:sz w:val="16"/>
                <w:szCs w:val="16"/>
                <w:lang w:val="en-US"/>
              </w:rPr>
            </w:pPr>
            <w:r w:rsidRPr="00770953">
              <w:rPr>
                <w:rFonts w:ascii="Verdana" w:hAnsi="Verdana"/>
                <w:sz w:val="16"/>
                <w:szCs w:val="16"/>
                <w:lang w:val="en-US"/>
              </w:rPr>
              <w:t>The application must contain the public version of the Energy Sector Social Impact Statement, which they must agree to make public for transparency and access to public information purposes.</w:t>
            </w:r>
          </w:p>
        </w:tc>
      </w:tr>
      <w:tr w:rsidR="003A38FF" w:rsidRPr="00D83DA2" w14:paraId="7DBDE15F" w14:textId="083B8266" w:rsidTr="00FB5DAD">
        <w:tc>
          <w:tcPr>
            <w:tcW w:w="4706" w:type="dxa"/>
          </w:tcPr>
          <w:p w14:paraId="45F25BF0"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sz w:val="16"/>
                <w:szCs w:val="16"/>
              </w:rPr>
              <w:t>La versión pública se debe poner a disposición y consulta de cualquier persona a través de los medios que para tal efecto se establezcan.</w:t>
            </w:r>
          </w:p>
        </w:tc>
        <w:tc>
          <w:tcPr>
            <w:tcW w:w="4644" w:type="dxa"/>
          </w:tcPr>
          <w:p w14:paraId="6E064A3C" w14:textId="3FECCD1C" w:rsidR="003A38FF" w:rsidRPr="00D0180E" w:rsidRDefault="003A38FF" w:rsidP="003A38FF">
            <w:pPr>
              <w:pStyle w:val="Texto"/>
              <w:spacing w:line="223" w:lineRule="exact"/>
              <w:ind w:firstLine="0"/>
              <w:rPr>
                <w:rFonts w:ascii="Verdana" w:hAnsi="Verdana"/>
                <w:sz w:val="16"/>
                <w:szCs w:val="16"/>
                <w:lang w:val="en-US"/>
              </w:rPr>
            </w:pPr>
            <w:r w:rsidRPr="00770953">
              <w:rPr>
                <w:rFonts w:ascii="Verdana" w:hAnsi="Verdana"/>
                <w:sz w:val="16"/>
                <w:szCs w:val="16"/>
                <w:lang w:val="en-US"/>
              </w:rPr>
              <w:t>The public version must be made available and accessible to anyone through the means established for this purpose.</w:t>
            </w:r>
          </w:p>
        </w:tc>
      </w:tr>
      <w:tr w:rsidR="003A38FF" w:rsidRPr="00D83DA2" w14:paraId="477B0F67" w14:textId="025ACF12" w:rsidTr="00FB5DAD">
        <w:tc>
          <w:tcPr>
            <w:tcW w:w="4706" w:type="dxa"/>
          </w:tcPr>
          <w:p w14:paraId="787BFBE2"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b/>
                <w:sz w:val="16"/>
                <w:szCs w:val="16"/>
              </w:rPr>
              <w:t>Artículo 207.</w:t>
            </w:r>
            <w:r w:rsidRPr="00D0180E">
              <w:rPr>
                <w:rFonts w:ascii="Verdana" w:hAnsi="Verdana"/>
                <w:sz w:val="16"/>
                <w:szCs w:val="16"/>
              </w:rPr>
              <w:t xml:space="preserve"> El Plan de Gestión Social del proyecto debe incorporar, al menos:</w:t>
            </w:r>
          </w:p>
        </w:tc>
        <w:tc>
          <w:tcPr>
            <w:tcW w:w="4644" w:type="dxa"/>
          </w:tcPr>
          <w:p w14:paraId="70C68EF9" w14:textId="7A858A41" w:rsidR="003A38FF" w:rsidRPr="00D0180E" w:rsidRDefault="003A38FF" w:rsidP="003A38FF">
            <w:pPr>
              <w:pStyle w:val="Texto"/>
              <w:spacing w:line="223" w:lineRule="exact"/>
              <w:ind w:firstLine="0"/>
              <w:rPr>
                <w:rFonts w:ascii="Verdana" w:hAnsi="Verdana"/>
                <w:b/>
                <w:sz w:val="16"/>
                <w:szCs w:val="16"/>
                <w:lang w:val="en-US"/>
              </w:rPr>
            </w:pPr>
            <w:r w:rsidRPr="00770953">
              <w:rPr>
                <w:rFonts w:ascii="Verdana" w:hAnsi="Verdana"/>
                <w:b/>
                <w:sz w:val="16"/>
                <w:szCs w:val="16"/>
                <w:lang w:val="en-US"/>
              </w:rPr>
              <w:t xml:space="preserve">Article 207. </w:t>
            </w:r>
            <w:r w:rsidRPr="00770953">
              <w:rPr>
                <w:rFonts w:ascii="Verdana" w:hAnsi="Verdana"/>
                <w:sz w:val="16"/>
                <w:szCs w:val="16"/>
                <w:lang w:val="en-US"/>
              </w:rPr>
              <w:t xml:space="preserve">The Social Management Plan of the project must </w:t>
            </w:r>
            <w:proofErr w:type="gramStart"/>
            <w:r w:rsidRPr="00770953">
              <w:rPr>
                <w:rFonts w:ascii="Verdana" w:hAnsi="Verdana"/>
                <w:sz w:val="16"/>
                <w:szCs w:val="16"/>
                <w:lang w:val="en-US"/>
              </w:rPr>
              <w:t>incorporate</w:t>
            </w:r>
            <w:proofErr w:type="gramEnd"/>
            <w:r w:rsidRPr="00770953">
              <w:rPr>
                <w:rFonts w:ascii="Verdana" w:hAnsi="Verdana"/>
                <w:sz w:val="16"/>
                <w:szCs w:val="16"/>
                <w:lang w:val="en-US"/>
              </w:rPr>
              <w:t>, at least:</w:t>
            </w:r>
          </w:p>
        </w:tc>
      </w:tr>
      <w:tr w:rsidR="003A38FF" w:rsidRPr="00D83DA2" w14:paraId="512D09ED" w14:textId="0C67D176" w:rsidTr="00FB5DAD">
        <w:tc>
          <w:tcPr>
            <w:tcW w:w="4706" w:type="dxa"/>
          </w:tcPr>
          <w:p w14:paraId="570AB776"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La estrategia de implementación de las medidas de prevención, mitigación, remediación, compensación y ampliación de los Impactos Sociales;</w:t>
            </w:r>
          </w:p>
        </w:tc>
        <w:tc>
          <w:tcPr>
            <w:tcW w:w="4644" w:type="dxa"/>
          </w:tcPr>
          <w:p w14:paraId="05DB4EBF" w14:textId="0B3B904F" w:rsidR="003A38FF" w:rsidRPr="00D0180E" w:rsidRDefault="003A38FF" w:rsidP="003A38FF">
            <w:pPr>
              <w:pStyle w:val="Texto"/>
              <w:spacing w:line="223" w:lineRule="exact"/>
              <w:ind w:firstLine="0"/>
              <w:rPr>
                <w:rFonts w:ascii="Verdana" w:hAnsi="Verdana"/>
                <w:b/>
                <w:sz w:val="16"/>
                <w:szCs w:val="16"/>
                <w:lang w:val="en-US"/>
              </w:rPr>
            </w:pPr>
            <w:r w:rsidRPr="00770953">
              <w:rPr>
                <w:rFonts w:ascii="Verdana" w:hAnsi="Verdana"/>
                <w:b/>
                <w:sz w:val="16"/>
                <w:szCs w:val="16"/>
                <w:lang w:val="en-US"/>
              </w:rPr>
              <w:t>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The</w:t>
            </w:r>
            <w:proofErr w:type="gramEnd"/>
            <w:r w:rsidRPr="00770953">
              <w:rPr>
                <w:rFonts w:ascii="Verdana" w:hAnsi="Verdana"/>
                <w:sz w:val="16"/>
                <w:szCs w:val="16"/>
                <w:lang w:val="en-US"/>
              </w:rPr>
              <w:t xml:space="preserve"> strategy for implementing measures for the prevention, mitigation, remediation, compensation and expansion of </w:t>
            </w:r>
            <w:r>
              <w:rPr>
                <w:rFonts w:ascii="Verdana" w:hAnsi="Verdana"/>
                <w:sz w:val="16"/>
                <w:szCs w:val="16"/>
                <w:lang w:val="en-US"/>
              </w:rPr>
              <w:t>s</w:t>
            </w:r>
            <w:r w:rsidRPr="00770953">
              <w:rPr>
                <w:rFonts w:ascii="Verdana" w:hAnsi="Verdana"/>
                <w:sz w:val="16"/>
                <w:szCs w:val="16"/>
                <w:lang w:val="en-US"/>
              </w:rPr>
              <w:t xml:space="preserve">ocial </w:t>
            </w:r>
            <w:r>
              <w:rPr>
                <w:rFonts w:ascii="Verdana" w:hAnsi="Verdana"/>
                <w:sz w:val="16"/>
                <w:szCs w:val="16"/>
                <w:lang w:val="en-US"/>
              </w:rPr>
              <w:t>i</w:t>
            </w:r>
            <w:r w:rsidRPr="00770953">
              <w:rPr>
                <w:rFonts w:ascii="Verdana" w:hAnsi="Verdana"/>
                <w:sz w:val="16"/>
                <w:szCs w:val="16"/>
                <w:lang w:val="en-US"/>
              </w:rPr>
              <w:t>mpacts;</w:t>
            </w:r>
          </w:p>
        </w:tc>
      </w:tr>
      <w:tr w:rsidR="003A38FF" w:rsidRPr="00D83DA2" w14:paraId="5BC86BE9" w14:textId="4968B5AD" w:rsidTr="00FB5DAD">
        <w:tc>
          <w:tcPr>
            <w:tcW w:w="4706" w:type="dxa"/>
          </w:tcPr>
          <w:p w14:paraId="47E29DB1"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 xml:space="preserve">La estrategia de comunicación y vinculación con las poblaciones ubicadas en el área de influencia y </w:t>
            </w:r>
            <w:r w:rsidRPr="00D0180E">
              <w:rPr>
                <w:rFonts w:ascii="Verdana" w:hAnsi="Verdana"/>
                <w:sz w:val="16"/>
                <w:szCs w:val="16"/>
              </w:rPr>
              <w:lastRenderedPageBreak/>
              <w:t>otros actores, incluidos los sistemas o mecanismos de atención de quejas, y</w:t>
            </w:r>
          </w:p>
        </w:tc>
        <w:tc>
          <w:tcPr>
            <w:tcW w:w="4644" w:type="dxa"/>
          </w:tcPr>
          <w:p w14:paraId="510E81D7" w14:textId="0F5B2794" w:rsidR="003A38FF" w:rsidRPr="00D0180E" w:rsidRDefault="003A38FF" w:rsidP="003A38FF">
            <w:pPr>
              <w:pStyle w:val="Texto"/>
              <w:spacing w:line="223" w:lineRule="exact"/>
              <w:ind w:firstLine="0"/>
              <w:rPr>
                <w:rFonts w:ascii="Verdana" w:hAnsi="Verdana"/>
                <w:b/>
                <w:sz w:val="16"/>
                <w:szCs w:val="16"/>
                <w:lang w:val="en-US"/>
              </w:rPr>
            </w:pPr>
            <w:r w:rsidRPr="00770953">
              <w:rPr>
                <w:rFonts w:ascii="Verdana" w:hAnsi="Verdana"/>
                <w:b/>
                <w:sz w:val="16"/>
                <w:szCs w:val="16"/>
                <w:lang w:val="en-US"/>
              </w:rPr>
              <w:lastRenderedPageBreak/>
              <w:t>II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The</w:t>
            </w:r>
            <w:proofErr w:type="gramEnd"/>
            <w:r w:rsidRPr="00770953">
              <w:rPr>
                <w:rFonts w:ascii="Verdana" w:hAnsi="Verdana"/>
                <w:sz w:val="16"/>
                <w:szCs w:val="16"/>
                <w:lang w:val="en-US"/>
              </w:rPr>
              <w:t xml:space="preserve"> communication and outreach strategy with the populations located </w:t>
            </w:r>
            <w:proofErr w:type="gramStart"/>
            <w:r w:rsidRPr="00770953">
              <w:rPr>
                <w:rFonts w:ascii="Verdana" w:hAnsi="Verdana"/>
                <w:sz w:val="16"/>
                <w:szCs w:val="16"/>
                <w:lang w:val="en-US"/>
              </w:rPr>
              <w:t>in the area of</w:t>
            </w:r>
            <w:proofErr w:type="gramEnd"/>
            <w:r w:rsidRPr="00770953">
              <w:rPr>
                <w:rFonts w:ascii="Verdana" w:hAnsi="Verdana"/>
                <w:sz w:val="16"/>
                <w:szCs w:val="16"/>
                <w:lang w:val="en-US"/>
              </w:rPr>
              <w:t xml:space="preserve"> influence and </w:t>
            </w:r>
            <w:r w:rsidRPr="00770953">
              <w:rPr>
                <w:rFonts w:ascii="Verdana" w:hAnsi="Verdana"/>
                <w:sz w:val="16"/>
                <w:szCs w:val="16"/>
                <w:lang w:val="en-US"/>
              </w:rPr>
              <w:lastRenderedPageBreak/>
              <w:t>other actors, including complaint handling systems or mechanisms, and</w:t>
            </w:r>
          </w:p>
        </w:tc>
      </w:tr>
      <w:tr w:rsidR="003A38FF" w:rsidRPr="00D83DA2" w14:paraId="71D7FC17" w14:textId="349806B3" w:rsidTr="00FB5DAD">
        <w:tc>
          <w:tcPr>
            <w:tcW w:w="4706" w:type="dxa"/>
          </w:tcPr>
          <w:p w14:paraId="32E0B6F7"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b/>
                <w:sz w:val="16"/>
                <w:szCs w:val="16"/>
              </w:rPr>
              <w:lastRenderedPageBreak/>
              <w:t>III.</w:t>
            </w:r>
            <w:r w:rsidRPr="00D0180E">
              <w:rPr>
                <w:rFonts w:ascii="Verdana" w:hAnsi="Verdana"/>
                <w:b/>
                <w:sz w:val="16"/>
                <w:szCs w:val="16"/>
              </w:rPr>
              <w:tab/>
            </w:r>
            <w:r w:rsidRPr="00D0180E">
              <w:rPr>
                <w:rFonts w:ascii="Verdana" w:hAnsi="Verdana"/>
                <w:sz w:val="16"/>
                <w:szCs w:val="16"/>
              </w:rPr>
              <w:t>Las demás previstas en las disposiciones administrativas de carácter general en materia de impacto social.</w:t>
            </w:r>
          </w:p>
        </w:tc>
        <w:tc>
          <w:tcPr>
            <w:tcW w:w="4644" w:type="dxa"/>
          </w:tcPr>
          <w:p w14:paraId="4745C297" w14:textId="370A1AEE" w:rsidR="003A38FF" w:rsidRPr="00D0180E" w:rsidRDefault="003A38FF" w:rsidP="003A38FF">
            <w:pPr>
              <w:pStyle w:val="Texto"/>
              <w:spacing w:line="223" w:lineRule="exact"/>
              <w:ind w:firstLine="0"/>
              <w:rPr>
                <w:rFonts w:ascii="Verdana" w:hAnsi="Verdana"/>
                <w:b/>
                <w:sz w:val="16"/>
                <w:szCs w:val="16"/>
                <w:lang w:val="en-US"/>
              </w:rPr>
            </w:pPr>
            <w:r w:rsidRPr="00770953">
              <w:rPr>
                <w:rFonts w:ascii="Verdana" w:hAnsi="Verdana"/>
                <w:b/>
                <w:sz w:val="16"/>
                <w:szCs w:val="16"/>
                <w:lang w:val="en-US"/>
              </w:rPr>
              <w:t>III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Other</w:t>
            </w:r>
            <w:proofErr w:type="gramEnd"/>
            <w:r w:rsidRPr="00770953">
              <w:rPr>
                <w:rFonts w:ascii="Verdana" w:hAnsi="Verdana"/>
                <w:sz w:val="16"/>
                <w:szCs w:val="16"/>
                <w:lang w:val="en-US"/>
              </w:rPr>
              <w:t xml:space="preserve"> provisions provided for in general administrative provisions on social impact.</w:t>
            </w:r>
          </w:p>
        </w:tc>
      </w:tr>
      <w:tr w:rsidR="003A38FF" w:rsidRPr="00D83DA2" w14:paraId="3CFEC1D1" w14:textId="5A46F238" w:rsidTr="00FB5DAD">
        <w:tc>
          <w:tcPr>
            <w:tcW w:w="4706" w:type="dxa"/>
          </w:tcPr>
          <w:p w14:paraId="05EF00CF"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b/>
                <w:sz w:val="16"/>
                <w:szCs w:val="16"/>
              </w:rPr>
              <w:t>Artículo 208.</w:t>
            </w:r>
            <w:r w:rsidRPr="00D0180E">
              <w:rPr>
                <w:rFonts w:ascii="Verdana" w:hAnsi="Verdana"/>
                <w:sz w:val="16"/>
                <w:szCs w:val="16"/>
              </w:rPr>
              <w:t xml:space="preserve"> Además de lo indicado en el artículo anterior, para las obras y actividades que, por sus dimensiones o impacto, así lo prevean las disposiciones administrativas de carácter general en materia de impacto social, el Plan de Gestión Social debe incorporar:</w:t>
            </w:r>
          </w:p>
        </w:tc>
        <w:tc>
          <w:tcPr>
            <w:tcW w:w="4644" w:type="dxa"/>
          </w:tcPr>
          <w:p w14:paraId="6EC7469A" w14:textId="311669FC" w:rsidR="003A38FF" w:rsidRPr="00D0180E" w:rsidRDefault="003A38FF" w:rsidP="003A38FF">
            <w:pPr>
              <w:pStyle w:val="Texto"/>
              <w:spacing w:line="223" w:lineRule="exact"/>
              <w:ind w:firstLine="0"/>
              <w:rPr>
                <w:rFonts w:ascii="Verdana" w:hAnsi="Verdana"/>
                <w:b/>
                <w:sz w:val="16"/>
                <w:szCs w:val="16"/>
                <w:lang w:val="en-US"/>
              </w:rPr>
            </w:pPr>
            <w:r w:rsidRPr="00770953">
              <w:rPr>
                <w:rFonts w:ascii="Verdana" w:hAnsi="Verdana"/>
                <w:b/>
                <w:sz w:val="16"/>
                <w:szCs w:val="16"/>
                <w:lang w:val="en-US"/>
              </w:rPr>
              <w:t xml:space="preserve">Article 208. </w:t>
            </w:r>
            <w:r w:rsidRPr="00770953">
              <w:rPr>
                <w:rFonts w:ascii="Verdana" w:hAnsi="Verdana"/>
                <w:sz w:val="16"/>
                <w:szCs w:val="16"/>
                <w:lang w:val="en-US"/>
              </w:rPr>
              <w:t xml:space="preserve">In addition to what is indicated in the </w:t>
            </w:r>
            <w:r>
              <w:rPr>
                <w:rFonts w:ascii="Verdana" w:hAnsi="Verdana"/>
                <w:sz w:val="16"/>
                <w:szCs w:val="16"/>
                <w:lang w:val="en-US"/>
              </w:rPr>
              <w:t>preceding article</w:t>
            </w:r>
            <w:r w:rsidRPr="00770953">
              <w:rPr>
                <w:rFonts w:ascii="Verdana" w:hAnsi="Verdana"/>
                <w:sz w:val="16"/>
                <w:szCs w:val="16"/>
                <w:lang w:val="en-US"/>
              </w:rPr>
              <w:t>, for works and activities that, due to their size or impact, are so provided for by general administrative provisions on social impact, the Social Management Plan must incorporate:</w:t>
            </w:r>
          </w:p>
        </w:tc>
      </w:tr>
      <w:tr w:rsidR="003A38FF" w:rsidRPr="00D83DA2" w14:paraId="7FCCBC5D" w14:textId="6DEC703D" w:rsidTr="00FB5DAD">
        <w:tc>
          <w:tcPr>
            <w:tcW w:w="4706" w:type="dxa"/>
          </w:tcPr>
          <w:p w14:paraId="145E46BF"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El Plan de abandono, cierre o desmantelamiento con las medidas de carácter social;</w:t>
            </w:r>
          </w:p>
        </w:tc>
        <w:tc>
          <w:tcPr>
            <w:tcW w:w="4644" w:type="dxa"/>
          </w:tcPr>
          <w:p w14:paraId="229ABC63" w14:textId="5301A193" w:rsidR="003A38FF" w:rsidRPr="00D0180E" w:rsidRDefault="003A38FF" w:rsidP="003A38FF">
            <w:pPr>
              <w:pStyle w:val="Texto"/>
              <w:spacing w:line="223" w:lineRule="exact"/>
              <w:ind w:firstLine="0"/>
              <w:rPr>
                <w:rFonts w:ascii="Verdana" w:hAnsi="Verdana"/>
                <w:b/>
                <w:sz w:val="16"/>
                <w:szCs w:val="16"/>
                <w:lang w:val="en-US"/>
              </w:rPr>
            </w:pPr>
            <w:r w:rsidRPr="00770953">
              <w:rPr>
                <w:rFonts w:ascii="Verdana" w:hAnsi="Verdana"/>
                <w:b/>
                <w:sz w:val="16"/>
                <w:szCs w:val="16"/>
                <w:lang w:val="en-US"/>
              </w:rPr>
              <w:t>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The</w:t>
            </w:r>
            <w:proofErr w:type="gramEnd"/>
            <w:r w:rsidRPr="00770953">
              <w:rPr>
                <w:rFonts w:ascii="Verdana" w:hAnsi="Verdana"/>
                <w:sz w:val="16"/>
                <w:szCs w:val="16"/>
                <w:lang w:val="en-US"/>
              </w:rPr>
              <w:t xml:space="preserve"> abandonment, closure or dismantling plan with social measures;</w:t>
            </w:r>
          </w:p>
        </w:tc>
      </w:tr>
      <w:tr w:rsidR="003A38FF" w:rsidRPr="00D83DA2" w14:paraId="355D521B" w14:textId="2539EEEB" w:rsidTr="00FB5DAD">
        <w:tc>
          <w:tcPr>
            <w:tcW w:w="4706" w:type="dxa"/>
          </w:tcPr>
          <w:p w14:paraId="6C6337B7"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El Plan de reasentamiento, cuando se requiera;</w:t>
            </w:r>
          </w:p>
        </w:tc>
        <w:tc>
          <w:tcPr>
            <w:tcW w:w="4644" w:type="dxa"/>
          </w:tcPr>
          <w:p w14:paraId="3A8F75C1" w14:textId="75E81197" w:rsidR="003A38FF" w:rsidRPr="00D0180E" w:rsidRDefault="003A38FF" w:rsidP="003A38FF">
            <w:pPr>
              <w:pStyle w:val="Texto"/>
              <w:spacing w:line="223" w:lineRule="exact"/>
              <w:ind w:firstLine="0"/>
              <w:rPr>
                <w:rFonts w:ascii="Verdana" w:hAnsi="Verdana"/>
                <w:b/>
                <w:sz w:val="16"/>
                <w:szCs w:val="16"/>
                <w:lang w:val="en-US"/>
              </w:rPr>
            </w:pPr>
            <w:r w:rsidRPr="00770953">
              <w:rPr>
                <w:rFonts w:ascii="Verdana" w:hAnsi="Verdana"/>
                <w:b/>
                <w:sz w:val="16"/>
                <w:szCs w:val="16"/>
                <w:lang w:val="en-US"/>
              </w:rPr>
              <w:t>II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The</w:t>
            </w:r>
            <w:proofErr w:type="gramEnd"/>
            <w:r w:rsidRPr="00770953">
              <w:rPr>
                <w:rFonts w:ascii="Verdana" w:hAnsi="Verdana"/>
                <w:sz w:val="16"/>
                <w:szCs w:val="16"/>
                <w:lang w:val="en-US"/>
              </w:rPr>
              <w:t xml:space="preserve"> </w:t>
            </w:r>
            <w:r>
              <w:rPr>
                <w:rFonts w:ascii="Verdana" w:hAnsi="Verdana"/>
                <w:sz w:val="16"/>
                <w:szCs w:val="16"/>
                <w:lang w:val="en-US"/>
              </w:rPr>
              <w:t>r</w:t>
            </w:r>
            <w:r w:rsidRPr="00770953">
              <w:rPr>
                <w:rFonts w:ascii="Verdana" w:hAnsi="Verdana"/>
                <w:sz w:val="16"/>
                <w:szCs w:val="16"/>
                <w:lang w:val="en-US"/>
              </w:rPr>
              <w:t xml:space="preserve">esettlement </w:t>
            </w:r>
            <w:r>
              <w:rPr>
                <w:rFonts w:ascii="Verdana" w:hAnsi="Verdana"/>
                <w:sz w:val="16"/>
                <w:szCs w:val="16"/>
                <w:lang w:val="en-US"/>
              </w:rPr>
              <w:t>p</w:t>
            </w:r>
            <w:r w:rsidRPr="00770953">
              <w:rPr>
                <w:rFonts w:ascii="Verdana" w:hAnsi="Verdana"/>
                <w:sz w:val="16"/>
                <w:szCs w:val="16"/>
                <w:lang w:val="en-US"/>
              </w:rPr>
              <w:t>lan, when required;</w:t>
            </w:r>
          </w:p>
        </w:tc>
      </w:tr>
      <w:tr w:rsidR="003A38FF" w:rsidRPr="00D83DA2" w14:paraId="6913E7A2" w14:textId="2CA5326C" w:rsidTr="00FB5DAD">
        <w:tc>
          <w:tcPr>
            <w:tcW w:w="4706" w:type="dxa"/>
          </w:tcPr>
          <w:p w14:paraId="58239B91"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Los indicadores de seguimiento del Plan de Gestión Social;</w:t>
            </w:r>
          </w:p>
        </w:tc>
        <w:tc>
          <w:tcPr>
            <w:tcW w:w="4644" w:type="dxa"/>
          </w:tcPr>
          <w:p w14:paraId="588C33BF" w14:textId="245A23A4" w:rsidR="003A38FF" w:rsidRPr="00D0180E" w:rsidRDefault="003A38FF" w:rsidP="003A38FF">
            <w:pPr>
              <w:pStyle w:val="Texto"/>
              <w:spacing w:line="223" w:lineRule="exact"/>
              <w:ind w:firstLine="0"/>
              <w:rPr>
                <w:rFonts w:ascii="Verdana" w:hAnsi="Verdana"/>
                <w:b/>
                <w:sz w:val="16"/>
                <w:szCs w:val="16"/>
                <w:lang w:val="en-US"/>
              </w:rPr>
            </w:pPr>
            <w:r w:rsidRPr="00770953">
              <w:rPr>
                <w:rFonts w:ascii="Verdana" w:hAnsi="Verdana"/>
                <w:b/>
                <w:sz w:val="16"/>
                <w:szCs w:val="16"/>
                <w:lang w:val="en-US"/>
              </w:rPr>
              <w:t>III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The</w:t>
            </w:r>
            <w:proofErr w:type="gramEnd"/>
            <w:r w:rsidRPr="00770953">
              <w:rPr>
                <w:rFonts w:ascii="Verdana" w:hAnsi="Verdana"/>
                <w:sz w:val="16"/>
                <w:szCs w:val="16"/>
                <w:lang w:val="en-US"/>
              </w:rPr>
              <w:t xml:space="preserve"> monitoring indicators of the Social Management Plan;</w:t>
            </w:r>
          </w:p>
        </w:tc>
      </w:tr>
      <w:tr w:rsidR="003A38FF" w:rsidRPr="00D83DA2" w14:paraId="0A076381" w14:textId="15AA106A" w:rsidTr="00FB5DAD">
        <w:tc>
          <w:tcPr>
            <w:tcW w:w="4706" w:type="dxa"/>
          </w:tcPr>
          <w:p w14:paraId="3BAA2983"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La Estrategia de Beneficios Sociales Compartidos, y</w:t>
            </w:r>
          </w:p>
        </w:tc>
        <w:tc>
          <w:tcPr>
            <w:tcW w:w="4644" w:type="dxa"/>
          </w:tcPr>
          <w:p w14:paraId="384466CF" w14:textId="31160C11" w:rsidR="003A38FF" w:rsidRPr="00D0180E" w:rsidRDefault="003A38FF" w:rsidP="003A38FF">
            <w:pPr>
              <w:pStyle w:val="Texto"/>
              <w:spacing w:line="223" w:lineRule="exact"/>
              <w:ind w:firstLine="0"/>
              <w:rPr>
                <w:rFonts w:ascii="Verdana" w:hAnsi="Verdana"/>
                <w:b/>
                <w:sz w:val="16"/>
                <w:szCs w:val="16"/>
                <w:lang w:val="en-US"/>
              </w:rPr>
            </w:pPr>
            <w:r w:rsidRPr="00770953">
              <w:rPr>
                <w:rFonts w:ascii="Verdana" w:hAnsi="Verdana"/>
                <w:b/>
                <w:sz w:val="16"/>
                <w:szCs w:val="16"/>
                <w:lang w:val="en-US"/>
              </w:rPr>
              <w:t>IV</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The</w:t>
            </w:r>
            <w:proofErr w:type="gramEnd"/>
            <w:r w:rsidRPr="00770953">
              <w:rPr>
                <w:rFonts w:ascii="Verdana" w:hAnsi="Verdana"/>
                <w:sz w:val="16"/>
                <w:szCs w:val="16"/>
                <w:lang w:val="en-US"/>
              </w:rPr>
              <w:t xml:space="preserve"> Shared Social Benefits Strategy, and</w:t>
            </w:r>
          </w:p>
        </w:tc>
      </w:tr>
      <w:tr w:rsidR="003A38FF" w:rsidRPr="00D83DA2" w14:paraId="69296EC2" w14:textId="3328E4CC" w:rsidTr="00FB5DAD">
        <w:tc>
          <w:tcPr>
            <w:tcW w:w="4706" w:type="dxa"/>
          </w:tcPr>
          <w:p w14:paraId="58810854"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El monto de inversión total anual estimado del Plan de Gestión Social.</w:t>
            </w:r>
          </w:p>
        </w:tc>
        <w:tc>
          <w:tcPr>
            <w:tcW w:w="4644" w:type="dxa"/>
          </w:tcPr>
          <w:p w14:paraId="42DE3888" w14:textId="35D9B893" w:rsidR="003A38FF" w:rsidRPr="00D0180E" w:rsidRDefault="003A38FF" w:rsidP="003A38FF">
            <w:pPr>
              <w:pStyle w:val="Texto"/>
              <w:spacing w:line="223" w:lineRule="exact"/>
              <w:ind w:firstLine="0"/>
              <w:rPr>
                <w:rFonts w:ascii="Verdana" w:hAnsi="Verdana"/>
                <w:b/>
                <w:sz w:val="16"/>
                <w:szCs w:val="16"/>
                <w:lang w:val="en-US"/>
              </w:rPr>
            </w:pPr>
            <w:r w:rsidRPr="00770953">
              <w:rPr>
                <w:rFonts w:ascii="Verdana" w:hAnsi="Verdana"/>
                <w:b/>
                <w:sz w:val="16"/>
                <w:szCs w:val="16"/>
                <w:lang w:val="en-US"/>
              </w:rPr>
              <w:t>V</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The</w:t>
            </w:r>
            <w:proofErr w:type="gramEnd"/>
            <w:r w:rsidRPr="00770953">
              <w:rPr>
                <w:rFonts w:ascii="Verdana" w:hAnsi="Verdana"/>
                <w:sz w:val="16"/>
                <w:szCs w:val="16"/>
                <w:lang w:val="en-US"/>
              </w:rPr>
              <w:t xml:space="preserve"> estimated total annual investment amount of the Social Management Plan.</w:t>
            </w:r>
          </w:p>
        </w:tc>
      </w:tr>
      <w:tr w:rsidR="003A38FF" w:rsidRPr="00D83DA2" w14:paraId="6CA8C8A1" w14:textId="622B8BC0" w:rsidTr="00FB5DAD">
        <w:tc>
          <w:tcPr>
            <w:tcW w:w="4706" w:type="dxa"/>
          </w:tcPr>
          <w:p w14:paraId="758AE60F"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b/>
                <w:sz w:val="16"/>
                <w:szCs w:val="16"/>
              </w:rPr>
              <w:t>Artículo 209.</w:t>
            </w:r>
            <w:r w:rsidRPr="00D0180E">
              <w:rPr>
                <w:rFonts w:ascii="Verdana" w:hAnsi="Verdana"/>
                <w:sz w:val="16"/>
                <w:szCs w:val="16"/>
              </w:rPr>
              <w:t xml:space="preserve"> El monto de inversión total del Plan de Gestión Social debe actualizarse anualmente y considerar para su definición al menos, la suma de los siguientes elementos:</w:t>
            </w:r>
          </w:p>
        </w:tc>
        <w:tc>
          <w:tcPr>
            <w:tcW w:w="4644" w:type="dxa"/>
          </w:tcPr>
          <w:p w14:paraId="3B9D367E" w14:textId="7C8AB56B" w:rsidR="003A38FF" w:rsidRPr="00D0180E" w:rsidRDefault="003A38FF" w:rsidP="003A38FF">
            <w:pPr>
              <w:pStyle w:val="Texto"/>
              <w:spacing w:line="223" w:lineRule="exact"/>
              <w:ind w:firstLine="0"/>
              <w:rPr>
                <w:rFonts w:ascii="Verdana" w:hAnsi="Verdana"/>
                <w:b/>
                <w:sz w:val="16"/>
                <w:szCs w:val="16"/>
                <w:lang w:val="en-US"/>
              </w:rPr>
            </w:pPr>
            <w:r w:rsidRPr="00770953">
              <w:rPr>
                <w:rFonts w:ascii="Verdana" w:hAnsi="Verdana"/>
                <w:b/>
                <w:sz w:val="16"/>
                <w:szCs w:val="16"/>
                <w:lang w:val="en-US"/>
              </w:rPr>
              <w:t xml:space="preserve">Article 209. </w:t>
            </w:r>
            <w:r w:rsidRPr="00770953">
              <w:rPr>
                <w:rFonts w:ascii="Verdana" w:hAnsi="Verdana"/>
                <w:sz w:val="16"/>
                <w:szCs w:val="16"/>
                <w:lang w:val="en-US"/>
              </w:rPr>
              <w:t xml:space="preserve">The total investment amount of the Social Management Plan must be updated annually and, </w:t>
            </w:r>
            <w:proofErr w:type="gramStart"/>
            <w:r w:rsidRPr="00770953">
              <w:rPr>
                <w:rFonts w:ascii="Verdana" w:hAnsi="Verdana"/>
                <w:sz w:val="16"/>
                <w:szCs w:val="16"/>
                <w:lang w:val="en-US"/>
              </w:rPr>
              <w:t>for</w:t>
            </w:r>
            <w:proofErr w:type="gramEnd"/>
            <w:r w:rsidRPr="00770953">
              <w:rPr>
                <w:rFonts w:ascii="Verdana" w:hAnsi="Verdana"/>
                <w:sz w:val="16"/>
                <w:szCs w:val="16"/>
                <w:lang w:val="en-US"/>
              </w:rPr>
              <w:t xml:space="preserve"> its definition, consider at least the sum of the following elements:</w:t>
            </w:r>
          </w:p>
        </w:tc>
      </w:tr>
      <w:tr w:rsidR="003A38FF" w:rsidRPr="00D83DA2" w14:paraId="1C5D9966" w14:textId="19404F46" w:rsidTr="00FB5DAD">
        <w:tc>
          <w:tcPr>
            <w:tcW w:w="4706" w:type="dxa"/>
          </w:tcPr>
          <w:p w14:paraId="2225BA02"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El monto de inversión para la implementación de las medidas de prevención, mitigación, remediación, compensación y ampliación de los Impactos Sociales;</w:t>
            </w:r>
          </w:p>
        </w:tc>
        <w:tc>
          <w:tcPr>
            <w:tcW w:w="4644" w:type="dxa"/>
          </w:tcPr>
          <w:p w14:paraId="532DFF8E" w14:textId="3024CE31" w:rsidR="003A38FF" w:rsidRPr="00D0180E" w:rsidRDefault="003A38FF" w:rsidP="003A38FF">
            <w:pPr>
              <w:pStyle w:val="Texto"/>
              <w:spacing w:line="223" w:lineRule="exact"/>
              <w:ind w:firstLine="0"/>
              <w:rPr>
                <w:rFonts w:ascii="Verdana" w:hAnsi="Verdana"/>
                <w:b/>
                <w:sz w:val="16"/>
                <w:szCs w:val="16"/>
                <w:lang w:val="en-US"/>
              </w:rPr>
            </w:pPr>
            <w:r w:rsidRPr="00770953">
              <w:rPr>
                <w:rFonts w:ascii="Verdana" w:hAnsi="Verdana"/>
                <w:b/>
                <w:sz w:val="16"/>
                <w:szCs w:val="16"/>
                <w:lang w:val="en-US"/>
              </w:rPr>
              <w:t>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The</w:t>
            </w:r>
            <w:proofErr w:type="gramEnd"/>
            <w:r w:rsidRPr="00770953">
              <w:rPr>
                <w:rFonts w:ascii="Verdana" w:hAnsi="Verdana"/>
                <w:sz w:val="16"/>
                <w:szCs w:val="16"/>
                <w:lang w:val="en-US"/>
              </w:rPr>
              <w:t xml:space="preserve"> amount of investment for the implementation of measures for the prevention, mitigation, remediation, compensation and expansion of </w:t>
            </w:r>
            <w:r>
              <w:rPr>
                <w:rFonts w:ascii="Verdana" w:hAnsi="Verdana"/>
                <w:sz w:val="16"/>
                <w:szCs w:val="16"/>
                <w:lang w:val="en-US"/>
              </w:rPr>
              <w:t>s</w:t>
            </w:r>
            <w:r w:rsidRPr="00770953">
              <w:rPr>
                <w:rFonts w:ascii="Verdana" w:hAnsi="Verdana"/>
                <w:sz w:val="16"/>
                <w:szCs w:val="16"/>
                <w:lang w:val="en-US"/>
              </w:rPr>
              <w:t xml:space="preserve">ocial </w:t>
            </w:r>
            <w:r>
              <w:rPr>
                <w:rFonts w:ascii="Verdana" w:hAnsi="Verdana"/>
                <w:sz w:val="16"/>
                <w:szCs w:val="16"/>
                <w:lang w:val="en-US"/>
              </w:rPr>
              <w:t>i</w:t>
            </w:r>
            <w:r w:rsidRPr="00770953">
              <w:rPr>
                <w:rFonts w:ascii="Verdana" w:hAnsi="Verdana"/>
                <w:sz w:val="16"/>
                <w:szCs w:val="16"/>
                <w:lang w:val="en-US"/>
              </w:rPr>
              <w:t>mpacts;</w:t>
            </w:r>
          </w:p>
        </w:tc>
      </w:tr>
      <w:tr w:rsidR="003A38FF" w:rsidRPr="00D83DA2" w14:paraId="23707135" w14:textId="26B1BD3C" w:rsidTr="00FB5DAD">
        <w:tc>
          <w:tcPr>
            <w:tcW w:w="4706" w:type="dxa"/>
          </w:tcPr>
          <w:p w14:paraId="4DD29A26"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El monto de inversión para la implementación de la Estrategia de Beneficios Sociales Compartidos;</w:t>
            </w:r>
          </w:p>
        </w:tc>
        <w:tc>
          <w:tcPr>
            <w:tcW w:w="4644" w:type="dxa"/>
          </w:tcPr>
          <w:p w14:paraId="0BB567B0" w14:textId="7CBDAC34" w:rsidR="003A38FF" w:rsidRPr="00D0180E" w:rsidRDefault="003A38FF" w:rsidP="003A38FF">
            <w:pPr>
              <w:pStyle w:val="Texto"/>
              <w:spacing w:line="223" w:lineRule="exact"/>
              <w:ind w:firstLine="0"/>
              <w:rPr>
                <w:rFonts w:ascii="Verdana" w:hAnsi="Verdana"/>
                <w:b/>
                <w:sz w:val="16"/>
                <w:szCs w:val="16"/>
                <w:lang w:val="en-US"/>
              </w:rPr>
            </w:pPr>
            <w:r w:rsidRPr="00770953">
              <w:rPr>
                <w:rFonts w:ascii="Verdana" w:hAnsi="Verdana"/>
                <w:b/>
                <w:sz w:val="16"/>
                <w:szCs w:val="16"/>
                <w:lang w:val="en-US"/>
              </w:rPr>
              <w:t>II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The</w:t>
            </w:r>
            <w:proofErr w:type="gramEnd"/>
            <w:r w:rsidRPr="00770953">
              <w:rPr>
                <w:rFonts w:ascii="Verdana" w:hAnsi="Verdana"/>
                <w:sz w:val="16"/>
                <w:szCs w:val="16"/>
                <w:lang w:val="en-US"/>
              </w:rPr>
              <w:t xml:space="preserve"> amount of investment for the implementation of the Shared Social Benefits Strategy;</w:t>
            </w:r>
          </w:p>
        </w:tc>
      </w:tr>
      <w:tr w:rsidR="003A38FF" w:rsidRPr="00D83DA2" w14:paraId="2B5C5A93" w14:textId="495789F4" w:rsidTr="00FB5DAD">
        <w:tc>
          <w:tcPr>
            <w:tcW w:w="4706" w:type="dxa"/>
          </w:tcPr>
          <w:p w14:paraId="2BB3CA15"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El monto de inversión para la implementación de cualquier otra de las acciones definidas en los artículos 207 y 208, fracciones I a IV de este reglamento;</w:t>
            </w:r>
          </w:p>
        </w:tc>
        <w:tc>
          <w:tcPr>
            <w:tcW w:w="4644" w:type="dxa"/>
          </w:tcPr>
          <w:p w14:paraId="3E542644" w14:textId="13842F6B" w:rsidR="003A38FF" w:rsidRPr="00D0180E" w:rsidRDefault="003A38FF" w:rsidP="003A38FF">
            <w:pPr>
              <w:pStyle w:val="Texto"/>
              <w:spacing w:line="223" w:lineRule="exact"/>
              <w:ind w:firstLine="0"/>
              <w:rPr>
                <w:rFonts w:ascii="Verdana" w:hAnsi="Verdana"/>
                <w:b/>
                <w:sz w:val="16"/>
                <w:szCs w:val="16"/>
                <w:lang w:val="en-US"/>
              </w:rPr>
            </w:pPr>
            <w:r w:rsidRPr="00770953">
              <w:rPr>
                <w:rFonts w:ascii="Verdana" w:hAnsi="Verdana"/>
                <w:b/>
                <w:sz w:val="16"/>
                <w:szCs w:val="16"/>
                <w:lang w:val="en-US"/>
              </w:rPr>
              <w:t>III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The</w:t>
            </w:r>
            <w:proofErr w:type="gramEnd"/>
            <w:r w:rsidRPr="00770953">
              <w:rPr>
                <w:rFonts w:ascii="Verdana" w:hAnsi="Verdana"/>
                <w:sz w:val="16"/>
                <w:szCs w:val="16"/>
                <w:lang w:val="en-US"/>
              </w:rPr>
              <w:t xml:space="preserve"> investment amount for the implementation of any other of the actions defined in articles 207 and 208, sections I to IV of this regulation;</w:t>
            </w:r>
          </w:p>
        </w:tc>
      </w:tr>
      <w:tr w:rsidR="003A38FF" w:rsidRPr="00D83DA2" w14:paraId="048C9E28" w14:textId="3D4CC343" w:rsidTr="00FB5DAD">
        <w:tc>
          <w:tcPr>
            <w:tcW w:w="4706" w:type="dxa"/>
          </w:tcPr>
          <w:p w14:paraId="110B962B"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El monto destinado al cumplimiento de los acuerdos derivados de la Consulta Previa en caso de que aplique;</w:t>
            </w:r>
          </w:p>
        </w:tc>
        <w:tc>
          <w:tcPr>
            <w:tcW w:w="4644" w:type="dxa"/>
          </w:tcPr>
          <w:p w14:paraId="44EBC2E6" w14:textId="28AC202B" w:rsidR="003A38FF" w:rsidRPr="00D0180E" w:rsidRDefault="003A38FF" w:rsidP="003A38FF">
            <w:pPr>
              <w:pStyle w:val="Texto"/>
              <w:spacing w:line="223" w:lineRule="exact"/>
              <w:ind w:firstLine="0"/>
              <w:rPr>
                <w:rFonts w:ascii="Verdana" w:hAnsi="Verdana"/>
                <w:b/>
                <w:sz w:val="16"/>
                <w:szCs w:val="16"/>
                <w:lang w:val="en-US"/>
              </w:rPr>
            </w:pPr>
            <w:r w:rsidRPr="00770953">
              <w:rPr>
                <w:rFonts w:ascii="Verdana" w:hAnsi="Verdana"/>
                <w:b/>
                <w:sz w:val="16"/>
                <w:szCs w:val="16"/>
                <w:lang w:val="en-US"/>
              </w:rPr>
              <w:t>IV</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The</w:t>
            </w:r>
            <w:proofErr w:type="gramEnd"/>
            <w:r w:rsidRPr="00770953">
              <w:rPr>
                <w:rFonts w:ascii="Verdana" w:hAnsi="Verdana"/>
                <w:sz w:val="16"/>
                <w:szCs w:val="16"/>
                <w:lang w:val="en-US"/>
              </w:rPr>
              <w:t xml:space="preserve"> amount allocated to the fulfillment of the </w:t>
            </w:r>
            <w:proofErr w:type="gramStart"/>
            <w:r w:rsidRPr="00770953">
              <w:rPr>
                <w:rFonts w:ascii="Verdana" w:hAnsi="Verdana"/>
                <w:sz w:val="16"/>
                <w:szCs w:val="16"/>
                <w:lang w:val="en-US"/>
              </w:rPr>
              <w:t>agreements</w:t>
            </w:r>
            <w:proofErr w:type="gramEnd"/>
            <w:r w:rsidRPr="00770953">
              <w:rPr>
                <w:rFonts w:ascii="Verdana" w:hAnsi="Verdana"/>
                <w:sz w:val="16"/>
                <w:szCs w:val="16"/>
                <w:lang w:val="en-US"/>
              </w:rPr>
              <w:t xml:space="preserve"> derived from the prior consultation, if applicable;</w:t>
            </w:r>
          </w:p>
        </w:tc>
      </w:tr>
      <w:tr w:rsidR="003A38FF" w:rsidRPr="00D83DA2" w14:paraId="7B29C3B7" w14:textId="23A0B810" w:rsidTr="00FB5DAD">
        <w:tc>
          <w:tcPr>
            <w:tcW w:w="4706" w:type="dxa"/>
          </w:tcPr>
          <w:p w14:paraId="219C104B" w14:textId="77777777" w:rsidR="003A38FF" w:rsidRPr="00D0180E" w:rsidRDefault="003A38FF" w:rsidP="003A38FF">
            <w:pPr>
              <w:pStyle w:val="Texto"/>
              <w:spacing w:line="233"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Cualquier otro recurso humano y financiero asignado para la implementación del Plan de Gestión Social en las diferentes etapas del proyecto, y</w:t>
            </w:r>
          </w:p>
        </w:tc>
        <w:tc>
          <w:tcPr>
            <w:tcW w:w="4644" w:type="dxa"/>
          </w:tcPr>
          <w:p w14:paraId="67C214BA" w14:textId="352D4124" w:rsidR="003A38FF" w:rsidRPr="00D0180E" w:rsidRDefault="003A38FF" w:rsidP="003A38FF">
            <w:pPr>
              <w:pStyle w:val="Texto"/>
              <w:spacing w:line="233" w:lineRule="exact"/>
              <w:ind w:firstLine="0"/>
              <w:rPr>
                <w:rFonts w:ascii="Verdana" w:hAnsi="Verdana"/>
                <w:b/>
                <w:sz w:val="16"/>
                <w:szCs w:val="16"/>
                <w:lang w:val="en-US"/>
              </w:rPr>
            </w:pPr>
            <w:r w:rsidRPr="00770953">
              <w:rPr>
                <w:rFonts w:ascii="Verdana" w:hAnsi="Verdana"/>
                <w:b/>
                <w:sz w:val="16"/>
                <w:szCs w:val="16"/>
                <w:lang w:val="en-US"/>
              </w:rPr>
              <w:t>V</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Any</w:t>
            </w:r>
            <w:proofErr w:type="gramEnd"/>
            <w:r w:rsidRPr="00770953">
              <w:rPr>
                <w:rFonts w:ascii="Verdana" w:hAnsi="Verdana"/>
                <w:sz w:val="16"/>
                <w:szCs w:val="16"/>
                <w:lang w:val="en-US"/>
              </w:rPr>
              <w:t xml:space="preserve"> other human and financial resources assigned for the implementation of the Social Management Plan in the different stages of the project, and</w:t>
            </w:r>
          </w:p>
        </w:tc>
      </w:tr>
      <w:tr w:rsidR="003A38FF" w:rsidRPr="00D83DA2" w14:paraId="7EECFEE7" w14:textId="1BA21863" w:rsidTr="00FB5DAD">
        <w:tc>
          <w:tcPr>
            <w:tcW w:w="4706" w:type="dxa"/>
          </w:tcPr>
          <w:p w14:paraId="0C4645B6" w14:textId="77777777" w:rsidR="003A38FF" w:rsidRPr="00D0180E" w:rsidRDefault="003A38FF" w:rsidP="003A38FF">
            <w:pPr>
              <w:pStyle w:val="Texto"/>
              <w:spacing w:line="233" w:lineRule="exact"/>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Cualquier otra que señalen las disposiciones administrativas de carácter general en materia de impacto social.</w:t>
            </w:r>
          </w:p>
        </w:tc>
        <w:tc>
          <w:tcPr>
            <w:tcW w:w="4644" w:type="dxa"/>
          </w:tcPr>
          <w:p w14:paraId="348E4843" w14:textId="2428C8E3" w:rsidR="003A38FF" w:rsidRPr="00D0180E" w:rsidRDefault="003A38FF" w:rsidP="003A38FF">
            <w:pPr>
              <w:pStyle w:val="Texto"/>
              <w:spacing w:line="233" w:lineRule="exact"/>
              <w:ind w:firstLine="0"/>
              <w:rPr>
                <w:rFonts w:ascii="Verdana" w:hAnsi="Verdana"/>
                <w:b/>
                <w:sz w:val="16"/>
                <w:szCs w:val="16"/>
                <w:lang w:val="en-US"/>
              </w:rPr>
            </w:pPr>
            <w:r w:rsidRPr="00770953">
              <w:rPr>
                <w:rFonts w:ascii="Verdana" w:hAnsi="Verdana"/>
                <w:b/>
                <w:sz w:val="16"/>
                <w:szCs w:val="16"/>
                <w:lang w:val="en-US"/>
              </w:rPr>
              <w:t>VI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Any</w:t>
            </w:r>
            <w:proofErr w:type="gramEnd"/>
            <w:r w:rsidRPr="00770953">
              <w:rPr>
                <w:rFonts w:ascii="Verdana" w:hAnsi="Verdana"/>
                <w:sz w:val="16"/>
                <w:szCs w:val="16"/>
                <w:lang w:val="en-US"/>
              </w:rPr>
              <w:t xml:space="preserve"> other provisions indicated by general administrative provisions regarding social impact.</w:t>
            </w:r>
          </w:p>
        </w:tc>
      </w:tr>
      <w:tr w:rsidR="003A38FF" w:rsidRPr="00D83DA2" w14:paraId="2B438F6D" w14:textId="5176F1F4" w:rsidTr="00FB5DAD">
        <w:tc>
          <w:tcPr>
            <w:tcW w:w="4706" w:type="dxa"/>
          </w:tcPr>
          <w:p w14:paraId="64FBCF10" w14:textId="77777777" w:rsidR="003A38FF" w:rsidRPr="00D0180E" w:rsidRDefault="003A38FF" w:rsidP="003A38FF">
            <w:pPr>
              <w:pStyle w:val="Texto"/>
              <w:spacing w:line="233" w:lineRule="exact"/>
              <w:ind w:firstLine="0"/>
              <w:rPr>
                <w:rFonts w:ascii="Verdana" w:hAnsi="Verdana"/>
                <w:sz w:val="16"/>
                <w:szCs w:val="16"/>
              </w:rPr>
            </w:pPr>
            <w:r w:rsidRPr="00D0180E">
              <w:rPr>
                <w:rFonts w:ascii="Verdana" w:hAnsi="Verdana"/>
                <w:b/>
                <w:sz w:val="16"/>
                <w:szCs w:val="16"/>
              </w:rPr>
              <w:t>Artículo 210.</w:t>
            </w:r>
            <w:r w:rsidRPr="00D0180E">
              <w:rPr>
                <w:rFonts w:ascii="Verdana" w:hAnsi="Verdana"/>
                <w:sz w:val="16"/>
                <w:szCs w:val="16"/>
              </w:rPr>
              <w:t xml:space="preserve"> El monto destinado a Beneficios Sociales Compartidos señalado en la fracción IV del artículo 208 de este reglamento, debe ser igual o mayor al monto asignado a la atención de los Impactos Sociales identificados en la Manifestación de Impacto Social del </w:t>
            </w:r>
            <w:r w:rsidRPr="00D0180E">
              <w:rPr>
                <w:rFonts w:ascii="Verdana" w:hAnsi="Verdana"/>
                <w:sz w:val="16"/>
                <w:szCs w:val="16"/>
              </w:rPr>
              <w:lastRenderedPageBreak/>
              <w:t>Sector Energético señalados en el artículo 207 de este reglamento.</w:t>
            </w:r>
          </w:p>
        </w:tc>
        <w:tc>
          <w:tcPr>
            <w:tcW w:w="4644" w:type="dxa"/>
          </w:tcPr>
          <w:p w14:paraId="5B2CFFA5" w14:textId="09DED990" w:rsidR="003A38FF" w:rsidRPr="00D0180E" w:rsidRDefault="003A38FF" w:rsidP="003A38FF">
            <w:pPr>
              <w:pStyle w:val="Texto"/>
              <w:spacing w:line="233" w:lineRule="exact"/>
              <w:ind w:firstLine="0"/>
              <w:rPr>
                <w:rFonts w:ascii="Verdana" w:hAnsi="Verdana"/>
                <w:b/>
                <w:sz w:val="16"/>
                <w:szCs w:val="16"/>
                <w:lang w:val="en-US"/>
              </w:rPr>
            </w:pPr>
            <w:r w:rsidRPr="00770953">
              <w:rPr>
                <w:rFonts w:ascii="Verdana" w:hAnsi="Verdana"/>
                <w:b/>
                <w:sz w:val="16"/>
                <w:szCs w:val="16"/>
                <w:lang w:val="en-US"/>
              </w:rPr>
              <w:lastRenderedPageBreak/>
              <w:t xml:space="preserve">Article 210. </w:t>
            </w:r>
            <w:r w:rsidRPr="00770953">
              <w:rPr>
                <w:rFonts w:ascii="Verdana" w:hAnsi="Verdana"/>
                <w:sz w:val="16"/>
                <w:szCs w:val="16"/>
                <w:lang w:val="en-US"/>
              </w:rPr>
              <w:t>The amount allocated to shared social benefits indicated in section IV of article 208 of this regulation must be equal to or greater than the amount assigned to address the social impacts identified in the Social Impact Statement of the Energy Sector indicated in article 207 of this regulation.</w:t>
            </w:r>
          </w:p>
        </w:tc>
      </w:tr>
      <w:tr w:rsidR="003A38FF" w:rsidRPr="00D83DA2" w14:paraId="50A6B302" w14:textId="68584D42" w:rsidTr="00FB5DAD">
        <w:tc>
          <w:tcPr>
            <w:tcW w:w="4706" w:type="dxa"/>
          </w:tcPr>
          <w:p w14:paraId="59E210AD" w14:textId="77777777" w:rsidR="003A38FF" w:rsidRPr="00D0180E" w:rsidRDefault="003A38FF" w:rsidP="003A38FF">
            <w:pPr>
              <w:pStyle w:val="Texto"/>
              <w:spacing w:line="233" w:lineRule="exact"/>
              <w:ind w:firstLine="0"/>
              <w:rPr>
                <w:rFonts w:ascii="Verdana" w:hAnsi="Verdana"/>
                <w:sz w:val="16"/>
                <w:szCs w:val="16"/>
              </w:rPr>
            </w:pPr>
            <w:r w:rsidRPr="00D0180E">
              <w:rPr>
                <w:rFonts w:ascii="Verdana" w:hAnsi="Verdana"/>
                <w:b/>
                <w:sz w:val="16"/>
                <w:szCs w:val="16"/>
              </w:rPr>
              <w:t>Artículo 211.</w:t>
            </w:r>
            <w:r w:rsidRPr="00D0180E">
              <w:rPr>
                <w:rFonts w:ascii="Verdana" w:hAnsi="Verdana"/>
                <w:sz w:val="16"/>
                <w:szCs w:val="16"/>
              </w:rPr>
              <w:t xml:space="preserve"> Para la definición de las estrategias de Beneficios Sociales Compartidos definidas en la fracción IV del artículo 208 de este reglamento, se deben considerar los siguientes elementos:</w:t>
            </w:r>
          </w:p>
        </w:tc>
        <w:tc>
          <w:tcPr>
            <w:tcW w:w="4644" w:type="dxa"/>
          </w:tcPr>
          <w:p w14:paraId="1E98C188" w14:textId="25BDA729" w:rsidR="003A38FF" w:rsidRPr="00D0180E" w:rsidRDefault="003A38FF" w:rsidP="003A38FF">
            <w:pPr>
              <w:pStyle w:val="Texto"/>
              <w:spacing w:line="233" w:lineRule="exact"/>
              <w:ind w:firstLine="0"/>
              <w:rPr>
                <w:rFonts w:ascii="Verdana" w:hAnsi="Verdana"/>
                <w:b/>
                <w:sz w:val="16"/>
                <w:szCs w:val="16"/>
                <w:lang w:val="en-US"/>
              </w:rPr>
            </w:pPr>
            <w:r w:rsidRPr="00770953">
              <w:rPr>
                <w:rFonts w:ascii="Verdana" w:hAnsi="Verdana"/>
                <w:b/>
                <w:sz w:val="16"/>
                <w:szCs w:val="16"/>
                <w:lang w:val="en-US"/>
              </w:rPr>
              <w:t xml:space="preserve">Article 211. </w:t>
            </w:r>
            <w:r w:rsidRPr="00770953">
              <w:rPr>
                <w:rFonts w:ascii="Verdana" w:hAnsi="Verdana"/>
                <w:sz w:val="16"/>
                <w:szCs w:val="16"/>
                <w:lang w:val="en-US"/>
              </w:rPr>
              <w:t>For the definition of the Shared Social Benefits strategies defined in section IV of article 208 of this regulation, the following elements must be considered:</w:t>
            </w:r>
          </w:p>
        </w:tc>
      </w:tr>
      <w:tr w:rsidR="003A38FF" w:rsidRPr="00D83DA2" w14:paraId="572927BB" w14:textId="65454F1A" w:rsidTr="00FB5DAD">
        <w:tc>
          <w:tcPr>
            <w:tcW w:w="4706" w:type="dxa"/>
          </w:tcPr>
          <w:p w14:paraId="262E3EBA" w14:textId="77777777" w:rsidR="003A38FF" w:rsidRPr="00D0180E" w:rsidRDefault="003A38FF" w:rsidP="003A38FF">
            <w:pPr>
              <w:pStyle w:val="Texto"/>
              <w:spacing w:line="233"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La atención a Personas en Situación de Vulnerabilidad;</w:t>
            </w:r>
          </w:p>
        </w:tc>
        <w:tc>
          <w:tcPr>
            <w:tcW w:w="4644" w:type="dxa"/>
          </w:tcPr>
          <w:p w14:paraId="2EF88A56" w14:textId="1F2AD275" w:rsidR="003A38FF" w:rsidRPr="00D0180E" w:rsidRDefault="003A38FF" w:rsidP="003A38FF">
            <w:pPr>
              <w:pStyle w:val="Texto"/>
              <w:spacing w:line="233" w:lineRule="exact"/>
              <w:ind w:firstLine="0"/>
              <w:rPr>
                <w:rFonts w:ascii="Verdana" w:hAnsi="Verdana"/>
                <w:b/>
                <w:sz w:val="16"/>
                <w:szCs w:val="16"/>
                <w:lang w:val="en-US"/>
              </w:rPr>
            </w:pPr>
            <w:r w:rsidRPr="00770953">
              <w:rPr>
                <w:rFonts w:ascii="Verdana" w:hAnsi="Verdana"/>
                <w:b/>
                <w:sz w:val="16"/>
                <w:szCs w:val="16"/>
                <w:lang w:val="en-US"/>
              </w:rPr>
              <w:t>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Care</w:t>
            </w:r>
            <w:proofErr w:type="gramEnd"/>
            <w:r w:rsidRPr="00770953">
              <w:rPr>
                <w:rFonts w:ascii="Verdana" w:hAnsi="Verdana"/>
                <w:sz w:val="16"/>
                <w:szCs w:val="16"/>
                <w:lang w:val="en-US"/>
              </w:rPr>
              <w:t xml:space="preserve"> for people in vulnerable situations;</w:t>
            </w:r>
          </w:p>
        </w:tc>
      </w:tr>
      <w:tr w:rsidR="003A38FF" w:rsidRPr="00D83DA2" w14:paraId="767425DD" w14:textId="0FDFE2AE" w:rsidTr="00FB5DAD">
        <w:tc>
          <w:tcPr>
            <w:tcW w:w="4706" w:type="dxa"/>
          </w:tcPr>
          <w:p w14:paraId="60E619AF" w14:textId="77777777" w:rsidR="003A38FF" w:rsidRPr="00D0180E" w:rsidRDefault="003A38FF" w:rsidP="003A38FF">
            <w:pPr>
              <w:pStyle w:val="Texto"/>
              <w:spacing w:line="233"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El desarrollo de las iniciativas orientadas a la generación de ingresos independientes del proyecto;</w:t>
            </w:r>
          </w:p>
        </w:tc>
        <w:tc>
          <w:tcPr>
            <w:tcW w:w="4644" w:type="dxa"/>
          </w:tcPr>
          <w:p w14:paraId="1B07F418" w14:textId="7D75B6D3" w:rsidR="003A38FF" w:rsidRPr="00D0180E" w:rsidRDefault="003A38FF" w:rsidP="003A38FF">
            <w:pPr>
              <w:pStyle w:val="Texto"/>
              <w:spacing w:line="233" w:lineRule="exact"/>
              <w:ind w:firstLine="0"/>
              <w:rPr>
                <w:rFonts w:ascii="Verdana" w:hAnsi="Verdana"/>
                <w:b/>
                <w:sz w:val="16"/>
                <w:szCs w:val="16"/>
                <w:lang w:val="en-US"/>
              </w:rPr>
            </w:pPr>
            <w:r w:rsidRPr="00770953">
              <w:rPr>
                <w:rFonts w:ascii="Verdana" w:hAnsi="Verdana"/>
                <w:b/>
                <w:sz w:val="16"/>
                <w:szCs w:val="16"/>
                <w:lang w:val="en-US"/>
              </w:rPr>
              <w:t>II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The</w:t>
            </w:r>
            <w:proofErr w:type="gramEnd"/>
            <w:r w:rsidRPr="00770953">
              <w:rPr>
                <w:rFonts w:ascii="Verdana" w:hAnsi="Verdana"/>
                <w:sz w:val="16"/>
                <w:szCs w:val="16"/>
                <w:lang w:val="en-US"/>
              </w:rPr>
              <w:t xml:space="preserve"> development of initiatives aimed at generating income independent of the project;</w:t>
            </w:r>
          </w:p>
        </w:tc>
      </w:tr>
      <w:tr w:rsidR="003A38FF" w:rsidRPr="00D83DA2" w14:paraId="2C9A79D2" w14:textId="1B2C101E" w:rsidTr="00FB5DAD">
        <w:tc>
          <w:tcPr>
            <w:tcW w:w="4706" w:type="dxa"/>
          </w:tcPr>
          <w:p w14:paraId="60DD8093" w14:textId="77777777" w:rsidR="003A38FF" w:rsidRPr="00D0180E" w:rsidRDefault="003A38FF" w:rsidP="003A38FF">
            <w:pPr>
              <w:pStyle w:val="Texto"/>
              <w:spacing w:line="233"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El fortalecimiento de cadenas productivas locales;</w:t>
            </w:r>
          </w:p>
        </w:tc>
        <w:tc>
          <w:tcPr>
            <w:tcW w:w="4644" w:type="dxa"/>
          </w:tcPr>
          <w:p w14:paraId="047308BF" w14:textId="27F3BF67" w:rsidR="003A38FF" w:rsidRPr="00D0180E" w:rsidRDefault="003A38FF" w:rsidP="003A38FF">
            <w:pPr>
              <w:pStyle w:val="Texto"/>
              <w:spacing w:line="233" w:lineRule="exact"/>
              <w:ind w:firstLine="0"/>
              <w:rPr>
                <w:rFonts w:ascii="Verdana" w:hAnsi="Verdana"/>
                <w:b/>
                <w:sz w:val="16"/>
                <w:szCs w:val="16"/>
                <w:lang w:val="en-US"/>
              </w:rPr>
            </w:pPr>
            <w:r w:rsidRPr="00770953">
              <w:rPr>
                <w:rFonts w:ascii="Verdana" w:hAnsi="Verdana"/>
                <w:b/>
                <w:sz w:val="16"/>
                <w:szCs w:val="16"/>
                <w:lang w:val="en-US"/>
              </w:rPr>
              <w:t>III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Strengthening</w:t>
            </w:r>
            <w:proofErr w:type="gramEnd"/>
            <w:r w:rsidRPr="00770953">
              <w:rPr>
                <w:rFonts w:ascii="Verdana" w:hAnsi="Verdana"/>
                <w:sz w:val="16"/>
                <w:szCs w:val="16"/>
                <w:lang w:val="en-US"/>
              </w:rPr>
              <w:t xml:space="preserve"> local production chains;</w:t>
            </w:r>
          </w:p>
        </w:tc>
      </w:tr>
      <w:tr w:rsidR="003A38FF" w:rsidRPr="00D83DA2" w14:paraId="624F58B0" w14:textId="4C23438E" w:rsidTr="00FB5DAD">
        <w:tc>
          <w:tcPr>
            <w:tcW w:w="4706" w:type="dxa"/>
          </w:tcPr>
          <w:p w14:paraId="3D402EC7" w14:textId="77777777" w:rsidR="003A38FF" w:rsidRPr="00D0180E" w:rsidRDefault="003A38FF" w:rsidP="003A38FF">
            <w:pPr>
              <w:pStyle w:val="Texto"/>
              <w:spacing w:line="233"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La coordinación con autoridades locales;</w:t>
            </w:r>
          </w:p>
        </w:tc>
        <w:tc>
          <w:tcPr>
            <w:tcW w:w="4644" w:type="dxa"/>
          </w:tcPr>
          <w:p w14:paraId="7FE372F4" w14:textId="4D02AAE8" w:rsidR="003A38FF" w:rsidRPr="00D0180E" w:rsidRDefault="003A38FF" w:rsidP="003A38FF">
            <w:pPr>
              <w:pStyle w:val="Texto"/>
              <w:spacing w:line="233" w:lineRule="exact"/>
              <w:ind w:firstLine="0"/>
              <w:rPr>
                <w:rFonts w:ascii="Verdana" w:hAnsi="Verdana"/>
                <w:b/>
                <w:sz w:val="16"/>
                <w:szCs w:val="16"/>
                <w:lang w:val="en-US"/>
              </w:rPr>
            </w:pPr>
            <w:r w:rsidRPr="00770953">
              <w:rPr>
                <w:rFonts w:ascii="Verdana" w:hAnsi="Verdana"/>
                <w:b/>
                <w:sz w:val="16"/>
                <w:szCs w:val="16"/>
                <w:lang w:val="en-US"/>
              </w:rPr>
              <w:t>IV</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Coordination</w:t>
            </w:r>
            <w:proofErr w:type="gramEnd"/>
            <w:r w:rsidRPr="00770953">
              <w:rPr>
                <w:rFonts w:ascii="Verdana" w:hAnsi="Verdana"/>
                <w:sz w:val="16"/>
                <w:szCs w:val="16"/>
                <w:lang w:val="en-US"/>
              </w:rPr>
              <w:t xml:space="preserve"> with local authorities;</w:t>
            </w:r>
          </w:p>
        </w:tc>
      </w:tr>
      <w:tr w:rsidR="003A38FF" w:rsidRPr="00D83DA2" w14:paraId="3C519559" w14:textId="53BDE8B6" w:rsidTr="00FB5DAD">
        <w:tc>
          <w:tcPr>
            <w:tcW w:w="4706" w:type="dxa"/>
          </w:tcPr>
          <w:p w14:paraId="190A5452" w14:textId="77777777" w:rsidR="003A38FF" w:rsidRPr="00D0180E" w:rsidRDefault="003A38FF" w:rsidP="003A38FF">
            <w:pPr>
              <w:pStyle w:val="Texto"/>
              <w:spacing w:line="233"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La alineación con los planes de desarrollo de los tres órdenes de gobierno;</w:t>
            </w:r>
          </w:p>
        </w:tc>
        <w:tc>
          <w:tcPr>
            <w:tcW w:w="4644" w:type="dxa"/>
          </w:tcPr>
          <w:p w14:paraId="37956183" w14:textId="7A6373F9" w:rsidR="003A38FF" w:rsidRPr="00D0180E" w:rsidRDefault="003A38FF" w:rsidP="003A38FF">
            <w:pPr>
              <w:pStyle w:val="Texto"/>
              <w:spacing w:line="233" w:lineRule="exact"/>
              <w:ind w:firstLine="0"/>
              <w:rPr>
                <w:rFonts w:ascii="Verdana" w:hAnsi="Verdana"/>
                <w:b/>
                <w:sz w:val="16"/>
                <w:szCs w:val="16"/>
                <w:lang w:val="en-US"/>
              </w:rPr>
            </w:pPr>
            <w:r w:rsidRPr="00770953">
              <w:rPr>
                <w:rFonts w:ascii="Verdana" w:hAnsi="Verdana"/>
                <w:b/>
                <w:sz w:val="16"/>
                <w:szCs w:val="16"/>
                <w:lang w:val="en-US"/>
              </w:rPr>
              <w:t>V</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Alignment</w:t>
            </w:r>
            <w:proofErr w:type="gramEnd"/>
            <w:r w:rsidRPr="00770953">
              <w:rPr>
                <w:rFonts w:ascii="Verdana" w:hAnsi="Verdana"/>
                <w:sz w:val="16"/>
                <w:szCs w:val="16"/>
                <w:lang w:val="en-US"/>
              </w:rPr>
              <w:t xml:space="preserve"> with the development plans of the three levels of government;</w:t>
            </w:r>
          </w:p>
        </w:tc>
      </w:tr>
      <w:tr w:rsidR="003A38FF" w:rsidRPr="00D83DA2" w14:paraId="15B519F7" w14:textId="78CABECB" w:rsidTr="00FB5DAD">
        <w:tc>
          <w:tcPr>
            <w:tcW w:w="4706" w:type="dxa"/>
          </w:tcPr>
          <w:p w14:paraId="20DB3CB8" w14:textId="77777777" w:rsidR="003A38FF" w:rsidRPr="00D0180E" w:rsidRDefault="003A38FF" w:rsidP="003A38FF">
            <w:pPr>
              <w:pStyle w:val="Texto"/>
              <w:spacing w:line="233" w:lineRule="exact"/>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El desarrollo y fortalecimiento de capacidades locales;</w:t>
            </w:r>
          </w:p>
        </w:tc>
        <w:tc>
          <w:tcPr>
            <w:tcW w:w="4644" w:type="dxa"/>
          </w:tcPr>
          <w:p w14:paraId="15067AA5" w14:textId="546514A9" w:rsidR="003A38FF" w:rsidRPr="00D0180E" w:rsidRDefault="003A38FF" w:rsidP="003A38FF">
            <w:pPr>
              <w:pStyle w:val="Texto"/>
              <w:spacing w:line="233" w:lineRule="exact"/>
              <w:ind w:firstLine="0"/>
              <w:rPr>
                <w:rFonts w:ascii="Verdana" w:hAnsi="Verdana"/>
                <w:b/>
                <w:sz w:val="16"/>
                <w:szCs w:val="16"/>
                <w:lang w:val="en-US"/>
              </w:rPr>
            </w:pPr>
            <w:r w:rsidRPr="00770953">
              <w:rPr>
                <w:rFonts w:ascii="Verdana" w:hAnsi="Verdana"/>
                <w:b/>
                <w:sz w:val="16"/>
                <w:szCs w:val="16"/>
                <w:lang w:val="en-US"/>
              </w:rPr>
              <w:t>VI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The</w:t>
            </w:r>
            <w:proofErr w:type="gramEnd"/>
            <w:r w:rsidRPr="00770953">
              <w:rPr>
                <w:rFonts w:ascii="Verdana" w:hAnsi="Verdana"/>
                <w:sz w:val="16"/>
                <w:szCs w:val="16"/>
                <w:lang w:val="en-US"/>
              </w:rPr>
              <w:t xml:space="preserve"> development and strengthening of local capacities;</w:t>
            </w:r>
          </w:p>
        </w:tc>
      </w:tr>
      <w:tr w:rsidR="003A38FF" w:rsidRPr="00D83DA2" w14:paraId="44C2AA1B" w14:textId="349BBA06" w:rsidTr="00FB5DAD">
        <w:tc>
          <w:tcPr>
            <w:tcW w:w="4706" w:type="dxa"/>
          </w:tcPr>
          <w:p w14:paraId="5FB1D845" w14:textId="77777777" w:rsidR="003A38FF" w:rsidRPr="00D0180E" w:rsidRDefault="003A38FF" w:rsidP="003A38FF">
            <w:pPr>
              <w:pStyle w:val="Texto"/>
              <w:spacing w:line="233" w:lineRule="exact"/>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La Sostenibilidad en el mediano y largo plazo;</w:t>
            </w:r>
          </w:p>
        </w:tc>
        <w:tc>
          <w:tcPr>
            <w:tcW w:w="4644" w:type="dxa"/>
          </w:tcPr>
          <w:p w14:paraId="553C46DA" w14:textId="44D68550" w:rsidR="003A38FF" w:rsidRPr="00D0180E" w:rsidRDefault="003A38FF" w:rsidP="003A38FF">
            <w:pPr>
              <w:pStyle w:val="Texto"/>
              <w:spacing w:line="233" w:lineRule="exact"/>
              <w:ind w:firstLine="0"/>
              <w:rPr>
                <w:rFonts w:ascii="Verdana" w:hAnsi="Verdana"/>
                <w:b/>
                <w:sz w:val="16"/>
                <w:szCs w:val="16"/>
                <w:lang w:val="en-US"/>
              </w:rPr>
            </w:pPr>
            <w:r w:rsidRPr="00770953">
              <w:rPr>
                <w:rFonts w:ascii="Verdana" w:hAnsi="Verdana"/>
                <w:b/>
                <w:sz w:val="16"/>
                <w:szCs w:val="16"/>
                <w:lang w:val="en-US"/>
              </w:rPr>
              <w:t>VII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Sustainability</w:t>
            </w:r>
            <w:proofErr w:type="gramEnd"/>
            <w:r w:rsidRPr="00770953">
              <w:rPr>
                <w:rFonts w:ascii="Verdana" w:hAnsi="Verdana"/>
                <w:sz w:val="16"/>
                <w:szCs w:val="16"/>
                <w:lang w:val="en-US"/>
              </w:rPr>
              <w:t xml:space="preserve"> in the medium and long term;</w:t>
            </w:r>
          </w:p>
        </w:tc>
      </w:tr>
      <w:tr w:rsidR="003A38FF" w:rsidRPr="00D83DA2" w14:paraId="7ADD1147" w14:textId="04770EC3" w:rsidTr="00FB5DAD">
        <w:tc>
          <w:tcPr>
            <w:tcW w:w="4706" w:type="dxa"/>
          </w:tcPr>
          <w:p w14:paraId="7B049BE1" w14:textId="77777777" w:rsidR="003A38FF" w:rsidRPr="00D0180E" w:rsidRDefault="003A38FF" w:rsidP="003A38FF">
            <w:pPr>
              <w:pStyle w:val="Texto"/>
              <w:spacing w:line="233" w:lineRule="exact"/>
              <w:ind w:firstLine="0"/>
              <w:rPr>
                <w:rFonts w:ascii="Verdana" w:hAnsi="Verdana"/>
                <w:sz w:val="16"/>
                <w:szCs w:val="16"/>
              </w:rPr>
            </w:pPr>
            <w:r w:rsidRPr="00D0180E">
              <w:rPr>
                <w:rFonts w:ascii="Verdana" w:hAnsi="Verdana"/>
                <w:b/>
                <w:sz w:val="16"/>
                <w:szCs w:val="16"/>
              </w:rPr>
              <w:t>VIII.</w:t>
            </w:r>
            <w:r w:rsidRPr="00D0180E">
              <w:rPr>
                <w:rFonts w:ascii="Verdana" w:hAnsi="Verdana"/>
                <w:b/>
                <w:sz w:val="16"/>
                <w:szCs w:val="16"/>
              </w:rPr>
              <w:tab/>
            </w:r>
            <w:r w:rsidRPr="00D0180E">
              <w:rPr>
                <w:rFonts w:ascii="Verdana" w:hAnsi="Verdana"/>
                <w:sz w:val="16"/>
                <w:szCs w:val="16"/>
              </w:rPr>
              <w:t>Las estrategias para dar cumplimiento a los objetivos de Justicia Energética señaladas en el artículo 34 del presente reglamento, y</w:t>
            </w:r>
          </w:p>
        </w:tc>
        <w:tc>
          <w:tcPr>
            <w:tcW w:w="4644" w:type="dxa"/>
          </w:tcPr>
          <w:p w14:paraId="667E0217" w14:textId="74C539CE" w:rsidR="003A38FF" w:rsidRPr="00D0180E" w:rsidRDefault="003A38FF" w:rsidP="003A38FF">
            <w:pPr>
              <w:pStyle w:val="Texto"/>
              <w:spacing w:line="233" w:lineRule="exact"/>
              <w:ind w:firstLine="0"/>
              <w:rPr>
                <w:rFonts w:ascii="Verdana" w:hAnsi="Verdana"/>
                <w:b/>
                <w:sz w:val="16"/>
                <w:szCs w:val="16"/>
                <w:lang w:val="en-US"/>
              </w:rPr>
            </w:pPr>
            <w:r w:rsidRPr="00770953">
              <w:rPr>
                <w:rFonts w:ascii="Verdana" w:hAnsi="Verdana"/>
                <w:b/>
                <w:sz w:val="16"/>
                <w:szCs w:val="16"/>
                <w:lang w:val="en-US"/>
              </w:rPr>
              <w:t>VIII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The</w:t>
            </w:r>
            <w:proofErr w:type="gramEnd"/>
            <w:r w:rsidRPr="00770953">
              <w:rPr>
                <w:rFonts w:ascii="Verdana" w:hAnsi="Verdana"/>
                <w:sz w:val="16"/>
                <w:szCs w:val="16"/>
                <w:lang w:val="en-US"/>
              </w:rPr>
              <w:t xml:space="preserve"> strategies to comply with the Energy Justice objectives indicated in article 34 of this regulation, and</w:t>
            </w:r>
          </w:p>
        </w:tc>
      </w:tr>
      <w:tr w:rsidR="003A38FF" w:rsidRPr="00D83DA2" w14:paraId="5045E1F4" w14:textId="0B230F7D" w:rsidTr="00FB5DAD">
        <w:tc>
          <w:tcPr>
            <w:tcW w:w="4706" w:type="dxa"/>
          </w:tcPr>
          <w:p w14:paraId="0DECCB74" w14:textId="77777777" w:rsidR="003A38FF" w:rsidRPr="00D0180E" w:rsidRDefault="003A38FF" w:rsidP="003A38FF">
            <w:pPr>
              <w:pStyle w:val="Texto"/>
              <w:spacing w:line="233" w:lineRule="exact"/>
              <w:ind w:firstLine="0"/>
              <w:rPr>
                <w:rFonts w:ascii="Verdana" w:hAnsi="Verdana"/>
                <w:sz w:val="16"/>
                <w:szCs w:val="16"/>
              </w:rPr>
            </w:pPr>
            <w:r w:rsidRPr="00D0180E">
              <w:rPr>
                <w:rFonts w:ascii="Verdana" w:hAnsi="Verdana"/>
                <w:b/>
                <w:sz w:val="16"/>
                <w:szCs w:val="16"/>
              </w:rPr>
              <w:t>IX.</w:t>
            </w:r>
            <w:r w:rsidRPr="00D0180E">
              <w:rPr>
                <w:rFonts w:ascii="Verdana" w:hAnsi="Verdana"/>
                <w:b/>
                <w:sz w:val="16"/>
                <w:szCs w:val="16"/>
              </w:rPr>
              <w:tab/>
            </w:r>
            <w:r w:rsidRPr="00D0180E">
              <w:rPr>
                <w:rFonts w:ascii="Verdana" w:hAnsi="Verdana"/>
                <w:sz w:val="16"/>
                <w:szCs w:val="16"/>
              </w:rPr>
              <w:t>Las demás previstas en las disposiciones administrativas de carácter general en materia de impacto social.</w:t>
            </w:r>
          </w:p>
        </w:tc>
        <w:tc>
          <w:tcPr>
            <w:tcW w:w="4644" w:type="dxa"/>
          </w:tcPr>
          <w:p w14:paraId="5B15EDCC" w14:textId="4D479BAE" w:rsidR="003A38FF" w:rsidRPr="00D0180E" w:rsidRDefault="003A38FF" w:rsidP="003A38FF">
            <w:pPr>
              <w:pStyle w:val="Texto"/>
              <w:spacing w:line="233" w:lineRule="exact"/>
              <w:ind w:firstLine="0"/>
              <w:rPr>
                <w:rFonts w:ascii="Verdana" w:hAnsi="Verdana"/>
                <w:b/>
                <w:sz w:val="16"/>
                <w:szCs w:val="16"/>
                <w:lang w:val="en-US"/>
              </w:rPr>
            </w:pPr>
            <w:r w:rsidRPr="00770953">
              <w:rPr>
                <w:rFonts w:ascii="Verdana" w:hAnsi="Verdana"/>
                <w:b/>
                <w:sz w:val="16"/>
                <w:szCs w:val="16"/>
                <w:lang w:val="en-US"/>
              </w:rPr>
              <w:t>IX</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Other</w:t>
            </w:r>
            <w:proofErr w:type="gramEnd"/>
            <w:r w:rsidRPr="00770953">
              <w:rPr>
                <w:rFonts w:ascii="Verdana" w:hAnsi="Verdana"/>
                <w:sz w:val="16"/>
                <w:szCs w:val="16"/>
                <w:lang w:val="en-US"/>
              </w:rPr>
              <w:t xml:space="preserve"> provisions provided for in general administrative provisions on social impact.</w:t>
            </w:r>
          </w:p>
        </w:tc>
      </w:tr>
      <w:tr w:rsidR="003A38FF" w:rsidRPr="00D83DA2" w14:paraId="4F78C377" w14:textId="73509E92" w:rsidTr="00FB5DAD">
        <w:tc>
          <w:tcPr>
            <w:tcW w:w="4706" w:type="dxa"/>
          </w:tcPr>
          <w:p w14:paraId="23FA2C0D" w14:textId="77777777" w:rsidR="003A38FF" w:rsidRPr="00D0180E" w:rsidRDefault="003A38FF" w:rsidP="003A38FF">
            <w:pPr>
              <w:pStyle w:val="Texto"/>
              <w:spacing w:line="233" w:lineRule="exact"/>
              <w:ind w:firstLine="0"/>
              <w:rPr>
                <w:rFonts w:ascii="Verdana" w:hAnsi="Verdana"/>
                <w:sz w:val="16"/>
                <w:szCs w:val="16"/>
              </w:rPr>
            </w:pPr>
            <w:r w:rsidRPr="00D0180E">
              <w:rPr>
                <w:rFonts w:ascii="Verdana" w:hAnsi="Verdana"/>
                <w:b/>
                <w:sz w:val="16"/>
                <w:szCs w:val="16"/>
              </w:rPr>
              <w:t>Artículo 212.</w:t>
            </w:r>
            <w:r w:rsidRPr="00D0180E">
              <w:rPr>
                <w:rFonts w:ascii="Verdana" w:hAnsi="Verdana"/>
                <w:sz w:val="16"/>
                <w:szCs w:val="16"/>
              </w:rPr>
              <w:t xml:space="preserve"> Para la determinación del monto de inversión total anual establecido en la fracción V del artículo 208 de este reglamento, la Empresa Pública del Estado, puede considerar sus programas de inversión social institucional, siempre que dichos programas incorporen los elementos señalados en los artículos 208, 209, 210 y 211 de este reglamento, se encuentren documentados y alineados a sus propias normas internas y la demás normatividad aplicable que emita la Secretaría.</w:t>
            </w:r>
          </w:p>
        </w:tc>
        <w:tc>
          <w:tcPr>
            <w:tcW w:w="4644" w:type="dxa"/>
          </w:tcPr>
          <w:p w14:paraId="76E043B7" w14:textId="06410113" w:rsidR="003A38FF" w:rsidRPr="00D0180E" w:rsidRDefault="003A38FF" w:rsidP="003A38FF">
            <w:pPr>
              <w:pStyle w:val="Texto"/>
              <w:spacing w:line="233" w:lineRule="exact"/>
              <w:ind w:firstLine="0"/>
              <w:rPr>
                <w:rFonts w:ascii="Verdana" w:hAnsi="Verdana"/>
                <w:b/>
                <w:sz w:val="16"/>
                <w:szCs w:val="16"/>
                <w:lang w:val="en-US"/>
              </w:rPr>
            </w:pPr>
            <w:r w:rsidRPr="00770953">
              <w:rPr>
                <w:rFonts w:ascii="Verdana" w:hAnsi="Verdana"/>
                <w:b/>
                <w:sz w:val="16"/>
                <w:szCs w:val="16"/>
                <w:lang w:val="en-US"/>
              </w:rPr>
              <w:t xml:space="preserve">Article 212. </w:t>
            </w:r>
            <w:r w:rsidRPr="00770953">
              <w:rPr>
                <w:rFonts w:ascii="Verdana" w:hAnsi="Verdana"/>
                <w:sz w:val="16"/>
                <w:szCs w:val="16"/>
                <w:lang w:val="en-US"/>
              </w:rPr>
              <w:t xml:space="preserve">To determine the total annual investment amount established in section V of article 208 of this regulation, the </w:t>
            </w:r>
            <w:r>
              <w:rPr>
                <w:rFonts w:ascii="Verdana" w:hAnsi="Verdana"/>
                <w:sz w:val="16"/>
                <w:szCs w:val="16"/>
                <w:lang w:val="en-US"/>
              </w:rPr>
              <w:t xml:space="preserve">State Public Enterprise </w:t>
            </w:r>
            <w:r w:rsidRPr="00770953">
              <w:rPr>
                <w:rFonts w:ascii="Verdana" w:hAnsi="Verdana"/>
                <w:sz w:val="16"/>
                <w:szCs w:val="16"/>
                <w:lang w:val="en-US"/>
              </w:rPr>
              <w:t xml:space="preserve"> may consider its institutional social investment programs, provided that said programs incorporate the elements indicated in articles 208, 209, 210 and 211 of this regulation, are documented and aligned with its own internal Regulation and other applicable legislation issued by the Secretary.</w:t>
            </w:r>
          </w:p>
        </w:tc>
      </w:tr>
      <w:tr w:rsidR="003A38FF" w:rsidRPr="00D83DA2" w14:paraId="10783560" w14:textId="1492CD47" w:rsidTr="00FB5DAD">
        <w:tc>
          <w:tcPr>
            <w:tcW w:w="4706" w:type="dxa"/>
          </w:tcPr>
          <w:p w14:paraId="66EF96C7" w14:textId="77777777" w:rsidR="003A38FF" w:rsidRPr="00D0180E" w:rsidRDefault="003A38FF" w:rsidP="003A38FF">
            <w:pPr>
              <w:pStyle w:val="Texto"/>
              <w:spacing w:line="233" w:lineRule="exact"/>
              <w:ind w:firstLine="0"/>
              <w:rPr>
                <w:rFonts w:ascii="Verdana" w:hAnsi="Verdana"/>
                <w:sz w:val="16"/>
                <w:szCs w:val="16"/>
              </w:rPr>
            </w:pPr>
            <w:r w:rsidRPr="00D0180E">
              <w:rPr>
                <w:rFonts w:ascii="Verdana" w:hAnsi="Verdana"/>
                <w:b/>
                <w:sz w:val="16"/>
                <w:szCs w:val="16"/>
              </w:rPr>
              <w:t>Artículo 213.</w:t>
            </w:r>
            <w:r w:rsidRPr="00D0180E">
              <w:rPr>
                <w:rFonts w:ascii="Verdana" w:hAnsi="Verdana"/>
                <w:sz w:val="16"/>
                <w:szCs w:val="16"/>
              </w:rPr>
              <w:t xml:space="preserve"> La Secretaría, en un plazo no mayor de noventa días naturales, contado a partir de la presentación de la Manifestación de Impacto Social del Sector Energético, debe emitir la autorización correspondiente o negar la autorización solicitada conforme a lo señalado en el artículo 139 de la Ley.</w:t>
            </w:r>
          </w:p>
        </w:tc>
        <w:tc>
          <w:tcPr>
            <w:tcW w:w="4644" w:type="dxa"/>
          </w:tcPr>
          <w:p w14:paraId="5ED9D1C4" w14:textId="4F0E2C1F" w:rsidR="003A38FF" w:rsidRPr="00D0180E" w:rsidRDefault="003A38FF" w:rsidP="003A38FF">
            <w:pPr>
              <w:pStyle w:val="Texto"/>
              <w:spacing w:line="233" w:lineRule="exact"/>
              <w:ind w:firstLine="0"/>
              <w:rPr>
                <w:rFonts w:ascii="Verdana" w:hAnsi="Verdana"/>
                <w:b/>
                <w:sz w:val="16"/>
                <w:szCs w:val="16"/>
                <w:lang w:val="en-US"/>
              </w:rPr>
            </w:pPr>
            <w:r w:rsidRPr="00770953">
              <w:rPr>
                <w:rFonts w:ascii="Verdana" w:hAnsi="Verdana"/>
                <w:b/>
                <w:sz w:val="16"/>
                <w:szCs w:val="16"/>
                <w:lang w:val="en-US"/>
              </w:rPr>
              <w:t xml:space="preserve">Article 213. </w:t>
            </w:r>
            <w:r w:rsidRPr="00770953">
              <w:rPr>
                <w:rFonts w:ascii="Verdana" w:hAnsi="Verdana"/>
                <w:sz w:val="16"/>
                <w:szCs w:val="16"/>
                <w:lang w:val="en-US"/>
              </w:rPr>
              <w:t>The Secretary, within a period of no more than ninety calendar days, counted from the presentation of the Social Impact Statement of the Energy Sector, must issue the corresponding authorization or deny the requested authorization in accordance with the provisions of Article 139 of the Law.</w:t>
            </w:r>
          </w:p>
        </w:tc>
      </w:tr>
      <w:tr w:rsidR="003A38FF" w:rsidRPr="00D83DA2" w14:paraId="31E8C72B" w14:textId="65513626" w:rsidTr="00FB5DAD">
        <w:tc>
          <w:tcPr>
            <w:tcW w:w="4706" w:type="dxa"/>
          </w:tcPr>
          <w:p w14:paraId="6EA4589F" w14:textId="77777777" w:rsidR="003A38FF" w:rsidRPr="00D0180E" w:rsidRDefault="003A38FF" w:rsidP="003A38FF">
            <w:pPr>
              <w:pStyle w:val="Texto"/>
              <w:spacing w:line="233" w:lineRule="exact"/>
              <w:ind w:firstLine="0"/>
              <w:rPr>
                <w:rFonts w:ascii="Verdana" w:hAnsi="Verdana"/>
                <w:sz w:val="16"/>
                <w:szCs w:val="16"/>
              </w:rPr>
            </w:pPr>
            <w:r w:rsidRPr="00D0180E">
              <w:rPr>
                <w:rFonts w:ascii="Verdana" w:hAnsi="Verdana"/>
                <w:sz w:val="16"/>
                <w:szCs w:val="16"/>
              </w:rPr>
              <w:t>La Secretaría debe resolver la Manifestación de Impacto Social del Sector Energético exclusivamente con la documentación presentada en la solicitud inicial y, en su caso, con la información que el interesado presente en atención a la prevención o requerimiento que en su momento formule la Secretaría. En el supuesto de que el interesado ingrese información adicional, se debe tener por no presentada.</w:t>
            </w:r>
          </w:p>
        </w:tc>
        <w:tc>
          <w:tcPr>
            <w:tcW w:w="4644" w:type="dxa"/>
          </w:tcPr>
          <w:p w14:paraId="779749DC" w14:textId="23E11725" w:rsidR="003A38FF" w:rsidRPr="00D0180E" w:rsidRDefault="003A38FF" w:rsidP="003A38FF">
            <w:pPr>
              <w:pStyle w:val="Texto"/>
              <w:spacing w:line="233" w:lineRule="exact"/>
              <w:ind w:firstLine="0"/>
              <w:rPr>
                <w:rFonts w:ascii="Verdana" w:hAnsi="Verdana"/>
                <w:sz w:val="16"/>
                <w:szCs w:val="16"/>
                <w:lang w:val="en-US"/>
              </w:rPr>
            </w:pPr>
            <w:r w:rsidRPr="00770953">
              <w:rPr>
                <w:rFonts w:ascii="Verdana" w:hAnsi="Verdana"/>
                <w:sz w:val="16"/>
                <w:szCs w:val="16"/>
                <w:lang w:val="en-US"/>
              </w:rPr>
              <w:t xml:space="preserve">The Secretary must resolve the Energy Sector Social Impact Statement exclusively with the documentation submitted in the initial application and, where applicable, with the information submitted by the </w:t>
            </w:r>
            <w:r w:rsidRPr="00770953">
              <w:rPr>
                <w:rFonts w:ascii="Verdana" w:hAnsi="Verdana"/>
                <w:sz w:val="16"/>
                <w:szCs w:val="16"/>
                <w:lang w:val="en-US"/>
              </w:rPr>
              <w:lastRenderedPageBreak/>
              <w:t>interested party in response to any prevention</w:t>
            </w:r>
            <w:r>
              <w:rPr>
                <w:rStyle w:val="FootnoteReference"/>
                <w:rFonts w:ascii="Verdana" w:hAnsi="Verdana"/>
                <w:sz w:val="16"/>
                <w:szCs w:val="16"/>
                <w:lang w:val="en-US"/>
              </w:rPr>
              <w:footnoteReference w:id="3"/>
            </w:r>
            <w:r w:rsidRPr="00770953">
              <w:rPr>
                <w:rFonts w:ascii="Verdana" w:hAnsi="Verdana"/>
                <w:sz w:val="16"/>
                <w:szCs w:val="16"/>
                <w:lang w:val="en-US"/>
              </w:rPr>
              <w:t xml:space="preserve"> or request made by the Secretary. If the interested party submits additional information, it must be considered as not submitted.</w:t>
            </w:r>
          </w:p>
        </w:tc>
      </w:tr>
      <w:tr w:rsidR="003A38FF" w:rsidRPr="00D83DA2" w14:paraId="52E373AD" w14:textId="01F97902" w:rsidTr="00FB5DAD">
        <w:tc>
          <w:tcPr>
            <w:tcW w:w="4706" w:type="dxa"/>
          </w:tcPr>
          <w:p w14:paraId="4A2D9CC1" w14:textId="77777777" w:rsidR="003A38FF" w:rsidRPr="00D0180E" w:rsidRDefault="003A38FF" w:rsidP="003A38FF">
            <w:pPr>
              <w:pStyle w:val="Texto"/>
              <w:spacing w:line="233" w:lineRule="exact"/>
              <w:ind w:firstLine="0"/>
              <w:rPr>
                <w:rFonts w:ascii="Verdana" w:hAnsi="Verdana"/>
                <w:sz w:val="16"/>
                <w:szCs w:val="16"/>
              </w:rPr>
            </w:pPr>
            <w:r w:rsidRPr="00D0180E">
              <w:rPr>
                <w:rFonts w:ascii="Verdana" w:hAnsi="Verdana"/>
                <w:sz w:val="16"/>
                <w:szCs w:val="16"/>
              </w:rPr>
              <w:lastRenderedPageBreak/>
              <w:t>En caso de que ya se cuente con la autorización definitiva y se presente una modificación de la Manifestación de Impacto Social del Sector Energético, dados los casos en que el proyecto haya sufrido cambios sustanciales en términos del artículo 202 de este reglamento, se debe seguir el mismo procedimiento que se sigue para emitir una nueva resolución que autorice definitivamente; que autorice de manera condicionada o niegue la autorización solicitada de conformidad con lo señalado en este artículo.</w:t>
            </w:r>
          </w:p>
        </w:tc>
        <w:tc>
          <w:tcPr>
            <w:tcW w:w="4644" w:type="dxa"/>
          </w:tcPr>
          <w:p w14:paraId="5AA3ED69" w14:textId="21F650C8" w:rsidR="003A38FF" w:rsidRPr="00D0180E" w:rsidRDefault="003A38FF" w:rsidP="003A38FF">
            <w:pPr>
              <w:pStyle w:val="Texto"/>
              <w:spacing w:line="233" w:lineRule="exact"/>
              <w:ind w:firstLine="0"/>
              <w:rPr>
                <w:rFonts w:ascii="Verdana" w:hAnsi="Verdana"/>
                <w:sz w:val="16"/>
                <w:szCs w:val="16"/>
                <w:lang w:val="en-US"/>
              </w:rPr>
            </w:pPr>
            <w:r w:rsidRPr="00770953">
              <w:rPr>
                <w:rFonts w:ascii="Verdana" w:hAnsi="Verdana"/>
                <w:sz w:val="16"/>
                <w:szCs w:val="16"/>
                <w:lang w:val="en-US"/>
              </w:rPr>
              <w:t>If a final authorization is already in place and a modification to the Energy Sector Social Impact Statement is submitted, given that the project has undergone substantial changes pursuant to Article 202 of this regulation, the same procedure must be followed as for issuing a new resolution granting a final authorization, conditional authorization, or denying the requested authorization in accordance with the provisions of this article.</w:t>
            </w:r>
          </w:p>
        </w:tc>
      </w:tr>
      <w:tr w:rsidR="003A38FF" w:rsidRPr="00D83DA2" w14:paraId="06E9ACF1" w14:textId="5DD7AB03" w:rsidTr="00FB5DAD">
        <w:tc>
          <w:tcPr>
            <w:tcW w:w="4706" w:type="dxa"/>
          </w:tcPr>
          <w:p w14:paraId="7AD98C56" w14:textId="77777777" w:rsidR="003A38FF" w:rsidRPr="00D0180E" w:rsidRDefault="003A38FF" w:rsidP="003A38FF">
            <w:pPr>
              <w:pStyle w:val="Texto"/>
              <w:spacing w:line="233" w:lineRule="exact"/>
              <w:ind w:firstLine="0"/>
              <w:rPr>
                <w:rFonts w:ascii="Verdana" w:hAnsi="Verdana"/>
                <w:b/>
                <w:sz w:val="16"/>
                <w:szCs w:val="16"/>
              </w:rPr>
            </w:pPr>
            <w:r w:rsidRPr="00D0180E">
              <w:rPr>
                <w:rFonts w:ascii="Verdana" w:hAnsi="Verdana"/>
                <w:b/>
                <w:sz w:val="16"/>
                <w:szCs w:val="16"/>
              </w:rPr>
              <w:t>Artículo 214.</w:t>
            </w:r>
            <w:r w:rsidRPr="00D0180E">
              <w:rPr>
                <w:rFonts w:ascii="Verdana" w:hAnsi="Verdana"/>
                <w:sz w:val="16"/>
                <w:szCs w:val="16"/>
              </w:rPr>
              <w:t xml:space="preserve"> En el supuesto de que la Manifestación de Impacto Social del Sector Energético no cumpla con los requisitos previstos en la Ley, el presente reglamento y en las disposiciones administrativas de carácter general en materia de impacto social, la Secretaría debe prevenir a la Empresa Pública del Estado o las personas interesadas en obtener un permiso o una autorización para que en un plazo de máximo treinta días hábiles atienda en tiempo y forma dicha prevención.</w:t>
            </w:r>
          </w:p>
        </w:tc>
        <w:tc>
          <w:tcPr>
            <w:tcW w:w="4644" w:type="dxa"/>
          </w:tcPr>
          <w:p w14:paraId="35C88914" w14:textId="20A18D43" w:rsidR="003A38FF" w:rsidRPr="00D0180E" w:rsidRDefault="003A38FF" w:rsidP="003A38FF">
            <w:pPr>
              <w:pStyle w:val="Texto"/>
              <w:spacing w:line="233" w:lineRule="exact"/>
              <w:ind w:firstLine="0"/>
              <w:rPr>
                <w:rFonts w:ascii="Verdana" w:hAnsi="Verdana"/>
                <w:b/>
                <w:sz w:val="16"/>
                <w:szCs w:val="16"/>
                <w:lang w:val="en-US"/>
              </w:rPr>
            </w:pPr>
            <w:r w:rsidRPr="00770953">
              <w:rPr>
                <w:rFonts w:ascii="Verdana" w:hAnsi="Verdana"/>
                <w:b/>
                <w:sz w:val="16"/>
                <w:szCs w:val="16"/>
                <w:lang w:val="en-US"/>
              </w:rPr>
              <w:t xml:space="preserve">Article 214. </w:t>
            </w:r>
            <w:r w:rsidRPr="00770953">
              <w:rPr>
                <w:rFonts w:ascii="Verdana" w:hAnsi="Verdana"/>
                <w:sz w:val="16"/>
                <w:szCs w:val="16"/>
                <w:lang w:val="en-US"/>
              </w:rPr>
              <w:t xml:space="preserve">In the event that the Social Impact Statement of the Energy Sector does not comply with the requirements set forth in the Law, this Regulation and in the general administrative provisions on social impact, the Secretary must notify the </w:t>
            </w:r>
            <w:r>
              <w:rPr>
                <w:rFonts w:ascii="Verdana" w:hAnsi="Verdana"/>
                <w:sz w:val="16"/>
                <w:szCs w:val="16"/>
                <w:lang w:val="en-US"/>
              </w:rPr>
              <w:t xml:space="preserve">State Public Enterprise </w:t>
            </w:r>
            <w:r w:rsidRPr="00770953">
              <w:rPr>
                <w:rFonts w:ascii="Verdana" w:hAnsi="Verdana"/>
                <w:sz w:val="16"/>
                <w:szCs w:val="16"/>
                <w:lang w:val="en-US"/>
              </w:rPr>
              <w:t xml:space="preserve"> or the persons interested in obtaining a permit or authorization to address said notification in a timely manner within a maximum period of thirty business days.</w:t>
            </w:r>
          </w:p>
        </w:tc>
      </w:tr>
      <w:tr w:rsidR="003A38FF" w:rsidRPr="00D83DA2" w14:paraId="7FD0DC62" w14:textId="693F88D3" w:rsidTr="00FB5DAD">
        <w:tc>
          <w:tcPr>
            <w:tcW w:w="4706" w:type="dxa"/>
          </w:tcPr>
          <w:p w14:paraId="4D9C4A07" w14:textId="77777777" w:rsidR="003A38FF" w:rsidRPr="00D0180E" w:rsidRDefault="003A38FF" w:rsidP="003A38FF">
            <w:pPr>
              <w:pStyle w:val="Texto"/>
              <w:spacing w:line="233" w:lineRule="exact"/>
              <w:ind w:firstLine="0"/>
              <w:rPr>
                <w:rFonts w:ascii="Verdana" w:hAnsi="Verdana"/>
                <w:sz w:val="16"/>
                <w:szCs w:val="16"/>
              </w:rPr>
            </w:pPr>
            <w:r w:rsidRPr="00D0180E">
              <w:rPr>
                <w:rFonts w:ascii="Verdana" w:hAnsi="Verdana"/>
                <w:sz w:val="16"/>
                <w:szCs w:val="16"/>
              </w:rPr>
              <w:t>Durante el periodo de prevención se debe suspender el plazo a que se refiere el artículo 139 de la Ley y 213 de este reglamento. No debe entregarse información adicional a la ya presentada en el desahogo o que no haya sido requerida en dicha prevención, aun y cuando se encuentre dentro del plazo originalmente otorgado para tal efecto.</w:t>
            </w:r>
          </w:p>
        </w:tc>
        <w:tc>
          <w:tcPr>
            <w:tcW w:w="4644" w:type="dxa"/>
          </w:tcPr>
          <w:p w14:paraId="4570E835" w14:textId="75B6C220" w:rsidR="003A38FF" w:rsidRPr="00D0180E" w:rsidRDefault="003A38FF" w:rsidP="003A38FF">
            <w:pPr>
              <w:pStyle w:val="Texto"/>
              <w:spacing w:line="233" w:lineRule="exact"/>
              <w:ind w:firstLine="0"/>
              <w:rPr>
                <w:rFonts w:ascii="Verdana" w:hAnsi="Verdana"/>
                <w:sz w:val="16"/>
                <w:szCs w:val="16"/>
                <w:lang w:val="en-US"/>
              </w:rPr>
            </w:pPr>
            <w:r w:rsidRPr="00770953">
              <w:rPr>
                <w:rFonts w:ascii="Verdana" w:hAnsi="Verdana"/>
                <w:sz w:val="16"/>
                <w:szCs w:val="16"/>
                <w:lang w:val="en-US"/>
              </w:rPr>
              <w:t>During the prevention period, the deadline referred to in Article 139 of the Law and Article 213 of this Regulation must be suspended. No additional information beyond that already submitted in the investigation or that was not requested in the prevention period must be submitted, even if it falls within the period originally granted for that purpose.</w:t>
            </w:r>
          </w:p>
        </w:tc>
      </w:tr>
      <w:tr w:rsidR="003A38FF" w:rsidRPr="00D83DA2" w14:paraId="4340ACB4" w14:textId="17892621" w:rsidTr="00FB5DAD">
        <w:tc>
          <w:tcPr>
            <w:tcW w:w="4706" w:type="dxa"/>
          </w:tcPr>
          <w:p w14:paraId="0AA3A6BF" w14:textId="77777777" w:rsidR="003A38FF" w:rsidRPr="00D0180E" w:rsidRDefault="003A38FF" w:rsidP="003A38FF">
            <w:pPr>
              <w:pStyle w:val="Texto"/>
              <w:spacing w:line="233" w:lineRule="exact"/>
              <w:ind w:firstLine="0"/>
              <w:rPr>
                <w:rFonts w:ascii="Verdana" w:hAnsi="Verdana"/>
                <w:sz w:val="16"/>
                <w:szCs w:val="16"/>
              </w:rPr>
            </w:pPr>
            <w:r w:rsidRPr="00D0180E">
              <w:rPr>
                <w:rFonts w:ascii="Verdana" w:hAnsi="Verdana"/>
                <w:sz w:val="16"/>
                <w:szCs w:val="16"/>
              </w:rPr>
              <w:t>En caso de que no se subsane en tiempo y forma la prevención, la solicitud se debe desechar.</w:t>
            </w:r>
          </w:p>
        </w:tc>
        <w:tc>
          <w:tcPr>
            <w:tcW w:w="4644" w:type="dxa"/>
          </w:tcPr>
          <w:p w14:paraId="0388708C" w14:textId="3B64C8A2" w:rsidR="003A38FF" w:rsidRPr="00D0180E" w:rsidRDefault="003A38FF" w:rsidP="003A38FF">
            <w:pPr>
              <w:pStyle w:val="Texto"/>
              <w:spacing w:line="233" w:lineRule="exact"/>
              <w:ind w:firstLine="0"/>
              <w:rPr>
                <w:rFonts w:ascii="Verdana" w:hAnsi="Verdana"/>
                <w:sz w:val="16"/>
                <w:szCs w:val="16"/>
                <w:lang w:val="en-US"/>
              </w:rPr>
            </w:pPr>
            <w:r w:rsidRPr="00770953">
              <w:rPr>
                <w:rFonts w:ascii="Verdana" w:hAnsi="Verdana"/>
                <w:sz w:val="16"/>
                <w:szCs w:val="16"/>
                <w:lang w:val="en-US"/>
              </w:rPr>
              <w:t>If the prevention is not rectified in a timely manner, the application must be rejected.</w:t>
            </w:r>
          </w:p>
        </w:tc>
      </w:tr>
      <w:tr w:rsidR="003A38FF" w:rsidRPr="00D83DA2" w14:paraId="3FAE5E1E" w14:textId="245252F3" w:rsidTr="00FB5DAD">
        <w:tc>
          <w:tcPr>
            <w:tcW w:w="4706" w:type="dxa"/>
          </w:tcPr>
          <w:p w14:paraId="232E3B87"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b/>
                <w:sz w:val="16"/>
                <w:szCs w:val="16"/>
              </w:rPr>
              <w:t>Artículo 215.</w:t>
            </w:r>
            <w:r w:rsidRPr="00D0180E">
              <w:rPr>
                <w:rFonts w:ascii="Verdana" w:hAnsi="Verdana"/>
                <w:sz w:val="16"/>
                <w:szCs w:val="16"/>
              </w:rPr>
              <w:t xml:space="preserve"> La Secretaría debe emitir la autorización condicionada de la Manifestación de Impacto Social del Sector Energético, además de los casos previstos en la fracción II del artículo 139 de la Ley, por los siguientes supuestos:</w:t>
            </w:r>
          </w:p>
        </w:tc>
        <w:tc>
          <w:tcPr>
            <w:tcW w:w="4644" w:type="dxa"/>
          </w:tcPr>
          <w:p w14:paraId="0544EE93" w14:textId="1622D14C" w:rsidR="003A38FF" w:rsidRPr="00D0180E" w:rsidRDefault="003A38FF" w:rsidP="003A38FF">
            <w:pPr>
              <w:pStyle w:val="Texto"/>
              <w:spacing w:line="224" w:lineRule="exact"/>
              <w:ind w:firstLine="0"/>
              <w:rPr>
                <w:rFonts w:ascii="Verdana" w:hAnsi="Verdana"/>
                <w:b/>
                <w:sz w:val="16"/>
                <w:szCs w:val="16"/>
                <w:lang w:val="en-US"/>
              </w:rPr>
            </w:pPr>
            <w:r w:rsidRPr="00770953">
              <w:rPr>
                <w:rFonts w:ascii="Verdana" w:hAnsi="Verdana"/>
                <w:b/>
                <w:sz w:val="16"/>
                <w:szCs w:val="16"/>
                <w:lang w:val="en-US"/>
              </w:rPr>
              <w:t xml:space="preserve">Article 215. </w:t>
            </w:r>
            <w:r w:rsidRPr="00770953">
              <w:rPr>
                <w:rFonts w:ascii="Verdana" w:hAnsi="Verdana"/>
                <w:sz w:val="16"/>
                <w:szCs w:val="16"/>
                <w:lang w:val="en-US"/>
              </w:rPr>
              <w:t>The Secretary must issue the conditional authorization of the Social Impact Statement of the Energy Sector, in addition to the cases provided for in Section II of Article 139 of the Law, for the following reasons:</w:t>
            </w:r>
          </w:p>
        </w:tc>
      </w:tr>
      <w:tr w:rsidR="003A38FF" w:rsidRPr="00D83DA2" w14:paraId="62357A6C" w14:textId="40813D04" w:rsidTr="00FB5DAD">
        <w:tc>
          <w:tcPr>
            <w:tcW w:w="4706" w:type="dxa"/>
          </w:tcPr>
          <w:p w14:paraId="1F5D87F5"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Cuando la Secretaría determine la procedencia de la Consulta Previa para el proyecto, y</w:t>
            </w:r>
          </w:p>
        </w:tc>
        <w:tc>
          <w:tcPr>
            <w:tcW w:w="4644" w:type="dxa"/>
          </w:tcPr>
          <w:p w14:paraId="390EA476" w14:textId="0AE91126" w:rsidR="003A38FF" w:rsidRPr="00D0180E" w:rsidRDefault="003A38FF" w:rsidP="003A38FF">
            <w:pPr>
              <w:pStyle w:val="Texto"/>
              <w:spacing w:line="224" w:lineRule="exact"/>
              <w:ind w:firstLine="0"/>
              <w:rPr>
                <w:rFonts w:ascii="Verdana" w:hAnsi="Verdana"/>
                <w:b/>
                <w:sz w:val="16"/>
                <w:szCs w:val="16"/>
                <w:lang w:val="en-US"/>
              </w:rPr>
            </w:pPr>
            <w:r w:rsidRPr="00770953">
              <w:rPr>
                <w:rFonts w:ascii="Verdana" w:hAnsi="Verdana"/>
                <w:b/>
                <w:sz w:val="16"/>
                <w:szCs w:val="16"/>
                <w:lang w:val="en-US"/>
              </w:rPr>
              <w:t>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When</w:t>
            </w:r>
            <w:proofErr w:type="gramEnd"/>
            <w:r w:rsidRPr="00770953">
              <w:rPr>
                <w:rFonts w:ascii="Verdana" w:hAnsi="Verdana"/>
                <w:sz w:val="16"/>
                <w:szCs w:val="16"/>
                <w:lang w:val="en-US"/>
              </w:rPr>
              <w:t xml:space="preserve"> the Secretary determines the appropriateness of the Prior Consultation for the project, and</w:t>
            </w:r>
          </w:p>
        </w:tc>
      </w:tr>
      <w:tr w:rsidR="003A38FF" w:rsidRPr="00D83DA2" w14:paraId="6575E63B" w14:textId="01C80CD3" w:rsidTr="00FB5DAD">
        <w:tc>
          <w:tcPr>
            <w:tcW w:w="4706" w:type="dxa"/>
          </w:tcPr>
          <w:p w14:paraId="38A678D2"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Cualquier otra que señale la normatividad aplicable.</w:t>
            </w:r>
          </w:p>
        </w:tc>
        <w:tc>
          <w:tcPr>
            <w:tcW w:w="4644" w:type="dxa"/>
          </w:tcPr>
          <w:p w14:paraId="72A0B8D7" w14:textId="317CE638" w:rsidR="003A38FF" w:rsidRPr="00D0180E" w:rsidRDefault="003A38FF" w:rsidP="003A38FF">
            <w:pPr>
              <w:pStyle w:val="Texto"/>
              <w:spacing w:line="224" w:lineRule="exact"/>
              <w:ind w:firstLine="0"/>
              <w:rPr>
                <w:rFonts w:ascii="Verdana" w:hAnsi="Verdana"/>
                <w:b/>
                <w:sz w:val="16"/>
                <w:szCs w:val="16"/>
                <w:lang w:val="en-US"/>
              </w:rPr>
            </w:pPr>
            <w:r w:rsidRPr="00770953">
              <w:rPr>
                <w:rFonts w:ascii="Verdana" w:hAnsi="Verdana"/>
                <w:b/>
                <w:sz w:val="16"/>
                <w:szCs w:val="16"/>
                <w:lang w:val="en-US"/>
              </w:rPr>
              <w:t>II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Any</w:t>
            </w:r>
            <w:proofErr w:type="gramEnd"/>
            <w:r w:rsidRPr="00770953">
              <w:rPr>
                <w:rFonts w:ascii="Verdana" w:hAnsi="Verdana"/>
                <w:sz w:val="16"/>
                <w:szCs w:val="16"/>
                <w:lang w:val="en-US"/>
              </w:rPr>
              <w:t xml:space="preserve"> other requirement indicated by applicable legislation.</w:t>
            </w:r>
          </w:p>
        </w:tc>
      </w:tr>
      <w:tr w:rsidR="003A38FF" w:rsidRPr="00D83DA2" w14:paraId="7A953B77" w14:textId="1AE0072C" w:rsidTr="00FB5DAD">
        <w:tc>
          <w:tcPr>
            <w:tcW w:w="4706" w:type="dxa"/>
          </w:tcPr>
          <w:p w14:paraId="770E4C62"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sz w:val="16"/>
                <w:szCs w:val="16"/>
              </w:rPr>
              <w:t xml:space="preserve">Una vez que la Empresa Pública del Estado o las personas interesadas en obtener un permiso o una autorización, informen que han cumplido con las condicionantes o, en su caso, han realizado los estudios </w:t>
            </w:r>
            <w:r w:rsidRPr="00D0180E">
              <w:rPr>
                <w:rFonts w:ascii="Verdana" w:hAnsi="Verdana"/>
                <w:sz w:val="16"/>
                <w:szCs w:val="16"/>
              </w:rPr>
              <w:lastRenderedPageBreak/>
              <w:t>adicionales derivados del resultado de la Consulta Previa no considerados en la Manifestación de Impacto Social del Sector Energético, la Secretaría debe resolver si procede autorizarla de forma definitiva o negar la autorización en un plazo de cuarenta y cinco días hábiles contados a partir del día siguiente a que haya sido entregada la información, el cual es prorrogable por un plazo igual, cuando la complejidad del asunto lo amerite a juicio de la Secretaría.</w:t>
            </w:r>
          </w:p>
        </w:tc>
        <w:tc>
          <w:tcPr>
            <w:tcW w:w="4644" w:type="dxa"/>
          </w:tcPr>
          <w:p w14:paraId="1F7FDF27" w14:textId="69848090" w:rsidR="003A38FF" w:rsidRPr="00D0180E" w:rsidRDefault="003A38FF" w:rsidP="003A38FF">
            <w:pPr>
              <w:pStyle w:val="Texto"/>
              <w:spacing w:line="224" w:lineRule="exact"/>
              <w:ind w:firstLine="0"/>
              <w:rPr>
                <w:rFonts w:ascii="Verdana" w:hAnsi="Verdana"/>
                <w:sz w:val="16"/>
                <w:szCs w:val="16"/>
                <w:lang w:val="en-US"/>
              </w:rPr>
            </w:pPr>
            <w:r w:rsidRPr="00770953">
              <w:rPr>
                <w:rFonts w:ascii="Verdana" w:hAnsi="Verdana"/>
                <w:sz w:val="16"/>
                <w:szCs w:val="16"/>
                <w:lang w:val="en-US"/>
              </w:rPr>
              <w:lastRenderedPageBreak/>
              <w:t xml:space="preserve">Once the </w:t>
            </w:r>
            <w:r>
              <w:rPr>
                <w:rFonts w:ascii="Verdana" w:hAnsi="Verdana"/>
                <w:sz w:val="16"/>
                <w:szCs w:val="16"/>
                <w:lang w:val="en-US"/>
              </w:rPr>
              <w:t xml:space="preserve">State Public Enterprise </w:t>
            </w:r>
            <w:r w:rsidRPr="00770953">
              <w:rPr>
                <w:rFonts w:ascii="Verdana" w:hAnsi="Verdana"/>
                <w:sz w:val="16"/>
                <w:szCs w:val="16"/>
                <w:lang w:val="en-US"/>
              </w:rPr>
              <w:t xml:space="preserve"> or the persons interested in obtaining a permit or authorization report that they have met the conditions or, where applicable, have carried out the additional studies derived from the </w:t>
            </w:r>
            <w:r w:rsidRPr="00770953">
              <w:rPr>
                <w:rFonts w:ascii="Verdana" w:hAnsi="Verdana"/>
                <w:sz w:val="16"/>
                <w:szCs w:val="16"/>
                <w:lang w:val="en-US"/>
              </w:rPr>
              <w:lastRenderedPageBreak/>
              <w:t>result of the Prior Consultation not considered in the Social Impact Statement of the Energy Sector, the Secretary must decide whether to authorize it definitively or deny the authorization within a period of forty-five business days counted from the day after the information has been delivered, which is extendable for an equal period, when the complexity of the matter warrants it in the judgment of the Secretary.</w:t>
            </w:r>
          </w:p>
        </w:tc>
      </w:tr>
      <w:tr w:rsidR="003A38FF" w:rsidRPr="00D83DA2" w14:paraId="7AC2DB65" w14:textId="07A0AF8A" w:rsidTr="00FB5DAD">
        <w:tc>
          <w:tcPr>
            <w:tcW w:w="4706" w:type="dxa"/>
          </w:tcPr>
          <w:p w14:paraId="4A174BC7"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b/>
                <w:sz w:val="16"/>
                <w:szCs w:val="16"/>
              </w:rPr>
              <w:lastRenderedPageBreak/>
              <w:t>Artículo 216.</w:t>
            </w:r>
            <w:r w:rsidRPr="00D0180E">
              <w:rPr>
                <w:rFonts w:ascii="Verdana" w:hAnsi="Verdana"/>
                <w:sz w:val="16"/>
                <w:szCs w:val="16"/>
              </w:rPr>
              <w:t xml:space="preserve"> La Secretaría puede negar la autorización de la Manifestación de Impacto Social del Sector Energético, además de los supuestos previstos en la fracción III del artículo 139 de la Ley, por los siguientes:</w:t>
            </w:r>
          </w:p>
        </w:tc>
        <w:tc>
          <w:tcPr>
            <w:tcW w:w="4644" w:type="dxa"/>
          </w:tcPr>
          <w:p w14:paraId="3A7B08D7" w14:textId="363F3D0D" w:rsidR="003A38FF" w:rsidRPr="00D0180E" w:rsidRDefault="003A38FF" w:rsidP="003A38FF">
            <w:pPr>
              <w:pStyle w:val="Texto"/>
              <w:spacing w:line="224" w:lineRule="exact"/>
              <w:ind w:firstLine="0"/>
              <w:rPr>
                <w:rFonts w:ascii="Verdana" w:hAnsi="Verdana"/>
                <w:b/>
                <w:sz w:val="16"/>
                <w:szCs w:val="16"/>
                <w:lang w:val="en-US"/>
              </w:rPr>
            </w:pPr>
            <w:r w:rsidRPr="00770953">
              <w:rPr>
                <w:rFonts w:ascii="Verdana" w:hAnsi="Verdana"/>
                <w:b/>
                <w:sz w:val="16"/>
                <w:szCs w:val="16"/>
                <w:lang w:val="en-US"/>
              </w:rPr>
              <w:t xml:space="preserve">Article 216. </w:t>
            </w:r>
            <w:r w:rsidRPr="00770953">
              <w:rPr>
                <w:rFonts w:ascii="Verdana" w:hAnsi="Verdana"/>
                <w:sz w:val="16"/>
                <w:szCs w:val="16"/>
                <w:lang w:val="en-US"/>
              </w:rPr>
              <w:t>The Secretary may deny authorization of the Social Impact Statement of the Energy Sector, in addition to the assumptions provided for in Section III of Article 139 of the Law, for the following reasons:</w:t>
            </w:r>
          </w:p>
        </w:tc>
      </w:tr>
      <w:tr w:rsidR="003A38FF" w:rsidRPr="00D83DA2" w14:paraId="43126788" w14:textId="1D0EF36E" w:rsidTr="00FB5DAD">
        <w:tc>
          <w:tcPr>
            <w:tcW w:w="4706" w:type="dxa"/>
          </w:tcPr>
          <w:p w14:paraId="2067A42F"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Cuando el pueblo o comunidad indígena o afromexicana haya determinado negar su consentimiento para la realización del proyecto durante el procedimiento de Consulta Previa, y la Secretaría determine que dicho proyecto no es acorde con la política energética, la planeación vinculante o el interés público;</w:t>
            </w:r>
          </w:p>
        </w:tc>
        <w:tc>
          <w:tcPr>
            <w:tcW w:w="4644" w:type="dxa"/>
          </w:tcPr>
          <w:p w14:paraId="619D75D6" w14:textId="0E93166F" w:rsidR="003A38FF" w:rsidRPr="00D0180E" w:rsidRDefault="003A38FF" w:rsidP="003A38FF">
            <w:pPr>
              <w:pStyle w:val="Texto"/>
              <w:spacing w:line="224" w:lineRule="exact"/>
              <w:ind w:firstLine="0"/>
              <w:rPr>
                <w:rFonts w:ascii="Verdana" w:hAnsi="Verdana"/>
                <w:b/>
                <w:sz w:val="16"/>
                <w:szCs w:val="16"/>
                <w:lang w:val="en-US"/>
              </w:rPr>
            </w:pPr>
            <w:r w:rsidRPr="00770953">
              <w:rPr>
                <w:rFonts w:ascii="Verdana" w:hAnsi="Verdana"/>
                <w:b/>
                <w:sz w:val="16"/>
                <w:szCs w:val="16"/>
                <w:lang w:val="en-US"/>
              </w:rPr>
              <w:t xml:space="preserve">I. </w:t>
            </w:r>
            <w:r w:rsidRPr="00770953">
              <w:rPr>
                <w:rFonts w:ascii="Verdana" w:hAnsi="Verdana"/>
                <w:b/>
                <w:sz w:val="16"/>
                <w:szCs w:val="16"/>
                <w:lang w:val="en-US"/>
              </w:rPr>
              <w:tab/>
            </w:r>
            <w:r w:rsidRPr="00770953">
              <w:rPr>
                <w:rFonts w:ascii="Verdana" w:hAnsi="Verdana"/>
                <w:sz w:val="16"/>
                <w:szCs w:val="16"/>
                <w:lang w:val="en-US"/>
              </w:rPr>
              <w:t>When the indigenous or Afro-Mexican people or community has decided to deny its consent for the project to be carried out during the prior consultation procedure, and the Secretary determines that said project is not in accordance with energy policy, binding planning or the public interest;</w:t>
            </w:r>
          </w:p>
        </w:tc>
      </w:tr>
      <w:tr w:rsidR="003A38FF" w:rsidRPr="00D83DA2" w14:paraId="7B6047F7" w14:textId="70BE7964" w:rsidTr="00FB5DAD">
        <w:tc>
          <w:tcPr>
            <w:tcW w:w="4706" w:type="dxa"/>
          </w:tcPr>
          <w:p w14:paraId="341A98AF"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Cuando el proyecto ponga en riesgo inadmisible la supervivencia de un pueblo o comunidad indígena o afromexicana en términos de la normatividad aplicable;</w:t>
            </w:r>
          </w:p>
        </w:tc>
        <w:tc>
          <w:tcPr>
            <w:tcW w:w="4644" w:type="dxa"/>
          </w:tcPr>
          <w:p w14:paraId="5643EBAF" w14:textId="3FC7B353" w:rsidR="003A38FF" w:rsidRPr="00D0180E" w:rsidRDefault="003A38FF" w:rsidP="003A38FF">
            <w:pPr>
              <w:pStyle w:val="Texto"/>
              <w:spacing w:line="224" w:lineRule="exact"/>
              <w:ind w:firstLine="0"/>
              <w:rPr>
                <w:rFonts w:ascii="Verdana" w:hAnsi="Verdana"/>
                <w:b/>
                <w:sz w:val="16"/>
                <w:szCs w:val="16"/>
                <w:lang w:val="en-US"/>
              </w:rPr>
            </w:pPr>
            <w:r w:rsidRPr="00770953">
              <w:rPr>
                <w:rFonts w:ascii="Verdana" w:hAnsi="Verdana"/>
                <w:b/>
                <w:sz w:val="16"/>
                <w:szCs w:val="16"/>
                <w:lang w:val="en-US"/>
              </w:rPr>
              <w:t xml:space="preserve">II. </w:t>
            </w:r>
            <w:r w:rsidRPr="00770953">
              <w:rPr>
                <w:rFonts w:ascii="Verdana" w:hAnsi="Verdana"/>
                <w:b/>
                <w:sz w:val="16"/>
                <w:szCs w:val="16"/>
                <w:lang w:val="en-US"/>
              </w:rPr>
              <w:tab/>
            </w:r>
            <w:r w:rsidRPr="00770953">
              <w:rPr>
                <w:rFonts w:ascii="Verdana" w:hAnsi="Verdana"/>
                <w:sz w:val="16"/>
                <w:szCs w:val="16"/>
                <w:lang w:val="en-US"/>
              </w:rPr>
              <w:t>When the project puts the survival of an indigenous or Afro-Mexican people or community at unacceptable risk in terms of applicable legislation;</w:t>
            </w:r>
          </w:p>
        </w:tc>
      </w:tr>
      <w:tr w:rsidR="003A38FF" w:rsidRPr="00D83DA2" w14:paraId="518BFE21" w14:textId="06B58A3F" w:rsidTr="00FB5DAD">
        <w:tc>
          <w:tcPr>
            <w:tcW w:w="4706" w:type="dxa"/>
          </w:tcPr>
          <w:p w14:paraId="37B5B921"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Cuando el proyecto se pretenda implementar en zonas restringidas conforme a la normatividad aplicable;</w:t>
            </w:r>
          </w:p>
        </w:tc>
        <w:tc>
          <w:tcPr>
            <w:tcW w:w="4644" w:type="dxa"/>
          </w:tcPr>
          <w:p w14:paraId="7D85350D" w14:textId="412164F7" w:rsidR="003A38FF" w:rsidRPr="00D0180E" w:rsidRDefault="003A38FF" w:rsidP="003A38FF">
            <w:pPr>
              <w:pStyle w:val="Texto"/>
              <w:spacing w:line="224" w:lineRule="exact"/>
              <w:ind w:firstLine="0"/>
              <w:rPr>
                <w:rFonts w:ascii="Verdana" w:hAnsi="Verdana"/>
                <w:b/>
                <w:sz w:val="16"/>
                <w:szCs w:val="16"/>
                <w:lang w:val="en-US"/>
              </w:rPr>
            </w:pPr>
            <w:r w:rsidRPr="00770953">
              <w:rPr>
                <w:rFonts w:ascii="Verdana" w:hAnsi="Verdana"/>
                <w:b/>
                <w:sz w:val="16"/>
                <w:szCs w:val="16"/>
                <w:lang w:val="en-US"/>
              </w:rPr>
              <w:t>III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When</w:t>
            </w:r>
            <w:proofErr w:type="gramEnd"/>
            <w:r w:rsidRPr="00770953">
              <w:rPr>
                <w:rFonts w:ascii="Verdana" w:hAnsi="Verdana"/>
                <w:sz w:val="16"/>
                <w:szCs w:val="16"/>
                <w:lang w:val="en-US"/>
              </w:rPr>
              <w:t xml:space="preserve"> the project is intended to be implemented in restricted areas in accordance with applicable legislation;</w:t>
            </w:r>
          </w:p>
        </w:tc>
      </w:tr>
      <w:tr w:rsidR="003A38FF" w:rsidRPr="00D83DA2" w14:paraId="79A2D343" w14:textId="7A512D54" w:rsidTr="00FB5DAD">
        <w:tc>
          <w:tcPr>
            <w:tcW w:w="4706" w:type="dxa"/>
          </w:tcPr>
          <w:p w14:paraId="02A11B59"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Cuando el proyecto genere Impactos Sociales Significativos negativos cuya implementación provoque mayor perjuicio que beneficio a los pueblos y comunidades que se encuentren en el área de influencia, o</w:t>
            </w:r>
          </w:p>
        </w:tc>
        <w:tc>
          <w:tcPr>
            <w:tcW w:w="4644" w:type="dxa"/>
          </w:tcPr>
          <w:p w14:paraId="1744E83A" w14:textId="79DAC66A" w:rsidR="003A38FF" w:rsidRPr="00D0180E" w:rsidRDefault="003A38FF" w:rsidP="003A38FF">
            <w:pPr>
              <w:pStyle w:val="Texto"/>
              <w:spacing w:line="224" w:lineRule="exact"/>
              <w:ind w:firstLine="0"/>
              <w:rPr>
                <w:rFonts w:ascii="Verdana" w:hAnsi="Verdana"/>
                <w:b/>
                <w:sz w:val="16"/>
                <w:szCs w:val="16"/>
                <w:lang w:val="en-US"/>
              </w:rPr>
            </w:pPr>
            <w:r w:rsidRPr="00770953">
              <w:rPr>
                <w:rFonts w:ascii="Verdana" w:hAnsi="Verdana"/>
                <w:b/>
                <w:sz w:val="16"/>
                <w:szCs w:val="16"/>
                <w:lang w:val="en-US"/>
              </w:rPr>
              <w:t>IV</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When</w:t>
            </w:r>
            <w:proofErr w:type="gramEnd"/>
            <w:r w:rsidRPr="00770953">
              <w:rPr>
                <w:rFonts w:ascii="Verdana" w:hAnsi="Verdana"/>
                <w:sz w:val="16"/>
                <w:szCs w:val="16"/>
                <w:lang w:val="en-US"/>
              </w:rPr>
              <w:t xml:space="preserve"> the project generates significant negative social impacts, the implementation of which causes more harm than benefit to the peoples and communities located </w:t>
            </w:r>
            <w:proofErr w:type="gramStart"/>
            <w:r w:rsidRPr="00770953">
              <w:rPr>
                <w:rFonts w:ascii="Verdana" w:hAnsi="Verdana"/>
                <w:sz w:val="16"/>
                <w:szCs w:val="16"/>
                <w:lang w:val="en-US"/>
              </w:rPr>
              <w:t>in the area of</w:t>
            </w:r>
            <w:proofErr w:type="gramEnd"/>
            <w:r w:rsidRPr="00770953">
              <w:rPr>
                <w:rFonts w:ascii="Verdana" w:hAnsi="Verdana"/>
                <w:sz w:val="16"/>
                <w:szCs w:val="16"/>
                <w:lang w:val="en-US"/>
              </w:rPr>
              <w:t xml:space="preserve"> influence, or</w:t>
            </w:r>
          </w:p>
        </w:tc>
      </w:tr>
      <w:tr w:rsidR="003A38FF" w:rsidRPr="00D83DA2" w14:paraId="7DD81591" w14:textId="498DC486" w:rsidTr="00FB5DAD">
        <w:tc>
          <w:tcPr>
            <w:tcW w:w="4706" w:type="dxa"/>
          </w:tcPr>
          <w:p w14:paraId="768F9871"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Cualquier otro que señalen las disposiciones administrativas de carácter general en materia de impacto social y, en su caso, la demás normatividad aplicable.</w:t>
            </w:r>
          </w:p>
        </w:tc>
        <w:tc>
          <w:tcPr>
            <w:tcW w:w="4644" w:type="dxa"/>
          </w:tcPr>
          <w:p w14:paraId="5EB91F25" w14:textId="49E87666" w:rsidR="003A38FF" w:rsidRPr="00D0180E" w:rsidRDefault="003A38FF" w:rsidP="003A38FF">
            <w:pPr>
              <w:pStyle w:val="Texto"/>
              <w:spacing w:line="224" w:lineRule="exact"/>
              <w:ind w:firstLine="0"/>
              <w:rPr>
                <w:rFonts w:ascii="Verdana" w:hAnsi="Verdana"/>
                <w:b/>
                <w:sz w:val="16"/>
                <w:szCs w:val="16"/>
                <w:lang w:val="en-US"/>
              </w:rPr>
            </w:pPr>
            <w:r w:rsidRPr="00770953">
              <w:rPr>
                <w:rFonts w:ascii="Verdana" w:hAnsi="Verdana"/>
                <w:b/>
                <w:sz w:val="16"/>
                <w:szCs w:val="16"/>
                <w:lang w:val="en-US"/>
              </w:rPr>
              <w:t>V</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Any</w:t>
            </w:r>
            <w:proofErr w:type="gramEnd"/>
            <w:r w:rsidRPr="00770953">
              <w:rPr>
                <w:rFonts w:ascii="Verdana" w:hAnsi="Verdana"/>
                <w:sz w:val="16"/>
                <w:szCs w:val="16"/>
                <w:lang w:val="en-US"/>
              </w:rPr>
              <w:t xml:space="preserve"> other provisions indicated by general administrative provisions regarding social impact and, where applicable, other applicable legislation.</w:t>
            </w:r>
          </w:p>
        </w:tc>
      </w:tr>
      <w:tr w:rsidR="003A38FF" w:rsidRPr="00D83DA2" w14:paraId="1F1E9DA9" w14:textId="7EECBFCE" w:rsidTr="00FB5DAD">
        <w:tc>
          <w:tcPr>
            <w:tcW w:w="4706" w:type="dxa"/>
          </w:tcPr>
          <w:p w14:paraId="65C058E1"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b/>
                <w:sz w:val="16"/>
                <w:szCs w:val="16"/>
              </w:rPr>
              <w:t>Artículo 217.</w:t>
            </w:r>
            <w:r w:rsidRPr="00D0180E">
              <w:rPr>
                <w:rFonts w:ascii="Verdana" w:hAnsi="Verdana"/>
                <w:sz w:val="16"/>
                <w:szCs w:val="16"/>
              </w:rPr>
              <w:t xml:space="preserve"> La Secretaría debe verificar, a través de visitas de verificación, requerimientos de información, documentación, informes y comparecencias, o cualquier otro procedimiento previsto en la normatividad aplicable, el cumplimiento de los términos y condicionantes que se establezcan en la autorización definitiva de la Manifestación de Impacto Social del Sector Energético, en los casos siguientes:</w:t>
            </w:r>
          </w:p>
        </w:tc>
        <w:tc>
          <w:tcPr>
            <w:tcW w:w="4644" w:type="dxa"/>
          </w:tcPr>
          <w:p w14:paraId="5B873B38" w14:textId="538BD20D" w:rsidR="003A38FF" w:rsidRPr="00D0180E" w:rsidRDefault="003A38FF" w:rsidP="003A38FF">
            <w:pPr>
              <w:pStyle w:val="Texto"/>
              <w:spacing w:line="224" w:lineRule="exact"/>
              <w:ind w:firstLine="0"/>
              <w:rPr>
                <w:rFonts w:ascii="Verdana" w:hAnsi="Verdana"/>
                <w:b/>
                <w:sz w:val="16"/>
                <w:szCs w:val="16"/>
                <w:lang w:val="en-US"/>
              </w:rPr>
            </w:pPr>
            <w:r w:rsidRPr="00770953">
              <w:rPr>
                <w:rFonts w:ascii="Verdana" w:hAnsi="Verdana"/>
                <w:b/>
                <w:sz w:val="16"/>
                <w:szCs w:val="16"/>
                <w:lang w:val="en-US"/>
              </w:rPr>
              <w:t xml:space="preserve">Article 217. </w:t>
            </w:r>
            <w:r w:rsidRPr="00770953">
              <w:rPr>
                <w:rFonts w:ascii="Verdana" w:hAnsi="Verdana"/>
                <w:sz w:val="16"/>
                <w:szCs w:val="16"/>
                <w:lang w:val="en-US"/>
              </w:rPr>
              <w:t>The Secretary must verify, through verification visits, requests for information, documentation, reports and appearances, or any other procedure provided for in the applicable legislation, compliance with the terms and conditions established in the final authorization of the Social Impact Statement of the Energy Sector, in the following cases:</w:t>
            </w:r>
          </w:p>
        </w:tc>
      </w:tr>
      <w:tr w:rsidR="003A38FF" w:rsidRPr="00D83DA2" w14:paraId="4B83B0C6" w14:textId="6DF7B712" w:rsidTr="00FB5DAD">
        <w:tc>
          <w:tcPr>
            <w:tcW w:w="4706" w:type="dxa"/>
          </w:tcPr>
          <w:p w14:paraId="749321C6"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Cuando la Secretaría tenga conocimiento de un posible incumplimiento a las obligaciones establecidas en la autorización;</w:t>
            </w:r>
          </w:p>
        </w:tc>
        <w:tc>
          <w:tcPr>
            <w:tcW w:w="4644" w:type="dxa"/>
          </w:tcPr>
          <w:p w14:paraId="533724AD" w14:textId="05CE0A86" w:rsidR="003A38FF" w:rsidRPr="00D0180E" w:rsidRDefault="003A38FF" w:rsidP="003A38FF">
            <w:pPr>
              <w:pStyle w:val="Texto"/>
              <w:spacing w:line="224" w:lineRule="exact"/>
              <w:ind w:firstLine="0"/>
              <w:rPr>
                <w:rFonts w:ascii="Verdana" w:hAnsi="Verdana"/>
                <w:b/>
                <w:sz w:val="16"/>
                <w:szCs w:val="16"/>
                <w:lang w:val="en-US"/>
              </w:rPr>
            </w:pPr>
            <w:r w:rsidRPr="00770953">
              <w:rPr>
                <w:rFonts w:ascii="Verdana" w:hAnsi="Verdana"/>
                <w:b/>
                <w:sz w:val="16"/>
                <w:szCs w:val="16"/>
                <w:lang w:val="en-US"/>
              </w:rPr>
              <w:t xml:space="preserve">I. </w:t>
            </w:r>
            <w:r w:rsidRPr="00770953">
              <w:rPr>
                <w:rFonts w:ascii="Verdana" w:hAnsi="Verdana"/>
                <w:b/>
                <w:sz w:val="16"/>
                <w:szCs w:val="16"/>
                <w:lang w:val="en-US"/>
              </w:rPr>
              <w:tab/>
            </w:r>
            <w:r w:rsidRPr="00770953">
              <w:rPr>
                <w:rFonts w:ascii="Verdana" w:hAnsi="Verdana"/>
                <w:sz w:val="16"/>
                <w:szCs w:val="16"/>
                <w:lang w:val="en-US"/>
              </w:rPr>
              <w:t>When the Secretary becomes aware of a possible failure to comply with the obligations established in the authorization;</w:t>
            </w:r>
          </w:p>
        </w:tc>
      </w:tr>
      <w:tr w:rsidR="003A38FF" w:rsidRPr="00D83DA2" w14:paraId="1E81834A" w14:textId="0586D37F" w:rsidTr="00FB5DAD">
        <w:tc>
          <w:tcPr>
            <w:tcW w:w="4706" w:type="dxa"/>
          </w:tcPr>
          <w:p w14:paraId="162181E9"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Cuando la Empresa Pública del Estado o las personas interesadas en obtener un permiso o una autorización, no hayan entregado el informe de implementación del Plan de Gestión Social en los términos que haya sido determinado en la autorización definitiva de la Manifestación de Impacto Social del Sector Energético;</w:t>
            </w:r>
          </w:p>
        </w:tc>
        <w:tc>
          <w:tcPr>
            <w:tcW w:w="4644" w:type="dxa"/>
          </w:tcPr>
          <w:p w14:paraId="206C7007" w14:textId="2CF32D9F" w:rsidR="003A38FF" w:rsidRPr="00D0180E" w:rsidRDefault="003A38FF" w:rsidP="003A38FF">
            <w:pPr>
              <w:pStyle w:val="Texto"/>
              <w:spacing w:line="224" w:lineRule="exact"/>
              <w:ind w:firstLine="0"/>
              <w:rPr>
                <w:rFonts w:ascii="Verdana" w:hAnsi="Verdana"/>
                <w:b/>
                <w:sz w:val="16"/>
                <w:szCs w:val="16"/>
                <w:lang w:val="en-US"/>
              </w:rPr>
            </w:pPr>
            <w:r w:rsidRPr="00770953">
              <w:rPr>
                <w:rFonts w:ascii="Verdana" w:hAnsi="Verdana"/>
                <w:b/>
                <w:sz w:val="16"/>
                <w:szCs w:val="16"/>
                <w:lang w:val="en-US"/>
              </w:rPr>
              <w:t>II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When</w:t>
            </w:r>
            <w:proofErr w:type="gramEnd"/>
            <w:r w:rsidRPr="00770953">
              <w:rPr>
                <w:rFonts w:ascii="Verdana" w:hAnsi="Verdana"/>
                <w:sz w:val="16"/>
                <w:szCs w:val="16"/>
                <w:lang w:val="en-US"/>
              </w:rPr>
              <w:t xml:space="preserve"> the </w:t>
            </w:r>
            <w:r>
              <w:rPr>
                <w:rFonts w:ascii="Verdana" w:hAnsi="Verdana"/>
                <w:sz w:val="16"/>
                <w:szCs w:val="16"/>
                <w:lang w:val="en-US"/>
              </w:rPr>
              <w:t xml:space="preserve">State Public Enterprise </w:t>
            </w:r>
            <w:r w:rsidRPr="00770953">
              <w:rPr>
                <w:rFonts w:ascii="Verdana" w:hAnsi="Verdana"/>
                <w:sz w:val="16"/>
                <w:szCs w:val="16"/>
                <w:lang w:val="en-US"/>
              </w:rPr>
              <w:t xml:space="preserve">or the </w:t>
            </w:r>
            <w:proofErr w:type="gramStart"/>
            <w:r w:rsidRPr="00770953">
              <w:rPr>
                <w:rFonts w:ascii="Verdana" w:hAnsi="Verdana"/>
                <w:sz w:val="16"/>
                <w:szCs w:val="16"/>
                <w:lang w:val="en-US"/>
              </w:rPr>
              <w:t>persons</w:t>
            </w:r>
            <w:proofErr w:type="gramEnd"/>
            <w:r w:rsidRPr="00770953">
              <w:rPr>
                <w:rFonts w:ascii="Verdana" w:hAnsi="Verdana"/>
                <w:sz w:val="16"/>
                <w:szCs w:val="16"/>
                <w:lang w:val="en-US"/>
              </w:rPr>
              <w:t xml:space="preserve"> interested in obtaining a permit or </w:t>
            </w:r>
            <w:r>
              <w:rPr>
                <w:rFonts w:ascii="Verdana" w:hAnsi="Verdana"/>
                <w:sz w:val="16"/>
                <w:szCs w:val="16"/>
                <w:lang w:val="en-US"/>
              </w:rPr>
              <w:t xml:space="preserve">an </w:t>
            </w:r>
            <w:r w:rsidRPr="00770953">
              <w:rPr>
                <w:rFonts w:ascii="Verdana" w:hAnsi="Verdana"/>
                <w:sz w:val="16"/>
                <w:szCs w:val="16"/>
                <w:lang w:val="en-US"/>
              </w:rPr>
              <w:t xml:space="preserve">authorization have not submitted the implementation report of the Social Management Plan </w:t>
            </w:r>
            <w:r>
              <w:rPr>
                <w:rFonts w:ascii="Verdana" w:hAnsi="Verdana"/>
                <w:sz w:val="16"/>
                <w:szCs w:val="16"/>
                <w:lang w:val="en-US"/>
              </w:rPr>
              <w:t>under the terms</w:t>
            </w:r>
            <w:r w:rsidRPr="00770953">
              <w:rPr>
                <w:rFonts w:ascii="Verdana" w:hAnsi="Verdana"/>
                <w:sz w:val="16"/>
                <w:szCs w:val="16"/>
                <w:lang w:val="en-US"/>
              </w:rPr>
              <w:t xml:space="preserve"> determined in the final authorization of the Social Impact Statement of the Energy Sector;</w:t>
            </w:r>
          </w:p>
        </w:tc>
      </w:tr>
      <w:tr w:rsidR="003A38FF" w:rsidRPr="00D83DA2" w14:paraId="4C80314C" w14:textId="7B127B8E" w:rsidTr="00FB5DAD">
        <w:tc>
          <w:tcPr>
            <w:tcW w:w="4706" w:type="dxa"/>
          </w:tcPr>
          <w:p w14:paraId="699677D6"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b/>
                <w:sz w:val="16"/>
                <w:szCs w:val="16"/>
              </w:rPr>
              <w:lastRenderedPageBreak/>
              <w:t>III.</w:t>
            </w:r>
            <w:r w:rsidRPr="00D0180E">
              <w:rPr>
                <w:rFonts w:ascii="Verdana" w:hAnsi="Verdana"/>
                <w:b/>
                <w:sz w:val="16"/>
                <w:szCs w:val="16"/>
              </w:rPr>
              <w:tab/>
            </w:r>
            <w:r w:rsidRPr="00D0180E">
              <w:rPr>
                <w:rFonts w:ascii="Verdana" w:hAnsi="Verdana"/>
                <w:sz w:val="16"/>
                <w:szCs w:val="16"/>
              </w:rPr>
              <w:t>Cuando así lo determine la Secretaría, al considerar los Impactos Sociales que se generen por la implementación del proyecto;</w:t>
            </w:r>
          </w:p>
        </w:tc>
        <w:tc>
          <w:tcPr>
            <w:tcW w:w="4644" w:type="dxa"/>
          </w:tcPr>
          <w:p w14:paraId="0F1AED93" w14:textId="70ED7635" w:rsidR="003A38FF" w:rsidRPr="00D0180E" w:rsidRDefault="003A38FF" w:rsidP="003A38FF">
            <w:pPr>
              <w:pStyle w:val="Texto"/>
              <w:spacing w:line="224" w:lineRule="exact"/>
              <w:ind w:firstLine="0"/>
              <w:rPr>
                <w:rFonts w:ascii="Verdana" w:hAnsi="Verdana"/>
                <w:b/>
                <w:sz w:val="16"/>
                <w:szCs w:val="16"/>
                <w:lang w:val="en-US"/>
              </w:rPr>
            </w:pPr>
            <w:r w:rsidRPr="00770953">
              <w:rPr>
                <w:rFonts w:ascii="Verdana" w:hAnsi="Verdana"/>
                <w:b/>
                <w:sz w:val="16"/>
                <w:szCs w:val="16"/>
                <w:lang w:val="en-US"/>
              </w:rPr>
              <w:t>III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When</w:t>
            </w:r>
            <w:proofErr w:type="gramEnd"/>
            <w:r w:rsidRPr="00770953">
              <w:rPr>
                <w:rFonts w:ascii="Verdana" w:hAnsi="Verdana"/>
                <w:sz w:val="16"/>
                <w:szCs w:val="16"/>
                <w:lang w:val="en-US"/>
              </w:rPr>
              <w:t xml:space="preserve"> so determined by the Secretary, considering the social impacts generated by the implementation of the project;</w:t>
            </w:r>
          </w:p>
        </w:tc>
      </w:tr>
      <w:tr w:rsidR="003A38FF" w:rsidRPr="00D83DA2" w14:paraId="4E6EFF3A" w14:textId="1718E4F7" w:rsidTr="00FB5DAD">
        <w:tc>
          <w:tcPr>
            <w:tcW w:w="4706" w:type="dxa"/>
          </w:tcPr>
          <w:p w14:paraId="6CF0014E"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Cuando así lo determine la Secretaría por razones distintas a las anteriores, y</w:t>
            </w:r>
          </w:p>
        </w:tc>
        <w:tc>
          <w:tcPr>
            <w:tcW w:w="4644" w:type="dxa"/>
          </w:tcPr>
          <w:p w14:paraId="311492ED" w14:textId="4189EEF5" w:rsidR="003A38FF" w:rsidRPr="00D0180E" w:rsidRDefault="003A38FF" w:rsidP="003A38FF">
            <w:pPr>
              <w:pStyle w:val="Texto"/>
              <w:spacing w:line="224" w:lineRule="exact"/>
              <w:ind w:firstLine="0"/>
              <w:rPr>
                <w:rFonts w:ascii="Verdana" w:hAnsi="Verdana"/>
                <w:b/>
                <w:sz w:val="16"/>
                <w:szCs w:val="16"/>
                <w:lang w:val="en-US"/>
              </w:rPr>
            </w:pPr>
            <w:r w:rsidRPr="00770953">
              <w:rPr>
                <w:rFonts w:ascii="Verdana" w:hAnsi="Verdana"/>
                <w:b/>
                <w:sz w:val="16"/>
                <w:szCs w:val="16"/>
                <w:lang w:val="en-US"/>
              </w:rPr>
              <w:t xml:space="preserve">IV. </w:t>
            </w:r>
            <w:r w:rsidRPr="00770953">
              <w:rPr>
                <w:rFonts w:ascii="Verdana" w:hAnsi="Verdana"/>
                <w:b/>
                <w:sz w:val="16"/>
                <w:szCs w:val="16"/>
                <w:lang w:val="en-US"/>
              </w:rPr>
              <w:tab/>
            </w:r>
            <w:r w:rsidRPr="00770953">
              <w:rPr>
                <w:rFonts w:ascii="Verdana" w:hAnsi="Verdana"/>
                <w:sz w:val="16"/>
                <w:szCs w:val="16"/>
                <w:lang w:val="en-US"/>
              </w:rPr>
              <w:t>When the Secretary so determines for reasons other than the above, and</w:t>
            </w:r>
          </w:p>
        </w:tc>
      </w:tr>
      <w:tr w:rsidR="003A38FF" w:rsidRPr="00D83DA2" w14:paraId="6D720F1B" w14:textId="7D55549A" w:rsidTr="00FB5DAD">
        <w:tc>
          <w:tcPr>
            <w:tcW w:w="4706" w:type="dxa"/>
          </w:tcPr>
          <w:p w14:paraId="13423182"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Las demás previstas en las disposiciones administrativas de carácter general en materia de impacto social.</w:t>
            </w:r>
          </w:p>
        </w:tc>
        <w:tc>
          <w:tcPr>
            <w:tcW w:w="4644" w:type="dxa"/>
          </w:tcPr>
          <w:p w14:paraId="4D9B953A" w14:textId="2A8FF176" w:rsidR="003A38FF" w:rsidRPr="00D0180E" w:rsidRDefault="003A38FF" w:rsidP="003A38FF">
            <w:pPr>
              <w:pStyle w:val="Texto"/>
              <w:spacing w:line="224" w:lineRule="exact"/>
              <w:ind w:firstLine="0"/>
              <w:rPr>
                <w:rFonts w:ascii="Verdana" w:hAnsi="Verdana"/>
                <w:b/>
                <w:sz w:val="16"/>
                <w:szCs w:val="16"/>
                <w:lang w:val="en-US"/>
              </w:rPr>
            </w:pPr>
            <w:r w:rsidRPr="00770953">
              <w:rPr>
                <w:rFonts w:ascii="Verdana" w:hAnsi="Verdana"/>
                <w:b/>
                <w:sz w:val="16"/>
                <w:szCs w:val="16"/>
                <w:lang w:val="en-US"/>
              </w:rPr>
              <w:t>V</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Other</w:t>
            </w:r>
            <w:proofErr w:type="gramEnd"/>
            <w:r w:rsidRPr="00770953">
              <w:rPr>
                <w:rFonts w:ascii="Verdana" w:hAnsi="Verdana"/>
                <w:sz w:val="16"/>
                <w:szCs w:val="16"/>
                <w:lang w:val="en-US"/>
              </w:rPr>
              <w:t xml:space="preserve"> provisions provided for in general administrative provisions on social impact.</w:t>
            </w:r>
          </w:p>
        </w:tc>
      </w:tr>
      <w:tr w:rsidR="003A38FF" w:rsidRPr="00D83DA2" w14:paraId="4BB032F5" w14:textId="64B8A085" w:rsidTr="00FB5DAD">
        <w:tc>
          <w:tcPr>
            <w:tcW w:w="4706" w:type="dxa"/>
          </w:tcPr>
          <w:p w14:paraId="4BBA7891"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sz w:val="16"/>
                <w:szCs w:val="16"/>
              </w:rPr>
              <w:t>Si del resultado de la verificación a que se refiere este artículo se prevé un hecho posiblemente constitutivo de sanción administrativa, la Secretaría debe sujetarse al procedimiento para la imposición de sanciones previsto en la Ley Federal de Procedimiento Administrativo.</w:t>
            </w:r>
          </w:p>
        </w:tc>
        <w:tc>
          <w:tcPr>
            <w:tcW w:w="4644" w:type="dxa"/>
          </w:tcPr>
          <w:p w14:paraId="19F2EEFA" w14:textId="31099B3D" w:rsidR="003A38FF" w:rsidRPr="00D0180E" w:rsidRDefault="003A38FF" w:rsidP="003A38FF">
            <w:pPr>
              <w:pStyle w:val="Texto"/>
              <w:spacing w:line="224" w:lineRule="exact"/>
              <w:ind w:firstLine="0"/>
              <w:rPr>
                <w:rFonts w:ascii="Verdana" w:hAnsi="Verdana"/>
                <w:sz w:val="16"/>
                <w:szCs w:val="16"/>
                <w:lang w:val="en-US"/>
              </w:rPr>
            </w:pPr>
            <w:r w:rsidRPr="00770953">
              <w:rPr>
                <w:rFonts w:ascii="Verdana" w:hAnsi="Verdana"/>
                <w:sz w:val="16"/>
                <w:szCs w:val="16"/>
                <w:lang w:val="en-US"/>
              </w:rPr>
              <w:t>If the result of the verification referred to in this article indicates that an event may constitute an administrative sanction, the Secretary must adhere to the procedure for imposing sanctions provided for in the Federal Law on Administrative Procedure.</w:t>
            </w:r>
          </w:p>
        </w:tc>
      </w:tr>
      <w:tr w:rsidR="003A38FF" w:rsidRPr="00D83DA2" w14:paraId="2A28871D" w14:textId="17C6AC70" w:rsidTr="00FB5DAD">
        <w:tc>
          <w:tcPr>
            <w:tcW w:w="4706" w:type="dxa"/>
          </w:tcPr>
          <w:p w14:paraId="419FCA81" w14:textId="77777777" w:rsidR="003A38FF" w:rsidRPr="00D0180E" w:rsidRDefault="003A38FF" w:rsidP="003A38FF">
            <w:pPr>
              <w:pStyle w:val="Texto"/>
              <w:spacing w:line="224" w:lineRule="exact"/>
              <w:ind w:firstLine="0"/>
              <w:rPr>
                <w:rFonts w:ascii="Verdana" w:hAnsi="Verdana"/>
                <w:sz w:val="16"/>
                <w:szCs w:val="16"/>
              </w:rPr>
            </w:pPr>
            <w:r w:rsidRPr="00D0180E">
              <w:rPr>
                <w:rFonts w:ascii="Verdana" w:hAnsi="Verdana"/>
                <w:b/>
                <w:sz w:val="16"/>
                <w:szCs w:val="16"/>
              </w:rPr>
              <w:t>Artículo 218.</w:t>
            </w:r>
            <w:r w:rsidRPr="00D0180E">
              <w:rPr>
                <w:rFonts w:ascii="Verdana" w:hAnsi="Verdana"/>
                <w:sz w:val="16"/>
                <w:szCs w:val="16"/>
              </w:rPr>
              <w:t xml:space="preserve"> La Secretaría puede solicitar la opinión técnica de las dependencias o entidades competentes de la Administración Pública Federal, así como de expertos, cuando por las características del proyecto se estime que sus opiniones pueden proveer de mejores elementos para la autorización de la Manifestación de Impacto Social del Sector Energético o su negación. En todos los casos las dependencias o entidades consultadas, tienen un plazo no mayor a quince días hábiles, contado a partir de la recepción de la solicitud correspondiente, para emitir las opiniones que correspondan, de no emitirse una opinión, la Secretaría debe resolver con la información que tenga integrada al expediente.</w:t>
            </w:r>
          </w:p>
        </w:tc>
        <w:tc>
          <w:tcPr>
            <w:tcW w:w="4644" w:type="dxa"/>
          </w:tcPr>
          <w:p w14:paraId="3BD20055" w14:textId="08827199" w:rsidR="003A38FF" w:rsidRPr="00D0180E" w:rsidRDefault="003A38FF" w:rsidP="003A38FF">
            <w:pPr>
              <w:pStyle w:val="Texto"/>
              <w:spacing w:line="224" w:lineRule="exact"/>
              <w:ind w:firstLine="0"/>
              <w:rPr>
                <w:rFonts w:ascii="Verdana" w:hAnsi="Verdana"/>
                <w:b/>
                <w:sz w:val="16"/>
                <w:szCs w:val="16"/>
                <w:lang w:val="en-US"/>
              </w:rPr>
            </w:pPr>
            <w:r w:rsidRPr="00770953">
              <w:rPr>
                <w:rFonts w:ascii="Verdana" w:hAnsi="Verdana"/>
                <w:b/>
                <w:sz w:val="16"/>
                <w:szCs w:val="16"/>
                <w:lang w:val="en-US"/>
              </w:rPr>
              <w:t xml:space="preserve">Article 218. </w:t>
            </w:r>
            <w:r w:rsidRPr="00770953">
              <w:rPr>
                <w:rFonts w:ascii="Verdana" w:hAnsi="Verdana"/>
                <w:sz w:val="16"/>
                <w:szCs w:val="16"/>
                <w:lang w:val="en-US"/>
              </w:rPr>
              <w:t xml:space="preserve">The Secretary may request technical opinions from the </w:t>
            </w:r>
            <w:r>
              <w:rPr>
                <w:rFonts w:ascii="Verdana" w:hAnsi="Verdana"/>
                <w:sz w:val="16"/>
                <w:szCs w:val="16"/>
                <w:lang w:val="en-US"/>
              </w:rPr>
              <w:t xml:space="preserve">appropriate </w:t>
            </w:r>
            <w:r w:rsidRPr="00770953">
              <w:rPr>
                <w:rFonts w:ascii="Verdana" w:hAnsi="Verdana"/>
                <w:sz w:val="16"/>
                <w:szCs w:val="16"/>
                <w:lang w:val="en-US"/>
              </w:rPr>
              <w:t>agencies or entities of the Federal Public Administration, as well as from experts, when, due to the characteristics of the project, it is estimated that their opinions may provide better elements for the authorization of the Social Impact Statement for the Energy Sector or its denial. In all cases, the agencies or entities consulted have a period of no more than fifteen business days, counted from the receipt of the corresponding request, to issue the appropriate opinions. If no opinion is issued, the Secretary must resolve based on the information it has included in the file.</w:t>
            </w:r>
          </w:p>
        </w:tc>
      </w:tr>
      <w:tr w:rsidR="003A38FF" w:rsidRPr="00D0180E" w14:paraId="399A1C33" w14:textId="026386D6" w:rsidTr="00FB5DAD">
        <w:tc>
          <w:tcPr>
            <w:tcW w:w="4706" w:type="dxa"/>
          </w:tcPr>
          <w:p w14:paraId="6FD42B9D" w14:textId="77777777" w:rsidR="003A38FF" w:rsidRPr="00D0180E" w:rsidRDefault="003A38FF" w:rsidP="003A38FF">
            <w:pPr>
              <w:pStyle w:val="Texto"/>
              <w:spacing w:line="228" w:lineRule="exact"/>
              <w:ind w:firstLine="0"/>
              <w:jc w:val="center"/>
              <w:rPr>
                <w:rFonts w:ascii="Verdana" w:hAnsi="Verdana"/>
                <w:b/>
                <w:sz w:val="16"/>
                <w:szCs w:val="16"/>
              </w:rPr>
            </w:pPr>
            <w:r w:rsidRPr="00D0180E">
              <w:rPr>
                <w:rFonts w:ascii="Verdana" w:hAnsi="Verdana"/>
                <w:b/>
                <w:sz w:val="16"/>
                <w:szCs w:val="16"/>
              </w:rPr>
              <w:t>Capítulo II</w:t>
            </w:r>
          </w:p>
        </w:tc>
        <w:tc>
          <w:tcPr>
            <w:tcW w:w="4644" w:type="dxa"/>
          </w:tcPr>
          <w:p w14:paraId="3F387DEF" w14:textId="4D504DF4" w:rsidR="003A38FF" w:rsidRPr="00412C58" w:rsidRDefault="003A38FF" w:rsidP="003A38FF">
            <w:pPr>
              <w:pStyle w:val="Texto"/>
              <w:spacing w:line="228" w:lineRule="exact"/>
              <w:ind w:firstLine="0"/>
              <w:jc w:val="center"/>
              <w:rPr>
                <w:rFonts w:ascii="Verdana" w:hAnsi="Verdana"/>
                <w:b/>
                <w:sz w:val="16"/>
                <w:szCs w:val="16"/>
                <w:lang w:val="en-US"/>
              </w:rPr>
            </w:pPr>
            <w:r w:rsidRPr="00412C58">
              <w:rPr>
                <w:rFonts w:ascii="Verdana" w:hAnsi="Verdana"/>
                <w:b/>
                <w:sz w:val="16"/>
                <w:szCs w:val="16"/>
                <w:lang w:val="en-US"/>
              </w:rPr>
              <w:t>Chapter II</w:t>
            </w:r>
          </w:p>
        </w:tc>
      </w:tr>
      <w:tr w:rsidR="003A38FF" w:rsidRPr="00D0180E" w14:paraId="5DC20E4A" w14:textId="75440A85" w:rsidTr="00FB5DAD">
        <w:tc>
          <w:tcPr>
            <w:tcW w:w="4706" w:type="dxa"/>
          </w:tcPr>
          <w:p w14:paraId="6838953C" w14:textId="77777777" w:rsidR="003A38FF" w:rsidRPr="00D0180E" w:rsidRDefault="003A38FF" w:rsidP="003A38FF">
            <w:pPr>
              <w:pStyle w:val="Texto"/>
              <w:spacing w:line="228" w:lineRule="exact"/>
              <w:ind w:firstLine="0"/>
              <w:jc w:val="center"/>
              <w:rPr>
                <w:rFonts w:ascii="Verdana" w:hAnsi="Verdana"/>
                <w:b/>
                <w:sz w:val="16"/>
                <w:szCs w:val="16"/>
              </w:rPr>
            </w:pPr>
            <w:r w:rsidRPr="00D0180E">
              <w:rPr>
                <w:rFonts w:ascii="Verdana" w:hAnsi="Verdana"/>
                <w:b/>
                <w:sz w:val="16"/>
                <w:szCs w:val="16"/>
              </w:rPr>
              <w:t>De la Consulta Previa</w:t>
            </w:r>
          </w:p>
        </w:tc>
        <w:tc>
          <w:tcPr>
            <w:tcW w:w="4644" w:type="dxa"/>
          </w:tcPr>
          <w:p w14:paraId="4E549936" w14:textId="6FAF2969" w:rsidR="003A38FF" w:rsidRPr="00412C58" w:rsidRDefault="003A38FF" w:rsidP="003A38FF">
            <w:pPr>
              <w:pStyle w:val="Texto"/>
              <w:spacing w:line="228" w:lineRule="exact"/>
              <w:ind w:firstLine="0"/>
              <w:jc w:val="center"/>
              <w:rPr>
                <w:rFonts w:ascii="Verdana" w:hAnsi="Verdana"/>
                <w:b/>
                <w:sz w:val="16"/>
                <w:szCs w:val="16"/>
                <w:lang w:val="en-US"/>
              </w:rPr>
            </w:pPr>
            <w:r w:rsidRPr="00412C58">
              <w:rPr>
                <w:rFonts w:ascii="Verdana" w:hAnsi="Verdana"/>
                <w:b/>
                <w:sz w:val="16"/>
                <w:szCs w:val="16"/>
                <w:lang w:val="en-US"/>
              </w:rPr>
              <w:t>Prior Consultation</w:t>
            </w:r>
          </w:p>
        </w:tc>
      </w:tr>
      <w:tr w:rsidR="003A38FF" w:rsidRPr="00D83DA2" w14:paraId="55CBA641" w14:textId="1E868110" w:rsidTr="00FB5DAD">
        <w:tc>
          <w:tcPr>
            <w:tcW w:w="4706" w:type="dxa"/>
          </w:tcPr>
          <w:p w14:paraId="78AB1182"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Artículo 219.</w:t>
            </w:r>
            <w:r w:rsidRPr="00D0180E">
              <w:rPr>
                <w:rFonts w:ascii="Verdana" w:hAnsi="Verdana"/>
                <w:sz w:val="16"/>
                <w:szCs w:val="16"/>
              </w:rPr>
              <w:t xml:space="preserve"> La Secretaría es la responsable de los procedimientos de Consulta Previa a que se refiere el artículo 135 de la Ley. </w:t>
            </w:r>
            <w:bookmarkStart w:id="10" w:name="N_Hlk197726102"/>
            <w:r w:rsidRPr="00D0180E">
              <w:rPr>
                <w:rFonts w:ascii="Verdana" w:hAnsi="Verdana"/>
                <w:sz w:val="16"/>
                <w:szCs w:val="16"/>
              </w:rPr>
              <w:t>Lo anterior, sin perjuicio de que esta determine que puedan participar otras dependencias o entidades federales, así como cualquier otra instancia de los tres órdenes de gobierno en el ámbito de sus respectivas competencias, previa consideración de la naturaleza del proyecto a consultar.</w:t>
            </w:r>
            <w:bookmarkEnd w:id="10"/>
          </w:p>
        </w:tc>
        <w:tc>
          <w:tcPr>
            <w:tcW w:w="4644" w:type="dxa"/>
          </w:tcPr>
          <w:p w14:paraId="2912117D" w14:textId="0176341F" w:rsidR="003A38FF" w:rsidRPr="00D0180E" w:rsidRDefault="003A38FF" w:rsidP="003A38FF">
            <w:pPr>
              <w:pStyle w:val="Texto"/>
              <w:spacing w:line="228" w:lineRule="exact"/>
              <w:ind w:firstLine="0"/>
              <w:rPr>
                <w:rFonts w:ascii="Verdana" w:hAnsi="Verdana"/>
                <w:b/>
                <w:sz w:val="16"/>
                <w:szCs w:val="16"/>
                <w:lang w:val="en-US"/>
              </w:rPr>
            </w:pPr>
            <w:r w:rsidRPr="00770953">
              <w:rPr>
                <w:rFonts w:ascii="Verdana" w:hAnsi="Verdana"/>
                <w:b/>
                <w:sz w:val="16"/>
                <w:szCs w:val="16"/>
                <w:lang w:val="en-US"/>
              </w:rPr>
              <w:t xml:space="preserve">Article 219. </w:t>
            </w:r>
            <w:r w:rsidRPr="00770953">
              <w:rPr>
                <w:rFonts w:ascii="Verdana" w:hAnsi="Verdana"/>
                <w:sz w:val="16"/>
                <w:szCs w:val="16"/>
                <w:lang w:val="en-US"/>
              </w:rPr>
              <w:t>The Secretary is responsible for the Prior Consultation procedures referred to in Article 135 of the Law. This is without prejudice to the Secretary determining that other federal agencies or entities may participate, as well as any other body of the three levels of government within the scope of their respective powers, after considering the nature of the project to be consulted.</w:t>
            </w:r>
          </w:p>
        </w:tc>
      </w:tr>
      <w:tr w:rsidR="003A38FF" w:rsidRPr="00D83DA2" w14:paraId="6032C227" w14:textId="3535B79C" w:rsidTr="00FB5DAD">
        <w:tc>
          <w:tcPr>
            <w:tcW w:w="4706" w:type="dxa"/>
          </w:tcPr>
          <w:p w14:paraId="00B5F98A"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Artículo 220.</w:t>
            </w:r>
            <w:r w:rsidRPr="00D0180E">
              <w:rPr>
                <w:rFonts w:ascii="Verdana" w:hAnsi="Verdana"/>
                <w:sz w:val="16"/>
                <w:szCs w:val="16"/>
              </w:rPr>
              <w:t xml:space="preserve"> La Consulta Previa a pueblos y comunidades indígenas y afromexicanas se debe realizar conforme a los principios previstos en el artículo 2o. de la Constitución Política de los Estados Unidos Mexicanos y demás normatividad aplicable.</w:t>
            </w:r>
          </w:p>
        </w:tc>
        <w:tc>
          <w:tcPr>
            <w:tcW w:w="4644" w:type="dxa"/>
          </w:tcPr>
          <w:p w14:paraId="68D1B549" w14:textId="22BEE26F" w:rsidR="003A38FF" w:rsidRPr="00D0180E" w:rsidRDefault="003A38FF" w:rsidP="003A38FF">
            <w:pPr>
              <w:pStyle w:val="Texto"/>
              <w:spacing w:line="228" w:lineRule="exact"/>
              <w:ind w:firstLine="0"/>
              <w:rPr>
                <w:rFonts w:ascii="Verdana" w:hAnsi="Verdana"/>
                <w:b/>
                <w:sz w:val="16"/>
                <w:szCs w:val="16"/>
                <w:lang w:val="en-US"/>
              </w:rPr>
            </w:pPr>
            <w:r w:rsidRPr="00770953">
              <w:rPr>
                <w:rFonts w:ascii="Verdana" w:hAnsi="Verdana"/>
                <w:b/>
                <w:sz w:val="16"/>
                <w:szCs w:val="16"/>
                <w:lang w:val="en-US"/>
              </w:rPr>
              <w:t xml:space="preserve">Article 220. </w:t>
            </w:r>
            <w:r w:rsidRPr="00770953">
              <w:rPr>
                <w:rFonts w:ascii="Verdana" w:hAnsi="Verdana"/>
                <w:sz w:val="16"/>
                <w:szCs w:val="16"/>
                <w:lang w:val="en-US"/>
              </w:rPr>
              <w:t>Prior Consultation with indigenous and Afro-Mexican peoples and communities must be carried out in accordance with the principles set forth in Article 2 of the Political Constitution of the United Mexican States and other applicable legislation.</w:t>
            </w:r>
          </w:p>
        </w:tc>
      </w:tr>
      <w:tr w:rsidR="003A38FF" w:rsidRPr="00D83DA2" w14:paraId="777D58AB" w14:textId="502494A6" w:rsidTr="00FB5DAD">
        <w:tc>
          <w:tcPr>
            <w:tcW w:w="4706" w:type="dxa"/>
          </w:tcPr>
          <w:p w14:paraId="164F33A7"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sz w:val="16"/>
                <w:szCs w:val="16"/>
              </w:rPr>
              <w:t>La Consulta Previa debe ser informada, de buena fe, culturalmente apropiada, flexible, incluyente, transparente con el deber de acomodo y razonabilidad, con el objeto de alcanzar acuerdos o, en su caso, el consentimiento y con miras a que los pueblos y comunidades indígenas y afromexicanas tengan acceso y participación justa y equitativa de los beneficios asociados al proyecto, conforme a la normatividad aplicable y en cumplimiento de los objetivos de Justicia Energética.</w:t>
            </w:r>
          </w:p>
        </w:tc>
        <w:tc>
          <w:tcPr>
            <w:tcW w:w="4644" w:type="dxa"/>
          </w:tcPr>
          <w:p w14:paraId="26678A0F" w14:textId="433CDC64" w:rsidR="003A38FF" w:rsidRPr="00D0180E" w:rsidRDefault="003A38FF" w:rsidP="003A38FF">
            <w:pPr>
              <w:pStyle w:val="Texto"/>
              <w:spacing w:line="228" w:lineRule="exact"/>
              <w:ind w:firstLine="0"/>
              <w:rPr>
                <w:rFonts w:ascii="Verdana" w:hAnsi="Verdana"/>
                <w:sz w:val="16"/>
                <w:szCs w:val="16"/>
                <w:lang w:val="en-US"/>
              </w:rPr>
            </w:pPr>
            <w:r w:rsidRPr="00770953">
              <w:rPr>
                <w:rFonts w:ascii="Verdana" w:hAnsi="Verdana"/>
                <w:sz w:val="16"/>
                <w:szCs w:val="16"/>
                <w:lang w:val="en-US"/>
              </w:rPr>
              <w:t xml:space="preserve">Prior </w:t>
            </w:r>
            <w:r>
              <w:rPr>
                <w:rFonts w:ascii="Verdana" w:hAnsi="Verdana"/>
                <w:sz w:val="16"/>
                <w:szCs w:val="16"/>
                <w:lang w:val="en-US"/>
              </w:rPr>
              <w:t>C</w:t>
            </w:r>
            <w:r w:rsidRPr="00770953">
              <w:rPr>
                <w:rFonts w:ascii="Verdana" w:hAnsi="Verdana"/>
                <w:sz w:val="16"/>
                <w:szCs w:val="16"/>
                <w:lang w:val="en-US"/>
              </w:rPr>
              <w:t xml:space="preserve">onsultation must be informed, in good faith, culturally appropriate, flexible, inclusive, and transparent, with the duty of accommodation and reasonableness, with the aim of reaching agreements or, where appropriate, consent, and with a view to ensuring that Indigenous and Afro-Mexican peoples and communities have fair and equitable access to and participation in the benefits associated with the project, in accordance with applicable legislation and in compliance with the objectives of </w:t>
            </w:r>
            <w:r>
              <w:rPr>
                <w:rFonts w:ascii="Verdana" w:hAnsi="Verdana"/>
                <w:sz w:val="16"/>
                <w:szCs w:val="16"/>
                <w:lang w:val="en-US"/>
              </w:rPr>
              <w:t>e</w:t>
            </w:r>
            <w:r w:rsidRPr="00770953">
              <w:rPr>
                <w:rFonts w:ascii="Verdana" w:hAnsi="Verdana"/>
                <w:sz w:val="16"/>
                <w:szCs w:val="16"/>
                <w:lang w:val="en-US"/>
              </w:rPr>
              <w:t xml:space="preserve">nergy </w:t>
            </w:r>
            <w:r>
              <w:rPr>
                <w:rFonts w:ascii="Verdana" w:hAnsi="Verdana"/>
                <w:sz w:val="16"/>
                <w:szCs w:val="16"/>
                <w:lang w:val="en-US"/>
              </w:rPr>
              <w:t>j</w:t>
            </w:r>
            <w:r w:rsidRPr="00770953">
              <w:rPr>
                <w:rFonts w:ascii="Verdana" w:hAnsi="Verdana"/>
                <w:sz w:val="16"/>
                <w:szCs w:val="16"/>
                <w:lang w:val="en-US"/>
              </w:rPr>
              <w:t>ustice.</w:t>
            </w:r>
          </w:p>
        </w:tc>
      </w:tr>
      <w:tr w:rsidR="003A38FF" w:rsidRPr="00D83DA2" w14:paraId="363DE598" w14:textId="6D282E8C" w:rsidTr="00FB5DAD">
        <w:tc>
          <w:tcPr>
            <w:tcW w:w="4706" w:type="dxa"/>
          </w:tcPr>
          <w:p w14:paraId="1EBF9182"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lastRenderedPageBreak/>
              <w:t>Artículo 221.</w:t>
            </w:r>
            <w:r w:rsidRPr="00D0180E">
              <w:rPr>
                <w:rFonts w:ascii="Verdana" w:hAnsi="Verdana"/>
                <w:sz w:val="16"/>
                <w:szCs w:val="16"/>
              </w:rPr>
              <w:t xml:space="preserve"> La Consulta Previa debe comprender las siguientes etapas generales:</w:t>
            </w:r>
          </w:p>
        </w:tc>
        <w:tc>
          <w:tcPr>
            <w:tcW w:w="4644" w:type="dxa"/>
          </w:tcPr>
          <w:p w14:paraId="398EAD8A" w14:textId="539B43ED" w:rsidR="003A38FF" w:rsidRPr="00D0180E" w:rsidRDefault="003A38FF" w:rsidP="003A38FF">
            <w:pPr>
              <w:pStyle w:val="Texto"/>
              <w:spacing w:line="228" w:lineRule="exact"/>
              <w:ind w:firstLine="0"/>
              <w:rPr>
                <w:rFonts w:ascii="Verdana" w:hAnsi="Verdana"/>
                <w:b/>
                <w:sz w:val="16"/>
                <w:szCs w:val="16"/>
                <w:lang w:val="en-US"/>
              </w:rPr>
            </w:pPr>
            <w:r w:rsidRPr="00770953">
              <w:rPr>
                <w:rFonts w:ascii="Verdana" w:hAnsi="Verdana"/>
                <w:b/>
                <w:sz w:val="16"/>
                <w:szCs w:val="16"/>
                <w:lang w:val="en-US"/>
              </w:rPr>
              <w:t xml:space="preserve">Article 221. </w:t>
            </w:r>
            <w:r w:rsidRPr="00770953">
              <w:rPr>
                <w:rFonts w:ascii="Verdana" w:hAnsi="Verdana"/>
                <w:sz w:val="16"/>
                <w:szCs w:val="16"/>
                <w:lang w:val="en-US"/>
              </w:rPr>
              <w:t>Prior Consultation must include the following general stages:</w:t>
            </w:r>
          </w:p>
        </w:tc>
      </w:tr>
      <w:tr w:rsidR="003A38FF" w:rsidRPr="00D83DA2" w14:paraId="63348AC5" w14:textId="31A46A90" w:rsidTr="00FB5DAD">
        <w:tc>
          <w:tcPr>
            <w:tcW w:w="4706" w:type="dxa"/>
          </w:tcPr>
          <w:p w14:paraId="7F9DC8FD"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Plan de consulta: La planeación que lleve a cabo la Secretaría para la realización de la Consulta Previa, y el establecimiento de la coordinación con las dependencias y entidades señaladas en el artículo 135 de la Ley y 219 de este reglamento;</w:t>
            </w:r>
          </w:p>
        </w:tc>
        <w:tc>
          <w:tcPr>
            <w:tcW w:w="4644" w:type="dxa"/>
          </w:tcPr>
          <w:p w14:paraId="0B98F194" w14:textId="3AD86367" w:rsidR="003A38FF" w:rsidRPr="00D0180E" w:rsidRDefault="003A38FF" w:rsidP="003A38FF">
            <w:pPr>
              <w:pStyle w:val="Texto"/>
              <w:spacing w:line="228" w:lineRule="exact"/>
              <w:ind w:firstLine="0"/>
              <w:rPr>
                <w:rFonts w:ascii="Verdana" w:hAnsi="Verdana"/>
                <w:b/>
                <w:sz w:val="16"/>
                <w:szCs w:val="16"/>
                <w:lang w:val="en-US"/>
              </w:rPr>
            </w:pPr>
            <w:r w:rsidRPr="00770953">
              <w:rPr>
                <w:rFonts w:ascii="Verdana" w:hAnsi="Verdana"/>
                <w:b/>
                <w:sz w:val="16"/>
                <w:szCs w:val="16"/>
                <w:lang w:val="en-US"/>
              </w:rPr>
              <w:t>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Consultation</w:t>
            </w:r>
            <w:proofErr w:type="gramEnd"/>
            <w:r w:rsidRPr="00770953">
              <w:rPr>
                <w:rFonts w:ascii="Verdana" w:hAnsi="Verdana"/>
                <w:sz w:val="16"/>
                <w:szCs w:val="16"/>
                <w:lang w:val="en-US"/>
              </w:rPr>
              <w:t xml:space="preserve"> Plan: The planning carried out by the Secretary for the execution of the Prior Consultation, and the establishment of coordination with the departments and entities indicated in article 135 of the Law and 219 of this regulation;</w:t>
            </w:r>
          </w:p>
        </w:tc>
      </w:tr>
      <w:tr w:rsidR="003A38FF" w:rsidRPr="00D83DA2" w14:paraId="67AC053A" w14:textId="05787763" w:rsidTr="00FB5DAD">
        <w:tc>
          <w:tcPr>
            <w:tcW w:w="4706" w:type="dxa"/>
          </w:tcPr>
          <w:p w14:paraId="71BC80F4"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Acuerdos previos: Los compromisos que la Secretaría y las autoridades tradicionales o representativas del pueblo o comunidad indígena o afromexicana convienen de manera recíproca sobre la forma en la que se lleva a cabo la Consulta Previa, la cual termina con la suscripción del protocolo de consulta acordado;</w:t>
            </w:r>
          </w:p>
        </w:tc>
        <w:tc>
          <w:tcPr>
            <w:tcW w:w="4644" w:type="dxa"/>
          </w:tcPr>
          <w:p w14:paraId="7988C26A" w14:textId="7693A3C0" w:rsidR="003A38FF" w:rsidRPr="00D0180E" w:rsidRDefault="003A38FF" w:rsidP="003A38FF">
            <w:pPr>
              <w:pStyle w:val="Texto"/>
              <w:spacing w:line="228" w:lineRule="exact"/>
              <w:ind w:firstLine="0"/>
              <w:rPr>
                <w:rFonts w:ascii="Verdana" w:hAnsi="Verdana"/>
                <w:b/>
                <w:sz w:val="16"/>
                <w:szCs w:val="16"/>
                <w:lang w:val="en-US"/>
              </w:rPr>
            </w:pPr>
            <w:r w:rsidRPr="00770953">
              <w:rPr>
                <w:rFonts w:ascii="Verdana" w:hAnsi="Verdana"/>
                <w:b/>
                <w:sz w:val="16"/>
                <w:szCs w:val="16"/>
                <w:lang w:val="en-US"/>
              </w:rPr>
              <w:t xml:space="preserve">II. </w:t>
            </w:r>
            <w:r w:rsidRPr="00770953">
              <w:rPr>
                <w:rFonts w:ascii="Verdana" w:hAnsi="Verdana"/>
                <w:b/>
                <w:sz w:val="16"/>
                <w:szCs w:val="16"/>
                <w:lang w:val="en-US"/>
              </w:rPr>
              <w:tab/>
            </w:r>
            <w:r w:rsidRPr="00770953">
              <w:rPr>
                <w:rFonts w:ascii="Verdana" w:hAnsi="Verdana"/>
                <w:sz w:val="16"/>
                <w:szCs w:val="16"/>
                <w:lang w:val="en-US"/>
              </w:rPr>
              <w:t xml:space="preserve">Prior Agreements: The commitments that the Secretary and the traditional or representative authorities of the indigenous or Afro-Mexican people or community reciprocally agree on regarding the </w:t>
            </w:r>
            <w:proofErr w:type="gramStart"/>
            <w:r w:rsidRPr="00770953">
              <w:rPr>
                <w:rFonts w:ascii="Verdana" w:hAnsi="Verdana"/>
                <w:sz w:val="16"/>
                <w:szCs w:val="16"/>
                <w:lang w:val="en-US"/>
              </w:rPr>
              <w:t>manner in which</w:t>
            </w:r>
            <w:proofErr w:type="gramEnd"/>
            <w:r w:rsidRPr="00770953">
              <w:rPr>
                <w:rFonts w:ascii="Verdana" w:hAnsi="Verdana"/>
                <w:sz w:val="16"/>
                <w:szCs w:val="16"/>
                <w:lang w:val="en-US"/>
              </w:rPr>
              <w:t xml:space="preserve"> the Prior Consultation is carried out, which ends with the signing of the agreed consultation protocol;</w:t>
            </w:r>
          </w:p>
        </w:tc>
      </w:tr>
      <w:tr w:rsidR="003A38FF" w:rsidRPr="00D83DA2" w14:paraId="48E3216A" w14:textId="0E975838" w:rsidTr="00FB5DAD">
        <w:tc>
          <w:tcPr>
            <w:tcW w:w="4706" w:type="dxa"/>
          </w:tcPr>
          <w:p w14:paraId="4D517430"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Informativa: La entrega de información suficiente y culturalmente adecuada a las integrantes del pueblo o comunidad indígena o afromexicana sobre el proyecto que se somete a Consulta Previa, la cual termina cuando el pueblo o comunidad indígena o afromexicana manifiesta expresamente no requerir información adicional para efectos de su decisión;</w:t>
            </w:r>
          </w:p>
        </w:tc>
        <w:tc>
          <w:tcPr>
            <w:tcW w:w="4644" w:type="dxa"/>
          </w:tcPr>
          <w:p w14:paraId="5F200B9F" w14:textId="2BA32B7F" w:rsidR="003A38FF" w:rsidRPr="00D0180E" w:rsidRDefault="003A38FF" w:rsidP="003A38FF">
            <w:pPr>
              <w:pStyle w:val="Texto"/>
              <w:spacing w:line="228" w:lineRule="exact"/>
              <w:ind w:firstLine="0"/>
              <w:rPr>
                <w:rFonts w:ascii="Verdana" w:hAnsi="Verdana"/>
                <w:b/>
                <w:sz w:val="16"/>
                <w:szCs w:val="16"/>
                <w:lang w:val="en-US"/>
              </w:rPr>
            </w:pPr>
            <w:r w:rsidRPr="00770953">
              <w:rPr>
                <w:rFonts w:ascii="Verdana" w:hAnsi="Verdana"/>
                <w:b/>
                <w:sz w:val="16"/>
                <w:szCs w:val="16"/>
                <w:lang w:val="en-US"/>
              </w:rPr>
              <w:t xml:space="preserve">III. </w:t>
            </w:r>
            <w:r w:rsidRPr="00770953">
              <w:rPr>
                <w:rFonts w:ascii="Verdana" w:hAnsi="Verdana"/>
                <w:b/>
                <w:sz w:val="16"/>
                <w:szCs w:val="16"/>
                <w:lang w:val="en-US"/>
              </w:rPr>
              <w:tab/>
            </w:r>
            <w:r w:rsidRPr="00770953">
              <w:rPr>
                <w:rFonts w:ascii="Verdana" w:hAnsi="Verdana"/>
                <w:sz w:val="16"/>
                <w:szCs w:val="16"/>
                <w:lang w:val="en-US"/>
              </w:rPr>
              <w:t>Informative: The delivery of sufficient and culturally appropriate information to the members of the indigenous or Afro-Mexican people or community about the project that is subject to Prior Consultation, which ends when the indigenous or Afro-Mexican people or community expressly states that it does not require additional information for the purposes of its decision;</w:t>
            </w:r>
          </w:p>
        </w:tc>
      </w:tr>
      <w:tr w:rsidR="003A38FF" w:rsidRPr="00D83DA2" w14:paraId="423290D9" w14:textId="6B6AC433" w:rsidTr="00FB5DAD">
        <w:tc>
          <w:tcPr>
            <w:tcW w:w="4706" w:type="dxa"/>
          </w:tcPr>
          <w:p w14:paraId="4C85C064"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Deliberativa: El periodo de diálogo que ocurre al interior del pueblo o comunidad indígena o afromexicana para la toma de decisiones sobre el proyecto sometido a Consulta Previa, la cual termina cuando el pueblo o comunidad indígena o afromexicana manifiesta expresamente a la Secretaría haber llegado a una decisión comunitaria, y</w:t>
            </w:r>
          </w:p>
        </w:tc>
        <w:tc>
          <w:tcPr>
            <w:tcW w:w="4644" w:type="dxa"/>
          </w:tcPr>
          <w:p w14:paraId="79F5D8E0" w14:textId="632E6AC4" w:rsidR="003A38FF" w:rsidRPr="00D0180E" w:rsidRDefault="003A38FF" w:rsidP="003A38FF">
            <w:pPr>
              <w:pStyle w:val="Texto"/>
              <w:spacing w:line="228" w:lineRule="exact"/>
              <w:ind w:firstLine="0"/>
              <w:rPr>
                <w:rFonts w:ascii="Verdana" w:hAnsi="Verdana"/>
                <w:b/>
                <w:sz w:val="16"/>
                <w:szCs w:val="16"/>
                <w:lang w:val="en-US"/>
              </w:rPr>
            </w:pPr>
            <w:r w:rsidRPr="00770953">
              <w:rPr>
                <w:rFonts w:ascii="Verdana" w:hAnsi="Verdana"/>
                <w:b/>
                <w:sz w:val="16"/>
                <w:szCs w:val="16"/>
                <w:lang w:val="en-US"/>
              </w:rPr>
              <w:t xml:space="preserve">IV. </w:t>
            </w:r>
            <w:r w:rsidRPr="00770953">
              <w:rPr>
                <w:rFonts w:ascii="Verdana" w:hAnsi="Verdana"/>
                <w:b/>
                <w:sz w:val="16"/>
                <w:szCs w:val="16"/>
                <w:lang w:val="en-US"/>
              </w:rPr>
              <w:tab/>
            </w:r>
            <w:r w:rsidRPr="00770953">
              <w:rPr>
                <w:rFonts w:ascii="Verdana" w:hAnsi="Verdana"/>
                <w:sz w:val="16"/>
                <w:szCs w:val="16"/>
                <w:lang w:val="en-US"/>
              </w:rPr>
              <w:t>Deliberative: The period of dialogue that occurs within the indigenous or Afro-Mexican people or community for decision-making on the project submitted to Prior Consultation, which ends when the indigenous or Afro-Mexican people or community expressly states to the Secretary that it has reached a community decision, and</w:t>
            </w:r>
          </w:p>
        </w:tc>
      </w:tr>
      <w:tr w:rsidR="003A38FF" w:rsidRPr="00D83DA2" w14:paraId="73F7D565" w14:textId="678E0F6B" w:rsidTr="00FB5DAD">
        <w:tc>
          <w:tcPr>
            <w:tcW w:w="4706" w:type="dxa"/>
          </w:tcPr>
          <w:p w14:paraId="28EBAA7A"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Consultiva: La construcción de acuerdos o, según sea el caso, la obtención del consentimiento libre, previo e informado, sobre el desarrollo del proyecto sometido a Consulta Previa, así como la definición de acceso y participación justa y equitativa de los beneficios asociados al proyecto, la cual termina con la suscripción del acta consultiva.</w:t>
            </w:r>
          </w:p>
        </w:tc>
        <w:tc>
          <w:tcPr>
            <w:tcW w:w="4644" w:type="dxa"/>
          </w:tcPr>
          <w:p w14:paraId="4FF27A6D" w14:textId="7D626702" w:rsidR="003A38FF" w:rsidRPr="00D0180E" w:rsidRDefault="003A38FF" w:rsidP="003A38FF">
            <w:pPr>
              <w:pStyle w:val="Texto"/>
              <w:spacing w:line="228" w:lineRule="exact"/>
              <w:ind w:firstLine="0"/>
              <w:rPr>
                <w:rFonts w:ascii="Verdana" w:hAnsi="Verdana"/>
                <w:b/>
                <w:sz w:val="16"/>
                <w:szCs w:val="16"/>
                <w:lang w:val="en-US"/>
              </w:rPr>
            </w:pPr>
            <w:r w:rsidRPr="00770953">
              <w:rPr>
                <w:rFonts w:ascii="Verdana" w:hAnsi="Verdana"/>
                <w:b/>
                <w:sz w:val="16"/>
                <w:szCs w:val="16"/>
                <w:lang w:val="en-US"/>
              </w:rPr>
              <w:t>V</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Consultative</w:t>
            </w:r>
            <w:proofErr w:type="gramEnd"/>
            <w:r w:rsidRPr="00770953">
              <w:rPr>
                <w:rFonts w:ascii="Verdana" w:hAnsi="Verdana"/>
                <w:sz w:val="16"/>
                <w:szCs w:val="16"/>
                <w:lang w:val="en-US"/>
              </w:rPr>
              <w:t>: The construction of agreements or</w:t>
            </w:r>
            <w:proofErr w:type="gramStart"/>
            <w:r w:rsidRPr="00770953">
              <w:rPr>
                <w:rFonts w:ascii="Verdana" w:hAnsi="Verdana"/>
                <w:sz w:val="16"/>
                <w:szCs w:val="16"/>
                <w:lang w:val="en-US"/>
              </w:rPr>
              <w:t>, as the case may be, the</w:t>
            </w:r>
            <w:proofErr w:type="gramEnd"/>
            <w:r w:rsidRPr="00770953">
              <w:rPr>
                <w:rFonts w:ascii="Verdana" w:hAnsi="Verdana"/>
                <w:sz w:val="16"/>
                <w:szCs w:val="16"/>
                <w:lang w:val="en-US"/>
              </w:rPr>
              <w:t xml:space="preserve"> obtaining of free, prior and informed </w:t>
            </w:r>
            <w:proofErr w:type="gramStart"/>
            <w:r w:rsidRPr="00770953">
              <w:rPr>
                <w:rFonts w:ascii="Verdana" w:hAnsi="Verdana"/>
                <w:sz w:val="16"/>
                <w:szCs w:val="16"/>
                <w:lang w:val="en-US"/>
              </w:rPr>
              <w:t>consent,</w:t>
            </w:r>
            <w:proofErr w:type="gramEnd"/>
            <w:r w:rsidRPr="00770953">
              <w:rPr>
                <w:rFonts w:ascii="Verdana" w:hAnsi="Verdana"/>
                <w:sz w:val="16"/>
                <w:szCs w:val="16"/>
                <w:lang w:val="en-US"/>
              </w:rPr>
              <w:t xml:space="preserve"> on the development of the project subject to Prior Consultation, as well as the definition of access and fair and equitable participation in the benefits associated with the project, which ends with the signing of the consultative act.</w:t>
            </w:r>
          </w:p>
        </w:tc>
      </w:tr>
      <w:tr w:rsidR="003A38FF" w:rsidRPr="00D83DA2" w14:paraId="125079AF" w14:textId="244F796C" w:rsidTr="00FB5DAD">
        <w:tc>
          <w:tcPr>
            <w:tcW w:w="4706" w:type="dxa"/>
          </w:tcPr>
          <w:p w14:paraId="05C2840C"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sz w:val="16"/>
                <w:szCs w:val="16"/>
              </w:rPr>
              <w:t>Una vez concluida la Consulta Previa, se debe dar seguimiento al cumplimiento de los acuerdos alcanzados conforme al mecanismo que para tal efecto haya definido el pueblo o comunidad indígena o afromexicana consultada en la etapa consultiva.</w:t>
            </w:r>
          </w:p>
        </w:tc>
        <w:tc>
          <w:tcPr>
            <w:tcW w:w="4644" w:type="dxa"/>
          </w:tcPr>
          <w:p w14:paraId="17F1E533" w14:textId="4316C4F7" w:rsidR="003A38FF" w:rsidRPr="00D0180E" w:rsidRDefault="003A38FF" w:rsidP="003A38FF">
            <w:pPr>
              <w:pStyle w:val="Texto"/>
              <w:spacing w:line="228" w:lineRule="exact"/>
              <w:ind w:firstLine="0"/>
              <w:rPr>
                <w:rFonts w:ascii="Verdana" w:hAnsi="Verdana"/>
                <w:sz w:val="16"/>
                <w:szCs w:val="16"/>
                <w:lang w:val="en-US"/>
              </w:rPr>
            </w:pPr>
            <w:r w:rsidRPr="00770953">
              <w:rPr>
                <w:rFonts w:ascii="Verdana" w:hAnsi="Verdana"/>
                <w:sz w:val="16"/>
                <w:szCs w:val="16"/>
                <w:lang w:val="en-US"/>
              </w:rPr>
              <w:t>Once the Prior Consultation is concluded, compliance with the agreements reached must be monitored in accordance with the mechanism defined for this purpose by the Indigenous or Afro-Mexican people or community consulted during the consultative stage.</w:t>
            </w:r>
          </w:p>
        </w:tc>
      </w:tr>
      <w:tr w:rsidR="003A38FF" w:rsidRPr="00D83DA2" w14:paraId="50A2C15E" w14:textId="35F29B83" w:rsidTr="00FB5DAD">
        <w:tc>
          <w:tcPr>
            <w:tcW w:w="4706" w:type="dxa"/>
          </w:tcPr>
          <w:p w14:paraId="3458E054"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sz w:val="16"/>
                <w:szCs w:val="16"/>
              </w:rPr>
              <w:t>Los acuerdos finales señalados en el acta consultiva, deben ser incorporados dentro del Plan de Gestión Social a que se refiere la fracción IV del artículo 136 de la Ley.</w:t>
            </w:r>
          </w:p>
        </w:tc>
        <w:tc>
          <w:tcPr>
            <w:tcW w:w="4644" w:type="dxa"/>
          </w:tcPr>
          <w:p w14:paraId="3744BD18" w14:textId="5B8F20B4" w:rsidR="003A38FF" w:rsidRPr="00D0180E" w:rsidRDefault="003A38FF" w:rsidP="003A38FF">
            <w:pPr>
              <w:pStyle w:val="Texto"/>
              <w:spacing w:line="228" w:lineRule="exact"/>
              <w:ind w:firstLine="0"/>
              <w:rPr>
                <w:rFonts w:ascii="Verdana" w:hAnsi="Verdana"/>
                <w:sz w:val="16"/>
                <w:szCs w:val="16"/>
                <w:lang w:val="en-US"/>
              </w:rPr>
            </w:pPr>
            <w:r w:rsidRPr="00770953">
              <w:rPr>
                <w:rFonts w:ascii="Verdana" w:hAnsi="Verdana"/>
                <w:sz w:val="16"/>
                <w:szCs w:val="16"/>
                <w:lang w:val="en-US"/>
              </w:rPr>
              <w:t>The final agreements outlined in the consultative minutes must be incorporated into the Social Management Plan referred to in Section IV of Article 136 of the Law.</w:t>
            </w:r>
          </w:p>
        </w:tc>
      </w:tr>
      <w:tr w:rsidR="003A38FF" w:rsidRPr="00D0180E" w14:paraId="6D5F9930" w14:textId="631706A7" w:rsidTr="00FB5DAD">
        <w:tc>
          <w:tcPr>
            <w:tcW w:w="4706" w:type="dxa"/>
          </w:tcPr>
          <w:p w14:paraId="0EE11E99" w14:textId="77777777" w:rsidR="003A38FF" w:rsidRPr="00D0180E" w:rsidRDefault="003A38FF" w:rsidP="003A38FF">
            <w:pPr>
              <w:pStyle w:val="Texto"/>
              <w:spacing w:line="228" w:lineRule="exact"/>
              <w:ind w:firstLine="0"/>
              <w:jc w:val="center"/>
              <w:rPr>
                <w:rFonts w:ascii="Verdana" w:hAnsi="Verdana"/>
                <w:b/>
                <w:sz w:val="16"/>
                <w:szCs w:val="16"/>
              </w:rPr>
            </w:pPr>
            <w:r w:rsidRPr="00D0180E">
              <w:rPr>
                <w:rFonts w:ascii="Verdana" w:hAnsi="Verdana"/>
                <w:b/>
                <w:sz w:val="16"/>
                <w:szCs w:val="16"/>
              </w:rPr>
              <w:t>TÍTULO SÉPTIMO</w:t>
            </w:r>
          </w:p>
        </w:tc>
        <w:tc>
          <w:tcPr>
            <w:tcW w:w="4644" w:type="dxa"/>
          </w:tcPr>
          <w:p w14:paraId="056712B5" w14:textId="0A1C05A9" w:rsidR="003A38FF" w:rsidRPr="00D0180E" w:rsidRDefault="003A38FF" w:rsidP="003A38FF">
            <w:pPr>
              <w:pStyle w:val="Texto"/>
              <w:spacing w:line="228" w:lineRule="exact"/>
              <w:ind w:firstLine="0"/>
              <w:jc w:val="center"/>
              <w:rPr>
                <w:rFonts w:ascii="Verdana" w:hAnsi="Verdana"/>
                <w:b/>
                <w:sz w:val="16"/>
                <w:szCs w:val="16"/>
                <w:lang w:val="en-US"/>
              </w:rPr>
            </w:pPr>
            <w:r>
              <w:rPr>
                <w:rFonts w:ascii="Verdana" w:hAnsi="Verdana"/>
                <w:b/>
                <w:sz w:val="16"/>
                <w:szCs w:val="16"/>
              </w:rPr>
              <w:t>SEVENTH TITLE</w:t>
            </w:r>
          </w:p>
        </w:tc>
      </w:tr>
      <w:tr w:rsidR="003A38FF" w:rsidRPr="00D83DA2" w14:paraId="0A4CC432" w14:textId="5E455BA8" w:rsidTr="00FB5DAD">
        <w:tc>
          <w:tcPr>
            <w:tcW w:w="4706" w:type="dxa"/>
          </w:tcPr>
          <w:p w14:paraId="0784BCD4" w14:textId="77777777" w:rsidR="003A38FF" w:rsidRPr="00D0180E" w:rsidRDefault="003A38FF" w:rsidP="003A38FF">
            <w:pPr>
              <w:pStyle w:val="Texto"/>
              <w:spacing w:line="228" w:lineRule="exact"/>
              <w:ind w:firstLine="0"/>
              <w:jc w:val="center"/>
              <w:rPr>
                <w:rFonts w:ascii="Verdana" w:hAnsi="Verdana"/>
                <w:b/>
                <w:sz w:val="16"/>
                <w:szCs w:val="16"/>
              </w:rPr>
            </w:pPr>
            <w:r w:rsidRPr="00D0180E">
              <w:rPr>
                <w:rFonts w:ascii="Verdana" w:hAnsi="Verdana"/>
                <w:b/>
                <w:sz w:val="16"/>
                <w:szCs w:val="16"/>
              </w:rPr>
              <w:t>OTRAS OBLIGACIONES DE LAS INTEGRANTES DEL SECTOR ELÉCTRICO</w:t>
            </w:r>
          </w:p>
        </w:tc>
        <w:tc>
          <w:tcPr>
            <w:tcW w:w="4644" w:type="dxa"/>
          </w:tcPr>
          <w:p w14:paraId="25DA14D3" w14:textId="6DED05D9" w:rsidR="003A38FF" w:rsidRPr="00D0180E" w:rsidRDefault="003A38FF" w:rsidP="003A38FF">
            <w:pPr>
              <w:pStyle w:val="Texto"/>
              <w:spacing w:line="228" w:lineRule="exact"/>
              <w:ind w:firstLine="0"/>
              <w:jc w:val="center"/>
              <w:rPr>
                <w:rFonts w:ascii="Verdana" w:hAnsi="Verdana"/>
                <w:b/>
                <w:sz w:val="16"/>
                <w:szCs w:val="16"/>
                <w:lang w:val="en-US"/>
              </w:rPr>
            </w:pPr>
            <w:r w:rsidRPr="00770953">
              <w:rPr>
                <w:rFonts w:ascii="Verdana" w:hAnsi="Verdana"/>
                <w:b/>
                <w:sz w:val="16"/>
                <w:szCs w:val="16"/>
                <w:lang w:val="en-US"/>
              </w:rPr>
              <w:t xml:space="preserve">OTHER OBLIGATIONS OF </w:t>
            </w:r>
            <w:r>
              <w:rPr>
                <w:rFonts w:ascii="Verdana" w:hAnsi="Verdana"/>
                <w:b/>
                <w:sz w:val="16"/>
                <w:szCs w:val="16"/>
                <w:lang w:val="en-US"/>
              </w:rPr>
              <w:t xml:space="preserve">THE </w:t>
            </w:r>
            <w:r w:rsidRPr="00770953">
              <w:rPr>
                <w:rFonts w:ascii="Verdana" w:hAnsi="Verdana"/>
                <w:b/>
                <w:sz w:val="16"/>
                <w:szCs w:val="16"/>
                <w:lang w:val="en-US"/>
              </w:rPr>
              <w:t>MEMBERS OF THE ELECTRICAL SECTOR</w:t>
            </w:r>
          </w:p>
        </w:tc>
      </w:tr>
      <w:tr w:rsidR="003A38FF" w:rsidRPr="00D0180E" w14:paraId="7014323D" w14:textId="3A5D9F7F" w:rsidTr="00FB5DAD">
        <w:tc>
          <w:tcPr>
            <w:tcW w:w="4706" w:type="dxa"/>
          </w:tcPr>
          <w:p w14:paraId="3E0F67F7" w14:textId="77777777" w:rsidR="003A38FF" w:rsidRPr="00D0180E" w:rsidRDefault="003A38FF" w:rsidP="003A38FF">
            <w:pPr>
              <w:pStyle w:val="Texto"/>
              <w:spacing w:line="228" w:lineRule="exact"/>
              <w:ind w:firstLine="0"/>
              <w:jc w:val="center"/>
              <w:rPr>
                <w:rFonts w:ascii="Verdana" w:hAnsi="Verdana"/>
                <w:b/>
                <w:sz w:val="16"/>
                <w:szCs w:val="16"/>
              </w:rPr>
            </w:pPr>
            <w:r w:rsidRPr="00D0180E">
              <w:rPr>
                <w:rFonts w:ascii="Verdana" w:hAnsi="Verdana"/>
                <w:b/>
                <w:sz w:val="16"/>
                <w:szCs w:val="16"/>
              </w:rPr>
              <w:t>Capítulo Único</w:t>
            </w:r>
          </w:p>
        </w:tc>
        <w:tc>
          <w:tcPr>
            <w:tcW w:w="4644" w:type="dxa"/>
          </w:tcPr>
          <w:p w14:paraId="34BC917F" w14:textId="63C88F5D" w:rsidR="003A38FF" w:rsidRPr="00D0180E" w:rsidRDefault="003A38FF" w:rsidP="003A38FF">
            <w:pPr>
              <w:pStyle w:val="Texto"/>
              <w:spacing w:line="228" w:lineRule="exact"/>
              <w:ind w:firstLine="0"/>
              <w:jc w:val="center"/>
              <w:rPr>
                <w:rFonts w:ascii="Verdana" w:hAnsi="Verdana"/>
                <w:b/>
                <w:sz w:val="16"/>
                <w:szCs w:val="16"/>
                <w:lang w:val="en-US"/>
              </w:rPr>
            </w:pPr>
            <w:r>
              <w:rPr>
                <w:rFonts w:ascii="Verdana" w:hAnsi="Verdana"/>
                <w:b/>
                <w:sz w:val="16"/>
                <w:szCs w:val="16"/>
              </w:rPr>
              <w:t>Sole Chapter</w:t>
            </w:r>
          </w:p>
        </w:tc>
      </w:tr>
      <w:tr w:rsidR="003A38FF" w:rsidRPr="005124DB" w14:paraId="704C0E16" w14:textId="41267E1E" w:rsidTr="00FB5DAD">
        <w:tc>
          <w:tcPr>
            <w:tcW w:w="4706" w:type="dxa"/>
          </w:tcPr>
          <w:p w14:paraId="51D84140" w14:textId="77777777" w:rsidR="003A38FF" w:rsidRPr="00D0180E" w:rsidRDefault="003A38FF" w:rsidP="003A38FF">
            <w:pPr>
              <w:pStyle w:val="Texto"/>
              <w:spacing w:line="228" w:lineRule="exact"/>
              <w:ind w:firstLine="0"/>
              <w:jc w:val="center"/>
              <w:rPr>
                <w:rFonts w:ascii="Verdana" w:hAnsi="Verdana"/>
                <w:b/>
                <w:sz w:val="16"/>
                <w:szCs w:val="16"/>
              </w:rPr>
            </w:pPr>
            <w:r w:rsidRPr="00D0180E">
              <w:rPr>
                <w:rFonts w:ascii="Verdana" w:hAnsi="Verdana"/>
                <w:b/>
                <w:sz w:val="16"/>
                <w:szCs w:val="16"/>
              </w:rPr>
              <w:t>Del Uso y la Ocupación Superficial</w:t>
            </w:r>
          </w:p>
        </w:tc>
        <w:tc>
          <w:tcPr>
            <w:tcW w:w="4644" w:type="dxa"/>
          </w:tcPr>
          <w:p w14:paraId="7CC11B96" w14:textId="0B583683" w:rsidR="003A38FF" w:rsidRPr="00D0180E" w:rsidRDefault="003A38FF" w:rsidP="003A38FF">
            <w:pPr>
              <w:pStyle w:val="Texto"/>
              <w:spacing w:line="228" w:lineRule="exact"/>
              <w:ind w:firstLine="0"/>
              <w:jc w:val="center"/>
              <w:rPr>
                <w:rFonts w:ascii="Verdana" w:hAnsi="Verdana"/>
                <w:b/>
                <w:sz w:val="16"/>
                <w:szCs w:val="16"/>
                <w:lang w:val="en-US"/>
              </w:rPr>
            </w:pPr>
            <w:r w:rsidRPr="00770953">
              <w:rPr>
                <w:rFonts w:ascii="Verdana" w:hAnsi="Verdana"/>
                <w:b/>
                <w:sz w:val="16"/>
                <w:szCs w:val="16"/>
                <w:lang w:val="en-US"/>
              </w:rPr>
              <w:t>Use and Surface Occupation</w:t>
            </w:r>
          </w:p>
        </w:tc>
      </w:tr>
      <w:tr w:rsidR="003A38FF" w:rsidRPr="00D83DA2" w14:paraId="1E1B9816" w14:textId="174C4FC4" w:rsidTr="00FB5DAD">
        <w:tc>
          <w:tcPr>
            <w:tcW w:w="4706" w:type="dxa"/>
          </w:tcPr>
          <w:p w14:paraId="30C55A07"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lastRenderedPageBreak/>
              <w:t>Artículo 222.</w:t>
            </w:r>
            <w:r w:rsidRPr="00D0180E">
              <w:rPr>
                <w:rFonts w:ascii="Verdana" w:hAnsi="Verdana"/>
                <w:sz w:val="16"/>
                <w:szCs w:val="16"/>
              </w:rPr>
              <w:t xml:space="preserve"> Para efectos de la ocupación o afectación superficial o la constitución de servidumbres necesarias para la construcción de Proyectos de Infraestructura del servicio público de transmisión y Centrales Eléctricas mediante el aprovechamiento de un yacimiento geotérmico o del recurso hidráulico, la Empresa Pública del Estado y las personas permisionarias, deben notificar los avisos de inicio de negociación a que se refiere el artículo 91, fracción IV de la Ley, a la Secretaría y a la Secretaría de Desarrollo Agrario, Territorial y Urbano, en un plazo de veinte días hábiles contados a partir de la recepción del escrito de interés por parte de la persona propietaria o titular del terreno, bien o derecho, a que se refiere la fracción I del artículo 91 de la Ley.</w:t>
            </w:r>
          </w:p>
        </w:tc>
        <w:tc>
          <w:tcPr>
            <w:tcW w:w="4644" w:type="dxa"/>
          </w:tcPr>
          <w:p w14:paraId="659CD8DC" w14:textId="771C7746" w:rsidR="003A38FF" w:rsidRPr="00D0180E" w:rsidRDefault="003A38FF" w:rsidP="003A38FF">
            <w:pPr>
              <w:pStyle w:val="Texto"/>
              <w:spacing w:line="228" w:lineRule="exact"/>
              <w:ind w:firstLine="0"/>
              <w:rPr>
                <w:rFonts w:ascii="Verdana" w:hAnsi="Verdana"/>
                <w:b/>
                <w:sz w:val="16"/>
                <w:szCs w:val="16"/>
                <w:lang w:val="en-US"/>
              </w:rPr>
            </w:pPr>
            <w:r w:rsidRPr="00770953">
              <w:rPr>
                <w:rFonts w:ascii="Verdana" w:hAnsi="Verdana"/>
                <w:b/>
                <w:sz w:val="16"/>
                <w:szCs w:val="16"/>
                <w:lang w:val="en-US"/>
              </w:rPr>
              <w:t xml:space="preserve">Article 222. </w:t>
            </w:r>
            <w:r w:rsidRPr="00770953">
              <w:rPr>
                <w:rFonts w:ascii="Verdana" w:hAnsi="Verdana"/>
                <w:sz w:val="16"/>
                <w:szCs w:val="16"/>
                <w:lang w:val="en-US"/>
              </w:rPr>
              <w:t xml:space="preserve">For the purposes of surface occupation or affectation or the constitution of easements necessary for the construction of infrastructure projects of the public transmission service and </w:t>
            </w:r>
            <w:r>
              <w:rPr>
                <w:rFonts w:ascii="Verdana" w:hAnsi="Verdana"/>
                <w:sz w:val="16"/>
                <w:szCs w:val="16"/>
                <w:lang w:val="en-US"/>
              </w:rPr>
              <w:t>e</w:t>
            </w:r>
            <w:r w:rsidRPr="00770953">
              <w:rPr>
                <w:rFonts w:ascii="Verdana" w:hAnsi="Verdana"/>
                <w:sz w:val="16"/>
                <w:szCs w:val="16"/>
                <w:lang w:val="en-US"/>
              </w:rPr>
              <w:t xml:space="preserve">lectric </w:t>
            </w:r>
            <w:r>
              <w:rPr>
                <w:rFonts w:ascii="Verdana" w:hAnsi="Verdana"/>
                <w:sz w:val="16"/>
                <w:szCs w:val="16"/>
                <w:lang w:val="en-US"/>
              </w:rPr>
              <w:t>power plant</w:t>
            </w:r>
            <w:r w:rsidRPr="00770953">
              <w:rPr>
                <w:rFonts w:ascii="Verdana" w:hAnsi="Verdana"/>
                <w:sz w:val="16"/>
                <w:szCs w:val="16"/>
                <w:lang w:val="en-US"/>
              </w:rPr>
              <w:t xml:space="preserve">s through the use of a geothermal deposit or hydraulic resource, the </w:t>
            </w:r>
            <w:r>
              <w:rPr>
                <w:rFonts w:ascii="Verdana" w:hAnsi="Verdana"/>
                <w:sz w:val="16"/>
                <w:szCs w:val="16"/>
                <w:lang w:val="en-US"/>
              </w:rPr>
              <w:t xml:space="preserve">State Public Enterprise </w:t>
            </w:r>
            <w:r w:rsidRPr="00770953">
              <w:rPr>
                <w:rFonts w:ascii="Verdana" w:hAnsi="Verdana"/>
                <w:sz w:val="16"/>
                <w:szCs w:val="16"/>
                <w:lang w:val="en-US"/>
              </w:rPr>
              <w:t xml:space="preserve"> and the permit holders must notify the notices of the start of negotiation referred to in article 91, section IV of the Law, to the Secretary and to the Secretary of Agrarian, Territorial and Urban Development, within a period of twenty business days counted from the receipt of the written interest by the owner or title holder of the land, property or right, referred to in section I of article 91 of the Law.</w:t>
            </w:r>
          </w:p>
        </w:tc>
      </w:tr>
      <w:tr w:rsidR="003A38FF" w:rsidRPr="00D83DA2" w14:paraId="3B03E442" w14:textId="4D3854C6" w:rsidTr="00FB5DAD">
        <w:tc>
          <w:tcPr>
            <w:tcW w:w="4706" w:type="dxa"/>
          </w:tcPr>
          <w:p w14:paraId="23A639CB" w14:textId="77777777" w:rsidR="003A38FF" w:rsidRPr="00D0180E" w:rsidRDefault="003A38FF" w:rsidP="003A38FF">
            <w:pPr>
              <w:pStyle w:val="Texto"/>
              <w:ind w:firstLine="0"/>
              <w:rPr>
                <w:rFonts w:ascii="Verdana" w:hAnsi="Verdana"/>
                <w:sz w:val="16"/>
                <w:szCs w:val="16"/>
              </w:rPr>
            </w:pPr>
            <w:r w:rsidRPr="00D0180E">
              <w:rPr>
                <w:rFonts w:ascii="Verdana" w:hAnsi="Verdana"/>
                <w:sz w:val="16"/>
                <w:szCs w:val="16"/>
              </w:rPr>
              <w:t>La notificación del aviso de inicio de negociación a que se refiere el párrafo anterior debe incluir lo siguiente:</w:t>
            </w:r>
          </w:p>
        </w:tc>
        <w:tc>
          <w:tcPr>
            <w:tcW w:w="4644" w:type="dxa"/>
          </w:tcPr>
          <w:p w14:paraId="05191C81" w14:textId="17EF97A8" w:rsidR="003A38FF" w:rsidRPr="00D0180E" w:rsidRDefault="003A38FF" w:rsidP="003A38FF">
            <w:pPr>
              <w:pStyle w:val="Texto"/>
              <w:ind w:firstLine="0"/>
              <w:rPr>
                <w:rFonts w:ascii="Verdana" w:hAnsi="Verdana"/>
                <w:sz w:val="16"/>
                <w:szCs w:val="16"/>
                <w:lang w:val="en-US"/>
              </w:rPr>
            </w:pPr>
            <w:r w:rsidRPr="00770953">
              <w:rPr>
                <w:rFonts w:ascii="Verdana" w:hAnsi="Verdana"/>
                <w:sz w:val="16"/>
                <w:szCs w:val="16"/>
                <w:lang w:val="en-US"/>
              </w:rPr>
              <w:t xml:space="preserve">The notification of the notice of commencement of </w:t>
            </w:r>
            <w:r>
              <w:rPr>
                <w:rFonts w:ascii="Verdana" w:hAnsi="Verdana"/>
                <w:sz w:val="16"/>
                <w:szCs w:val="16"/>
                <w:lang w:val="en-US"/>
              </w:rPr>
              <w:t>negotiation</w:t>
            </w:r>
            <w:r w:rsidRPr="00770953">
              <w:rPr>
                <w:rFonts w:ascii="Verdana" w:hAnsi="Verdana"/>
                <w:sz w:val="16"/>
                <w:szCs w:val="16"/>
                <w:lang w:val="en-US"/>
              </w:rPr>
              <w:t xml:space="preserve"> referred to in the preceding paragraph must include the following:</w:t>
            </w:r>
          </w:p>
        </w:tc>
      </w:tr>
      <w:tr w:rsidR="003A38FF" w:rsidRPr="00D83DA2" w14:paraId="21E7C73B" w14:textId="2F673BE8" w:rsidTr="00FB5DAD">
        <w:tc>
          <w:tcPr>
            <w:tcW w:w="4706" w:type="dxa"/>
          </w:tcPr>
          <w:p w14:paraId="1F5884B5" w14:textId="77777777" w:rsidR="003A38FF" w:rsidRPr="00D0180E" w:rsidRDefault="003A38FF" w:rsidP="003A38FF">
            <w:pPr>
              <w:pStyle w:val="Texto"/>
              <w:ind w:firstLine="0"/>
              <w:rPr>
                <w:rFonts w:ascii="Verdana" w:hAnsi="Verdana"/>
                <w:sz w:val="16"/>
                <w:szCs w:val="16"/>
              </w:rPr>
            </w:pPr>
            <w:proofErr w:type="gramStart"/>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Actividad a desarrollar</w:t>
            </w:r>
            <w:proofErr w:type="gramEnd"/>
            <w:r w:rsidRPr="00D0180E">
              <w:rPr>
                <w:rFonts w:ascii="Verdana" w:hAnsi="Verdana"/>
                <w:sz w:val="16"/>
                <w:szCs w:val="16"/>
              </w:rPr>
              <w:t xml:space="preserve"> y el plazo de ocupación el cual no debe ser mayor al señalado en el permiso o autorización que ampare la actividad;</w:t>
            </w:r>
          </w:p>
        </w:tc>
        <w:tc>
          <w:tcPr>
            <w:tcW w:w="4644" w:type="dxa"/>
          </w:tcPr>
          <w:p w14:paraId="26721238" w14:textId="68771ED9" w:rsidR="003A38FF" w:rsidRPr="00D0180E" w:rsidRDefault="003A38FF" w:rsidP="003A38FF">
            <w:pPr>
              <w:pStyle w:val="Texto"/>
              <w:ind w:firstLine="0"/>
              <w:rPr>
                <w:rFonts w:ascii="Verdana" w:hAnsi="Verdana"/>
                <w:b/>
                <w:sz w:val="16"/>
                <w:szCs w:val="16"/>
                <w:lang w:val="en-US"/>
              </w:rPr>
            </w:pPr>
            <w:r w:rsidRPr="00770953">
              <w:rPr>
                <w:rFonts w:ascii="Verdana" w:hAnsi="Verdana"/>
                <w:b/>
                <w:sz w:val="16"/>
                <w:szCs w:val="16"/>
                <w:lang w:val="en-US"/>
              </w:rPr>
              <w:t>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Activity</w:t>
            </w:r>
            <w:proofErr w:type="gramEnd"/>
            <w:r w:rsidRPr="00770953">
              <w:rPr>
                <w:rFonts w:ascii="Verdana" w:hAnsi="Verdana"/>
                <w:sz w:val="16"/>
                <w:szCs w:val="16"/>
                <w:lang w:val="en-US"/>
              </w:rPr>
              <w:t xml:space="preserve"> to be carried out and the period of occupation, which must not be longer than that indicated in the permit or authorization that covers the activity;</w:t>
            </w:r>
          </w:p>
        </w:tc>
      </w:tr>
      <w:tr w:rsidR="003A38FF" w:rsidRPr="00D0180E" w14:paraId="5EEB8932" w14:textId="0131A725" w:rsidTr="00FB5DAD">
        <w:tc>
          <w:tcPr>
            <w:tcW w:w="4706" w:type="dxa"/>
          </w:tcPr>
          <w:p w14:paraId="53D2F41B"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Nombre del proyecto;</w:t>
            </w:r>
          </w:p>
        </w:tc>
        <w:tc>
          <w:tcPr>
            <w:tcW w:w="4644" w:type="dxa"/>
          </w:tcPr>
          <w:p w14:paraId="68E5DDC7" w14:textId="3CE7548E" w:rsidR="003A38FF" w:rsidRPr="00D0180E" w:rsidRDefault="003A38FF" w:rsidP="003A38FF">
            <w:pPr>
              <w:pStyle w:val="Texto"/>
              <w:ind w:firstLine="0"/>
              <w:rPr>
                <w:rFonts w:ascii="Verdana" w:hAnsi="Verdana"/>
                <w:b/>
                <w:sz w:val="16"/>
                <w:szCs w:val="16"/>
                <w:lang w:val="en-US"/>
              </w:rPr>
            </w:pPr>
            <w:r w:rsidRPr="00D0180E">
              <w:rPr>
                <w:rFonts w:ascii="Verdana" w:hAnsi="Verdana"/>
                <w:b/>
                <w:sz w:val="16"/>
                <w:szCs w:val="16"/>
              </w:rPr>
              <w:t xml:space="preserve">II. </w:t>
            </w:r>
            <w:r w:rsidRPr="00D0180E">
              <w:rPr>
                <w:rFonts w:ascii="Verdana" w:hAnsi="Verdana"/>
                <w:b/>
                <w:sz w:val="16"/>
                <w:szCs w:val="16"/>
              </w:rPr>
              <w:tab/>
            </w:r>
            <w:r w:rsidRPr="00D0180E">
              <w:rPr>
                <w:rFonts w:ascii="Verdana" w:hAnsi="Verdana"/>
                <w:sz w:val="16"/>
                <w:szCs w:val="16"/>
              </w:rPr>
              <w:t>Project name;</w:t>
            </w:r>
          </w:p>
        </w:tc>
      </w:tr>
      <w:tr w:rsidR="003A38FF" w:rsidRPr="00D83DA2" w14:paraId="1C96B2DE" w14:textId="557A02FE" w:rsidTr="00FB5DAD">
        <w:tc>
          <w:tcPr>
            <w:tcW w:w="4706" w:type="dxa"/>
          </w:tcPr>
          <w:p w14:paraId="0CFB37C2"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Referencia del acto administrativo por el cual se permita realizar la actividad del sector energético y su fecha de emisión;</w:t>
            </w:r>
          </w:p>
        </w:tc>
        <w:tc>
          <w:tcPr>
            <w:tcW w:w="4644" w:type="dxa"/>
          </w:tcPr>
          <w:p w14:paraId="44D1BE90" w14:textId="11A3B0BE" w:rsidR="003A38FF" w:rsidRPr="00D0180E" w:rsidRDefault="003A38FF" w:rsidP="003A38FF">
            <w:pPr>
              <w:pStyle w:val="Texto"/>
              <w:ind w:firstLine="0"/>
              <w:rPr>
                <w:rFonts w:ascii="Verdana" w:hAnsi="Verdana"/>
                <w:b/>
                <w:sz w:val="16"/>
                <w:szCs w:val="16"/>
                <w:lang w:val="en-US"/>
              </w:rPr>
            </w:pPr>
            <w:r w:rsidRPr="00770953">
              <w:rPr>
                <w:rFonts w:ascii="Verdana" w:hAnsi="Verdana"/>
                <w:b/>
                <w:sz w:val="16"/>
                <w:szCs w:val="16"/>
                <w:lang w:val="en-US"/>
              </w:rPr>
              <w:t>III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Reference</w:t>
            </w:r>
            <w:proofErr w:type="gramEnd"/>
            <w:r w:rsidRPr="00770953">
              <w:rPr>
                <w:rFonts w:ascii="Verdana" w:hAnsi="Verdana"/>
                <w:sz w:val="16"/>
                <w:szCs w:val="16"/>
                <w:lang w:val="en-US"/>
              </w:rPr>
              <w:t xml:space="preserve"> to the administrative act by which the energy sector activity is permitted and its date of issue;</w:t>
            </w:r>
          </w:p>
        </w:tc>
      </w:tr>
      <w:tr w:rsidR="003A38FF" w:rsidRPr="00D83DA2" w14:paraId="52FC6D02" w14:textId="3D88708E" w:rsidTr="00FB5DAD">
        <w:tc>
          <w:tcPr>
            <w:tcW w:w="4706" w:type="dxa"/>
          </w:tcPr>
          <w:p w14:paraId="5C58BAA0"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Nombre de la persona titular o propietaria del inmueble;</w:t>
            </w:r>
          </w:p>
        </w:tc>
        <w:tc>
          <w:tcPr>
            <w:tcW w:w="4644" w:type="dxa"/>
          </w:tcPr>
          <w:p w14:paraId="3652D40C" w14:textId="4FC024BE" w:rsidR="003A38FF" w:rsidRPr="00D0180E" w:rsidRDefault="003A38FF" w:rsidP="003A38FF">
            <w:pPr>
              <w:pStyle w:val="Texto"/>
              <w:ind w:firstLine="0"/>
              <w:rPr>
                <w:rFonts w:ascii="Verdana" w:hAnsi="Verdana"/>
                <w:b/>
                <w:sz w:val="16"/>
                <w:szCs w:val="16"/>
                <w:lang w:val="en-US"/>
              </w:rPr>
            </w:pPr>
            <w:r w:rsidRPr="00770953">
              <w:rPr>
                <w:rFonts w:ascii="Verdana" w:hAnsi="Verdana"/>
                <w:b/>
                <w:sz w:val="16"/>
                <w:szCs w:val="16"/>
                <w:lang w:val="en-US"/>
              </w:rPr>
              <w:t>IV</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Name</w:t>
            </w:r>
            <w:proofErr w:type="gramEnd"/>
            <w:r w:rsidRPr="00770953">
              <w:rPr>
                <w:rFonts w:ascii="Verdana" w:hAnsi="Verdana"/>
                <w:sz w:val="16"/>
                <w:szCs w:val="16"/>
                <w:lang w:val="en-US"/>
              </w:rPr>
              <w:t xml:space="preserve"> of the person who owns or possesses the property;</w:t>
            </w:r>
          </w:p>
        </w:tc>
      </w:tr>
      <w:tr w:rsidR="003A38FF" w:rsidRPr="00D83DA2" w14:paraId="396BD888" w14:textId="229DAFBF" w:rsidTr="00FB5DAD">
        <w:tc>
          <w:tcPr>
            <w:tcW w:w="4706" w:type="dxa"/>
          </w:tcPr>
          <w:p w14:paraId="38EEBA3F"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Datos del inmueble, incluidos, superficie o fracción a ocupar, municipio o demarcación territorial y entidad federativa;</w:t>
            </w:r>
          </w:p>
        </w:tc>
        <w:tc>
          <w:tcPr>
            <w:tcW w:w="4644" w:type="dxa"/>
          </w:tcPr>
          <w:p w14:paraId="166BEEA2" w14:textId="194E5DF3" w:rsidR="003A38FF" w:rsidRPr="00D0180E" w:rsidRDefault="003A38FF" w:rsidP="003A38FF">
            <w:pPr>
              <w:pStyle w:val="Texto"/>
              <w:ind w:firstLine="0"/>
              <w:rPr>
                <w:rFonts w:ascii="Verdana" w:hAnsi="Verdana"/>
                <w:b/>
                <w:sz w:val="16"/>
                <w:szCs w:val="16"/>
                <w:lang w:val="en-US"/>
              </w:rPr>
            </w:pPr>
            <w:r w:rsidRPr="00770953">
              <w:rPr>
                <w:rFonts w:ascii="Verdana" w:hAnsi="Verdana"/>
                <w:b/>
                <w:sz w:val="16"/>
                <w:szCs w:val="16"/>
                <w:lang w:val="en-US"/>
              </w:rPr>
              <w:t>V</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Property</w:t>
            </w:r>
            <w:proofErr w:type="gramEnd"/>
            <w:r w:rsidRPr="00770953">
              <w:rPr>
                <w:rFonts w:ascii="Verdana" w:hAnsi="Verdana"/>
                <w:sz w:val="16"/>
                <w:szCs w:val="16"/>
                <w:lang w:val="en-US"/>
              </w:rPr>
              <w:t xml:space="preserve"> data, including surface area or fraction to be occupied, municipality or territorial demarcation and federal entity;</w:t>
            </w:r>
          </w:p>
        </w:tc>
      </w:tr>
      <w:tr w:rsidR="003A38FF" w:rsidRPr="00D83DA2" w14:paraId="3ED90309" w14:textId="45AE71D3" w:rsidTr="00FB5DAD">
        <w:tc>
          <w:tcPr>
            <w:tcW w:w="4706" w:type="dxa"/>
          </w:tcPr>
          <w:p w14:paraId="795EA47B"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Fecha de inicio de negociación y copia simple del acuse del escrito de interés a que se refiere la fracción I del artículo 91 de la Ley, y</w:t>
            </w:r>
          </w:p>
        </w:tc>
        <w:tc>
          <w:tcPr>
            <w:tcW w:w="4644" w:type="dxa"/>
          </w:tcPr>
          <w:p w14:paraId="5051959A" w14:textId="6E76ED58" w:rsidR="003A38FF" w:rsidRPr="00D0180E" w:rsidRDefault="003A38FF" w:rsidP="003A38FF">
            <w:pPr>
              <w:pStyle w:val="Texto"/>
              <w:ind w:firstLine="0"/>
              <w:rPr>
                <w:rFonts w:ascii="Verdana" w:hAnsi="Verdana"/>
                <w:b/>
                <w:sz w:val="16"/>
                <w:szCs w:val="16"/>
                <w:lang w:val="en-US"/>
              </w:rPr>
            </w:pPr>
            <w:r w:rsidRPr="00770953">
              <w:rPr>
                <w:rFonts w:ascii="Verdana" w:hAnsi="Verdana"/>
                <w:b/>
                <w:sz w:val="16"/>
                <w:szCs w:val="16"/>
                <w:lang w:val="en-US"/>
              </w:rPr>
              <w:t>VI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Date</w:t>
            </w:r>
            <w:proofErr w:type="gramEnd"/>
            <w:r w:rsidRPr="00770953">
              <w:rPr>
                <w:rFonts w:ascii="Verdana" w:hAnsi="Verdana"/>
                <w:sz w:val="16"/>
                <w:szCs w:val="16"/>
                <w:lang w:val="en-US"/>
              </w:rPr>
              <w:t xml:space="preserve"> of commencement of negotiation and simple copy of the acknowledgment of the written interest referred to in Section I of Article 91 of the Law, and</w:t>
            </w:r>
          </w:p>
        </w:tc>
      </w:tr>
      <w:tr w:rsidR="003A38FF" w:rsidRPr="00D83DA2" w14:paraId="58461BC1" w14:textId="64E508A3" w:rsidTr="00FB5DAD">
        <w:tc>
          <w:tcPr>
            <w:tcW w:w="4706" w:type="dxa"/>
          </w:tcPr>
          <w:p w14:paraId="26564FF4"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Señalar la propuesta sobre la modalidad de contratación en términos del artículo 91, fracción V de la Ley.</w:t>
            </w:r>
          </w:p>
        </w:tc>
        <w:tc>
          <w:tcPr>
            <w:tcW w:w="4644" w:type="dxa"/>
          </w:tcPr>
          <w:p w14:paraId="4189514C" w14:textId="637C4067" w:rsidR="003A38FF" w:rsidRPr="00D0180E" w:rsidRDefault="003A38FF" w:rsidP="003A38FF">
            <w:pPr>
              <w:pStyle w:val="Texto"/>
              <w:ind w:firstLine="0"/>
              <w:rPr>
                <w:rFonts w:ascii="Verdana" w:hAnsi="Verdana"/>
                <w:b/>
                <w:sz w:val="16"/>
                <w:szCs w:val="16"/>
                <w:lang w:val="en-US"/>
              </w:rPr>
            </w:pPr>
            <w:r w:rsidRPr="00770953">
              <w:rPr>
                <w:rFonts w:ascii="Verdana" w:hAnsi="Verdana"/>
                <w:b/>
                <w:sz w:val="16"/>
                <w:szCs w:val="16"/>
                <w:lang w:val="en-US"/>
              </w:rPr>
              <w:t>VII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Indicate</w:t>
            </w:r>
            <w:proofErr w:type="gramEnd"/>
            <w:r w:rsidRPr="00770953">
              <w:rPr>
                <w:rFonts w:ascii="Verdana" w:hAnsi="Verdana"/>
                <w:sz w:val="16"/>
                <w:szCs w:val="16"/>
                <w:lang w:val="en-US"/>
              </w:rPr>
              <w:t xml:space="preserve"> the proposal on the contracting modality in terms of article 91, section V of the Law.</w:t>
            </w:r>
          </w:p>
        </w:tc>
      </w:tr>
      <w:tr w:rsidR="003A38FF" w:rsidRPr="00D83DA2" w14:paraId="6616FDF6" w14:textId="4C00A2A8" w:rsidTr="00FB5DAD">
        <w:tc>
          <w:tcPr>
            <w:tcW w:w="4706" w:type="dxa"/>
          </w:tcPr>
          <w:p w14:paraId="14A3AC55" w14:textId="77777777" w:rsidR="003A38FF" w:rsidRPr="00D0180E" w:rsidRDefault="003A38FF" w:rsidP="003A38FF">
            <w:pPr>
              <w:pStyle w:val="Texto"/>
              <w:ind w:firstLine="0"/>
              <w:rPr>
                <w:rFonts w:ascii="Verdana" w:hAnsi="Verdana"/>
                <w:sz w:val="16"/>
                <w:szCs w:val="16"/>
              </w:rPr>
            </w:pPr>
            <w:r w:rsidRPr="00D0180E">
              <w:rPr>
                <w:rFonts w:ascii="Verdana" w:hAnsi="Verdana"/>
                <w:sz w:val="16"/>
                <w:szCs w:val="16"/>
              </w:rPr>
              <w:t>La Secretaría y la Secretaría de Desarrollo Agrario, Territorial y Urbano pueden prevenir a la Empresa Pública del Estado o a las personas permisionarias, de conformidad con lo señalado en la Ley Federal de Procedimiento Administrativo. En caso de que no se subsane la prevención se debe desechar el aviso de inicio de negociación.</w:t>
            </w:r>
          </w:p>
        </w:tc>
        <w:tc>
          <w:tcPr>
            <w:tcW w:w="4644" w:type="dxa"/>
          </w:tcPr>
          <w:p w14:paraId="4F6CDCE6" w14:textId="04973BDA" w:rsidR="003A38FF" w:rsidRPr="00D0180E" w:rsidRDefault="003A38FF" w:rsidP="003A38FF">
            <w:pPr>
              <w:pStyle w:val="Texto"/>
              <w:ind w:firstLine="0"/>
              <w:rPr>
                <w:rFonts w:ascii="Verdana" w:hAnsi="Verdana"/>
                <w:sz w:val="16"/>
                <w:szCs w:val="16"/>
                <w:lang w:val="en-US"/>
              </w:rPr>
            </w:pPr>
            <w:r w:rsidRPr="00770953">
              <w:rPr>
                <w:rFonts w:ascii="Verdana" w:hAnsi="Verdana"/>
                <w:sz w:val="16"/>
                <w:szCs w:val="16"/>
                <w:lang w:val="en-US"/>
              </w:rPr>
              <w:t xml:space="preserve">The Secretary and the Secretary of Agrarian, Territorial, and Urban Development may notify the </w:t>
            </w:r>
            <w:r>
              <w:rPr>
                <w:rFonts w:ascii="Verdana" w:hAnsi="Verdana"/>
                <w:sz w:val="16"/>
                <w:szCs w:val="16"/>
                <w:lang w:val="en-US"/>
              </w:rPr>
              <w:t>State Public Enterprise</w:t>
            </w:r>
            <w:r w:rsidRPr="00770953">
              <w:rPr>
                <w:rFonts w:ascii="Verdana" w:hAnsi="Verdana"/>
                <w:sz w:val="16"/>
                <w:szCs w:val="16"/>
                <w:lang w:val="en-US"/>
              </w:rPr>
              <w:t xml:space="preserve"> or the permit holders, in accordance with the provisions of the Federal Law of Administrative Procedure. If the notification is not remedied, the notice of commencement of negotiations must be rejected.</w:t>
            </w:r>
          </w:p>
        </w:tc>
      </w:tr>
      <w:tr w:rsidR="003A38FF" w:rsidRPr="00D83DA2" w14:paraId="43DB83A1" w14:textId="1E63438A" w:rsidTr="00FB5DAD">
        <w:tc>
          <w:tcPr>
            <w:tcW w:w="4706" w:type="dxa"/>
          </w:tcPr>
          <w:p w14:paraId="1B19B257" w14:textId="77777777" w:rsidR="003A38FF" w:rsidRPr="00D0180E" w:rsidRDefault="003A38FF" w:rsidP="003A38FF">
            <w:pPr>
              <w:pStyle w:val="Texto"/>
              <w:ind w:firstLine="0"/>
              <w:rPr>
                <w:rFonts w:ascii="Verdana" w:hAnsi="Verdana"/>
                <w:sz w:val="16"/>
                <w:szCs w:val="16"/>
              </w:rPr>
            </w:pPr>
            <w:r w:rsidRPr="00D0180E">
              <w:rPr>
                <w:rFonts w:ascii="Verdana" w:hAnsi="Verdana"/>
                <w:sz w:val="16"/>
                <w:szCs w:val="16"/>
              </w:rPr>
              <w:t>En caso de que la negociación se suspenda, la Empresa Pública del Estado o las personas permisionarias, deben informar la razón de la suspensión a la Secretaría y a la Secretaría de Desarrollo Agrario, Territorial y Urbano, para los efectos jurídicos a que haya lugar.</w:t>
            </w:r>
          </w:p>
        </w:tc>
        <w:tc>
          <w:tcPr>
            <w:tcW w:w="4644" w:type="dxa"/>
          </w:tcPr>
          <w:p w14:paraId="6122D2C2" w14:textId="5C78925E" w:rsidR="003A38FF" w:rsidRPr="00D0180E" w:rsidRDefault="003A38FF" w:rsidP="003A38FF">
            <w:pPr>
              <w:pStyle w:val="Texto"/>
              <w:ind w:firstLine="0"/>
              <w:rPr>
                <w:rFonts w:ascii="Verdana" w:hAnsi="Verdana"/>
                <w:sz w:val="16"/>
                <w:szCs w:val="16"/>
                <w:lang w:val="en-US"/>
              </w:rPr>
            </w:pPr>
            <w:proofErr w:type="gramStart"/>
            <w:r w:rsidRPr="00770953">
              <w:rPr>
                <w:rFonts w:ascii="Verdana" w:hAnsi="Verdana"/>
                <w:sz w:val="16"/>
                <w:szCs w:val="16"/>
                <w:lang w:val="en-US"/>
              </w:rPr>
              <w:t>In the event that</w:t>
            </w:r>
            <w:proofErr w:type="gramEnd"/>
            <w:r w:rsidRPr="00770953">
              <w:rPr>
                <w:rFonts w:ascii="Verdana" w:hAnsi="Verdana"/>
                <w:sz w:val="16"/>
                <w:szCs w:val="16"/>
                <w:lang w:val="en-US"/>
              </w:rPr>
              <w:t xml:space="preserve"> the negotiation is suspended, the </w:t>
            </w:r>
            <w:r>
              <w:rPr>
                <w:rFonts w:ascii="Verdana" w:hAnsi="Verdana"/>
                <w:sz w:val="16"/>
                <w:szCs w:val="16"/>
                <w:lang w:val="en-US"/>
              </w:rPr>
              <w:t xml:space="preserve">State Public Enterprise </w:t>
            </w:r>
            <w:r w:rsidRPr="00770953">
              <w:rPr>
                <w:rFonts w:ascii="Verdana" w:hAnsi="Verdana"/>
                <w:sz w:val="16"/>
                <w:szCs w:val="16"/>
                <w:lang w:val="en-US"/>
              </w:rPr>
              <w:t>or the permit holders must inform the Secretary and the Secretary of Agrarian, Territorial and Urban Development of the reason for the suspension, for the applicable legal purposes.</w:t>
            </w:r>
          </w:p>
        </w:tc>
      </w:tr>
      <w:tr w:rsidR="003A38FF" w:rsidRPr="00D83DA2" w14:paraId="08A995B5" w14:textId="0FFC3D36" w:rsidTr="00FB5DAD">
        <w:tc>
          <w:tcPr>
            <w:tcW w:w="4706" w:type="dxa"/>
          </w:tcPr>
          <w:p w14:paraId="57559107"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Artículo 223.</w:t>
            </w:r>
            <w:r w:rsidRPr="00D0180E">
              <w:rPr>
                <w:rFonts w:ascii="Verdana" w:hAnsi="Verdana"/>
                <w:sz w:val="16"/>
                <w:szCs w:val="16"/>
              </w:rPr>
              <w:t xml:space="preserve"> La Secretaría y la Secretaría de Desarrollo Agrario, Territorial y Urbano pueden declarar la improcedencia de la presentación del aviso de inicio </w:t>
            </w:r>
            <w:r w:rsidRPr="00D0180E">
              <w:rPr>
                <w:rFonts w:ascii="Verdana" w:hAnsi="Verdana"/>
                <w:sz w:val="16"/>
                <w:szCs w:val="16"/>
              </w:rPr>
              <w:lastRenderedPageBreak/>
              <w:t>de negociación a que se refiere el artículo 91, fracción IV de la Ley, en los casos siguientes:</w:t>
            </w:r>
          </w:p>
        </w:tc>
        <w:tc>
          <w:tcPr>
            <w:tcW w:w="4644" w:type="dxa"/>
          </w:tcPr>
          <w:p w14:paraId="5AC50733" w14:textId="1CF75CCC" w:rsidR="003A38FF" w:rsidRPr="00D0180E" w:rsidRDefault="003A38FF" w:rsidP="003A38FF">
            <w:pPr>
              <w:pStyle w:val="Texto"/>
              <w:ind w:firstLine="0"/>
              <w:rPr>
                <w:rFonts w:ascii="Verdana" w:hAnsi="Verdana"/>
                <w:b/>
                <w:sz w:val="16"/>
                <w:szCs w:val="16"/>
                <w:lang w:val="en-US"/>
              </w:rPr>
            </w:pPr>
            <w:r w:rsidRPr="00770953">
              <w:rPr>
                <w:rFonts w:ascii="Verdana" w:hAnsi="Verdana"/>
                <w:b/>
                <w:sz w:val="16"/>
                <w:szCs w:val="16"/>
                <w:lang w:val="en-US"/>
              </w:rPr>
              <w:lastRenderedPageBreak/>
              <w:t xml:space="preserve">Article 223. </w:t>
            </w:r>
            <w:r w:rsidRPr="00770953">
              <w:rPr>
                <w:rFonts w:ascii="Verdana" w:hAnsi="Verdana"/>
                <w:sz w:val="16"/>
                <w:szCs w:val="16"/>
                <w:lang w:val="en-US"/>
              </w:rPr>
              <w:t xml:space="preserve">The Secretary and the Secretary of Agrarian, Territorial and Urban Development may declare the inadmissibility of the presentation of the </w:t>
            </w:r>
            <w:r w:rsidRPr="00770953">
              <w:rPr>
                <w:rFonts w:ascii="Verdana" w:hAnsi="Verdana"/>
                <w:sz w:val="16"/>
                <w:szCs w:val="16"/>
                <w:lang w:val="en-US"/>
              </w:rPr>
              <w:lastRenderedPageBreak/>
              <w:t>notice of commencement of negotiation referred to in Article 91, Section IV of the Law, in the following cases:</w:t>
            </w:r>
          </w:p>
        </w:tc>
      </w:tr>
      <w:tr w:rsidR="003A38FF" w:rsidRPr="00D83DA2" w14:paraId="0F6D716F" w14:textId="53B20D69" w:rsidTr="00FB5DAD">
        <w:tc>
          <w:tcPr>
            <w:tcW w:w="4706" w:type="dxa"/>
          </w:tcPr>
          <w:p w14:paraId="6CE10443"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lastRenderedPageBreak/>
              <w:t>I.</w:t>
            </w:r>
            <w:r w:rsidRPr="00D0180E">
              <w:rPr>
                <w:rFonts w:ascii="Verdana" w:hAnsi="Verdana"/>
                <w:b/>
                <w:sz w:val="16"/>
                <w:szCs w:val="16"/>
              </w:rPr>
              <w:tab/>
            </w:r>
            <w:r w:rsidRPr="00D0180E">
              <w:rPr>
                <w:rFonts w:ascii="Verdana" w:hAnsi="Verdana"/>
                <w:sz w:val="16"/>
                <w:szCs w:val="16"/>
              </w:rPr>
              <w:t>Cuando no se cuente con el permiso o la autorización que ampare la actividad;</w:t>
            </w:r>
          </w:p>
        </w:tc>
        <w:tc>
          <w:tcPr>
            <w:tcW w:w="4644" w:type="dxa"/>
          </w:tcPr>
          <w:p w14:paraId="70B965D6" w14:textId="34D2F1DB" w:rsidR="003A38FF" w:rsidRPr="00D0180E" w:rsidRDefault="003A38FF" w:rsidP="003A38FF">
            <w:pPr>
              <w:pStyle w:val="Texto"/>
              <w:ind w:firstLine="0"/>
              <w:rPr>
                <w:rFonts w:ascii="Verdana" w:hAnsi="Verdana"/>
                <w:b/>
                <w:sz w:val="16"/>
                <w:szCs w:val="16"/>
                <w:lang w:val="en-US"/>
              </w:rPr>
            </w:pPr>
            <w:r w:rsidRPr="00770953">
              <w:rPr>
                <w:rFonts w:ascii="Verdana" w:hAnsi="Verdana"/>
                <w:b/>
                <w:sz w:val="16"/>
                <w:szCs w:val="16"/>
                <w:lang w:val="en-US"/>
              </w:rPr>
              <w:t>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When</w:t>
            </w:r>
            <w:proofErr w:type="gramEnd"/>
            <w:r w:rsidRPr="00770953">
              <w:rPr>
                <w:rFonts w:ascii="Verdana" w:hAnsi="Verdana"/>
                <w:sz w:val="16"/>
                <w:szCs w:val="16"/>
                <w:lang w:val="en-US"/>
              </w:rPr>
              <w:t xml:space="preserve"> the permit or authorization that covers the activity is not available;</w:t>
            </w:r>
          </w:p>
        </w:tc>
      </w:tr>
      <w:tr w:rsidR="003A38FF" w:rsidRPr="00D83DA2" w14:paraId="07CC2426" w14:textId="1384A3C7" w:rsidTr="00FB5DAD">
        <w:tc>
          <w:tcPr>
            <w:tcW w:w="4706" w:type="dxa"/>
          </w:tcPr>
          <w:p w14:paraId="74A562CC"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Que la actividad sobre la cual se presenta el aviso de negociación no se encuentre prevista dentro del Capítulo de ocupación superficial de la Ley;</w:t>
            </w:r>
          </w:p>
        </w:tc>
        <w:tc>
          <w:tcPr>
            <w:tcW w:w="4644" w:type="dxa"/>
          </w:tcPr>
          <w:p w14:paraId="628BC575" w14:textId="4F038D7F" w:rsidR="003A38FF" w:rsidRPr="00D0180E" w:rsidRDefault="003A38FF" w:rsidP="003A38FF">
            <w:pPr>
              <w:pStyle w:val="Texto"/>
              <w:ind w:firstLine="0"/>
              <w:rPr>
                <w:rFonts w:ascii="Verdana" w:hAnsi="Verdana"/>
                <w:b/>
                <w:sz w:val="16"/>
                <w:szCs w:val="16"/>
                <w:lang w:val="en-US"/>
              </w:rPr>
            </w:pPr>
            <w:r w:rsidRPr="00770953">
              <w:rPr>
                <w:rFonts w:ascii="Verdana" w:hAnsi="Verdana"/>
                <w:b/>
                <w:sz w:val="16"/>
                <w:szCs w:val="16"/>
                <w:lang w:val="en-US"/>
              </w:rPr>
              <w:t>II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That</w:t>
            </w:r>
            <w:proofErr w:type="gramEnd"/>
            <w:r w:rsidRPr="00770953">
              <w:rPr>
                <w:rFonts w:ascii="Verdana" w:hAnsi="Verdana"/>
                <w:sz w:val="16"/>
                <w:szCs w:val="16"/>
                <w:lang w:val="en-US"/>
              </w:rPr>
              <w:t xml:space="preserve"> the activity for which the negotiation notice is submitted is not included in the Chapter </w:t>
            </w:r>
            <w:r>
              <w:rPr>
                <w:rFonts w:ascii="Verdana" w:hAnsi="Verdana"/>
                <w:sz w:val="16"/>
                <w:szCs w:val="16"/>
                <w:lang w:val="en-US"/>
              </w:rPr>
              <w:t>of the s</w:t>
            </w:r>
            <w:r w:rsidRPr="00770953">
              <w:rPr>
                <w:rFonts w:ascii="Verdana" w:hAnsi="Verdana"/>
                <w:sz w:val="16"/>
                <w:szCs w:val="16"/>
                <w:lang w:val="en-US"/>
              </w:rPr>
              <w:t xml:space="preserve">urface </w:t>
            </w:r>
            <w:r>
              <w:rPr>
                <w:rFonts w:ascii="Verdana" w:hAnsi="Verdana"/>
                <w:sz w:val="16"/>
                <w:szCs w:val="16"/>
                <w:lang w:val="en-US"/>
              </w:rPr>
              <w:t>o</w:t>
            </w:r>
            <w:r w:rsidRPr="00770953">
              <w:rPr>
                <w:rFonts w:ascii="Verdana" w:hAnsi="Verdana"/>
                <w:sz w:val="16"/>
                <w:szCs w:val="16"/>
                <w:lang w:val="en-US"/>
              </w:rPr>
              <w:t>ccupation of the Law;</w:t>
            </w:r>
          </w:p>
        </w:tc>
      </w:tr>
      <w:tr w:rsidR="003A38FF" w:rsidRPr="00D83DA2" w14:paraId="5D951158" w14:textId="2723143D" w:rsidTr="00FB5DAD">
        <w:tc>
          <w:tcPr>
            <w:tcW w:w="4706" w:type="dxa"/>
          </w:tcPr>
          <w:p w14:paraId="3D9378FB"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Cuando se encuentre pendiente o en curso la celebración de un procedimiento de Consulta Previa para el proyecto;</w:t>
            </w:r>
          </w:p>
        </w:tc>
        <w:tc>
          <w:tcPr>
            <w:tcW w:w="4644" w:type="dxa"/>
          </w:tcPr>
          <w:p w14:paraId="07CC2FDF" w14:textId="4296A149" w:rsidR="003A38FF" w:rsidRPr="00D0180E" w:rsidRDefault="003A38FF" w:rsidP="003A38FF">
            <w:pPr>
              <w:pStyle w:val="Texto"/>
              <w:ind w:firstLine="0"/>
              <w:rPr>
                <w:rFonts w:ascii="Verdana" w:hAnsi="Verdana"/>
                <w:b/>
                <w:sz w:val="16"/>
                <w:szCs w:val="16"/>
                <w:lang w:val="en-US"/>
              </w:rPr>
            </w:pPr>
            <w:r w:rsidRPr="00770953">
              <w:rPr>
                <w:rFonts w:ascii="Verdana" w:hAnsi="Verdana"/>
                <w:b/>
                <w:sz w:val="16"/>
                <w:szCs w:val="16"/>
                <w:lang w:val="en-US"/>
              </w:rPr>
              <w:t>III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When</w:t>
            </w:r>
            <w:proofErr w:type="gramEnd"/>
            <w:r w:rsidRPr="00770953">
              <w:rPr>
                <w:rFonts w:ascii="Verdana" w:hAnsi="Verdana"/>
                <w:sz w:val="16"/>
                <w:szCs w:val="16"/>
                <w:lang w:val="en-US"/>
              </w:rPr>
              <w:t xml:space="preserve"> a Prior Consultation procedure for the project is pending or in progress;</w:t>
            </w:r>
          </w:p>
        </w:tc>
      </w:tr>
      <w:tr w:rsidR="003A38FF" w:rsidRPr="00D83DA2" w14:paraId="09F59933" w14:textId="3F552AF8" w:rsidTr="00FB5DAD">
        <w:tc>
          <w:tcPr>
            <w:tcW w:w="4706" w:type="dxa"/>
          </w:tcPr>
          <w:p w14:paraId="3AC746D8"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Cuando se presente el aviso de inicio de negociación fuera del plazo establecido en el artículo anterior;</w:t>
            </w:r>
          </w:p>
        </w:tc>
        <w:tc>
          <w:tcPr>
            <w:tcW w:w="4644" w:type="dxa"/>
          </w:tcPr>
          <w:p w14:paraId="415E4555" w14:textId="3BBEF26E" w:rsidR="003A38FF" w:rsidRPr="00D0180E" w:rsidRDefault="003A38FF" w:rsidP="003A38FF">
            <w:pPr>
              <w:pStyle w:val="Texto"/>
              <w:ind w:firstLine="0"/>
              <w:rPr>
                <w:rFonts w:ascii="Verdana" w:hAnsi="Verdana"/>
                <w:b/>
                <w:sz w:val="16"/>
                <w:szCs w:val="16"/>
                <w:lang w:val="en-US"/>
              </w:rPr>
            </w:pPr>
            <w:r w:rsidRPr="00770953">
              <w:rPr>
                <w:rFonts w:ascii="Verdana" w:hAnsi="Verdana"/>
                <w:b/>
                <w:sz w:val="16"/>
                <w:szCs w:val="16"/>
                <w:lang w:val="en-US"/>
              </w:rPr>
              <w:t>IV</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When</w:t>
            </w:r>
            <w:proofErr w:type="gramEnd"/>
            <w:r w:rsidRPr="00770953">
              <w:rPr>
                <w:rFonts w:ascii="Verdana" w:hAnsi="Verdana"/>
                <w:sz w:val="16"/>
                <w:szCs w:val="16"/>
                <w:lang w:val="en-US"/>
              </w:rPr>
              <w:t xml:space="preserve"> the notice of commencement of </w:t>
            </w:r>
            <w:r>
              <w:rPr>
                <w:rFonts w:ascii="Verdana" w:hAnsi="Verdana"/>
                <w:sz w:val="16"/>
                <w:szCs w:val="16"/>
                <w:lang w:val="en-US"/>
              </w:rPr>
              <w:t>negotiation</w:t>
            </w:r>
            <w:r w:rsidRPr="00770953">
              <w:rPr>
                <w:rFonts w:ascii="Verdana" w:hAnsi="Verdana"/>
                <w:sz w:val="16"/>
                <w:szCs w:val="16"/>
                <w:lang w:val="en-US"/>
              </w:rPr>
              <w:t xml:space="preserve"> is submitted outside the period established in the </w:t>
            </w:r>
            <w:r>
              <w:rPr>
                <w:rFonts w:ascii="Verdana" w:hAnsi="Verdana"/>
                <w:sz w:val="16"/>
                <w:szCs w:val="16"/>
                <w:lang w:val="en-US"/>
              </w:rPr>
              <w:t>preceding article</w:t>
            </w:r>
            <w:r w:rsidRPr="00770953">
              <w:rPr>
                <w:rFonts w:ascii="Verdana" w:hAnsi="Verdana"/>
                <w:sz w:val="16"/>
                <w:szCs w:val="16"/>
                <w:lang w:val="en-US"/>
              </w:rPr>
              <w:t>;</w:t>
            </w:r>
          </w:p>
        </w:tc>
      </w:tr>
      <w:tr w:rsidR="003A38FF" w:rsidRPr="00D83DA2" w14:paraId="414B1109" w14:textId="5896B488" w:rsidTr="00FB5DAD">
        <w:tc>
          <w:tcPr>
            <w:tcW w:w="4706" w:type="dxa"/>
          </w:tcPr>
          <w:p w14:paraId="2E02ED01"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Cuando se presente un aviso de inicio de negociación cuya medida administrativa del sector eléctrico haya sido revocada;</w:t>
            </w:r>
          </w:p>
        </w:tc>
        <w:tc>
          <w:tcPr>
            <w:tcW w:w="4644" w:type="dxa"/>
          </w:tcPr>
          <w:p w14:paraId="28989967" w14:textId="14E83C99" w:rsidR="003A38FF" w:rsidRPr="00D0180E" w:rsidRDefault="003A38FF" w:rsidP="003A38FF">
            <w:pPr>
              <w:pStyle w:val="Texto"/>
              <w:ind w:firstLine="0"/>
              <w:rPr>
                <w:rFonts w:ascii="Verdana" w:hAnsi="Verdana"/>
                <w:b/>
                <w:sz w:val="16"/>
                <w:szCs w:val="16"/>
                <w:lang w:val="en-US"/>
              </w:rPr>
            </w:pPr>
            <w:r w:rsidRPr="00770953">
              <w:rPr>
                <w:rFonts w:ascii="Verdana" w:hAnsi="Verdana"/>
                <w:b/>
                <w:sz w:val="16"/>
                <w:szCs w:val="16"/>
                <w:lang w:val="en-US"/>
              </w:rPr>
              <w:t>V</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When</w:t>
            </w:r>
            <w:proofErr w:type="gramEnd"/>
            <w:r w:rsidRPr="00770953">
              <w:rPr>
                <w:rFonts w:ascii="Verdana" w:hAnsi="Verdana"/>
                <w:sz w:val="16"/>
                <w:szCs w:val="16"/>
                <w:lang w:val="en-US"/>
              </w:rPr>
              <w:t xml:space="preserve"> a notice of commencement of trading is submitted whose administrative measure of the electrical sector has been revoked;</w:t>
            </w:r>
          </w:p>
        </w:tc>
      </w:tr>
      <w:tr w:rsidR="003A38FF" w:rsidRPr="00D83DA2" w14:paraId="6937A49E" w14:textId="0141CFA6" w:rsidTr="00FB5DAD">
        <w:tc>
          <w:tcPr>
            <w:tcW w:w="4706" w:type="dxa"/>
          </w:tcPr>
          <w:p w14:paraId="77D95FA8"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Cuando se presente el aviso de negociación sobre el mismo titular, inmueble o fracción, y</w:t>
            </w:r>
          </w:p>
        </w:tc>
        <w:tc>
          <w:tcPr>
            <w:tcW w:w="4644" w:type="dxa"/>
          </w:tcPr>
          <w:p w14:paraId="54C7D4DE" w14:textId="09958319" w:rsidR="003A38FF" w:rsidRPr="00D0180E" w:rsidRDefault="003A38FF" w:rsidP="003A38FF">
            <w:pPr>
              <w:pStyle w:val="Texto"/>
              <w:ind w:firstLine="0"/>
              <w:rPr>
                <w:rFonts w:ascii="Verdana" w:hAnsi="Verdana"/>
                <w:b/>
                <w:sz w:val="16"/>
                <w:szCs w:val="16"/>
                <w:lang w:val="en-US"/>
              </w:rPr>
            </w:pPr>
            <w:r w:rsidRPr="00770953">
              <w:rPr>
                <w:rFonts w:ascii="Verdana" w:hAnsi="Verdana"/>
                <w:b/>
                <w:sz w:val="16"/>
                <w:szCs w:val="16"/>
                <w:lang w:val="en-US"/>
              </w:rPr>
              <w:t>VI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When</w:t>
            </w:r>
            <w:proofErr w:type="gramEnd"/>
            <w:r w:rsidRPr="00770953">
              <w:rPr>
                <w:rFonts w:ascii="Verdana" w:hAnsi="Verdana"/>
                <w:sz w:val="16"/>
                <w:szCs w:val="16"/>
                <w:lang w:val="en-US"/>
              </w:rPr>
              <w:t xml:space="preserve"> the notice of negotiation is presented on the same owner, property or </w:t>
            </w:r>
            <w:r>
              <w:rPr>
                <w:rFonts w:ascii="Verdana" w:hAnsi="Verdana"/>
                <w:sz w:val="16"/>
                <w:szCs w:val="16"/>
                <w:lang w:val="en-US"/>
              </w:rPr>
              <w:t>sec</w:t>
            </w:r>
            <w:r w:rsidRPr="00770953">
              <w:rPr>
                <w:rFonts w:ascii="Verdana" w:hAnsi="Verdana"/>
                <w:sz w:val="16"/>
                <w:szCs w:val="16"/>
                <w:lang w:val="en-US"/>
              </w:rPr>
              <w:t>tion, and</w:t>
            </w:r>
          </w:p>
        </w:tc>
      </w:tr>
      <w:tr w:rsidR="003A38FF" w:rsidRPr="00D83DA2" w14:paraId="73CC1AED" w14:textId="113E2005" w:rsidTr="00FB5DAD">
        <w:tc>
          <w:tcPr>
            <w:tcW w:w="4706" w:type="dxa"/>
          </w:tcPr>
          <w:p w14:paraId="16B33384"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Los demás previstos en otras disposiciones jurídicas aplicables.</w:t>
            </w:r>
          </w:p>
        </w:tc>
        <w:tc>
          <w:tcPr>
            <w:tcW w:w="4644" w:type="dxa"/>
          </w:tcPr>
          <w:p w14:paraId="175F16D1" w14:textId="6771FD1D" w:rsidR="003A38FF" w:rsidRPr="00D0180E" w:rsidRDefault="003A38FF" w:rsidP="003A38FF">
            <w:pPr>
              <w:pStyle w:val="Texto"/>
              <w:ind w:firstLine="0"/>
              <w:rPr>
                <w:rFonts w:ascii="Verdana" w:hAnsi="Verdana"/>
                <w:b/>
                <w:sz w:val="16"/>
                <w:szCs w:val="16"/>
                <w:lang w:val="en-US"/>
              </w:rPr>
            </w:pPr>
            <w:r w:rsidRPr="00770953">
              <w:rPr>
                <w:rFonts w:ascii="Verdana" w:hAnsi="Verdana"/>
                <w:b/>
                <w:sz w:val="16"/>
                <w:szCs w:val="16"/>
                <w:lang w:val="en-US"/>
              </w:rPr>
              <w:t>VII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Other</w:t>
            </w:r>
            <w:proofErr w:type="gramEnd"/>
            <w:r w:rsidRPr="00770953">
              <w:rPr>
                <w:rFonts w:ascii="Verdana" w:hAnsi="Verdana"/>
                <w:sz w:val="16"/>
                <w:szCs w:val="16"/>
                <w:lang w:val="en-US"/>
              </w:rPr>
              <w:t xml:space="preserve"> provisions provided for in other applicable legal provisions.</w:t>
            </w:r>
          </w:p>
        </w:tc>
      </w:tr>
      <w:tr w:rsidR="003A38FF" w:rsidRPr="00D83DA2" w14:paraId="30D0ED90" w14:textId="35FB0FD7" w:rsidTr="00FB5DAD">
        <w:tc>
          <w:tcPr>
            <w:tcW w:w="4706" w:type="dxa"/>
          </w:tcPr>
          <w:p w14:paraId="7831FD57"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Artículo 224.</w:t>
            </w:r>
            <w:r w:rsidRPr="00D0180E">
              <w:rPr>
                <w:rFonts w:ascii="Verdana" w:hAnsi="Verdana"/>
                <w:sz w:val="16"/>
                <w:szCs w:val="16"/>
              </w:rPr>
              <w:t xml:space="preserve"> Con el fin de facilitar la negociación y acuerdo a que se refieren los artículos 90 y 91 de la Ley, la Secretaría debe elaborar y emitir la normatividad a que se refiere la fracción VIII del artículo 91 de la Ley.</w:t>
            </w:r>
          </w:p>
        </w:tc>
        <w:tc>
          <w:tcPr>
            <w:tcW w:w="4644" w:type="dxa"/>
          </w:tcPr>
          <w:p w14:paraId="7B9B829E" w14:textId="6A55F578" w:rsidR="003A38FF" w:rsidRPr="00D0180E" w:rsidRDefault="003A38FF" w:rsidP="003A38FF">
            <w:pPr>
              <w:pStyle w:val="Texto"/>
              <w:ind w:firstLine="0"/>
              <w:rPr>
                <w:rFonts w:ascii="Verdana" w:hAnsi="Verdana"/>
                <w:b/>
                <w:sz w:val="16"/>
                <w:szCs w:val="16"/>
                <w:lang w:val="en-US"/>
              </w:rPr>
            </w:pPr>
            <w:r w:rsidRPr="00770953">
              <w:rPr>
                <w:rFonts w:ascii="Verdana" w:hAnsi="Verdana"/>
                <w:b/>
                <w:sz w:val="16"/>
                <w:szCs w:val="16"/>
                <w:lang w:val="en-US"/>
              </w:rPr>
              <w:t xml:space="preserve">Article 224. </w:t>
            </w:r>
            <w:proofErr w:type="gramStart"/>
            <w:r w:rsidRPr="00770953">
              <w:rPr>
                <w:rFonts w:ascii="Verdana" w:hAnsi="Verdana"/>
                <w:sz w:val="16"/>
                <w:szCs w:val="16"/>
                <w:lang w:val="en-US"/>
              </w:rPr>
              <w:t>In order to</w:t>
            </w:r>
            <w:proofErr w:type="gramEnd"/>
            <w:r w:rsidRPr="00770953">
              <w:rPr>
                <w:rFonts w:ascii="Verdana" w:hAnsi="Verdana"/>
                <w:sz w:val="16"/>
                <w:szCs w:val="16"/>
                <w:lang w:val="en-US"/>
              </w:rPr>
              <w:t xml:space="preserve"> facilitate the negotiation and agreement referred to in Articles 90 and 91 of the Law, the Secretary must prepare and issue the Regulation referred to in Section VIII of Article 91 of the Law.</w:t>
            </w:r>
          </w:p>
        </w:tc>
      </w:tr>
      <w:tr w:rsidR="003A38FF" w:rsidRPr="00D83DA2" w14:paraId="7958EFEC" w14:textId="17EEED99" w:rsidTr="00FB5DAD">
        <w:tc>
          <w:tcPr>
            <w:tcW w:w="4706" w:type="dxa"/>
          </w:tcPr>
          <w:p w14:paraId="5A3689FF" w14:textId="70879EFF" w:rsidR="003A38FF" w:rsidRPr="00D0180E" w:rsidRDefault="003A38FF" w:rsidP="003A38FF">
            <w:pPr>
              <w:pStyle w:val="Texto"/>
              <w:ind w:firstLine="0"/>
              <w:rPr>
                <w:rFonts w:ascii="Verdana" w:hAnsi="Verdana"/>
                <w:sz w:val="16"/>
                <w:szCs w:val="16"/>
              </w:rPr>
            </w:pPr>
            <w:r w:rsidRPr="00D0180E">
              <w:rPr>
                <w:rFonts w:ascii="Verdana" w:hAnsi="Verdana"/>
                <w:sz w:val="16"/>
                <w:szCs w:val="16"/>
              </w:rPr>
              <w:t>Lo anterior, a fin de que las personas propietarias o titulares de los terrenos, bienes o derechos de que se trate, incluidos derechos reales, ejidales o comunales, así como la Empresa Pública del Estado y las personas permisionarias, conozcan los contenidos mínimos, así como los derechos y obligaciones de las partes que pueden establecerse en el contrato que suscriban para el uso, goce, afectación o, en su caso, adquisición de los terrenos, bienes o derechos.</w:t>
            </w:r>
            <w:r>
              <w:rPr>
                <w:rFonts w:ascii="Verdana" w:hAnsi="Verdana"/>
                <w:sz w:val="16"/>
                <w:szCs w:val="16"/>
              </w:rPr>
              <w:t xml:space="preserve"> </w:t>
            </w:r>
          </w:p>
        </w:tc>
        <w:tc>
          <w:tcPr>
            <w:tcW w:w="4644" w:type="dxa"/>
          </w:tcPr>
          <w:p w14:paraId="441DC659" w14:textId="297A16EA" w:rsidR="003A38FF" w:rsidRPr="00D0180E" w:rsidRDefault="003A38FF" w:rsidP="003A38FF">
            <w:pPr>
              <w:pStyle w:val="Texto"/>
              <w:ind w:firstLine="0"/>
              <w:rPr>
                <w:rFonts w:ascii="Verdana" w:hAnsi="Verdana"/>
                <w:sz w:val="16"/>
                <w:szCs w:val="16"/>
                <w:lang w:val="en-US"/>
              </w:rPr>
            </w:pPr>
            <w:r w:rsidRPr="00770953">
              <w:rPr>
                <w:rFonts w:ascii="Verdana" w:hAnsi="Verdana"/>
                <w:sz w:val="16"/>
                <w:szCs w:val="16"/>
                <w:lang w:val="en-US"/>
              </w:rPr>
              <w:t xml:space="preserve">The foregoing is intended to ensure that the owners or holders of the land, assets, or rights in question, including real, communal, or ejido rights, as well as the </w:t>
            </w:r>
            <w:r w:rsidRPr="00FF3DBB">
              <w:rPr>
                <w:rFonts w:ascii="Verdana" w:hAnsi="Verdana"/>
                <w:sz w:val="16"/>
                <w:szCs w:val="16"/>
                <w:lang w:val="en-US"/>
              </w:rPr>
              <w:t xml:space="preserve">State Public Enterprise </w:t>
            </w:r>
            <w:r w:rsidRPr="00770953">
              <w:rPr>
                <w:rFonts w:ascii="Verdana" w:hAnsi="Verdana"/>
                <w:sz w:val="16"/>
                <w:szCs w:val="16"/>
                <w:lang w:val="en-US"/>
              </w:rPr>
              <w:t xml:space="preserve">and permit holders, are aware of the minimum content, as well as the rights and obligations of the parties that may be established in the contract they sign for the use, enjoyment, </w:t>
            </w:r>
            <w:r>
              <w:rPr>
                <w:rFonts w:ascii="Verdana" w:hAnsi="Verdana"/>
                <w:sz w:val="16"/>
                <w:szCs w:val="16"/>
                <w:lang w:val="en-US"/>
              </w:rPr>
              <w:t>assignment</w:t>
            </w:r>
            <w:r w:rsidRPr="00770953">
              <w:rPr>
                <w:rFonts w:ascii="Verdana" w:hAnsi="Verdana"/>
                <w:sz w:val="16"/>
                <w:szCs w:val="16"/>
                <w:lang w:val="en-US"/>
              </w:rPr>
              <w:t>, or, where applicable, acquisition of the land, assets, or rights.</w:t>
            </w:r>
          </w:p>
        </w:tc>
      </w:tr>
      <w:tr w:rsidR="003A38FF" w:rsidRPr="00D83DA2" w14:paraId="694D3F24" w14:textId="454F0DE9" w:rsidTr="00FB5DAD">
        <w:tc>
          <w:tcPr>
            <w:tcW w:w="4706" w:type="dxa"/>
          </w:tcPr>
          <w:p w14:paraId="63F92D57"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Artículo 225.</w:t>
            </w:r>
            <w:r w:rsidRPr="00D0180E">
              <w:rPr>
                <w:rFonts w:ascii="Verdana" w:hAnsi="Verdana"/>
                <w:sz w:val="16"/>
                <w:szCs w:val="16"/>
              </w:rPr>
              <w:t xml:space="preserve"> Para efectos del artículo 95 de la Ley, la Empresa Pública del Estado y las personas permisionarias deben presentar por escrito ante el órgano jurisdiccional competente, el acuerdo alcanzado a que se refiere dicha disposición, dentro de los sesenta días hábiles siguientes a que se haya suscrito este.</w:t>
            </w:r>
          </w:p>
        </w:tc>
        <w:tc>
          <w:tcPr>
            <w:tcW w:w="4644" w:type="dxa"/>
          </w:tcPr>
          <w:p w14:paraId="04D58BB9" w14:textId="68E2F61C" w:rsidR="003A38FF" w:rsidRPr="00D0180E" w:rsidRDefault="003A38FF" w:rsidP="003A38FF">
            <w:pPr>
              <w:pStyle w:val="Texto"/>
              <w:ind w:firstLine="0"/>
              <w:rPr>
                <w:rFonts w:ascii="Verdana" w:hAnsi="Verdana"/>
                <w:b/>
                <w:sz w:val="16"/>
                <w:szCs w:val="16"/>
                <w:lang w:val="en-US"/>
              </w:rPr>
            </w:pPr>
            <w:r w:rsidRPr="00770953">
              <w:rPr>
                <w:rFonts w:ascii="Verdana" w:hAnsi="Verdana"/>
                <w:b/>
                <w:sz w:val="16"/>
                <w:szCs w:val="16"/>
                <w:lang w:val="en-US"/>
              </w:rPr>
              <w:t xml:space="preserve">Article 225. </w:t>
            </w:r>
            <w:r w:rsidRPr="00770953">
              <w:rPr>
                <w:rFonts w:ascii="Verdana" w:hAnsi="Verdana"/>
                <w:sz w:val="16"/>
                <w:szCs w:val="16"/>
                <w:lang w:val="en-US"/>
              </w:rPr>
              <w:t xml:space="preserve">For the purposes of Article 95 of the Law, the </w:t>
            </w:r>
            <w:r>
              <w:rPr>
                <w:rFonts w:ascii="Verdana" w:hAnsi="Verdana"/>
                <w:sz w:val="16"/>
                <w:szCs w:val="16"/>
                <w:lang w:val="en-US"/>
              </w:rPr>
              <w:t xml:space="preserve">State Public Enterprise </w:t>
            </w:r>
            <w:r w:rsidRPr="00770953">
              <w:rPr>
                <w:rFonts w:ascii="Verdana" w:hAnsi="Verdana"/>
                <w:sz w:val="16"/>
                <w:szCs w:val="16"/>
                <w:lang w:val="en-US"/>
              </w:rPr>
              <w:t>and the permit holders must submit in writing to the competent jurisdictional body the agreement reached referred to in said provision, within sixty business days following its signing.</w:t>
            </w:r>
          </w:p>
        </w:tc>
      </w:tr>
      <w:tr w:rsidR="003A38FF" w:rsidRPr="00D83DA2" w14:paraId="5E0E1072" w14:textId="0F5DF726" w:rsidTr="00FB5DAD">
        <w:tc>
          <w:tcPr>
            <w:tcW w:w="4706" w:type="dxa"/>
          </w:tcPr>
          <w:p w14:paraId="537C2E6E" w14:textId="77777777" w:rsidR="003A38FF" w:rsidRPr="00D0180E" w:rsidRDefault="003A38FF" w:rsidP="003A38FF">
            <w:pPr>
              <w:pStyle w:val="Texto"/>
              <w:ind w:firstLine="0"/>
              <w:rPr>
                <w:rFonts w:ascii="Verdana" w:hAnsi="Verdana"/>
                <w:sz w:val="16"/>
                <w:szCs w:val="16"/>
              </w:rPr>
            </w:pPr>
            <w:r w:rsidRPr="00D0180E">
              <w:rPr>
                <w:rFonts w:ascii="Verdana" w:hAnsi="Verdana"/>
                <w:sz w:val="16"/>
                <w:szCs w:val="16"/>
              </w:rPr>
              <w:t>Una vez que ha sido notificada la validación por la autoridad correspondiente, la Empresa Pública del Estado y las personas permisionarias, deben presentar a la Secretaría, dentro de los treinta días hábiles siguientes, una copia del acuerdo alcanzado validado o las medidas decretadas por el Ejecutivo Federal o la autoridad jurisdiccional competente, en caso contrario, transcurrido dicho plazo sin que se presente, la Secretaría debe sujetarse al procedimiento para la imposición de sanciones previsto en la Ley Federal de Procedimiento Administrativo.</w:t>
            </w:r>
          </w:p>
        </w:tc>
        <w:tc>
          <w:tcPr>
            <w:tcW w:w="4644" w:type="dxa"/>
          </w:tcPr>
          <w:p w14:paraId="22DF3676" w14:textId="01C6BC2A" w:rsidR="003A38FF" w:rsidRPr="00D0180E" w:rsidRDefault="003A38FF" w:rsidP="003A38FF">
            <w:pPr>
              <w:pStyle w:val="Texto"/>
              <w:ind w:firstLine="0"/>
              <w:rPr>
                <w:rFonts w:ascii="Verdana" w:hAnsi="Verdana"/>
                <w:sz w:val="16"/>
                <w:szCs w:val="16"/>
                <w:lang w:val="en-US"/>
              </w:rPr>
            </w:pPr>
            <w:r w:rsidRPr="00770953">
              <w:rPr>
                <w:rFonts w:ascii="Verdana" w:hAnsi="Verdana"/>
                <w:sz w:val="16"/>
                <w:szCs w:val="16"/>
                <w:lang w:val="en-US"/>
              </w:rPr>
              <w:t xml:space="preserve">Once the validation has been notified by the corresponding authority, the </w:t>
            </w:r>
            <w:r>
              <w:rPr>
                <w:rFonts w:ascii="Verdana" w:hAnsi="Verdana"/>
                <w:sz w:val="16"/>
                <w:szCs w:val="16"/>
                <w:lang w:val="en-US"/>
              </w:rPr>
              <w:t xml:space="preserve">State Public Enterprise </w:t>
            </w:r>
            <w:r w:rsidRPr="00770953">
              <w:rPr>
                <w:rFonts w:ascii="Verdana" w:hAnsi="Verdana"/>
                <w:sz w:val="16"/>
                <w:szCs w:val="16"/>
                <w:lang w:val="en-US"/>
              </w:rPr>
              <w:t xml:space="preserve">and the permit holders must submit to the Secretary, within the following thirty business days, a copy of the validated agreement </w:t>
            </w:r>
            <w:proofErr w:type="gramStart"/>
            <w:r w:rsidRPr="00770953">
              <w:rPr>
                <w:rFonts w:ascii="Verdana" w:hAnsi="Verdana"/>
                <w:sz w:val="16"/>
                <w:szCs w:val="16"/>
                <w:lang w:val="en-US"/>
              </w:rPr>
              <w:t>reached</w:t>
            </w:r>
            <w:proofErr w:type="gramEnd"/>
            <w:r w:rsidRPr="00770953">
              <w:rPr>
                <w:rFonts w:ascii="Verdana" w:hAnsi="Verdana"/>
                <w:sz w:val="16"/>
                <w:szCs w:val="16"/>
                <w:lang w:val="en-US"/>
              </w:rPr>
              <w:t xml:space="preserve"> or the measures decreed by the Federal Executive or the </w:t>
            </w:r>
            <w:proofErr w:type="gramStart"/>
            <w:r>
              <w:rPr>
                <w:rFonts w:ascii="Verdana" w:hAnsi="Verdana"/>
                <w:sz w:val="16"/>
                <w:szCs w:val="16"/>
                <w:lang w:val="en-US"/>
              </w:rPr>
              <w:t xml:space="preserve">appropriate </w:t>
            </w:r>
            <w:r w:rsidRPr="00770953">
              <w:rPr>
                <w:rFonts w:ascii="Verdana" w:hAnsi="Verdana"/>
                <w:sz w:val="16"/>
                <w:szCs w:val="16"/>
                <w:lang w:val="en-US"/>
              </w:rPr>
              <w:t xml:space="preserve"> jurisdictional</w:t>
            </w:r>
            <w:proofErr w:type="gramEnd"/>
            <w:r w:rsidRPr="00770953">
              <w:rPr>
                <w:rFonts w:ascii="Verdana" w:hAnsi="Verdana"/>
                <w:sz w:val="16"/>
                <w:szCs w:val="16"/>
                <w:lang w:val="en-US"/>
              </w:rPr>
              <w:t xml:space="preserve"> authority. Otherwise, if this period elapses without such submission, the Secretary must adhere to the procedure for imposing sanctions provided for in the Federal Law of Administrative Procedure.</w:t>
            </w:r>
          </w:p>
        </w:tc>
      </w:tr>
      <w:tr w:rsidR="003A38FF" w:rsidRPr="00D83DA2" w14:paraId="1192CF0E" w14:textId="6839158C" w:rsidTr="00FB5DAD">
        <w:tc>
          <w:tcPr>
            <w:tcW w:w="4706" w:type="dxa"/>
          </w:tcPr>
          <w:p w14:paraId="5C99C120"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Artículo 226.</w:t>
            </w:r>
            <w:r w:rsidRPr="00D0180E">
              <w:rPr>
                <w:rFonts w:ascii="Verdana" w:hAnsi="Verdana"/>
                <w:sz w:val="16"/>
                <w:szCs w:val="16"/>
              </w:rPr>
              <w:t xml:space="preserve"> La Secretaría debe emitir los lineamientos que regulen las condiciones de participación, así como los mecanismos para el registro, permanencia y designación de las personas Testigos </w:t>
            </w:r>
            <w:r w:rsidRPr="00D0180E">
              <w:rPr>
                <w:rFonts w:ascii="Verdana" w:hAnsi="Verdana"/>
                <w:sz w:val="16"/>
                <w:szCs w:val="16"/>
              </w:rPr>
              <w:lastRenderedPageBreak/>
              <w:t>Sociales en los procesos de Mediación entre la Empresa Pública del Estado y las personas permisionarias y los propietarios o titulares del terreno, bien o derecho de que se trate.</w:t>
            </w:r>
          </w:p>
        </w:tc>
        <w:tc>
          <w:tcPr>
            <w:tcW w:w="4644" w:type="dxa"/>
          </w:tcPr>
          <w:p w14:paraId="70FC7D0A" w14:textId="6D2F6BAF" w:rsidR="003A38FF" w:rsidRPr="00D0180E" w:rsidRDefault="003A38FF" w:rsidP="003A38FF">
            <w:pPr>
              <w:pStyle w:val="Texto"/>
              <w:spacing w:line="220" w:lineRule="exact"/>
              <w:ind w:firstLine="0"/>
              <w:rPr>
                <w:rFonts w:ascii="Verdana" w:hAnsi="Verdana"/>
                <w:b/>
                <w:sz w:val="16"/>
                <w:szCs w:val="16"/>
                <w:lang w:val="en-US"/>
              </w:rPr>
            </w:pPr>
            <w:r w:rsidRPr="00770953">
              <w:rPr>
                <w:rFonts w:ascii="Verdana" w:hAnsi="Verdana"/>
                <w:b/>
                <w:sz w:val="16"/>
                <w:szCs w:val="16"/>
                <w:lang w:val="en-US"/>
              </w:rPr>
              <w:lastRenderedPageBreak/>
              <w:t xml:space="preserve">Article 226. </w:t>
            </w:r>
            <w:r w:rsidRPr="00770953">
              <w:rPr>
                <w:rFonts w:ascii="Verdana" w:hAnsi="Verdana"/>
                <w:sz w:val="16"/>
                <w:szCs w:val="16"/>
                <w:lang w:val="en-US"/>
              </w:rPr>
              <w:t xml:space="preserve">The Secretary must issue guidelines governing the conditions for participation, as well as the mechanisms for the registration, permanence, and designation of </w:t>
            </w:r>
            <w:r>
              <w:rPr>
                <w:rFonts w:ascii="Verdana" w:hAnsi="Verdana"/>
                <w:sz w:val="16"/>
                <w:szCs w:val="16"/>
                <w:lang w:val="en-US"/>
              </w:rPr>
              <w:t>s</w:t>
            </w:r>
            <w:r w:rsidRPr="00770953">
              <w:rPr>
                <w:rFonts w:ascii="Verdana" w:hAnsi="Verdana"/>
                <w:sz w:val="16"/>
                <w:szCs w:val="16"/>
                <w:lang w:val="en-US"/>
              </w:rPr>
              <w:t xml:space="preserve">ocial </w:t>
            </w:r>
            <w:r>
              <w:rPr>
                <w:rFonts w:ascii="Verdana" w:hAnsi="Verdana"/>
                <w:sz w:val="16"/>
                <w:szCs w:val="16"/>
                <w:lang w:val="en-US"/>
              </w:rPr>
              <w:t>w</w:t>
            </w:r>
            <w:r w:rsidRPr="00770953">
              <w:rPr>
                <w:rFonts w:ascii="Verdana" w:hAnsi="Verdana"/>
                <w:sz w:val="16"/>
                <w:szCs w:val="16"/>
                <w:lang w:val="en-US"/>
              </w:rPr>
              <w:t xml:space="preserve">itnesses in the </w:t>
            </w:r>
            <w:r>
              <w:rPr>
                <w:rFonts w:ascii="Verdana" w:hAnsi="Verdana"/>
                <w:sz w:val="16"/>
                <w:szCs w:val="16"/>
                <w:lang w:val="en-US"/>
              </w:rPr>
              <w:t>m</w:t>
            </w:r>
            <w:r w:rsidRPr="00770953">
              <w:rPr>
                <w:rFonts w:ascii="Verdana" w:hAnsi="Verdana"/>
                <w:sz w:val="16"/>
                <w:szCs w:val="16"/>
                <w:lang w:val="en-US"/>
              </w:rPr>
              <w:t xml:space="preserve">ediation </w:t>
            </w:r>
            <w:r w:rsidRPr="00770953">
              <w:rPr>
                <w:rFonts w:ascii="Verdana" w:hAnsi="Verdana"/>
                <w:sz w:val="16"/>
                <w:szCs w:val="16"/>
                <w:lang w:val="en-US"/>
              </w:rPr>
              <w:lastRenderedPageBreak/>
              <w:t xml:space="preserve">processes between the </w:t>
            </w:r>
            <w:r>
              <w:rPr>
                <w:rFonts w:ascii="Verdana" w:hAnsi="Verdana"/>
                <w:sz w:val="16"/>
                <w:szCs w:val="16"/>
                <w:lang w:val="en-US"/>
              </w:rPr>
              <w:t xml:space="preserve">State Public </w:t>
            </w:r>
            <w:proofErr w:type="gramStart"/>
            <w:r>
              <w:rPr>
                <w:rFonts w:ascii="Verdana" w:hAnsi="Verdana"/>
                <w:sz w:val="16"/>
                <w:szCs w:val="16"/>
                <w:lang w:val="en-US"/>
              </w:rPr>
              <w:t xml:space="preserve">Enterprise </w:t>
            </w:r>
            <w:r w:rsidRPr="00770953">
              <w:rPr>
                <w:rFonts w:ascii="Verdana" w:hAnsi="Verdana"/>
                <w:sz w:val="16"/>
                <w:szCs w:val="16"/>
                <w:lang w:val="en-US"/>
              </w:rPr>
              <w:t xml:space="preserve"> and</w:t>
            </w:r>
            <w:proofErr w:type="gramEnd"/>
            <w:r w:rsidRPr="00770953">
              <w:rPr>
                <w:rFonts w:ascii="Verdana" w:hAnsi="Verdana"/>
                <w:sz w:val="16"/>
                <w:szCs w:val="16"/>
                <w:lang w:val="en-US"/>
              </w:rPr>
              <w:t xml:space="preserve"> the permit holders and the owners or holders of the land, property, or right in question.</w:t>
            </w:r>
          </w:p>
        </w:tc>
      </w:tr>
      <w:tr w:rsidR="003A38FF" w:rsidRPr="00D83DA2" w14:paraId="439F94F0" w14:textId="2155D907" w:rsidTr="00FB5DAD">
        <w:tc>
          <w:tcPr>
            <w:tcW w:w="4706" w:type="dxa"/>
          </w:tcPr>
          <w:p w14:paraId="481E0B2D"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sz w:val="16"/>
                <w:szCs w:val="16"/>
              </w:rPr>
              <w:lastRenderedPageBreak/>
              <w:t>La Secretaría debe emitir la convocatoria para el registro de las personas Testigos Sociales en los términos que dispongan los lineamientos a que se refiere el párrafo anterior.</w:t>
            </w:r>
          </w:p>
        </w:tc>
        <w:tc>
          <w:tcPr>
            <w:tcW w:w="4644" w:type="dxa"/>
          </w:tcPr>
          <w:p w14:paraId="7573A6B3" w14:textId="34DC2E8A" w:rsidR="003A38FF" w:rsidRPr="00D0180E" w:rsidRDefault="003A38FF" w:rsidP="003A38FF">
            <w:pPr>
              <w:pStyle w:val="Texto"/>
              <w:spacing w:line="220" w:lineRule="exact"/>
              <w:ind w:firstLine="0"/>
              <w:rPr>
                <w:rFonts w:ascii="Verdana" w:hAnsi="Verdana"/>
                <w:sz w:val="16"/>
                <w:szCs w:val="16"/>
                <w:lang w:val="en-US"/>
              </w:rPr>
            </w:pPr>
            <w:r w:rsidRPr="00770953">
              <w:rPr>
                <w:rFonts w:ascii="Verdana" w:hAnsi="Verdana"/>
                <w:sz w:val="16"/>
                <w:szCs w:val="16"/>
                <w:lang w:val="en-US"/>
              </w:rPr>
              <w:t>The Secretary must issue the call for registration of Social Witnesses in accordance with the guidelines referred to in the preceding paragraph.</w:t>
            </w:r>
          </w:p>
        </w:tc>
      </w:tr>
      <w:tr w:rsidR="003A38FF" w:rsidRPr="00D83DA2" w14:paraId="115048D8" w14:textId="70CF13F7" w:rsidTr="00FB5DAD">
        <w:tc>
          <w:tcPr>
            <w:tcW w:w="4706" w:type="dxa"/>
          </w:tcPr>
          <w:p w14:paraId="5C21A1FD"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sz w:val="16"/>
                <w:szCs w:val="16"/>
              </w:rPr>
              <w:t>Las personas Testigos Sociales deben ser personas físicas o morales, incluidas asociaciones o sociedades civiles sin conflicto de interés.</w:t>
            </w:r>
          </w:p>
        </w:tc>
        <w:tc>
          <w:tcPr>
            <w:tcW w:w="4644" w:type="dxa"/>
          </w:tcPr>
          <w:p w14:paraId="533DDD25" w14:textId="29DC6481" w:rsidR="003A38FF" w:rsidRPr="00D0180E" w:rsidRDefault="003A38FF" w:rsidP="003A38FF">
            <w:pPr>
              <w:pStyle w:val="Texto"/>
              <w:spacing w:line="220" w:lineRule="exact"/>
              <w:ind w:firstLine="0"/>
              <w:rPr>
                <w:rFonts w:ascii="Verdana" w:hAnsi="Verdana"/>
                <w:sz w:val="16"/>
                <w:szCs w:val="16"/>
                <w:lang w:val="en-US"/>
              </w:rPr>
            </w:pPr>
            <w:r w:rsidRPr="00770953">
              <w:rPr>
                <w:rFonts w:ascii="Verdana" w:hAnsi="Verdana"/>
                <w:sz w:val="16"/>
                <w:szCs w:val="16"/>
                <w:lang w:val="en-US"/>
              </w:rPr>
              <w:t>Social Witnesses must be individuals or legal entities, including associations or civil societies, with no conflict of interest.</w:t>
            </w:r>
          </w:p>
        </w:tc>
      </w:tr>
      <w:tr w:rsidR="003A38FF" w:rsidRPr="00D83DA2" w14:paraId="4299CFD1" w14:textId="0759BC5F" w:rsidTr="00FB5DAD">
        <w:tc>
          <w:tcPr>
            <w:tcW w:w="4706" w:type="dxa"/>
          </w:tcPr>
          <w:p w14:paraId="50074974"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Artículo 227.</w:t>
            </w:r>
            <w:r w:rsidRPr="00D0180E">
              <w:rPr>
                <w:rFonts w:ascii="Verdana" w:hAnsi="Verdana"/>
                <w:sz w:val="16"/>
                <w:szCs w:val="16"/>
              </w:rPr>
              <w:t xml:space="preserve"> La Secretaría de Desarrollo Agrario, Territorial y Urbano y, en su caso, la Secretaría, pueden iniciar un procedimiento de Mediación en los siguientes casos:</w:t>
            </w:r>
          </w:p>
        </w:tc>
        <w:tc>
          <w:tcPr>
            <w:tcW w:w="4644" w:type="dxa"/>
          </w:tcPr>
          <w:p w14:paraId="189C3984" w14:textId="18FF4F6B" w:rsidR="003A38FF" w:rsidRPr="00D0180E" w:rsidRDefault="003A38FF" w:rsidP="003A38FF">
            <w:pPr>
              <w:pStyle w:val="Texto"/>
              <w:spacing w:line="220" w:lineRule="exact"/>
              <w:ind w:firstLine="0"/>
              <w:rPr>
                <w:rFonts w:ascii="Verdana" w:hAnsi="Verdana"/>
                <w:b/>
                <w:sz w:val="16"/>
                <w:szCs w:val="16"/>
                <w:lang w:val="en-US"/>
              </w:rPr>
            </w:pPr>
            <w:r w:rsidRPr="00770953">
              <w:rPr>
                <w:rFonts w:ascii="Verdana" w:hAnsi="Verdana"/>
                <w:b/>
                <w:sz w:val="16"/>
                <w:szCs w:val="16"/>
                <w:lang w:val="en-US"/>
              </w:rPr>
              <w:t xml:space="preserve">Article 227. </w:t>
            </w:r>
            <w:r w:rsidRPr="00770953">
              <w:rPr>
                <w:rFonts w:ascii="Verdana" w:hAnsi="Verdana"/>
                <w:sz w:val="16"/>
                <w:szCs w:val="16"/>
                <w:lang w:val="en-US"/>
              </w:rPr>
              <w:t xml:space="preserve">The Secretary of Agrarian, Territorial and Urban Development and, where appropriate, the Secretary may initiate a </w:t>
            </w:r>
            <w:r>
              <w:rPr>
                <w:rFonts w:ascii="Verdana" w:hAnsi="Verdana"/>
                <w:sz w:val="16"/>
                <w:szCs w:val="16"/>
                <w:lang w:val="en-US"/>
              </w:rPr>
              <w:t>m</w:t>
            </w:r>
            <w:r w:rsidRPr="00770953">
              <w:rPr>
                <w:rFonts w:ascii="Verdana" w:hAnsi="Verdana"/>
                <w:sz w:val="16"/>
                <w:szCs w:val="16"/>
                <w:lang w:val="en-US"/>
              </w:rPr>
              <w:t>ediation procedure in the following cases:</w:t>
            </w:r>
          </w:p>
        </w:tc>
      </w:tr>
      <w:tr w:rsidR="003A38FF" w:rsidRPr="00D83DA2" w14:paraId="50C1474C" w14:textId="3C574EDA" w:rsidTr="00FB5DAD">
        <w:tc>
          <w:tcPr>
            <w:tcW w:w="4706" w:type="dxa"/>
          </w:tcPr>
          <w:p w14:paraId="21C65540"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Cuando las partes conjuntamente lo soliciten expresamente por alguno de los supuestos siguientes:</w:t>
            </w:r>
          </w:p>
        </w:tc>
        <w:tc>
          <w:tcPr>
            <w:tcW w:w="4644" w:type="dxa"/>
          </w:tcPr>
          <w:p w14:paraId="7C78C920" w14:textId="6A1E20FF" w:rsidR="003A38FF" w:rsidRPr="00D0180E" w:rsidRDefault="003A38FF" w:rsidP="003A38FF">
            <w:pPr>
              <w:pStyle w:val="Texto"/>
              <w:spacing w:line="220" w:lineRule="exact"/>
              <w:ind w:firstLine="0"/>
              <w:rPr>
                <w:rFonts w:ascii="Verdana" w:hAnsi="Verdana"/>
                <w:b/>
                <w:sz w:val="16"/>
                <w:szCs w:val="16"/>
                <w:lang w:val="en-US"/>
              </w:rPr>
            </w:pPr>
            <w:r w:rsidRPr="00770953">
              <w:rPr>
                <w:rFonts w:ascii="Verdana" w:hAnsi="Verdana"/>
                <w:b/>
                <w:sz w:val="16"/>
                <w:szCs w:val="16"/>
                <w:lang w:val="en-US"/>
              </w:rPr>
              <w:t>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When</w:t>
            </w:r>
            <w:proofErr w:type="gramEnd"/>
            <w:r w:rsidRPr="00770953">
              <w:rPr>
                <w:rFonts w:ascii="Verdana" w:hAnsi="Verdana"/>
                <w:sz w:val="16"/>
                <w:szCs w:val="16"/>
                <w:lang w:val="en-US"/>
              </w:rPr>
              <w:t xml:space="preserve"> the parties jointly expressly request it for any of the following reasons:</w:t>
            </w:r>
          </w:p>
        </w:tc>
      </w:tr>
      <w:tr w:rsidR="003A38FF" w:rsidRPr="00D83DA2" w14:paraId="21C66BAE" w14:textId="40C8B8DA" w:rsidTr="00FB5DAD">
        <w:tc>
          <w:tcPr>
            <w:tcW w:w="4706" w:type="dxa"/>
          </w:tcPr>
          <w:p w14:paraId="21D920A7"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Exista controversia respecto a la modalidad de adquisición, uso, goce o afectación de los terrenos, bienes o derechos, o</w:t>
            </w:r>
          </w:p>
        </w:tc>
        <w:tc>
          <w:tcPr>
            <w:tcW w:w="4644" w:type="dxa"/>
          </w:tcPr>
          <w:p w14:paraId="6F685025" w14:textId="4690E2A2" w:rsidR="003A38FF" w:rsidRPr="00D0180E" w:rsidRDefault="003A38FF" w:rsidP="003A38FF">
            <w:pPr>
              <w:pStyle w:val="Texto"/>
              <w:spacing w:line="220" w:lineRule="exact"/>
              <w:ind w:firstLine="0"/>
              <w:rPr>
                <w:rFonts w:ascii="Verdana" w:hAnsi="Verdana"/>
                <w:b/>
                <w:sz w:val="16"/>
                <w:szCs w:val="16"/>
                <w:lang w:val="en-US"/>
              </w:rPr>
            </w:pPr>
            <w:r w:rsidRPr="00770953">
              <w:rPr>
                <w:rFonts w:ascii="Verdana" w:hAnsi="Verdana"/>
                <w:b/>
                <w:sz w:val="16"/>
                <w:szCs w:val="16"/>
                <w:lang w:val="en-US"/>
              </w:rPr>
              <w:t>a</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There</w:t>
            </w:r>
            <w:proofErr w:type="gramEnd"/>
            <w:r w:rsidRPr="00770953">
              <w:rPr>
                <w:rFonts w:ascii="Verdana" w:hAnsi="Verdana"/>
                <w:sz w:val="16"/>
                <w:szCs w:val="16"/>
                <w:lang w:val="en-US"/>
              </w:rPr>
              <w:t xml:space="preserve"> is a controversy regarding the method of acquisition, use, enjoyment or </w:t>
            </w:r>
            <w:r>
              <w:rPr>
                <w:rFonts w:ascii="Verdana" w:hAnsi="Verdana"/>
                <w:sz w:val="16"/>
                <w:szCs w:val="16"/>
                <w:lang w:val="en-US"/>
              </w:rPr>
              <w:t>assignment</w:t>
            </w:r>
            <w:r w:rsidRPr="00770953">
              <w:rPr>
                <w:rFonts w:ascii="Verdana" w:hAnsi="Verdana"/>
                <w:sz w:val="16"/>
                <w:szCs w:val="16"/>
                <w:lang w:val="en-US"/>
              </w:rPr>
              <w:t xml:space="preserve"> of the land, property or rights, or</w:t>
            </w:r>
          </w:p>
        </w:tc>
      </w:tr>
      <w:tr w:rsidR="003A38FF" w:rsidRPr="00D83DA2" w14:paraId="12166F58" w14:textId="0FD78A30" w:rsidTr="00FB5DAD">
        <w:tc>
          <w:tcPr>
            <w:tcW w:w="4706" w:type="dxa"/>
          </w:tcPr>
          <w:p w14:paraId="541DB0DA"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No exista acuerdo en la contraprestación ofrecida o su modalidad, y</w:t>
            </w:r>
          </w:p>
        </w:tc>
        <w:tc>
          <w:tcPr>
            <w:tcW w:w="4644" w:type="dxa"/>
          </w:tcPr>
          <w:p w14:paraId="5ADD18E5" w14:textId="016CBD53" w:rsidR="003A38FF" w:rsidRPr="00D0180E" w:rsidRDefault="003A38FF" w:rsidP="003A38FF">
            <w:pPr>
              <w:pStyle w:val="Texto"/>
              <w:spacing w:line="220" w:lineRule="exact"/>
              <w:ind w:firstLine="0"/>
              <w:rPr>
                <w:rFonts w:ascii="Verdana" w:hAnsi="Verdana"/>
                <w:b/>
                <w:sz w:val="16"/>
                <w:szCs w:val="16"/>
                <w:lang w:val="en-US"/>
              </w:rPr>
            </w:pPr>
            <w:r w:rsidRPr="00770953">
              <w:rPr>
                <w:rFonts w:ascii="Verdana" w:hAnsi="Verdana"/>
                <w:b/>
                <w:sz w:val="16"/>
                <w:szCs w:val="16"/>
                <w:lang w:val="en-US"/>
              </w:rPr>
              <w:t>b</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There</w:t>
            </w:r>
            <w:proofErr w:type="gramEnd"/>
            <w:r w:rsidRPr="00770953">
              <w:rPr>
                <w:rFonts w:ascii="Verdana" w:hAnsi="Verdana"/>
                <w:sz w:val="16"/>
                <w:szCs w:val="16"/>
                <w:lang w:val="en-US"/>
              </w:rPr>
              <w:t xml:space="preserve"> is no agreement on the consideration offered or its modality, and</w:t>
            </w:r>
          </w:p>
        </w:tc>
      </w:tr>
      <w:tr w:rsidR="003A38FF" w:rsidRPr="00D83DA2" w14:paraId="5FADA640" w14:textId="6F10F1A4" w:rsidTr="00FB5DAD">
        <w:tc>
          <w:tcPr>
            <w:tcW w:w="4706" w:type="dxa"/>
          </w:tcPr>
          <w:p w14:paraId="01BA35C6"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Cualquier otra que determine la Secretaría de Desarrollo Agrario, Territorial y Urbano y, en su caso, la Secretaría.</w:t>
            </w:r>
          </w:p>
        </w:tc>
        <w:tc>
          <w:tcPr>
            <w:tcW w:w="4644" w:type="dxa"/>
          </w:tcPr>
          <w:p w14:paraId="7813025B" w14:textId="0262184D" w:rsidR="003A38FF" w:rsidRPr="00D0180E" w:rsidRDefault="003A38FF" w:rsidP="003A38FF">
            <w:pPr>
              <w:pStyle w:val="Texto"/>
              <w:spacing w:line="220" w:lineRule="exact"/>
              <w:ind w:firstLine="0"/>
              <w:rPr>
                <w:rFonts w:ascii="Verdana" w:hAnsi="Verdana"/>
                <w:b/>
                <w:sz w:val="16"/>
                <w:szCs w:val="16"/>
                <w:lang w:val="en-US"/>
              </w:rPr>
            </w:pPr>
            <w:r w:rsidRPr="00770953">
              <w:rPr>
                <w:rFonts w:ascii="Verdana" w:hAnsi="Verdana"/>
                <w:b/>
                <w:sz w:val="16"/>
                <w:szCs w:val="16"/>
                <w:lang w:val="en-US"/>
              </w:rPr>
              <w:t>II</w:t>
            </w:r>
            <w:proofErr w:type="gramStart"/>
            <w:r w:rsidRPr="00770953">
              <w:rPr>
                <w:rFonts w:ascii="Verdana" w:hAnsi="Verdana"/>
                <w:b/>
                <w:sz w:val="16"/>
                <w:szCs w:val="16"/>
                <w:lang w:val="en-US"/>
              </w:rPr>
              <w:t xml:space="preserve">. </w:t>
            </w:r>
            <w:r w:rsidRPr="00770953">
              <w:rPr>
                <w:rFonts w:ascii="Verdana" w:hAnsi="Verdana"/>
                <w:b/>
                <w:sz w:val="16"/>
                <w:szCs w:val="16"/>
                <w:lang w:val="en-US"/>
              </w:rPr>
              <w:tab/>
            </w:r>
            <w:r w:rsidRPr="00770953">
              <w:rPr>
                <w:rFonts w:ascii="Verdana" w:hAnsi="Verdana"/>
                <w:sz w:val="16"/>
                <w:szCs w:val="16"/>
                <w:lang w:val="en-US"/>
              </w:rPr>
              <w:t>Any</w:t>
            </w:r>
            <w:proofErr w:type="gramEnd"/>
            <w:r w:rsidRPr="00770953">
              <w:rPr>
                <w:rFonts w:ascii="Verdana" w:hAnsi="Verdana"/>
                <w:sz w:val="16"/>
                <w:szCs w:val="16"/>
                <w:lang w:val="en-US"/>
              </w:rPr>
              <w:t xml:space="preserve"> other determined by the Secretary of Agrarian, Territorial and Urban Development and, where appropriate, the Secretary.</w:t>
            </w:r>
          </w:p>
        </w:tc>
      </w:tr>
      <w:tr w:rsidR="003A38FF" w:rsidRPr="00D83DA2" w14:paraId="73A0A101" w14:textId="0C4E5EEA" w:rsidTr="00FB5DAD">
        <w:tc>
          <w:tcPr>
            <w:tcW w:w="4706" w:type="dxa"/>
          </w:tcPr>
          <w:p w14:paraId="23CFBD5F"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Artículo 228.</w:t>
            </w:r>
            <w:r w:rsidRPr="00D0180E">
              <w:rPr>
                <w:rFonts w:ascii="Verdana" w:hAnsi="Verdana"/>
                <w:sz w:val="16"/>
                <w:szCs w:val="16"/>
              </w:rPr>
              <w:t xml:space="preserve"> La participación de las personas mediadoras o personas Testigos Sociales debe regirse por los principios de buena fe, confidencialidad, equidad, honestidad, imparcialidad, legalidad, neutralidad, eficiencia, eficacia y objetividad.</w:t>
            </w:r>
          </w:p>
        </w:tc>
        <w:tc>
          <w:tcPr>
            <w:tcW w:w="4644" w:type="dxa"/>
          </w:tcPr>
          <w:p w14:paraId="359BE23E" w14:textId="1448B1DC" w:rsidR="003A38FF" w:rsidRPr="00D0180E" w:rsidRDefault="003A38FF" w:rsidP="003A38FF">
            <w:pPr>
              <w:pStyle w:val="Texto"/>
              <w:spacing w:line="220" w:lineRule="exact"/>
              <w:ind w:firstLine="0"/>
              <w:rPr>
                <w:rFonts w:ascii="Verdana" w:hAnsi="Verdana"/>
                <w:b/>
                <w:sz w:val="16"/>
                <w:szCs w:val="16"/>
                <w:lang w:val="en-US"/>
              </w:rPr>
            </w:pPr>
            <w:r w:rsidRPr="00770953">
              <w:rPr>
                <w:rFonts w:ascii="Verdana" w:hAnsi="Verdana"/>
                <w:b/>
                <w:sz w:val="16"/>
                <w:szCs w:val="16"/>
                <w:lang w:val="en-US"/>
              </w:rPr>
              <w:t xml:space="preserve">Article 228. </w:t>
            </w:r>
            <w:r w:rsidRPr="00770953">
              <w:rPr>
                <w:rFonts w:ascii="Verdana" w:hAnsi="Verdana"/>
                <w:sz w:val="16"/>
                <w:szCs w:val="16"/>
                <w:lang w:val="en-US"/>
              </w:rPr>
              <w:t xml:space="preserve">The participation of mediators or Social Witnesses must be governed by the principles of good faith, </w:t>
            </w:r>
            <w:proofErr w:type="gramStart"/>
            <w:r w:rsidRPr="00770953">
              <w:rPr>
                <w:rFonts w:ascii="Verdana" w:hAnsi="Verdana"/>
                <w:sz w:val="16"/>
                <w:szCs w:val="16"/>
                <w:lang w:val="en-US"/>
              </w:rPr>
              <w:t>confidentiality, equity</w:t>
            </w:r>
            <w:proofErr w:type="gramEnd"/>
            <w:r w:rsidRPr="00770953">
              <w:rPr>
                <w:rFonts w:ascii="Verdana" w:hAnsi="Verdana"/>
                <w:sz w:val="16"/>
                <w:szCs w:val="16"/>
                <w:lang w:val="en-US"/>
              </w:rPr>
              <w:t>, honesty, impartiality, legality, neutrality, efficiency, effectiveness and objectivity.</w:t>
            </w:r>
          </w:p>
        </w:tc>
      </w:tr>
      <w:tr w:rsidR="003A38FF" w:rsidRPr="00D83DA2" w14:paraId="5D10B6E5" w14:textId="384336F2" w:rsidTr="00FB5DAD">
        <w:tc>
          <w:tcPr>
            <w:tcW w:w="4706" w:type="dxa"/>
          </w:tcPr>
          <w:p w14:paraId="744D85BE"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Artículo 229.</w:t>
            </w:r>
            <w:r w:rsidRPr="00D0180E">
              <w:rPr>
                <w:rFonts w:ascii="Verdana" w:hAnsi="Verdana"/>
                <w:sz w:val="16"/>
                <w:szCs w:val="16"/>
              </w:rPr>
              <w:t xml:space="preserve"> Las personas mediadoras y las personas Testigos Sociales tienen las siguientes funciones:</w:t>
            </w:r>
          </w:p>
        </w:tc>
        <w:tc>
          <w:tcPr>
            <w:tcW w:w="4644" w:type="dxa"/>
          </w:tcPr>
          <w:p w14:paraId="059FB444" w14:textId="6B52FAEB" w:rsidR="003A38FF" w:rsidRPr="00D0180E" w:rsidRDefault="003A38FF" w:rsidP="003A38FF">
            <w:pPr>
              <w:pStyle w:val="Texto"/>
              <w:spacing w:line="220" w:lineRule="exact"/>
              <w:ind w:firstLine="0"/>
              <w:rPr>
                <w:rFonts w:ascii="Verdana" w:hAnsi="Verdana"/>
                <w:b/>
                <w:sz w:val="16"/>
                <w:szCs w:val="16"/>
                <w:lang w:val="en-US"/>
              </w:rPr>
            </w:pPr>
            <w:r w:rsidRPr="00480105">
              <w:rPr>
                <w:rFonts w:ascii="Verdana" w:hAnsi="Verdana"/>
                <w:b/>
                <w:sz w:val="16"/>
                <w:szCs w:val="16"/>
                <w:lang w:val="en-US"/>
              </w:rPr>
              <w:t xml:space="preserve">Article 229. </w:t>
            </w:r>
            <w:r w:rsidRPr="00480105">
              <w:rPr>
                <w:rFonts w:ascii="Verdana" w:hAnsi="Verdana"/>
                <w:sz w:val="16"/>
                <w:szCs w:val="16"/>
                <w:lang w:val="en-US"/>
              </w:rPr>
              <w:t xml:space="preserve">Mediators and </w:t>
            </w:r>
            <w:r>
              <w:rPr>
                <w:rFonts w:ascii="Verdana" w:hAnsi="Verdana"/>
                <w:sz w:val="16"/>
                <w:szCs w:val="16"/>
                <w:lang w:val="en-US"/>
              </w:rPr>
              <w:t>s</w:t>
            </w:r>
            <w:r w:rsidRPr="00480105">
              <w:rPr>
                <w:rFonts w:ascii="Verdana" w:hAnsi="Verdana"/>
                <w:sz w:val="16"/>
                <w:szCs w:val="16"/>
                <w:lang w:val="en-US"/>
              </w:rPr>
              <w:t xml:space="preserve">ocial </w:t>
            </w:r>
            <w:r>
              <w:rPr>
                <w:rFonts w:ascii="Verdana" w:hAnsi="Verdana"/>
                <w:sz w:val="16"/>
                <w:szCs w:val="16"/>
                <w:lang w:val="en-US"/>
              </w:rPr>
              <w:t>w</w:t>
            </w:r>
            <w:r w:rsidRPr="00480105">
              <w:rPr>
                <w:rFonts w:ascii="Verdana" w:hAnsi="Verdana"/>
                <w:sz w:val="16"/>
                <w:szCs w:val="16"/>
                <w:lang w:val="en-US"/>
              </w:rPr>
              <w:t>itnesses have the following functions:</w:t>
            </w:r>
          </w:p>
        </w:tc>
      </w:tr>
      <w:tr w:rsidR="003A38FF" w:rsidRPr="00D83DA2" w14:paraId="2DA24E7E" w14:textId="5AD339B7" w:rsidTr="00FB5DAD">
        <w:tc>
          <w:tcPr>
            <w:tcW w:w="4706" w:type="dxa"/>
          </w:tcPr>
          <w:p w14:paraId="6545462E"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Escuchar a las partes a fin de conciliar sus intereses y pretensiones;</w:t>
            </w:r>
          </w:p>
        </w:tc>
        <w:tc>
          <w:tcPr>
            <w:tcW w:w="4644" w:type="dxa"/>
          </w:tcPr>
          <w:p w14:paraId="745A1757" w14:textId="687656FE" w:rsidR="003A38FF" w:rsidRPr="00D0180E" w:rsidRDefault="003A38FF" w:rsidP="003A38FF">
            <w:pPr>
              <w:pStyle w:val="Texto"/>
              <w:spacing w:line="220" w:lineRule="exact"/>
              <w:ind w:firstLine="0"/>
              <w:rPr>
                <w:rFonts w:ascii="Verdana" w:hAnsi="Verdana"/>
                <w:b/>
                <w:sz w:val="16"/>
                <w:szCs w:val="16"/>
                <w:lang w:val="en-US"/>
              </w:rPr>
            </w:pPr>
            <w:r w:rsidRPr="00480105">
              <w:rPr>
                <w:rFonts w:ascii="Verdana" w:hAnsi="Verdana"/>
                <w:b/>
                <w:sz w:val="16"/>
                <w:szCs w:val="16"/>
                <w:lang w:val="en-US"/>
              </w:rPr>
              <w:t>I</w:t>
            </w:r>
            <w:proofErr w:type="gramStart"/>
            <w:r w:rsidRPr="00480105">
              <w:rPr>
                <w:rFonts w:ascii="Verdana" w:hAnsi="Verdana"/>
                <w:b/>
                <w:sz w:val="16"/>
                <w:szCs w:val="16"/>
                <w:lang w:val="en-US"/>
              </w:rPr>
              <w:t xml:space="preserve">. </w:t>
            </w:r>
            <w:r w:rsidRPr="00480105">
              <w:rPr>
                <w:rFonts w:ascii="Verdana" w:hAnsi="Verdana"/>
                <w:b/>
                <w:sz w:val="16"/>
                <w:szCs w:val="16"/>
                <w:lang w:val="en-US"/>
              </w:rPr>
              <w:tab/>
            </w:r>
            <w:r w:rsidRPr="00480105">
              <w:rPr>
                <w:rFonts w:ascii="Verdana" w:hAnsi="Verdana"/>
                <w:sz w:val="16"/>
                <w:szCs w:val="16"/>
                <w:lang w:val="en-US"/>
              </w:rPr>
              <w:t>Listen</w:t>
            </w:r>
            <w:proofErr w:type="gramEnd"/>
            <w:r w:rsidRPr="00480105">
              <w:rPr>
                <w:rFonts w:ascii="Verdana" w:hAnsi="Verdana"/>
                <w:sz w:val="16"/>
                <w:szCs w:val="16"/>
                <w:lang w:val="en-US"/>
              </w:rPr>
              <w:t xml:space="preserve"> to the parties </w:t>
            </w:r>
            <w:proofErr w:type="gramStart"/>
            <w:r w:rsidRPr="00480105">
              <w:rPr>
                <w:rFonts w:ascii="Verdana" w:hAnsi="Verdana"/>
                <w:sz w:val="16"/>
                <w:szCs w:val="16"/>
                <w:lang w:val="en-US"/>
              </w:rPr>
              <w:t>in order to</w:t>
            </w:r>
            <w:proofErr w:type="gramEnd"/>
            <w:r w:rsidRPr="00480105">
              <w:rPr>
                <w:rFonts w:ascii="Verdana" w:hAnsi="Verdana"/>
                <w:sz w:val="16"/>
                <w:szCs w:val="16"/>
                <w:lang w:val="en-US"/>
              </w:rPr>
              <w:t xml:space="preserve"> reconcile their interests and claims;</w:t>
            </w:r>
          </w:p>
        </w:tc>
      </w:tr>
      <w:tr w:rsidR="003A38FF" w:rsidRPr="00D83DA2" w14:paraId="05DA010E" w14:textId="3F3E5A18" w:rsidTr="00FB5DAD">
        <w:tc>
          <w:tcPr>
            <w:tcW w:w="4706" w:type="dxa"/>
          </w:tcPr>
          <w:p w14:paraId="46AA144F"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Sugerir la forma o modalidad de adquisición, uso, goce o afectación según las características del proyecto;</w:t>
            </w:r>
          </w:p>
        </w:tc>
        <w:tc>
          <w:tcPr>
            <w:tcW w:w="4644" w:type="dxa"/>
          </w:tcPr>
          <w:p w14:paraId="56131D5D" w14:textId="2C86EC65" w:rsidR="003A38FF" w:rsidRPr="00D0180E" w:rsidRDefault="003A38FF" w:rsidP="003A38FF">
            <w:pPr>
              <w:pStyle w:val="Texto"/>
              <w:spacing w:line="220" w:lineRule="exact"/>
              <w:ind w:firstLine="0"/>
              <w:rPr>
                <w:rFonts w:ascii="Verdana" w:hAnsi="Verdana"/>
                <w:b/>
                <w:sz w:val="16"/>
                <w:szCs w:val="16"/>
                <w:lang w:val="en-US"/>
              </w:rPr>
            </w:pPr>
            <w:r w:rsidRPr="00480105">
              <w:rPr>
                <w:rFonts w:ascii="Verdana" w:hAnsi="Verdana"/>
                <w:b/>
                <w:sz w:val="16"/>
                <w:szCs w:val="16"/>
                <w:lang w:val="en-US"/>
              </w:rPr>
              <w:t>II</w:t>
            </w:r>
            <w:proofErr w:type="gramStart"/>
            <w:r w:rsidRPr="00480105">
              <w:rPr>
                <w:rFonts w:ascii="Verdana" w:hAnsi="Verdana"/>
                <w:b/>
                <w:sz w:val="16"/>
                <w:szCs w:val="16"/>
                <w:lang w:val="en-US"/>
              </w:rPr>
              <w:t xml:space="preserve">. </w:t>
            </w:r>
            <w:r w:rsidRPr="00480105">
              <w:rPr>
                <w:rFonts w:ascii="Verdana" w:hAnsi="Verdana"/>
                <w:b/>
                <w:sz w:val="16"/>
                <w:szCs w:val="16"/>
                <w:lang w:val="en-US"/>
              </w:rPr>
              <w:tab/>
            </w:r>
            <w:r w:rsidRPr="00480105">
              <w:rPr>
                <w:rFonts w:ascii="Verdana" w:hAnsi="Verdana"/>
                <w:sz w:val="16"/>
                <w:szCs w:val="16"/>
                <w:lang w:val="en-US"/>
              </w:rPr>
              <w:t>Suggest</w:t>
            </w:r>
            <w:proofErr w:type="gramEnd"/>
            <w:r w:rsidRPr="00480105">
              <w:rPr>
                <w:rFonts w:ascii="Verdana" w:hAnsi="Verdana"/>
                <w:sz w:val="16"/>
                <w:szCs w:val="16"/>
                <w:lang w:val="en-US"/>
              </w:rPr>
              <w:t xml:space="preserve"> the form or modality of acquisition, use, enjoyment or </w:t>
            </w:r>
            <w:r>
              <w:rPr>
                <w:rFonts w:ascii="Verdana" w:hAnsi="Verdana"/>
                <w:sz w:val="16"/>
                <w:szCs w:val="16"/>
                <w:lang w:val="en-US"/>
              </w:rPr>
              <w:t>assignment</w:t>
            </w:r>
            <w:r w:rsidRPr="00480105">
              <w:rPr>
                <w:rFonts w:ascii="Verdana" w:hAnsi="Verdana"/>
                <w:sz w:val="16"/>
                <w:szCs w:val="16"/>
                <w:lang w:val="en-US"/>
              </w:rPr>
              <w:t xml:space="preserve"> according to the characteristics of the project;</w:t>
            </w:r>
          </w:p>
        </w:tc>
      </w:tr>
      <w:tr w:rsidR="003A38FF" w:rsidRPr="00D83DA2" w14:paraId="6C6482F7" w14:textId="365A600A" w:rsidTr="00FB5DAD">
        <w:tc>
          <w:tcPr>
            <w:tcW w:w="4706" w:type="dxa"/>
          </w:tcPr>
          <w:p w14:paraId="17672E36"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Sugerir la modalidad o el monto de la contraprestación con base en los avalúos que se hayan practicado para tal efecto;</w:t>
            </w:r>
          </w:p>
        </w:tc>
        <w:tc>
          <w:tcPr>
            <w:tcW w:w="4644" w:type="dxa"/>
          </w:tcPr>
          <w:p w14:paraId="44231EA6" w14:textId="1AC46EE7" w:rsidR="003A38FF" w:rsidRPr="00D0180E" w:rsidRDefault="003A38FF" w:rsidP="003A38FF">
            <w:pPr>
              <w:pStyle w:val="Texto"/>
              <w:spacing w:line="220" w:lineRule="exact"/>
              <w:ind w:firstLine="0"/>
              <w:rPr>
                <w:rFonts w:ascii="Verdana" w:hAnsi="Verdana"/>
                <w:b/>
                <w:sz w:val="16"/>
                <w:szCs w:val="16"/>
                <w:lang w:val="en-US"/>
              </w:rPr>
            </w:pPr>
            <w:r w:rsidRPr="00480105">
              <w:rPr>
                <w:rFonts w:ascii="Verdana" w:hAnsi="Verdana"/>
                <w:b/>
                <w:sz w:val="16"/>
                <w:szCs w:val="16"/>
                <w:lang w:val="en-US"/>
              </w:rPr>
              <w:t>III</w:t>
            </w:r>
            <w:proofErr w:type="gramStart"/>
            <w:r w:rsidRPr="00480105">
              <w:rPr>
                <w:rFonts w:ascii="Verdana" w:hAnsi="Verdana"/>
                <w:b/>
                <w:sz w:val="16"/>
                <w:szCs w:val="16"/>
                <w:lang w:val="en-US"/>
              </w:rPr>
              <w:t xml:space="preserve">. </w:t>
            </w:r>
            <w:r w:rsidRPr="00480105">
              <w:rPr>
                <w:rFonts w:ascii="Verdana" w:hAnsi="Verdana"/>
                <w:b/>
                <w:sz w:val="16"/>
                <w:szCs w:val="16"/>
                <w:lang w:val="en-US"/>
              </w:rPr>
              <w:tab/>
            </w:r>
            <w:r w:rsidRPr="00480105">
              <w:rPr>
                <w:rFonts w:ascii="Verdana" w:hAnsi="Verdana"/>
                <w:sz w:val="16"/>
                <w:szCs w:val="16"/>
                <w:lang w:val="en-US"/>
              </w:rPr>
              <w:t>Suggest</w:t>
            </w:r>
            <w:proofErr w:type="gramEnd"/>
            <w:r w:rsidRPr="00480105">
              <w:rPr>
                <w:rFonts w:ascii="Verdana" w:hAnsi="Verdana"/>
                <w:sz w:val="16"/>
                <w:szCs w:val="16"/>
                <w:lang w:val="en-US"/>
              </w:rPr>
              <w:t xml:space="preserve"> the modality or amount of the consideration based on the appraisals that have been carried out for this purpose;</w:t>
            </w:r>
          </w:p>
        </w:tc>
      </w:tr>
      <w:tr w:rsidR="003A38FF" w:rsidRPr="00D83DA2" w14:paraId="31D4F80F" w14:textId="125B96EE" w:rsidTr="00FB5DAD">
        <w:tc>
          <w:tcPr>
            <w:tcW w:w="4706" w:type="dxa"/>
          </w:tcPr>
          <w:p w14:paraId="67012428"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Buscar que las partes alcancen una solución aceptable y voluntaria;</w:t>
            </w:r>
          </w:p>
        </w:tc>
        <w:tc>
          <w:tcPr>
            <w:tcW w:w="4644" w:type="dxa"/>
          </w:tcPr>
          <w:p w14:paraId="5EB9ED05" w14:textId="7CDF60CA" w:rsidR="003A38FF" w:rsidRPr="00D0180E" w:rsidRDefault="003A38FF" w:rsidP="003A38FF">
            <w:pPr>
              <w:pStyle w:val="Texto"/>
              <w:spacing w:line="220" w:lineRule="exact"/>
              <w:ind w:firstLine="0"/>
              <w:rPr>
                <w:rFonts w:ascii="Verdana" w:hAnsi="Verdana"/>
                <w:b/>
                <w:sz w:val="16"/>
                <w:szCs w:val="16"/>
                <w:lang w:val="en-US"/>
              </w:rPr>
            </w:pPr>
            <w:r w:rsidRPr="00480105">
              <w:rPr>
                <w:rFonts w:ascii="Verdana" w:hAnsi="Verdana"/>
                <w:b/>
                <w:sz w:val="16"/>
                <w:szCs w:val="16"/>
                <w:lang w:val="en-US"/>
              </w:rPr>
              <w:t>IV</w:t>
            </w:r>
            <w:proofErr w:type="gramStart"/>
            <w:r w:rsidRPr="00480105">
              <w:rPr>
                <w:rFonts w:ascii="Verdana" w:hAnsi="Verdana"/>
                <w:b/>
                <w:sz w:val="16"/>
                <w:szCs w:val="16"/>
                <w:lang w:val="en-US"/>
              </w:rPr>
              <w:t xml:space="preserve">. </w:t>
            </w:r>
            <w:r w:rsidRPr="00480105">
              <w:rPr>
                <w:rFonts w:ascii="Verdana" w:hAnsi="Verdana"/>
                <w:b/>
                <w:sz w:val="16"/>
                <w:szCs w:val="16"/>
                <w:lang w:val="en-US"/>
              </w:rPr>
              <w:tab/>
            </w:r>
            <w:r w:rsidRPr="00480105">
              <w:rPr>
                <w:rFonts w:ascii="Verdana" w:hAnsi="Verdana"/>
                <w:sz w:val="16"/>
                <w:szCs w:val="16"/>
                <w:lang w:val="en-US"/>
              </w:rPr>
              <w:t>Seek</w:t>
            </w:r>
            <w:proofErr w:type="gramEnd"/>
            <w:r w:rsidRPr="00480105">
              <w:rPr>
                <w:rFonts w:ascii="Verdana" w:hAnsi="Verdana"/>
                <w:sz w:val="16"/>
                <w:szCs w:val="16"/>
                <w:lang w:val="en-US"/>
              </w:rPr>
              <w:t xml:space="preserve"> that the parties reach an acceptable and voluntary solution;</w:t>
            </w:r>
          </w:p>
        </w:tc>
      </w:tr>
      <w:tr w:rsidR="003A38FF" w:rsidRPr="00D83DA2" w14:paraId="114DCD69" w14:textId="1DC6BA60" w:rsidTr="00FB5DAD">
        <w:tc>
          <w:tcPr>
            <w:tcW w:w="4706" w:type="dxa"/>
          </w:tcPr>
          <w:p w14:paraId="523D3602"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Procurar entre las partes una mejor comunicación y futura relación, y</w:t>
            </w:r>
          </w:p>
        </w:tc>
        <w:tc>
          <w:tcPr>
            <w:tcW w:w="4644" w:type="dxa"/>
          </w:tcPr>
          <w:p w14:paraId="6BE8BB61" w14:textId="20913386" w:rsidR="003A38FF" w:rsidRPr="00D0180E" w:rsidRDefault="003A38FF" w:rsidP="003A38FF">
            <w:pPr>
              <w:pStyle w:val="Texto"/>
              <w:spacing w:line="220" w:lineRule="exact"/>
              <w:ind w:firstLine="0"/>
              <w:rPr>
                <w:rFonts w:ascii="Verdana" w:hAnsi="Verdana"/>
                <w:b/>
                <w:sz w:val="16"/>
                <w:szCs w:val="16"/>
                <w:lang w:val="en-US"/>
              </w:rPr>
            </w:pPr>
            <w:r w:rsidRPr="00480105">
              <w:rPr>
                <w:rFonts w:ascii="Verdana" w:hAnsi="Verdana"/>
                <w:b/>
                <w:sz w:val="16"/>
                <w:szCs w:val="16"/>
                <w:lang w:val="en-US"/>
              </w:rPr>
              <w:t xml:space="preserve">V. </w:t>
            </w:r>
            <w:proofErr w:type="gramStart"/>
            <w:r w:rsidRPr="00480105">
              <w:rPr>
                <w:rFonts w:ascii="Verdana" w:hAnsi="Verdana"/>
                <w:b/>
                <w:sz w:val="16"/>
                <w:szCs w:val="16"/>
                <w:lang w:val="en-US"/>
              </w:rPr>
              <w:tab/>
            </w:r>
            <w:r w:rsidRPr="00480105">
              <w:rPr>
                <w:rFonts w:ascii="Verdana" w:hAnsi="Verdana"/>
                <w:sz w:val="16"/>
                <w:szCs w:val="16"/>
                <w:lang w:val="en-US"/>
              </w:rPr>
              <w:t>To seek</w:t>
            </w:r>
            <w:proofErr w:type="gramEnd"/>
            <w:r w:rsidRPr="00480105">
              <w:rPr>
                <w:rFonts w:ascii="Verdana" w:hAnsi="Verdana"/>
                <w:sz w:val="16"/>
                <w:szCs w:val="16"/>
                <w:lang w:val="en-US"/>
              </w:rPr>
              <w:t xml:space="preserve"> better communication and future </w:t>
            </w:r>
            <w:proofErr w:type="gramStart"/>
            <w:r w:rsidRPr="00480105">
              <w:rPr>
                <w:rFonts w:ascii="Verdana" w:hAnsi="Verdana"/>
                <w:sz w:val="16"/>
                <w:szCs w:val="16"/>
                <w:lang w:val="en-US"/>
              </w:rPr>
              <w:t>relationship</w:t>
            </w:r>
            <w:proofErr w:type="gramEnd"/>
            <w:r w:rsidRPr="00480105">
              <w:rPr>
                <w:rFonts w:ascii="Verdana" w:hAnsi="Verdana"/>
                <w:sz w:val="16"/>
                <w:szCs w:val="16"/>
                <w:lang w:val="en-US"/>
              </w:rPr>
              <w:t xml:space="preserve"> between the parties, and</w:t>
            </w:r>
          </w:p>
        </w:tc>
      </w:tr>
      <w:tr w:rsidR="003A38FF" w:rsidRPr="00D83DA2" w14:paraId="27A6BED2" w14:textId="5A697584" w:rsidTr="00FB5DAD">
        <w:tc>
          <w:tcPr>
            <w:tcW w:w="4706" w:type="dxa"/>
          </w:tcPr>
          <w:p w14:paraId="70CDF116"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Las demás que se establezcan en otras disposiciones jurídicas aplicables.</w:t>
            </w:r>
          </w:p>
        </w:tc>
        <w:tc>
          <w:tcPr>
            <w:tcW w:w="4644" w:type="dxa"/>
          </w:tcPr>
          <w:p w14:paraId="1ACE3DC5" w14:textId="7D72652E" w:rsidR="003A38FF" w:rsidRPr="00D0180E" w:rsidRDefault="003A38FF" w:rsidP="003A38FF">
            <w:pPr>
              <w:pStyle w:val="Texto"/>
              <w:spacing w:line="220" w:lineRule="exact"/>
              <w:ind w:firstLine="0"/>
              <w:rPr>
                <w:rFonts w:ascii="Verdana" w:hAnsi="Verdana"/>
                <w:b/>
                <w:sz w:val="16"/>
                <w:szCs w:val="16"/>
                <w:lang w:val="en-US"/>
              </w:rPr>
            </w:pPr>
            <w:r w:rsidRPr="00480105">
              <w:rPr>
                <w:rFonts w:ascii="Verdana" w:hAnsi="Verdana"/>
                <w:b/>
                <w:sz w:val="16"/>
                <w:szCs w:val="16"/>
                <w:lang w:val="en-US"/>
              </w:rPr>
              <w:t>VI</w:t>
            </w:r>
            <w:proofErr w:type="gramStart"/>
            <w:r w:rsidRPr="00480105">
              <w:rPr>
                <w:rFonts w:ascii="Verdana" w:hAnsi="Verdana"/>
                <w:b/>
                <w:sz w:val="16"/>
                <w:szCs w:val="16"/>
                <w:lang w:val="en-US"/>
              </w:rPr>
              <w:t xml:space="preserve">. </w:t>
            </w:r>
            <w:r w:rsidRPr="00480105">
              <w:rPr>
                <w:rFonts w:ascii="Verdana" w:hAnsi="Verdana"/>
                <w:b/>
                <w:sz w:val="16"/>
                <w:szCs w:val="16"/>
                <w:lang w:val="en-US"/>
              </w:rPr>
              <w:tab/>
            </w:r>
            <w:r w:rsidRPr="00480105">
              <w:rPr>
                <w:rFonts w:ascii="Verdana" w:hAnsi="Verdana"/>
                <w:sz w:val="16"/>
                <w:szCs w:val="16"/>
                <w:lang w:val="en-US"/>
              </w:rPr>
              <w:t>Other</w:t>
            </w:r>
            <w:proofErr w:type="gramEnd"/>
            <w:r w:rsidRPr="00480105">
              <w:rPr>
                <w:rFonts w:ascii="Verdana" w:hAnsi="Verdana"/>
                <w:sz w:val="16"/>
                <w:szCs w:val="16"/>
                <w:lang w:val="en-US"/>
              </w:rPr>
              <w:t xml:space="preserve"> provisions established in other applicable legal provisions.</w:t>
            </w:r>
          </w:p>
        </w:tc>
      </w:tr>
      <w:tr w:rsidR="003A38FF" w:rsidRPr="00D83DA2" w14:paraId="0BAE457E" w14:textId="752468DC" w:rsidTr="00FB5DAD">
        <w:tc>
          <w:tcPr>
            <w:tcW w:w="4706" w:type="dxa"/>
          </w:tcPr>
          <w:p w14:paraId="42F3526F"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Artículo 230.</w:t>
            </w:r>
            <w:r w:rsidRPr="00D0180E">
              <w:rPr>
                <w:rFonts w:ascii="Verdana" w:hAnsi="Verdana"/>
                <w:sz w:val="16"/>
                <w:szCs w:val="16"/>
              </w:rPr>
              <w:t xml:space="preserve"> La Mediación a que se refiere la fracción II del artículo 96 y 97 de la Ley, es admisible siempre que hayan transcurrido al menos treinta días naturales contados a partir de la fecha de recepción del escrito señalado en la fracción I del artículo 91 de la Ley, y </w:t>
            </w:r>
            <w:r w:rsidRPr="00D0180E">
              <w:rPr>
                <w:rFonts w:ascii="Verdana" w:hAnsi="Verdana"/>
                <w:sz w:val="16"/>
                <w:szCs w:val="16"/>
              </w:rPr>
              <w:lastRenderedPageBreak/>
              <w:t>verse sobre los supuestos señalados en el artículo 227 de este reglamento.</w:t>
            </w:r>
          </w:p>
        </w:tc>
        <w:tc>
          <w:tcPr>
            <w:tcW w:w="4644" w:type="dxa"/>
          </w:tcPr>
          <w:p w14:paraId="10D7A5E7" w14:textId="573ADED0" w:rsidR="003A38FF" w:rsidRPr="00D0180E" w:rsidRDefault="003A38FF" w:rsidP="003A38FF">
            <w:pPr>
              <w:pStyle w:val="Texto"/>
              <w:spacing w:line="220" w:lineRule="exact"/>
              <w:ind w:firstLine="0"/>
              <w:rPr>
                <w:rFonts w:ascii="Verdana" w:hAnsi="Verdana"/>
                <w:b/>
                <w:sz w:val="16"/>
                <w:szCs w:val="16"/>
                <w:lang w:val="en-US"/>
              </w:rPr>
            </w:pPr>
            <w:r w:rsidRPr="00480105">
              <w:rPr>
                <w:rFonts w:ascii="Verdana" w:hAnsi="Verdana"/>
                <w:b/>
                <w:sz w:val="16"/>
                <w:szCs w:val="16"/>
                <w:lang w:val="en-US"/>
              </w:rPr>
              <w:lastRenderedPageBreak/>
              <w:t xml:space="preserve">Article 230. </w:t>
            </w:r>
            <w:r w:rsidRPr="00480105">
              <w:rPr>
                <w:rFonts w:ascii="Verdana" w:hAnsi="Verdana"/>
                <w:sz w:val="16"/>
                <w:szCs w:val="16"/>
                <w:lang w:val="en-US"/>
              </w:rPr>
              <w:t xml:space="preserve">The </w:t>
            </w:r>
            <w:r>
              <w:rPr>
                <w:rFonts w:ascii="Verdana" w:hAnsi="Verdana"/>
                <w:sz w:val="16"/>
                <w:szCs w:val="16"/>
                <w:lang w:val="en-US"/>
              </w:rPr>
              <w:t>m</w:t>
            </w:r>
            <w:r w:rsidRPr="00480105">
              <w:rPr>
                <w:rFonts w:ascii="Verdana" w:hAnsi="Verdana"/>
                <w:sz w:val="16"/>
                <w:szCs w:val="16"/>
                <w:lang w:val="en-US"/>
              </w:rPr>
              <w:t xml:space="preserve">ediation referred to in Section II of Article 96 and 97 of the Law is admissible provided that at least thirty calendar days have elapsed from the date of receipt of the document indicated in Section I of </w:t>
            </w:r>
            <w:r w:rsidRPr="00480105">
              <w:rPr>
                <w:rFonts w:ascii="Verdana" w:hAnsi="Verdana"/>
                <w:sz w:val="16"/>
                <w:szCs w:val="16"/>
                <w:lang w:val="en-US"/>
              </w:rPr>
              <w:lastRenderedPageBreak/>
              <w:t>Article 91 of the Law, and it deals with the assumptions indicated in Article 227 of this regulation.</w:t>
            </w:r>
          </w:p>
        </w:tc>
      </w:tr>
      <w:tr w:rsidR="003A38FF" w:rsidRPr="00D83DA2" w14:paraId="7652ECD5" w14:textId="3C044AA3" w:rsidTr="00FB5DAD">
        <w:tc>
          <w:tcPr>
            <w:tcW w:w="4706" w:type="dxa"/>
          </w:tcPr>
          <w:p w14:paraId="37ACAC18"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sz w:val="16"/>
                <w:szCs w:val="16"/>
              </w:rPr>
              <w:lastRenderedPageBreak/>
              <w:t>La Empresa Pública del Estado y las personas permisionarias, así como las personas propietarias o titular, deben externar conjuntamente su conformidad para someterse a la Mediación, para lo cual deben manifestar en su solicitud dicha situación e indicar el supuesto que encuadre dentro de los señalados en el artículo 227 de este reglamento, así como cumplir con lo siguiente:</w:t>
            </w:r>
          </w:p>
        </w:tc>
        <w:tc>
          <w:tcPr>
            <w:tcW w:w="4644" w:type="dxa"/>
          </w:tcPr>
          <w:p w14:paraId="0BB02024" w14:textId="4622D72C" w:rsidR="003A38FF" w:rsidRPr="00D0180E" w:rsidRDefault="003A38FF" w:rsidP="003A38FF">
            <w:pPr>
              <w:pStyle w:val="Texto"/>
              <w:spacing w:line="220" w:lineRule="exact"/>
              <w:ind w:firstLine="0"/>
              <w:rPr>
                <w:rFonts w:ascii="Verdana" w:hAnsi="Verdana"/>
                <w:sz w:val="16"/>
                <w:szCs w:val="16"/>
                <w:lang w:val="en-US"/>
              </w:rPr>
            </w:pPr>
            <w:r w:rsidRPr="00480105">
              <w:rPr>
                <w:rFonts w:ascii="Verdana" w:hAnsi="Verdana"/>
                <w:sz w:val="16"/>
                <w:szCs w:val="16"/>
                <w:lang w:val="en-US"/>
              </w:rPr>
              <w:t xml:space="preserve">The </w:t>
            </w:r>
            <w:r>
              <w:rPr>
                <w:rFonts w:ascii="Verdana" w:hAnsi="Verdana"/>
                <w:sz w:val="16"/>
                <w:szCs w:val="16"/>
                <w:lang w:val="en-US"/>
              </w:rPr>
              <w:t xml:space="preserve">State Public Enterprise </w:t>
            </w:r>
            <w:r w:rsidRPr="00480105">
              <w:rPr>
                <w:rFonts w:ascii="Verdana" w:hAnsi="Verdana"/>
                <w:sz w:val="16"/>
                <w:szCs w:val="16"/>
                <w:lang w:val="en-US"/>
              </w:rPr>
              <w:t xml:space="preserve">and the permit holders, as well as the owners or title holders, must jointly express their agreement to submit to </w:t>
            </w:r>
            <w:r>
              <w:rPr>
                <w:rFonts w:ascii="Verdana" w:hAnsi="Verdana"/>
                <w:sz w:val="16"/>
                <w:szCs w:val="16"/>
                <w:lang w:val="en-US"/>
              </w:rPr>
              <w:t>m</w:t>
            </w:r>
            <w:r w:rsidRPr="00480105">
              <w:rPr>
                <w:rFonts w:ascii="Verdana" w:hAnsi="Verdana"/>
                <w:sz w:val="16"/>
                <w:szCs w:val="16"/>
                <w:lang w:val="en-US"/>
              </w:rPr>
              <w:t>ediation, for which they must state this situation in their application and indicate the situation that falls within those indicated in article 227 of this regulation, as well as comply with the following:</w:t>
            </w:r>
          </w:p>
        </w:tc>
      </w:tr>
      <w:tr w:rsidR="003A38FF" w:rsidRPr="00D83DA2" w14:paraId="566EEABD" w14:textId="7ECDBF25" w:rsidTr="00FB5DAD">
        <w:tc>
          <w:tcPr>
            <w:tcW w:w="4706" w:type="dxa"/>
          </w:tcPr>
          <w:p w14:paraId="66549898"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Entregar el escrito a que se refiere la fracción I del artículo 91 de la Ley;</w:t>
            </w:r>
          </w:p>
        </w:tc>
        <w:tc>
          <w:tcPr>
            <w:tcW w:w="4644" w:type="dxa"/>
          </w:tcPr>
          <w:p w14:paraId="362AE5E1" w14:textId="7EDC22FE" w:rsidR="003A38FF" w:rsidRPr="00D0180E" w:rsidRDefault="003A38FF" w:rsidP="003A38FF">
            <w:pPr>
              <w:pStyle w:val="Texto"/>
              <w:spacing w:line="220" w:lineRule="exact"/>
              <w:ind w:firstLine="0"/>
              <w:rPr>
                <w:rFonts w:ascii="Verdana" w:hAnsi="Verdana"/>
                <w:b/>
                <w:sz w:val="16"/>
                <w:szCs w:val="16"/>
                <w:lang w:val="en-US"/>
              </w:rPr>
            </w:pPr>
            <w:r w:rsidRPr="00480105">
              <w:rPr>
                <w:rFonts w:ascii="Verdana" w:hAnsi="Verdana"/>
                <w:b/>
                <w:sz w:val="16"/>
                <w:szCs w:val="16"/>
                <w:lang w:val="en-US"/>
              </w:rPr>
              <w:t>I</w:t>
            </w:r>
            <w:proofErr w:type="gramStart"/>
            <w:r w:rsidRPr="00480105">
              <w:rPr>
                <w:rFonts w:ascii="Verdana" w:hAnsi="Verdana"/>
                <w:b/>
                <w:sz w:val="16"/>
                <w:szCs w:val="16"/>
                <w:lang w:val="en-US"/>
              </w:rPr>
              <w:t xml:space="preserve">. </w:t>
            </w:r>
            <w:r w:rsidRPr="00480105">
              <w:rPr>
                <w:rFonts w:ascii="Verdana" w:hAnsi="Verdana"/>
                <w:b/>
                <w:sz w:val="16"/>
                <w:szCs w:val="16"/>
                <w:lang w:val="en-US"/>
              </w:rPr>
              <w:tab/>
            </w:r>
            <w:r w:rsidRPr="00480105">
              <w:rPr>
                <w:rFonts w:ascii="Verdana" w:hAnsi="Verdana"/>
                <w:sz w:val="16"/>
                <w:szCs w:val="16"/>
                <w:lang w:val="en-US"/>
              </w:rPr>
              <w:t>Deliver</w:t>
            </w:r>
            <w:proofErr w:type="gramEnd"/>
            <w:r w:rsidRPr="00480105">
              <w:rPr>
                <w:rFonts w:ascii="Verdana" w:hAnsi="Verdana"/>
                <w:sz w:val="16"/>
                <w:szCs w:val="16"/>
                <w:lang w:val="en-US"/>
              </w:rPr>
              <w:t xml:space="preserve"> the document referred to in Section I of Article 91 of the Law;</w:t>
            </w:r>
          </w:p>
        </w:tc>
      </w:tr>
      <w:tr w:rsidR="003A38FF" w:rsidRPr="00D83DA2" w14:paraId="6F37AAD8" w14:textId="26C1B0E5" w:rsidTr="00FB5DAD">
        <w:tc>
          <w:tcPr>
            <w:tcW w:w="4706" w:type="dxa"/>
          </w:tcPr>
          <w:p w14:paraId="78304799"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En caso de haber llevado a cabo la práctica de avalúos se debe agregar copia simple de estos;</w:t>
            </w:r>
          </w:p>
        </w:tc>
        <w:tc>
          <w:tcPr>
            <w:tcW w:w="4644" w:type="dxa"/>
          </w:tcPr>
          <w:p w14:paraId="6FAC17F5" w14:textId="5E375CD6" w:rsidR="003A38FF" w:rsidRPr="00D0180E" w:rsidRDefault="003A38FF" w:rsidP="003A38FF">
            <w:pPr>
              <w:pStyle w:val="Texto"/>
              <w:spacing w:line="220" w:lineRule="exact"/>
              <w:ind w:firstLine="0"/>
              <w:rPr>
                <w:rFonts w:ascii="Verdana" w:hAnsi="Verdana"/>
                <w:b/>
                <w:sz w:val="16"/>
                <w:szCs w:val="16"/>
                <w:lang w:val="en-US"/>
              </w:rPr>
            </w:pPr>
            <w:r w:rsidRPr="00480105">
              <w:rPr>
                <w:rFonts w:ascii="Verdana" w:hAnsi="Verdana"/>
                <w:b/>
                <w:sz w:val="16"/>
                <w:szCs w:val="16"/>
                <w:lang w:val="en-US"/>
              </w:rPr>
              <w:t>II</w:t>
            </w:r>
            <w:proofErr w:type="gramStart"/>
            <w:r w:rsidRPr="00480105">
              <w:rPr>
                <w:rFonts w:ascii="Verdana" w:hAnsi="Verdana"/>
                <w:b/>
                <w:sz w:val="16"/>
                <w:szCs w:val="16"/>
                <w:lang w:val="en-US"/>
              </w:rPr>
              <w:t xml:space="preserve">. </w:t>
            </w:r>
            <w:r w:rsidRPr="00480105">
              <w:rPr>
                <w:rFonts w:ascii="Verdana" w:hAnsi="Verdana"/>
                <w:b/>
                <w:sz w:val="16"/>
                <w:szCs w:val="16"/>
                <w:lang w:val="en-US"/>
              </w:rPr>
              <w:tab/>
            </w:r>
            <w:r w:rsidRPr="00480105">
              <w:rPr>
                <w:rFonts w:ascii="Verdana" w:hAnsi="Verdana"/>
                <w:sz w:val="16"/>
                <w:szCs w:val="16"/>
                <w:lang w:val="en-US"/>
              </w:rPr>
              <w:t>If</w:t>
            </w:r>
            <w:proofErr w:type="gramEnd"/>
            <w:r w:rsidRPr="00480105">
              <w:rPr>
                <w:rFonts w:ascii="Verdana" w:hAnsi="Verdana"/>
                <w:sz w:val="16"/>
                <w:szCs w:val="16"/>
                <w:lang w:val="en-US"/>
              </w:rPr>
              <w:t xml:space="preserve"> appraisals have been carried out, a simple copy of these must be added;</w:t>
            </w:r>
          </w:p>
        </w:tc>
      </w:tr>
      <w:tr w:rsidR="003A38FF" w:rsidRPr="00D83DA2" w14:paraId="77D1F7F8" w14:textId="381FF8E2" w:rsidTr="00FB5DAD">
        <w:tc>
          <w:tcPr>
            <w:tcW w:w="4706" w:type="dxa"/>
          </w:tcPr>
          <w:p w14:paraId="45A220D2"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En caso de no haber llevado a cabo la práctica de avalúos debe de manifestarlo expresamente en su solicitud;</w:t>
            </w:r>
          </w:p>
        </w:tc>
        <w:tc>
          <w:tcPr>
            <w:tcW w:w="4644" w:type="dxa"/>
          </w:tcPr>
          <w:p w14:paraId="3D9BB8B7" w14:textId="3E0647D6" w:rsidR="003A38FF" w:rsidRPr="00D0180E" w:rsidRDefault="003A38FF" w:rsidP="003A38FF">
            <w:pPr>
              <w:pStyle w:val="Texto"/>
              <w:spacing w:line="220" w:lineRule="exact"/>
              <w:ind w:firstLine="0"/>
              <w:rPr>
                <w:rFonts w:ascii="Verdana" w:hAnsi="Verdana"/>
                <w:b/>
                <w:sz w:val="16"/>
                <w:szCs w:val="16"/>
                <w:lang w:val="en-US"/>
              </w:rPr>
            </w:pPr>
            <w:r w:rsidRPr="00480105">
              <w:rPr>
                <w:rFonts w:ascii="Verdana" w:hAnsi="Verdana"/>
                <w:b/>
                <w:sz w:val="16"/>
                <w:szCs w:val="16"/>
                <w:lang w:val="en-US"/>
              </w:rPr>
              <w:t>III</w:t>
            </w:r>
            <w:proofErr w:type="gramStart"/>
            <w:r w:rsidRPr="00480105">
              <w:rPr>
                <w:rFonts w:ascii="Verdana" w:hAnsi="Verdana"/>
                <w:b/>
                <w:sz w:val="16"/>
                <w:szCs w:val="16"/>
                <w:lang w:val="en-US"/>
              </w:rPr>
              <w:t xml:space="preserve">. </w:t>
            </w:r>
            <w:r w:rsidRPr="00480105">
              <w:rPr>
                <w:rFonts w:ascii="Verdana" w:hAnsi="Verdana"/>
                <w:b/>
                <w:sz w:val="16"/>
                <w:szCs w:val="16"/>
                <w:lang w:val="en-US"/>
              </w:rPr>
              <w:tab/>
            </w:r>
            <w:r>
              <w:rPr>
                <w:rFonts w:ascii="Verdana" w:hAnsi="Verdana"/>
                <w:sz w:val="16"/>
                <w:szCs w:val="16"/>
                <w:lang w:val="en-US"/>
              </w:rPr>
              <w:t>If</w:t>
            </w:r>
            <w:proofErr w:type="gramEnd"/>
            <w:r>
              <w:rPr>
                <w:rFonts w:ascii="Verdana" w:hAnsi="Verdana"/>
                <w:sz w:val="16"/>
                <w:szCs w:val="16"/>
                <w:lang w:val="en-US"/>
              </w:rPr>
              <w:t xml:space="preserve"> appraisals have not been carried out, it must be expressly stated in the application;</w:t>
            </w:r>
          </w:p>
        </w:tc>
      </w:tr>
      <w:tr w:rsidR="003A38FF" w:rsidRPr="00D83DA2" w14:paraId="4E814941" w14:textId="1A0A0A51" w:rsidTr="00FB5DAD">
        <w:tc>
          <w:tcPr>
            <w:tcW w:w="4706" w:type="dxa"/>
          </w:tcPr>
          <w:p w14:paraId="4D22E392"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En caso de que la controversia verse sobre la modalidad de contratación, señalar las razones por las cuales no hay acuerdo, y</w:t>
            </w:r>
          </w:p>
        </w:tc>
        <w:tc>
          <w:tcPr>
            <w:tcW w:w="4644" w:type="dxa"/>
          </w:tcPr>
          <w:p w14:paraId="0E3A83FF" w14:textId="25ECD06F" w:rsidR="003A38FF" w:rsidRPr="00D0180E" w:rsidRDefault="003A38FF" w:rsidP="003A38FF">
            <w:pPr>
              <w:pStyle w:val="Texto"/>
              <w:spacing w:line="220" w:lineRule="exact"/>
              <w:ind w:firstLine="0"/>
              <w:rPr>
                <w:rFonts w:ascii="Verdana" w:hAnsi="Verdana"/>
                <w:b/>
                <w:sz w:val="16"/>
                <w:szCs w:val="16"/>
                <w:lang w:val="en-US"/>
              </w:rPr>
            </w:pPr>
            <w:r w:rsidRPr="00480105">
              <w:rPr>
                <w:rFonts w:ascii="Verdana" w:hAnsi="Verdana"/>
                <w:b/>
                <w:sz w:val="16"/>
                <w:szCs w:val="16"/>
                <w:lang w:val="en-US"/>
              </w:rPr>
              <w:t xml:space="preserve">IV. </w:t>
            </w:r>
            <w:r w:rsidRPr="00480105">
              <w:rPr>
                <w:rFonts w:ascii="Verdana" w:hAnsi="Verdana"/>
                <w:b/>
                <w:sz w:val="16"/>
                <w:szCs w:val="16"/>
                <w:lang w:val="en-US"/>
              </w:rPr>
              <w:tab/>
            </w:r>
            <w:r w:rsidRPr="00480105">
              <w:rPr>
                <w:rFonts w:ascii="Verdana" w:hAnsi="Verdana"/>
                <w:sz w:val="16"/>
                <w:szCs w:val="16"/>
                <w:lang w:val="en-US"/>
              </w:rPr>
              <w:t>In the event that the dispute relates to the contracting method, state the reasons why there is no agreement, and</w:t>
            </w:r>
          </w:p>
        </w:tc>
      </w:tr>
      <w:tr w:rsidR="003A38FF" w:rsidRPr="00D83DA2" w14:paraId="5CC7E16B" w14:textId="75E67472" w:rsidTr="00FB5DAD">
        <w:tc>
          <w:tcPr>
            <w:tcW w:w="4706" w:type="dxa"/>
          </w:tcPr>
          <w:p w14:paraId="50E42E0F"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Manifestar el lugar en donde se propone celebrar las reuniones de Mediación, así como los datos de contacto de cada una de las partes.</w:t>
            </w:r>
          </w:p>
        </w:tc>
        <w:tc>
          <w:tcPr>
            <w:tcW w:w="4644" w:type="dxa"/>
          </w:tcPr>
          <w:p w14:paraId="250E3D11" w14:textId="752D9299" w:rsidR="003A38FF" w:rsidRPr="00D0180E" w:rsidRDefault="003A38FF" w:rsidP="003A38FF">
            <w:pPr>
              <w:pStyle w:val="Texto"/>
              <w:spacing w:line="220" w:lineRule="exact"/>
              <w:ind w:firstLine="0"/>
              <w:rPr>
                <w:rFonts w:ascii="Verdana" w:hAnsi="Verdana"/>
                <w:b/>
                <w:sz w:val="16"/>
                <w:szCs w:val="16"/>
                <w:lang w:val="en-US"/>
              </w:rPr>
            </w:pPr>
            <w:r w:rsidRPr="00A47F9E">
              <w:rPr>
                <w:rFonts w:ascii="Verdana" w:hAnsi="Verdana"/>
                <w:b/>
                <w:sz w:val="16"/>
                <w:szCs w:val="16"/>
                <w:lang w:val="en-US"/>
              </w:rPr>
              <w:t>V</w:t>
            </w:r>
            <w:proofErr w:type="gramStart"/>
            <w:r w:rsidRPr="00A47F9E">
              <w:rPr>
                <w:rFonts w:ascii="Verdana" w:hAnsi="Verdana"/>
                <w:b/>
                <w:sz w:val="16"/>
                <w:szCs w:val="16"/>
                <w:lang w:val="en-US"/>
              </w:rPr>
              <w:t xml:space="preserve">. </w:t>
            </w:r>
            <w:r w:rsidRPr="00A47F9E">
              <w:rPr>
                <w:rFonts w:ascii="Verdana" w:hAnsi="Verdana"/>
                <w:b/>
                <w:sz w:val="16"/>
                <w:szCs w:val="16"/>
                <w:lang w:val="en-US"/>
              </w:rPr>
              <w:tab/>
            </w:r>
            <w:r w:rsidRPr="00A47F9E">
              <w:rPr>
                <w:rFonts w:ascii="Verdana" w:hAnsi="Verdana"/>
                <w:sz w:val="16"/>
                <w:szCs w:val="16"/>
                <w:lang w:val="en-US"/>
              </w:rPr>
              <w:t>State</w:t>
            </w:r>
            <w:proofErr w:type="gramEnd"/>
            <w:r w:rsidRPr="00A47F9E">
              <w:rPr>
                <w:rFonts w:ascii="Verdana" w:hAnsi="Verdana"/>
                <w:sz w:val="16"/>
                <w:szCs w:val="16"/>
                <w:lang w:val="en-US"/>
              </w:rPr>
              <w:t xml:space="preserve"> the place where the </w:t>
            </w:r>
            <w:r>
              <w:rPr>
                <w:rFonts w:ascii="Verdana" w:hAnsi="Verdana"/>
                <w:sz w:val="16"/>
                <w:szCs w:val="16"/>
                <w:lang w:val="en-US"/>
              </w:rPr>
              <w:t>m</w:t>
            </w:r>
            <w:r w:rsidRPr="00A47F9E">
              <w:rPr>
                <w:rFonts w:ascii="Verdana" w:hAnsi="Verdana"/>
                <w:sz w:val="16"/>
                <w:szCs w:val="16"/>
                <w:lang w:val="en-US"/>
              </w:rPr>
              <w:t>ediation meetings are proposed to be held, as well as the contact information of each of the parties.</w:t>
            </w:r>
          </w:p>
        </w:tc>
      </w:tr>
      <w:tr w:rsidR="003A38FF" w:rsidRPr="00D83DA2" w14:paraId="0B860985" w14:textId="2E496E33" w:rsidTr="00FB5DAD">
        <w:tc>
          <w:tcPr>
            <w:tcW w:w="4706" w:type="dxa"/>
          </w:tcPr>
          <w:p w14:paraId="7B1FBC41"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sz w:val="16"/>
                <w:szCs w:val="16"/>
              </w:rPr>
              <w:t>La Empresa Pública del Estado y las personas permisionarias, así como las personas propietarias o titulares del predio o terreno, pueden acudir en primera instancia a la Secretaría de Desarrollo Agrario, Territorial y Urbano para que inicie la Mediación, si dentro de los cuarenta días naturales siguientes a la solicitud, esta no inicia el procedimiento, pueden solicitar a la Secretaría la realización de la Mediación con el apoyo de las personas Testigos Sociales.</w:t>
            </w:r>
          </w:p>
        </w:tc>
        <w:tc>
          <w:tcPr>
            <w:tcW w:w="4644" w:type="dxa"/>
          </w:tcPr>
          <w:p w14:paraId="521556C5" w14:textId="6DC9F04B" w:rsidR="003A38FF" w:rsidRPr="00D0180E" w:rsidRDefault="003A38FF" w:rsidP="003A38FF">
            <w:pPr>
              <w:pStyle w:val="Texto"/>
              <w:spacing w:line="220" w:lineRule="exact"/>
              <w:ind w:firstLine="0"/>
              <w:rPr>
                <w:rFonts w:ascii="Verdana" w:hAnsi="Verdana"/>
                <w:sz w:val="16"/>
                <w:szCs w:val="16"/>
                <w:lang w:val="en-US"/>
              </w:rPr>
            </w:pPr>
            <w:r w:rsidRPr="00A47F9E">
              <w:rPr>
                <w:rFonts w:ascii="Verdana" w:hAnsi="Verdana"/>
                <w:sz w:val="16"/>
                <w:szCs w:val="16"/>
                <w:lang w:val="en-US"/>
              </w:rPr>
              <w:t xml:space="preserve">The </w:t>
            </w:r>
            <w:r>
              <w:rPr>
                <w:rFonts w:ascii="Verdana" w:hAnsi="Verdana"/>
                <w:sz w:val="16"/>
                <w:szCs w:val="16"/>
                <w:lang w:val="en-US"/>
              </w:rPr>
              <w:t xml:space="preserve">State Public Enterprise </w:t>
            </w:r>
            <w:r w:rsidRPr="00A47F9E">
              <w:rPr>
                <w:rFonts w:ascii="Verdana" w:hAnsi="Verdana"/>
                <w:sz w:val="16"/>
                <w:szCs w:val="16"/>
                <w:lang w:val="en-US"/>
              </w:rPr>
              <w:t xml:space="preserve">and the permit holders, as well as the owners or title holders of the property or land, may first go to the Secretary of Agrarian, Territorial and Urban Development to initiate </w:t>
            </w:r>
            <w:r>
              <w:rPr>
                <w:rFonts w:ascii="Verdana" w:hAnsi="Verdana"/>
                <w:sz w:val="16"/>
                <w:szCs w:val="16"/>
                <w:lang w:val="en-US"/>
              </w:rPr>
              <w:t>m</w:t>
            </w:r>
            <w:r w:rsidRPr="00A47F9E">
              <w:rPr>
                <w:rFonts w:ascii="Verdana" w:hAnsi="Verdana"/>
                <w:sz w:val="16"/>
                <w:szCs w:val="16"/>
                <w:lang w:val="en-US"/>
              </w:rPr>
              <w:t>ediation. If the procedure is not initiated within forty calendar days following the request, they may request the Secretary to carry out mediation with the support of social witnesses.</w:t>
            </w:r>
          </w:p>
        </w:tc>
      </w:tr>
      <w:tr w:rsidR="003A38FF" w:rsidRPr="00D83DA2" w14:paraId="0629C749" w14:textId="17AE9EE8" w:rsidTr="00FB5DAD">
        <w:tc>
          <w:tcPr>
            <w:tcW w:w="4706" w:type="dxa"/>
          </w:tcPr>
          <w:p w14:paraId="3027E931" w14:textId="77777777" w:rsidR="003A38FF" w:rsidRPr="00D0180E" w:rsidRDefault="003A38FF" w:rsidP="003A38FF">
            <w:pPr>
              <w:pStyle w:val="Texto"/>
              <w:spacing w:after="80" w:line="217" w:lineRule="exact"/>
              <w:ind w:firstLine="0"/>
              <w:rPr>
                <w:rFonts w:ascii="Verdana" w:hAnsi="Verdana"/>
                <w:sz w:val="16"/>
                <w:szCs w:val="16"/>
              </w:rPr>
            </w:pPr>
            <w:r w:rsidRPr="00D0180E">
              <w:rPr>
                <w:rFonts w:ascii="Verdana" w:hAnsi="Verdana"/>
                <w:sz w:val="16"/>
                <w:szCs w:val="16"/>
              </w:rPr>
              <w:t>Para solicitar la Mediación a la Secretaría, la Empresa Pública del Estado o las personas permisionarias, así como las personas propietarias o titulares del terreno o predio, deben presentar, además de los requisitos señalados en el párrafo segundo de este artículo, el acuse de la solicitud que hayan presentado a la Secretaría de Desarrollo Agrario, Territorial y Urbano, a efecto de que se verifique que han transcurrido los cuarenta días naturales a que se refiere el párrafo anterior.</w:t>
            </w:r>
          </w:p>
        </w:tc>
        <w:tc>
          <w:tcPr>
            <w:tcW w:w="4644" w:type="dxa"/>
          </w:tcPr>
          <w:p w14:paraId="2112EDDE" w14:textId="54BF9F1A" w:rsidR="003A38FF" w:rsidRPr="00D0180E" w:rsidRDefault="003A38FF" w:rsidP="003A38FF">
            <w:pPr>
              <w:pStyle w:val="Texto"/>
              <w:spacing w:after="80" w:line="217" w:lineRule="exact"/>
              <w:ind w:firstLine="0"/>
              <w:rPr>
                <w:rFonts w:ascii="Verdana" w:hAnsi="Verdana"/>
                <w:sz w:val="16"/>
                <w:szCs w:val="16"/>
                <w:lang w:val="en-US"/>
              </w:rPr>
            </w:pPr>
            <w:r w:rsidRPr="00A47F9E">
              <w:rPr>
                <w:rFonts w:ascii="Verdana" w:hAnsi="Verdana"/>
                <w:sz w:val="16"/>
                <w:szCs w:val="16"/>
                <w:lang w:val="en-US"/>
              </w:rPr>
              <w:t xml:space="preserve">To request </w:t>
            </w:r>
            <w:r>
              <w:rPr>
                <w:rFonts w:ascii="Verdana" w:hAnsi="Verdana"/>
                <w:sz w:val="16"/>
                <w:szCs w:val="16"/>
                <w:lang w:val="en-US"/>
              </w:rPr>
              <w:t>m</w:t>
            </w:r>
            <w:r w:rsidRPr="00A47F9E">
              <w:rPr>
                <w:rFonts w:ascii="Verdana" w:hAnsi="Verdana"/>
                <w:sz w:val="16"/>
                <w:szCs w:val="16"/>
                <w:lang w:val="en-US"/>
              </w:rPr>
              <w:t xml:space="preserve">ediation from the Secretary, the </w:t>
            </w:r>
            <w:r>
              <w:rPr>
                <w:rFonts w:ascii="Verdana" w:hAnsi="Verdana"/>
                <w:sz w:val="16"/>
                <w:szCs w:val="16"/>
                <w:lang w:val="en-US"/>
              </w:rPr>
              <w:t xml:space="preserve">State Public Enterprise </w:t>
            </w:r>
            <w:r w:rsidRPr="00A47F9E">
              <w:rPr>
                <w:rFonts w:ascii="Verdana" w:hAnsi="Verdana"/>
                <w:sz w:val="16"/>
                <w:szCs w:val="16"/>
                <w:lang w:val="en-US"/>
              </w:rPr>
              <w:t xml:space="preserve"> or the permit holders, as well as the owners or title holders of the land or property, must present, in addition to the requirements indicated in the second paragraph of this article, the acknowledgment of the request they have submitted to the Secretary of Agrarian, Territorial and Urban Development, in order to verify that the forty calendar days referred to in the </w:t>
            </w:r>
            <w:r>
              <w:rPr>
                <w:rFonts w:ascii="Verdana" w:hAnsi="Verdana"/>
                <w:sz w:val="16"/>
                <w:szCs w:val="16"/>
                <w:lang w:val="en-US"/>
              </w:rPr>
              <w:t>preceding paragraph</w:t>
            </w:r>
            <w:r w:rsidRPr="00A47F9E">
              <w:rPr>
                <w:rFonts w:ascii="Verdana" w:hAnsi="Verdana"/>
                <w:sz w:val="16"/>
                <w:szCs w:val="16"/>
                <w:lang w:val="en-US"/>
              </w:rPr>
              <w:t xml:space="preserve"> have elapsed.</w:t>
            </w:r>
          </w:p>
        </w:tc>
      </w:tr>
      <w:tr w:rsidR="003A38FF" w:rsidRPr="00D83DA2" w14:paraId="1A1E5C0E" w14:textId="6E3C3157" w:rsidTr="00FB5DAD">
        <w:tc>
          <w:tcPr>
            <w:tcW w:w="4706" w:type="dxa"/>
          </w:tcPr>
          <w:p w14:paraId="0BCEDDC4" w14:textId="77777777" w:rsidR="003A38FF" w:rsidRPr="00D0180E" w:rsidRDefault="003A38FF" w:rsidP="003A38FF">
            <w:pPr>
              <w:pStyle w:val="Texto"/>
              <w:spacing w:after="80" w:line="217" w:lineRule="exact"/>
              <w:ind w:firstLine="0"/>
              <w:rPr>
                <w:rFonts w:ascii="Verdana" w:hAnsi="Verdana"/>
                <w:sz w:val="16"/>
                <w:szCs w:val="16"/>
              </w:rPr>
            </w:pPr>
            <w:r w:rsidRPr="00D0180E">
              <w:rPr>
                <w:rFonts w:ascii="Verdana" w:hAnsi="Verdana"/>
                <w:sz w:val="16"/>
                <w:szCs w:val="16"/>
              </w:rPr>
              <w:t>Si la Secretaría no recibe la solicitud para realizar la Mediación con el apoyo de las personas Testigos Sociales, dentro de los diez días naturales siguientes al plazo a que se refiere el tercer párrafo de este artículo, se debe entender que no se ha requerido la Mediación.</w:t>
            </w:r>
          </w:p>
        </w:tc>
        <w:tc>
          <w:tcPr>
            <w:tcW w:w="4644" w:type="dxa"/>
          </w:tcPr>
          <w:p w14:paraId="163DD2B1" w14:textId="0C4F0647" w:rsidR="003A38FF" w:rsidRPr="00D0180E" w:rsidRDefault="003A38FF" w:rsidP="003A38FF">
            <w:pPr>
              <w:pStyle w:val="Texto"/>
              <w:spacing w:after="80" w:line="217" w:lineRule="exact"/>
              <w:ind w:firstLine="0"/>
              <w:rPr>
                <w:rFonts w:ascii="Verdana" w:hAnsi="Verdana"/>
                <w:sz w:val="16"/>
                <w:szCs w:val="16"/>
                <w:lang w:val="en-US"/>
              </w:rPr>
            </w:pPr>
            <w:r w:rsidRPr="00A47F9E">
              <w:rPr>
                <w:rFonts w:ascii="Verdana" w:hAnsi="Verdana"/>
                <w:sz w:val="16"/>
                <w:szCs w:val="16"/>
                <w:lang w:val="en-US"/>
              </w:rPr>
              <w:t xml:space="preserve">If the Secretary does not receive the request to conduct </w:t>
            </w:r>
            <w:r>
              <w:rPr>
                <w:rFonts w:ascii="Verdana" w:hAnsi="Verdana"/>
                <w:sz w:val="16"/>
                <w:szCs w:val="16"/>
                <w:lang w:val="en-US"/>
              </w:rPr>
              <w:t>m</w:t>
            </w:r>
            <w:r w:rsidRPr="00A47F9E">
              <w:rPr>
                <w:rFonts w:ascii="Verdana" w:hAnsi="Verdana"/>
                <w:sz w:val="16"/>
                <w:szCs w:val="16"/>
                <w:lang w:val="en-US"/>
              </w:rPr>
              <w:t xml:space="preserve">ediation with the support of social witnesses within ten calendar days following the deadline referred to in the third paragraph of this article, it shall be understood that </w:t>
            </w:r>
            <w:r>
              <w:rPr>
                <w:rFonts w:ascii="Verdana" w:hAnsi="Verdana"/>
                <w:sz w:val="16"/>
                <w:szCs w:val="16"/>
                <w:lang w:val="en-US"/>
              </w:rPr>
              <w:t>m</w:t>
            </w:r>
            <w:r w:rsidRPr="00A47F9E">
              <w:rPr>
                <w:rFonts w:ascii="Verdana" w:hAnsi="Verdana"/>
                <w:sz w:val="16"/>
                <w:szCs w:val="16"/>
                <w:lang w:val="en-US"/>
              </w:rPr>
              <w:t>ediation has not been requested.</w:t>
            </w:r>
          </w:p>
        </w:tc>
      </w:tr>
      <w:tr w:rsidR="003A38FF" w:rsidRPr="00D83DA2" w14:paraId="358C0FF2" w14:textId="5CC87BFC" w:rsidTr="00FB5DAD">
        <w:tc>
          <w:tcPr>
            <w:tcW w:w="4706" w:type="dxa"/>
          </w:tcPr>
          <w:p w14:paraId="19BE533D" w14:textId="77777777" w:rsidR="003A38FF" w:rsidRPr="00D0180E" w:rsidRDefault="003A38FF" w:rsidP="003A38FF">
            <w:pPr>
              <w:pStyle w:val="Texto"/>
              <w:spacing w:after="80" w:line="217" w:lineRule="exact"/>
              <w:ind w:firstLine="0"/>
              <w:rPr>
                <w:rFonts w:ascii="Verdana" w:hAnsi="Verdana"/>
                <w:sz w:val="16"/>
                <w:szCs w:val="16"/>
              </w:rPr>
            </w:pPr>
            <w:r w:rsidRPr="00D0180E">
              <w:rPr>
                <w:rFonts w:ascii="Verdana" w:hAnsi="Verdana"/>
                <w:b/>
                <w:sz w:val="16"/>
                <w:szCs w:val="16"/>
              </w:rPr>
              <w:t>Artículo 231.</w:t>
            </w:r>
            <w:r w:rsidRPr="00D0180E">
              <w:rPr>
                <w:rFonts w:ascii="Verdana" w:hAnsi="Verdana"/>
                <w:sz w:val="16"/>
                <w:szCs w:val="16"/>
              </w:rPr>
              <w:t xml:space="preserve"> En caso de que la Empresa Pública del Estado o las personas permisionarias y propietarias o titulares del predio o terreno, no hayan llevado a cabo la práctica de avalúos, la Secretaría de Desarrollo Agrario, Territorial y Urbano o la Secretaría deben solicitar al Instituto de Administración y Avalúos de </w:t>
            </w:r>
            <w:r w:rsidRPr="00D0180E">
              <w:rPr>
                <w:rFonts w:ascii="Verdana" w:hAnsi="Verdana"/>
                <w:sz w:val="16"/>
                <w:szCs w:val="16"/>
              </w:rPr>
              <w:lastRenderedPageBreak/>
              <w:t xml:space="preserve">Bienes Nacionales que designe una </w:t>
            </w:r>
            <w:proofErr w:type="gramStart"/>
            <w:r w:rsidRPr="00D0180E">
              <w:rPr>
                <w:rFonts w:ascii="Verdana" w:hAnsi="Verdana"/>
                <w:sz w:val="16"/>
                <w:szCs w:val="16"/>
              </w:rPr>
              <w:t>persona perito</w:t>
            </w:r>
            <w:proofErr w:type="gramEnd"/>
            <w:r w:rsidRPr="00D0180E">
              <w:rPr>
                <w:rFonts w:ascii="Verdana" w:hAnsi="Verdana"/>
                <w:sz w:val="16"/>
                <w:szCs w:val="16"/>
              </w:rPr>
              <w:t xml:space="preserve"> del padrón a fin de que realice la práctica de un avalúo.</w:t>
            </w:r>
          </w:p>
        </w:tc>
        <w:tc>
          <w:tcPr>
            <w:tcW w:w="4644" w:type="dxa"/>
          </w:tcPr>
          <w:p w14:paraId="1249486B" w14:textId="10CAC937" w:rsidR="003A38FF" w:rsidRPr="00D0180E" w:rsidRDefault="003A38FF" w:rsidP="003A38FF">
            <w:pPr>
              <w:pStyle w:val="Texto"/>
              <w:spacing w:after="80" w:line="217" w:lineRule="exact"/>
              <w:ind w:firstLine="0"/>
              <w:rPr>
                <w:rFonts w:ascii="Verdana" w:hAnsi="Verdana"/>
                <w:b/>
                <w:sz w:val="16"/>
                <w:szCs w:val="16"/>
                <w:lang w:val="en-US"/>
              </w:rPr>
            </w:pPr>
            <w:r w:rsidRPr="00A47F9E">
              <w:rPr>
                <w:rFonts w:ascii="Verdana" w:hAnsi="Verdana"/>
                <w:b/>
                <w:sz w:val="16"/>
                <w:szCs w:val="16"/>
                <w:lang w:val="en-US"/>
              </w:rPr>
              <w:lastRenderedPageBreak/>
              <w:t xml:space="preserve">Article 231. </w:t>
            </w:r>
            <w:r w:rsidRPr="00A47F9E">
              <w:rPr>
                <w:rFonts w:ascii="Verdana" w:hAnsi="Verdana"/>
                <w:sz w:val="16"/>
                <w:szCs w:val="16"/>
                <w:lang w:val="en-US"/>
              </w:rPr>
              <w:t xml:space="preserve">In the event that the </w:t>
            </w:r>
            <w:r>
              <w:rPr>
                <w:rFonts w:ascii="Verdana" w:hAnsi="Verdana"/>
                <w:sz w:val="16"/>
                <w:szCs w:val="16"/>
                <w:lang w:val="en-US"/>
              </w:rPr>
              <w:t xml:space="preserve">State Public Enterprise </w:t>
            </w:r>
            <w:r w:rsidRPr="00A47F9E">
              <w:rPr>
                <w:rFonts w:ascii="Verdana" w:hAnsi="Verdana"/>
                <w:sz w:val="16"/>
                <w:szCs w:val="16"/>
                <w:lang w:val="en-US"/>
              </w:rPr>
              <w:t xml:space="preserve"> or the permit holders and owners or title holders of the property or land have not carried out the appraisal, the Secretary of Agrarian, Territorial and Urban Development or the Secretary must request the Institute of Administration and Appraisal of National </w:t>
            </w:r>
            <w:r w:rsidRPr="00A47F9E">
              <w:rPr>
                <w:rFonts w:ascii="Verdana" w:hAnsi="Verdana"/>
                <w:sz w:val="16"/>
                <w:szCs w:val="16"/>
                <w:lang w:val="en-US"/>
              </w:rPr>
              <w:lastRenderedPageBreak/>
              <w:t>Assets to appoint an expert from the registry in order to carry out an appraisal.</w:t>
            </w:r>
          </w:p>
        </w:tc>
      </w:tr>
      <w:tr w:rsidR="003A38FF" w:rsidRPr="00D83DA2" w14:paraId="67E45E98" w14:textId="206BEA7E" w:rsidTr="00FB5DAD">
        <w:tc>
          <w:tcPr>
            <w:tcW w:w="4706" w:type="dxa"/>
          </w:tcPr>
          <w:p w14:paraId="594C8703" w14:textId="77777777" w:rsidR="003A38FF" w:rsidRPr="00D0180E" w:rsidRDefault="003A38FF" w:rsidP="003A38FF">
            <w:pPr>
              <w:pStyle w:val="Texto"/>
              <w:spacing w:after="80" w:line="217" w:lineRule="exact"/>
              <w:ind w:firstLine="0"/>
              <w:rPr>
                <w:rFonts w:ascii="Verdana" w:hAnsi="Verdana"/>
                <w:sz w:val="16"/>
                <w:szCs w:val="16"/>
              </w:rPr>
            </w:pPr>
            <w:r w:rsidRPr="00D0180E">
              <w:rPr>
                <w:rFonts w:ascii="Verdana" w:hAnsi="Verdana"/>
                <w:sz w:val="16"/>
                <w:szCs w:val="16"/>
              </w:rPr>
              <w:lastRenderedPageBreak/>
              <w:t>En caso de que el valor de los inmuebles determinados en los avalúos a que se refiere el artículo 97, fracción II, inciso a), numeral 3 de la Ley, tengan una diferencia superior al quince por ciento, la Secretaría de Desarrollo Agrario, Territorial y Urbano o la Secretaría deben solicitar al referido Instituto o a una persona perito a que elabore un tercer avalúo.</w:t>
            </w:r>
          </w:p>
        </w:tc>
        <w:tc>
          <w:tcPr>
            <w:tcW w:w="4644" w:type="dxa"/>
          </w:tcPr>
          <w:p w14:paraId="670FB166" w14:textId="12857E6E" w:rsidR="003A38FF" w:rsidRPr="00D0180E" w:rsidRDefault="003A38FF" w:rsidP="003A38FF">
            <w:pPr>
              <w:pStyle w:val="Texto"/>
              <w:spacing w:after="80" w:line="217" w:lineRule="exact"/>
              <w:ind w:firstLine="0"/>
              <w:rPr>
                <w:rFonts w:ascii="Verdana" w:hAnsi="Verdana"/>
                <w:sz w:val="16"/>
                <w:szCs w:val="16"/>
                <w:lang w:val="en-US"/>
              </w:rPr>
            </w:pPr>
            <w:r w:rsidRPr="00A47F9E">
              <w:rPr>
                <w:rFonts w:ascii="Verdana" w:hAnsi="Verdana"/>
                <w:sz w:val="16"/>
                <w:szCs w:val="16"/>
                <w:lang w:val="en-US"/>
              </w:rPr>
              <w:t xml:space="preserve">In the event that the value of the properties determined in the appraisals referred to in article 97, section II, subsection a), numeral 3 of the Law, have a difference greater than fifteen percent, the Secretary of Agrarian, Territorial and Urban Development or the Secretary must request the aforementioned </w:t>
            </w:r>
            <w:r>
              <w:rPr>
                <w:rFonts w:ascii="Verdana" w:hAnsi="Verdana"/>
                <w:sz w:val="16"/>
                <w:szCs w:val="16"/>
                <w:lang w:val="en-US"/>
              </w:rPr>
              <w:t>i</w:t>
            </w:r>
            <w:r w:rsidRPr="00A47F9E">
              <w:rPr>
                <w:rFonts w:ascii="Verdana" w:hAnsi="Verdana"/>
                <w:sz w:val="16"/>
                <w:szCs w:val="16"/>
                <w:lang w:val="en-US"/>
              </w:rPr>
              <w:t>nstitute or an expert to prepare a third appraisal.</w:t>
            </w:r>
          </w:p>
        </w:tc>
      </w:tr>
      <w:tr w:rsidR="003A38FF" w:rsidRPr="00D83DA2" w14:paraId="14151D03" w14:textId="601576C9" w:rsidTr="00FB5DAD">
        <w:tc>
          <w:tcPr>
            <w:tcW w:w="4706" w:type="dxa"/>
          </w:tcPr>
          <w:p w14:paraId="3F0DEBA0" w14:textId="77777777" w:rsidR="003A38FF" w:rsidRPr="00D0180E" w:rsidRDefault="003A38FF" w:rsidP="003A38FF">
            <w:pPr>
              <w:pStyle w:val="Texto"/>
              <w:spacing w:after="80" w:line="217" w:lineRule="exact"/>
              <w:ind w:firstLine="0"/>
              <w:rPr>
                <w:rFonts w:ascii="Verdana" w:hAnsi="Verdana"/>
                <w:sz w:val="16"/>
                <w:szCs w:val="16"/>
              </w:rPr>
            </w:pPr>
            <w:r w:rsidRPr="00D0180E">
              <w:rPr>
                <w:rFonts w:ascii="Verdana" w:hAnsi="Verdana"/>
                <w:sz w:val="16"/>
                <w:szCs w:val="16"/>
              </w:rPr>
              <w:t>Una vez que el Instituto de Administración y Avalúos de Bienes Nacionales entregue el avalúo a la Empresa Pública del Estado o a las personas permisionarias, estas deben informarlo a la Secretaría de Desarrollo Agrario, Territorial y Urbano o a la Secretaría, a fin de que forme parte de los documentos que deben ser analizados por las personas mediadoras o Testigos Sociales.</w:t>
            </w:r>
          </w:p>
        </w:tc>
        <w:tc>
          <w:tcPr>
            <w:tcW w:w="4644" w:type="dxa"/>
          </w:tcPr>
          <w:p w14:paraId="327AE9F7" w14:textId="34911777" w:rsidR="003A38FF" w:rsidRPr="00D0180E" w:rsidRDefault="003A38FF" w:rsidP="003A38FF">
            <w:pPr>
              <w:pStyle w:val="Texto"/>
              <w:spacing w:after="80" w:line="217" w:lineRule="exact"/>
              <w:ind w:firstLine="0"/>
              <w:rPr>
                <w:rFonts w:ascii="Verdana" w:hAnsi="Verdana"/>
                <w:sz w:val="16"/>
                <w:szCs w:val="16"/>
                <w:lang w:val="en-US"/>
              </w:rPr>
            </w:pPr>
            <w:r w:rsidRPr="00A47F9E">
              <w:rPr>
                <w:rFonts w:ascii="Verdana" w:hAnsi="Verdana"/>
                <w:sz w:val="16"/>
                <w:szCs w:val="16"/>
                <w:lang w:val="en-US"/>
              </w:rPr>
              <w:t xml:space="preserve">Once the Institute for Administration and Appraisal of National Assets delivers the appraisal to the </w:t>
            </w:r>
            <w:r>
              <w:rPr>
                <w:rFonts w:ascii="Verdana" w:hAnsi="Verdana"/>
                <w:sz w:val="16"/>
                <w:szCs w:val="16"/>
                <w:lang w:val="en-US"/>
              </w:rPr>
              <w:t xml:space="preserve">State Public Enterprise </w:t>
            </w:r>
            <w:r w:rsidRPr="00A47F9E">
              <w:rPr>
                <w:rFonts w:ascii="Verdana" w:hAnsi="Verdana"/>
                <w:sz w:val="16"/>
                <w:szCs w:val="16"/>
                <w:lang w:val="en-US"/>
              </w:rPr>
              <w:t>or the permit holders, they must inform the Secretary of Agrarian, Territorial and Urban Development or the Secretary, so that it may be part of the documents that must be analyzed by the mediators or social witnesses.</w:t>
            </w:r>
          </w:p>
        </w:tc>
      </w:tr>
      <w:tr w:rsidR="003A38FF" w:rsidRPr="00D83DA2" w14:paraId="63CBB9D7" w14:textId="306E869E" w:rsidTr="00FB5DAD">
        <w:tc>
          <w:tcPr>
            <w:tcW w:w="4706" w:type="dxa"/>
          </w:tcPr>
          <w:p w14:paraId="0906C54C" w14:textId="77777777" w:rsidR="003A38FF" w:rsidRPr="00D0180E" w:rsidRDefault="003A38FF" w:rsidP="003A38FF">
            <w:pPr>
              <w:pStyle w:val="Texto"/>
              <w:spacing w:after="80" w:line="217" w:lineRule="exact"/>
              <w:ind w:firstLine="0"/>
              <w:rPr>
                <w:rFonts w:ascii="Verdana" w:hAnsi="Verdana"/>
                <w:sz w:val="16"/>
                <w:szCs w:val="16"/>
              </w:rPr>
            </w:pPr>
            <w:r w:rsidRPr="00D0180E">
              <w:rPr>
                <w:rFonts w:ascii="Verdana" w:hAnsi="Verdana"/>
                <w:b/>
                <w:sz w:val="16"/>
                <w:szCs w:val="16"/>
              </w:rPr>
              <w:t xml:space="preserve">Artículo 232. </w:t>
            </w:r>
            <w:r w:rsidRPr="00D0180E">
              <w:rPr>
                <w:rFonts w:ascii="Verdana" w:hAnsi="Verdana"/>
                <w:sz w:val="16"/>
                <w:szCs w:val="16"/>
              </w:rPr>
              <w:t xml:space="preserve">Para efectos de lo previsto en el artículo 94 de la Ley, el padrón corresponde al Padrón Nacional de Peritos a cargo del Instituto de Administración y Avalúos de Bienes Nacionales, el cual se rige por la normatividad aplicable, por lo que las personas interesadas en formar parte del </w:t>
            </w:r>
            <w:proofErr w:type="gramStart"/>
            <w:r w:rsidRPr="00D0180E">
              <w:rPr>
                <w:rFonts w:ascii="Verdana" w:hAnsi="Verdana"/>
                <w:sz w:val="16"/>
                <w:szCs w:val="16"/>
              </w:rPr>
              <w:t>mismo,</w:t>
            </w:r>
            <w:proofErr w:type="gramEnd"/>
            <w:r w:rsidRPr="00D0180E">
              <w:rPr>
                <w:rFonts w:ascii="Verdana" w:hAnsi="Verdana"/>
                <w:sz w:val="16"/>
                <w:szCs w:val="16"/>
              </w:rPr>
              <w:t xml:space="preserve"> deben sujetarse a lo previsto en dicha normativa.</w:t>
            </w:r>
          </w:p>
        </w:tc>
        <w:tc>
          <w:tcPr>
            <w:tcW w:w="4644" w:type="dxa"/>
          </w:tcPr>
          <w:p w14:paraId="1B2F25BB" w14:textId="031B1F99" w:rsidR="003A38FF" w:rsidRPr="00D0180E" w:rsidRDefault="003A38FF" w:rsidP="003A38FF">
            <w:pPr>
              <w:pStyle w:val="Texto"/>
              <w:spacing w:after="80" w:line="217" w:lineRule="exact"/>
              <w:ind w:firstLine="0"/>
              <w:rPr>
                <w:rFonts w:ascii="Verdana" w:hAnsi="Verdana"/>
                <w:b/>
                <w:sz w:val="16"/>
                <w:szCs w:val="16"/>
                <w:lang w:val="en-US"/>
              </w:rPr>
            </w:pPr>
            <w:r w:rsidRPr="00A47F9E">
              <w:rPr>
                <w:rFonts w:ascii="Verdana" w:hAnsi="Verdana"/>
                <w:b/>
                <w:sz w:val="16"/>
                <w:szCs w:val="16"/>
                <w:lang w:val="en-US"/>
              </w:rPr>
              <w:t xml:space="preserve">Article 232. </w:t>
            </w:r>
            <w:r w:rsidRPr="00A47F9E">
              <w:rPr>
                <w:rFonts w:ascii="Verdana" w:hAnsi="Verdana"/>
                <w:sz w:val="16"/>
                <w:szCs w:val="16"/>
                <w:lang w:val="en-US"/>
              </w:rPr>
              <w:t xml:space="preserve">For the purposes of Article 94 of the Law, the registry corresponds to the National Registry of Experts managed by the Institute for the Administration and Appraisal of National Assets, which is governed by the applicable legislation. Therefore, </w:t>
            </w:r>
            <w:proofErr w:type="gramStart"/>
            <w:r w:rsidRPr="00A47F9E">
              <w:rPr>
                <w:rFonts w:ascii="Verdana" w:hAnsi="Verdana"/>
                <w:sz w:val="16"/>
                <w:szCs w:val="16"/>
                <w:lang w:val="en-US"/>
              </w:rPr>
              <w:t>persons</w:t>
            </w:r>
            <w:proofErr w:type="gramEnd"/>
            <w:r w:rsidRPr="00A47F9E">
              <w:rPr>
                <w:rFonts w:ascii="Verdana" w:hAnsi="Verdana"/>
                <w:sz w:val="16"/>
                <w:szCs w:val="16"/>
                <w:lang w:val="en-US"/>
              </w:rPr>
              <w:t xml:space="preserve"> interested in becoming part of it must comply with the provisions of said </w:t>
            </w:r>
            <w:r>
              <w:rPr>
                <w:rFonts w:ascii="Verdana" w:hAnsi="Verdana"/>
                <w:sz w:val="16"/>
                <w:szCs w:val="16"/>
                <w:lang w:val="en-US"/>
              </w:rPr>
              <w:t>r</w:t>
            </w:r>
            <w:r w:rsidRPr="00A47F9E">
              <w:rPr>
                <w:rFonts w:ascii="Verdana" w:hAnsi="Verdana"/>
                <w:sz w:val="16"/>
                <w:szCs w:val="16"/>
                <w:lang w:val="en-US"/>
              </w:rPr>
              <w:t>egulation</w:t>
            </w:r>
            <w:r>
              <w:rPr>
                <w:rFonts w:ascii="Verdana" w:hAnsi="Verdana"/>
                <w:sz w:val="16"/>
                <w:szCs w:val="16"/>
                <w:lang w:val="en-US"/>
              </w:rPr>
              <w:t>s</w:t>
            </w:r>
            <w:r w:rsidRPr="00A47F9E">
              <w:rPr>
                <w:rFonts w:ascii="Verdana" w:hAnsi="Verdana"/>
                <w:sz w:val="16"/>
                <w:szCs w:val="16"/>
                <w:lang w:val="en-US"/>
              </w:rPr>
              <w:t>.</w:t>
            </w:r>
          </w:p>
        </w:tc>
      </w:tr>
      <w:tr w:rsidR="003A38FF" w:rsidRPr="00D83DA2" w14:paraId="796DCC3B" w14:textId="7AC73199" w:rsidTr="00FB5DAD">
        <w:tc>
          <w:tcPr>
            <w:tcW w:w="4706" w:type="dxa"/>
          </w:tcPr>
          <w:p w14:paraId="19A56704" w14:textId="77777777" w:rsidR="003A38FF" w:rsidRPr="00D0180E" w:rsidRDefault="003A38FF" w:rsidP="003A38FF">
            <w:pPr>
              <w:pStyle w:val="Texto"/>
              <w:spacing w:after="80" w:line="217" w:lineRule="exact"/>
              <w:ind w:firstLine="0"/>
              <w:rPr>
                <w:rFonts w:ascii="Verdana" w:hAnsi="Verdana"/>
                <w:sz w:val="16"/>
                <w:szCs w:val="16"/>
              </w:rPr>
            </w:pPr>
            <w:r w:rsidRPr="00D0180E">
              <w:rPr>
                <w:rFonts w:ascii="Verdana" w:hAnsi="Verdana"/>
                <w:b/>
                <w:sz w:val="16"/>
                <w:szCs w:val="16"/>
              </w:rPr>
              <w:t>Artículo 233.</w:t>
            </w:r>
            <w:r w:rsidRPr="00D0180E">
              <w:rPr>
                <w:rFonts w:ascii="Verdana" w:hAnsi="Verdana"/>
                <w:sz w:val="16"/>
                <w:szCs w:val="16"/>
              </w:rPr>
              <w:t xml:space="preserve"> El procedimiento de Mediación se debe desarrollar conforme a las fases siguientes:</w:t>
            </w:r>
          </w:p>
        </w:tc>
        <w:tc>
          <w:tcPr>
            <w:tcW w:w="4644" w:type="dxa"/>
          </w:tcPr>
          <w:p w14:paraId="46C6C367" w14:textId="5848A2CB" w:rsidR="003A38FF" w:rsidRPr="00D0180E" w:rsidRDefault="003A38FF" w:rsidP="003A38FF">
            <w:pPr>
              <w:pStyle w:val="Texto"/>
              <w:spacing w:after="80" w:line="217" w:lineRule="exact"/>
              <w:ind w:firstLine="0"/>
              <w:rPr>
                <w:rFonts w:ascii="Verdana" w:hAnsi="Verdana"/>
                <w:b/>
                <w:sz w:val="16"/>
                <w:szCs w:val="16"/>
                <w:lang w:val="en-US"/>
              </w:rPr>
            </w:pPr>
            <w:r w:rsidRPr="00A47F9E">
              <w:rPr>
                <w:rFonts w:ascii="Verdana" w:hAnsi="Verdana"/>
                <w:b/>
                <w:sz w:val="16"/>
                <w:szCs w:val="16"/>
                <w:lang w:val="en-US"/>
              </w:rPr>
              <w:t xml:space="preserve">Article 233. </w:t>
            </w:r>
            <w:r w:rsidRPr="00A47F9E">
              <w:rPr>
                <w:rFonts w:ascii="Verdana" w:hAnsi="Verdana"/>
                <w:sz w:val="16"/>
                <w:szCs w:val="16"/>
                <w:lang w:val="en-US"/>
              </w:rPr>
              <w:t xml:space="preserve">The </w:t>
            </w:r>
            <w:r>
              <w:rPr>
                <w:rFonts w:ascii="Verdana" w:hAnsi="Verdana"/>
                <w:sz w:val="16"/>
                <w:szCs w:val="16"/>
                <w:lang w:val="en-US"/>
              </w:rPr>
              <w:t>m</w:t>
            </w:r>
            <w:r w:rsidRPr="00A47F9E">
              <w:rPr>
                <w:rFonts w:ascii="Verdana" w:hAnsi="Verdana"/>
                <w:sz w:val="16"/>
                <w:szCs w:val="16"/>
                <w:lang w:val="en-US"/>
              </w:rPr>
              <w:t>ediation procedure must be developed according to the following phases:</w:t>
            </w:r>
          </w:p>
        </w:tc>
      </w:tr>
      <w:tr w:rsidR="003A38FF" w:rsidRPr="00D83DA2" w14:paraId="4AE0C52F" w14:textId="524313F8" w:rsidTr="00FB5DAD">
        <w:tc>
          <w:tcPr>
            <w:tcW w:w="4706" w:type="dxa"/>
          </w:tcPr>
          <w:p w14:paraId="0440F417" w14:textId="77777777" w:rsidR="003A38FF" w:rsidRPr="00D0180E" w:rsidRDefault="003A38FF" w:rsidP="003A38FF">
            <w:pPr>
              <w:pStyle w:val="Texto"/>
              <w:spacing w:after="80" w:line="217"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Inicial. Las personas mediadoras y las personas Testigos Sociales deben analizar la solicitud y demás documentos que en la materia tengan la Secretaría de Desarrollo Agrario, Territorial y Urbano y la Secretaría, en un plazo máximo de cinco días hábiles, contados a partir de que les fue entregada la información.</w:t>
            </w:r>
          </w:p>
        </w:tc>
        <w:tc>
          <w:tcPr>
            <w:tcW w:w="4644" w:type="dxa"/>
          </w:tcPr>
          <w:p w14:paraId="7261EADB" w14:textId="387D83D7" w:rsidR="003A38FF" w:rsidRPr="00D0180E" w:rsidRDefault="003A38FF" w:rsidP="003A38FF">
            <w:pPr>
              <w:pStyle w:val="Texto"/>
              <w:spacing w:after="80" w:line="217" w:lineRule="exact"/>
              <w:ind w:firstLine="0"/>
              <w:rPr>
                <w:rFonts w:ascii="Verdana" w:hAnsi="Verdana"/>
                <w:b/>
                <w:sz w:val="16"/>
                <w:szCs w:val="16"/>
                <w:lang w:val="en-US"/>
              </w:rPr>
            </w:pPr>
            <w:r w:rsidRPr="00A47F9E">
              <w:rPr>
                <w:rFonts w:ascii="Verdana" w:hAnsi="Verdana"/>
                <w:b/>
                <w:sz w:val="16"/>
                <w:szCs w:val="16"/>
                <w:lang w:val="en-US"/>
              </w:rPr>
              <w:t>I</w:t>
            </w:r>
            <w:proofErr w:type="gramStart"/>
            <w:r w:rsidRPr="00A47F9E">
              <w:rPr>
                <w:rFonts w:ascii="Verdana" w:hAnsi="Verdana"/>
                <w:b/>
                <w:sz w:val="16"/>
                <w:szCs w:val="16"/>
                <w:lang w:val="en-US"/>
              </w:rPr>
              <w:t xml:space="preserve">. </w:t>
            </w:r>
            <w:r w:rsidRPr="00A47F9E">
              <w:rPr>
                <w:rFonts w:ascii="Verdana" w:hAnsi="Verdana"/>
                <w:b/>
                <w:sz w:val="16"/>
                <w:szCs w:val="16"/>
                <w:lang w:val="en-US"/>
              </w:rPr>
              <w:tab/>
            </w:r>
            <w:r w:rsidRPr="00A47F9E">
              <w:rPr>
                <w:rFonts w:ascii="Verdana" w:hAnsi="Verdana"/>
                <w:sz w:val="16"/>
                <w:szCs w:val="16"/>
                <w:lang w:val="en-US"/>
              </w:rPr>
              <w:t>Initial</w:t>
            </w:r>
            <w:proofErr w:type="gramEnd"/>
            <w:r w:rsidRPr="00A47F9E">
              <w:rPr>
                <w:rFonts w:ascii="Verdana" w:hAnsi="Verdana"/>
                <w:sz w:val="16"/>
                <w:szCs w:val="16"/>
                <w:lang w:val="en-US"/>
              </w:rPr>
              <w:t>. Mediators and social witnesses must review the application and other relevant documents held by the Secretary of Agrarian, Territorial and Urban Development and the Secretary within a maximum period of five business days from the date they receive the information.</w:t>
            </w:r>
          </w:p>
        </w:tc>
      </w:tr>
      <w:tr w:rsidR="003A38FF" w:rsidRPr="00D83DA2" w14:paraId="1F32A0E5" w14:textId="317BC4A0" w:rsidTr="00FB5DAD">
        <w:tc>
          <w:tcPr>
            <w:tcW w:w="4706" w:type="dxa"/>
          </w:tcPr>
          <w:p w14:paraId="2BF98A12" w14:textId="77777777" w:rsidR="003A38FF" w:rsidRPr="00D0180E" w:rsidRDefault="003A38FF" w:rsidP="003A38FF">
            <w:pPr>
              <w:pStyle w:val="Texto"/>
              <w:spacing w:after="80" w:line="217" w:lineRule="exact"/>
              <w:ind w:firstLine="0"/>
              <w:rPr>
                <w:rFonts w:ascii="Verdana" w:hAnsi="Verdana"/>
                <w:sz w:val="16"/>
                <w:szCs w:val="16"/>
              </w:rPr>
            </w:pPr>
            <w:r w:rsidRPr="00A47F9E">
              <w:rPr>
                <w:rFonts w:ascii="Verdana" w:hAnsi="Verdana"/>
                <w:sz w:val="16"/>
                <w:szCs w:val="16"/>
                <w:lang w:val="en-US"/>
              </w:rPr>
              <w:tab/>
            </w:r>
            <w:r w:rsidRPr="00D0180E">
              <w:rPr>
                <w:rFonts w:ascii="Verdana" w:hAnsi="Verdana"/>
                <w:sz w:val="16"/>
                <w:szCs w:val="16"/>
              </w:rPr>
              <w:t>Las personas mediadoras o Testigos Sociales deben señalar día, hora y lugar para la celebración de una reunión, dentro de los diez días hábiles posteriores al plazo señalado en el párrafo anterior. En dicha reunión, se debe procurar avenir los intereses de las partes y presentar los elementos comunes y puntos de controversia, una vez escuchadas las partes.</w:t>
            </w:r>
          </w:p>
        </w:tc>
        <w:tc>
          <w:tcPr>
            <w:tcW w:w="4644" w:type="dxa"/>
          </w:tcPr>
          <w:p w14:paraId="74330BB5" w14:textId="091ADD3C" w:rsidR="003A38FF" w:rsidRPr="00D0180E" w:rsidRDefault="003A38FF" w:rsidP="003A38FF">
            <w:pPr>
              <w:pStyle w:val="Texto"/>
              <w:spacing w:after="80" w:line="217" w:lineRule="exact"/>
              <w:ind w:firstLine="0"/>
              <w:rPr>
                <w:rFonts w:ascii="Verdana" w:hAnsi="Verdana"/>
                <w:sz w:val="16"/>
                <w:szCs w:val="16"/>
                <w:lang w:val="en-US"/>
              </w:rPr>
            </w:pPr>
            <w:r w:rsidRPr="00D0180E">
              <w:rPr>
                <w:rFonts w:ascii="Verdana" w:hAnsi="Verdana"/>
                <w:sz w:val="16"/>
                <w:szCs w:val="16"/>
              </w:rPr>
              <w:tab/>
            </w:r>
            <w:r w:rsidRPr="00A47F9E">
              <w:rPr>
                <w:rFonts w:ascii="Verdana" w:hAnsi="Verdana"/>
                <w:sz w:val="16"/>
                <w:szCs w:val="16"/>
                <w:lang w:val="en-US"/>
              </w:rPr>
              <w:t xml:space="preserve">Mediators or social witnesses must set a date, time, and place for a meeting within ten business days of the deadline specified in the </w:t>
            </w:r>
            <w:r>
              <w:rPr>
                <w:rFonts w:ascii="Verdana" w:hAnsi="Verdana"/>
                <w:sz w:val="16"/>
                <w:szCs w:val="16"/>
                <w:lang w:val="en-US"/>
              </w:rPr>
              <w:t>preceding paragraph</w:t>
            </w:r>
            <w:r w:rsidRPr="00A47F9E">
              <w:rPr>
                <w:rFonts w:ascii="Verdana" w:hAnsi="Verdana"/>
                <w:sz w:val="16"/>
                <w:szCs w:val="16"/>
                <w:lang w:val="en-US"/>
              </w:rPr>
              <w:t>. At this meeting, an effort must be made to reconcile the parties' interests and present common ground and points of contention, after hearing the parties.</w:t>
            </w:r>
          </w:p>
        </w:tc>
      </w:tr>
      <w:tr w:rsidR="003A38FF" w:rsidRPr="00D83DA2" w14:paraId="35399FB7" w14:textId="655519EF" w:rsidTr="00FB5DAD">
        <w:tc>
          <w:tcPr>
            <w:tcW w:w="4706" w:type="dxa"/>
          </w:tcPr>
          <w:p w14:paraId="74532830" w14:textId="77777777" w:rsidR="003A38FF" w:rsidRPr="00D0180E" w:rsidRDefault="003A38FF" w:rsidP="003A38FF">
            <w:pPr>
              <w:pStyle w:val="Texto"/>
              <w:spacing w:after="80" w:line="217" w:lineRule="exact"/>
              <w:ind w:firstLine="0"/>
              <w:rPr>
                <w:rFonts w:ascii="Verdana" w:hAnsi="Verdana"/>
                <w:sz w:val="16"/>
                <w:szCs w:val="16"/>
              </w:rPr>
            </w:pPr>
            <w:r w:rsidRPr="00A47F9E">
              <w:rPr>
                <w:rFonts w:ascii="Verdana" w:hAnsi="Verdana"/>
                <w:sz w:val="16"/>
                <w:szCs w:val="16"/>
                <w:lang w:val="en-US"/>
              </w:rPr>
              <w:tab/>
            </w:r>
            <w:r w:rsidRPr="00D0180E">
              <w:rPr>
                <w:rFonts w:ascii="Verdana" w:hAnsi="Verdana"/>
                <w:sz w:val="16"/>
                <w:szCs w:val="16"/>
              </w:rPr>
              <w:t>Concluida la reunión se debe levantar por triplicado un acta que debe contener, por lo menos la fecha y hora en que se celebró, un resumen del desarrollo de esta, la fecha en que se debe llevar a cabo la siguiente fase, la cual debe ser dentro de los ocho días hábiles siguientes, así como las firmas de conformidad.</w:t>
            </w:r>
          </w:p>
        </w:tc>
        <w:tc>
          <w:tcPr>
            <w:tcW w:w="4644" w:type="dxa"/>
          </w:tcPr>
          <w:p w14:paraId="0CD0D758" w14:textId="0D7D41C1" w:rsidR="003A38FF" w:rsidRPr="00D0180E" w:rsidRDefault="003A38FF" w:rsidP="003A38FF">
            <w:pPr>
              <w:pStyle w:val="Texto"/>
              <w:spacing w:after="80" w:line="217" w:lineRule="exact"/>
              <w:ind w:firstLine="0"/>
              <w:rPr>
                <w:rFonts w:ascii="Verdana" w:hAnsi="Verdana"/>
                <w:sz w:val="16"/>
                <w:szCs w:val="16"/>
                <w:lang w:val="en-US"/>
              </w:rPr>
            </w:pPr>
            <w:r w:rsidRPr="00D0180E">
              <w:rPr>
                <w:rFonts w:ascii="Verdana" w:hAnsi="Verdana"/>
                <w:sz w:val="16"/>
                <w:szCs w:val="16"/>
              </w:rPr>
              <w:tab/>
            </w:r>
            <w:r w:rsidRPr="00A47F9E">
              <w:rPr>
                <w:rFonts w:ascii="Verdana" w:hAnsi="Verdana"/>
                <w:sz w:val="16"/>
                <w:szCs w:val="16"/>
                <w:lang w:val="en-US"/>
              </w:rPr>
              <w:t xml:space="preserve">Once the meeting is concluded, minutes must be </w:t>
            </w:r>
            <w:proofErr w:type="gramStart"/>
            <w:r w:rsidRPr="00A47F9E">
              <w:rPr>
                <w:rFonts w:ascii="Verdana" w:hAnsi="Verdana"/>
                <w:sz w:val="16"/>
                <w:szCs w:val="16"/>
                <w:lang w:val="en-US"/>
              </w:rPr>
              <w:t>kept in</w:t>
            </w:r>
            <w:proofErr w:type="gramEnd"/>
            <w:r w:rsidRPr="00A47F9E">
              <w:rPr>
                <w:rFonts w:ascii="Verdana" w:hAnsi="Verdana"/>
                <w:sz w:val="16"/>
                <w:szCs w:val="16"/>
                <w:lang w:val="en-US"/>
              </w:rPr>
              <w:t xml:space="preserve"> triplicate, containing at least the date and time of the meeting, a summary of its progress, the date on which the next phase is to be carried out, which must be within the following eight business days, and the </w:t>
            </w:r>
            <w:r>
              <w:rPr>
                <w:rFonts w:ascii="Verdana" w:hAnsi="Verdana"/>
                <w:sz w:val="16"/>
                <w:szCs w:val="16"/>
                <w:lang w:val="en-US"/>
              </w:rPr>
              <w:t>signatures</w:t>
            </w:r>
            <w:r w:rsidRPr="00A47F9E">
              <w:rPr>
                <w:rFonts w:ascii="Verdana" w:hAnsi="Verdana"/>
                <w:sz w:val="16"/>
                <w:szCs w:val="16"/>
                <w:lang w:val="en-US"/>
              </w:rPr>
              <w:t xml:space="preserve"> of compliance.</w:t>
            </w:r>
          </w:p>
        </w:tc>
      </w:tr>
      <w:tr w:rsidR="003A38FF" w:rsidRPr="00D83DA2" w14:paraId="68692457" w14:textId="42E20590" w:rsidTr="00FB5DAD">
        <w:tc>
          <w:tcPr>
            <w:tcW w:w="4706" w:type="dxa"/>
          </w:tcPr>
          <w:p w14:paraId="7EB10711" w14:textId="77777777" w:rsidR="003A38FF" w:rsidRPr="00D0180E" w:rsidRDefault="003A38FF" w:rsidP="003A38FF">
            <w:pPr>
              <w:pStyle w:val="Texto"/>
              <w:spacing w:after="80" w:line="217" w:lineRule="exact"/>
              <w:ind w:firstLine="0"/>
              <w:rPr>
                <w:rFonts w:ascii="Verdana" w:hAnsi="Verdana"/>
                <w:sz w:val="16"/>
                <w:szCs w:val="16"/>
              </w:rPr>
            </w:pPr>
            <w:r w:rsidRPr="00A47F9E">
              <w:rPr>
                <w:rFonts w:ascii="Verdana" w:hAnsi="Verdana"/>
                <w:sz w:val="16"/>
                <w:szCs w:val="16"/>
                <w:lang w:val="en-US"/>
              </w:rPr>
              <w:tab/>
            </w:r>
            <w:r w:rsidRPr="00D0180E">
              <w:rPr>
                <w:rFonts w:ascii="Verdana" w:hAnsi="Verdana"/>
                <w:sz w:val="16"/>
                <w:szCs w:val="16"/>
              </w:rPr>
              <w:t>Una vez que se suscriba el acta, se debe entender como concluida esta fase.</w:t>
            </w:r>
          </w:p>
        </w:tc>
        <w:tc>
          <w:tcPr>
            <w:tcW w:w="4644" w:type="dxa"/>
          </w:tcPr>
          <w:p w14:paraId="73FC40CC" w14:textId="189A91B0" w:rsidR="003A38FF" w:rsidRPr="00D0180E" w:rsidRDefault="003A38FF" w:rsidP="003A38FF">
            <w:pPr>
              <w:pStyle w:val="Texto"/>
              <w:spacing w:after="80" w:line="217" w:lineRule="exact"/>
              <w:ind w:firstLine="0"/>
              <w:rPr>
                <w:rFonts w:ascii="Verdana" w:hAnsi="Verdana"/>
                <w:sz w:val="16"/>
                <w:szCs w:val="16"/>
                <w:lang w:val="en-US"/>
              </w:rPr>
            </w:pPr>
            <w:r w:rsidRPr="00D0180E">
              <w:rPr>
                <w:rFonts w:ascii="Verdana" w:hAnsi="Verdana"/>
                <w:sz w:val="16"/>
                <w:szCs w:val="16"/>
              </w:rPr>
              <w:tab/>
            </w:r>
            <w:r w:rsidRPr="00A47F9E">
              <w:rPr>
                <w:rFonts w:ascii="Verdana" w:hAnsi="Verdana"/>
                <w:sz w:val="16"/>
                <w:szCs w:val="16"/>
                <w:lang w:val="en-US"/>
              </w:rPr>
              <w:t>Once the minutes are signed, this phase should be considered complete.</w:t>
            </w:r>
          </w:p>
        </w:tc>
      </w:tr>
      <w:tr w:rsidR="003A38FF" w:rsidRPr="00D83DA2" w14:paraId="428F141E" w14:textId="2F4EC9FF" w:rsidTr="00FB5DAD">
        <w:tc>
          <w:tcPr>
            <w:tcW w:w="4706" w:type="dxa"/>
          </w:tcPr>
          <w:p w14:paraId="24A3FF8A" w14:textId="77777777" w:rsidR="003A38FF" w:rsidRPr="00D0180E" w:rsidRDefault="003A38FF" w:rsidP="003A38FF">
            <w:pPr>
              <w:pStyle w:val="Texto"/>
              <w:spacing w:after="80" w:line="217"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Final. Las personas mediadoras y las personas Testigos Sociales deben presentar la sugerencia de contraprestación o su modalidad de pago basada en los avalúos que se hayan practicado durante el proceso y, en su caso, la modalidad de contratación en donde se indique las razones por las cuales es la forma idónea dada la naturaleza del proyecto en cuestión, previa observación de los supuestos establecidos en el artículo 97 de la Ley.</w:t>
            </w:r>
          </w:p>
        </w:tc>
        <w:tc>
          <w:tcPr>
            <w:tcW w:w="4644" w:type="dxa"/>
          </w:tcPr>
          <w:p w14:paraId="7CA80716" w14:textId="39111D6C" w:rsidR="003A38FF" w:rsidRPr="00D0180E" w:rsidRDefault="003A38FF" w:rsidP="003A38FF">
            <w:pPr>
              <w:pStyle w:val="Texto"/>
              <w:spacing w:after="80" w:line="217" w:lineRule="exact"/>
              <w:ind w:firstLine="0"/>
              <w:rPr>
                <w:rFonts w:ascii="Verdana" w:hAnsi="Verdana"/>
                <w:b/>
                <w:sz w:val="16"/>
                <w:szCs w:val="16"/>
                <w:lang w:val="en-US"/>
              </w:rPr>
            </w:pPr>
            <w:r w:rsidRPr="00A47F9E">
              <w:rPr>
                <w:rFonts w:ascii="Verdana" w:hAnsi="Verdana"/>
                <w:b/>
                <w:sz w:val="16"/>
                <w:szCs w:val="16"/>
                <w:lang w:val="en-US"/>
              </w:rPr>
              <w:t>II</w:t>
            </w:r>
            <w:proofErr w:type="gramStart"/>
            <w:r w:rsidRPr="00A47F9E">
              <w:rPr>
                <w:rFonts w:ascii="Verdana" w:hAnsi="Verdana"/>
                <w:b/>
                <w:sz w:val="16"/>
                <w:szCs w:val="16"/>
                <w:lang w:val="en-US"/>
              </w:rPr>
              <w:t xml:space="preserve">. </w:t>
            </w:r>
            <w:r w:rsidRPr="00A47F9E">
              <w:rPr>
                <w:rFonts w:ascii="Verdana" w:hAnsi="Verdana"/>
                <w:b/>
                <w:sz w:val="16"/>
                <w:szCs w:val="16"/>
                <w:lang w:val="en-US"/>
              </w:rPr>
              <w:tab/>
            </w:r>
            <w:r w:rsidRPr="00A47F9E">
              <w:rPr>
                <w:rFonts w:ascii="Verdana" w:hAnsi="Verdana"/>
                <w:sz w:val="16"/>
                <w:szCs w:val="16"/>
                <w:lang w:val="en-US"/>
              </w:rPr>
              <w:t>Final</w:t>
            </w:r>
            <w:proofErr w:type="gramEnd"/>
            <w:r w:rsidRPr="00A47F9E">
              <w:rPr>
                <w:rFonts w:ascii="Verdana" w:hAnsi="Verdana"/>
                <w:sz w:val="16"/>
                <w:szCs w:val="16"/>
                <w:lang w:val="en-US"/>
              </w:rPr>
              <w:t>. Mediators and social witnesses must submit a suggested consideration or payment method based on the appraisals conducted during the process and, where applicable, the contracting method, stating the reasons why it is the most appropriate option given the nature of the project in question, subject to compliance with the conditions established in Article 97 of the Law.</w:t>
            </w:r>
          </w:p>
        </w:tc>
      </w:tr>
      <w:tr w:rsidR="003A38FF" w:rsidRPr="00D83DA2" w14:paraId="55D9F6B9" w14:textId="5524D3D2" w:rsidTr="00FB5DAD">
        <w:tc>
          <w:tcPr>
            <w:tcW w:w="4706" w:type="dxa"/>
          </w:tcPr>
          <w:p w14:paraId="0603AB94" w14:textId="77777777" w:rsidR="003A38FF" w:rsidRPr="00D0180E" w:rsidRDefault="003A38FF" w:rsidP="003A38FF">
            <w:pPr>
              <w:pStyle w:val="Texto"/>
              <w:spacing w:after="80" w:line="217" w:lineRule="exact"/>
              <w:ind w:firstLine="0"/>
              <w:rPr>
                <w:rFonts w:ascii="Verdana" w:hAnsi="Verdana"/>
                <w:sz w:val="16"/>
                <w:szCs w:val="16"/>
              </w:rPr>
            </w:pPr>
            <w:r w:rsidRPr="00A47F9E">
              <w:rPr>
                <w:rFonts w:ascii="Verdana" w:hAnsi="Verdana"/>
                <w:sz w:val="16"/>
                <w:szCs w:val="16"/>
                <w:lang w:val="en-US"/>
              </w:rPr>
              <w:lastRenderedPageBreak/>
              <w:tab/>
            </w:r>
            <w:r w:rsidRPr="00D0180E">
              <w:rPr>
                <w:rFonts w:ascii="Verdana" w:hAnsi="Verdana"/>
                <w:sz w:val="16"/>
                <w:szCs w:val="16"/>
              </w:rPr>
              <w:t>Concluida la reunión, se debe levantar por triplicado un acta que informe el resultado, el cual puede ser:</w:t>
            </w:r>
          </w:p>
        </w:tc>
        <w:tc>
          <w:tcPr>
            <w:tcW w:w="4644" w:type="dxa"/>
          </w:tcPr>
          <w:p w14:paraId="00DF10CF" w14:textId="642481AF" w:rsidR="003A38FF" w:rsidRPr="00D0180E" w:rsidRDefault="003A38FF" w:rsidP="003A38FF">
            <w:pPr>
              <w:pStyle w:val="Texto"/>
              <w:spacing w:after="80" w:line="217" w:lineRule="exact"/>
              <w:ind w:firstLine="0"/>
              <w:rPr>
                <w:rFonts w:ascii="Verdana" w:hAnsi="Verdana"/>
                <w:sz w:val="16"/>
                <w:szCs w:val="16"/>
                <w:lang w:val="en-US"/>
              </w:rPr>
            </w:pPr>
            <w:r w:rsidRPr="00D0180E">
              <w:rPr>
                <w:rFonts w:ascii="Verdana" w:hAnsi="Verdana"/>
                <w:sz w:val="16"/>
                <w:szCs w:val="16"/>
              </w:rPr>
              <w:tab/>
            </w:r>
            <w:r w:rsidRPr="00A47F9E">
              <w:rPr>
                <w:rFonts w:ascii="Verdana" w:hAnsi="Verdana"/>
                <w:sz w:val="16"/>
                <w:szCs w:val="16"/>
                <w:lang w:val="en-US"/>
              </w:rPr>
              <w:t>Once the meeting is concluded, minutes must be kept in triplicate reporting the outcome, which may be:</w:t>
            </w:r>
          </w:p>
        </w:tc>
      </w:tr>
      <w:tr w:rsidR="003A38FF" w:rsidRPr="00D83DA2" w14:paraId="5F7FFB70" w14:textId="08948FCC" w:rsidTr="00FB5DAD">
        <w:tc>
          <w:tcPr>
            <w:tcW w:w="4706" w:type="dxa"/>
          </w:tcPr>
          <w:p w14:paraId="25DB0C9F" w14:textId="77777777" w:rsidR="003A38FF" w:rsidRPr="00D0180E" w:rsidRDefault="003A38FF" w:rsidP="003A38FF">
            <w:pPr>
              <w:pStyle w:val="Texto"/>
              <w:spacing w:after="80" w:line="217"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Se alcanzó un acuerdo sobre la contraprestación o su modalidad de pago y, en su caso, la modalidad de contratación, por lo que se debe proceder a la firma del contrato conforme a los lineamientos a que se refiere la fracción VIII del artículo 91 de la Ley, para efectos de la validación en términos del artículo 95 de la Ley, y</w:t>
            </w:r>
          </w:p>
        </w:tc>
        <w:tc>
          <w:tcPr>
            <w:tcW w:w="4644" w:type="dxa"/>
          </w:tcPr>
          <w:p w14:paraId="465D3A3C" w14:textId="6790088A" w:rsidR="003A38FF" w:rsidRPr="00D0180E" w:rsidRDefault="003A38FF" w:rsidP="003A38FF">
            <w:pPr>
              <w:pStyle w:val="Texto"/>
              <w:spacing w:after="80" w:line="217" w:lineRule="exact"/>
              <w:ind w:firstLine="0"/>
              <w:rPr>
                <w:rFonts w:ascii="Verdana" w:hAnsi="Verdana"/>
                <w:b/>
                <w:sz w:val="16"/>
                <w:szCs w:val="16"/>
                <w:lang w:val="en-US"/>
              </w:rPr>
            </w:pPr>
            <w:r w:rsidRPr="00A47F9E">
              <w:rPr>
                <w:rFonts w:ascii="Verdana" w:hAnsi="Verdana"/>
                <w:b/>
                <w:sz w:val="16"/>
                <w:szCs w:val="16"/>
                <w:lang w:val="en-US"/>
              </w:rPr>
              <w:t>a</w:t>
            </w:r>
            <w:proofErr w:type="gramStart"/>
            <w:r w:rsidRPr="00A47F9E">
              <w:rPr>
                <w:rFonts w:ascii="Verdana" w:hAnsi="Verdana"/>
                <w:b/>
                <w:sz w:val="16"/>
                <w:szCs w:val="16"/>
                <w:lang w:val="en-US"/>
              </w:rPr>
              <w:t xml:space="preserve">) </w:t>
            </w:r>
            <w:r w:rsidRPr="00A47F9E">
              <w:rPr>
                <w:rFonts w:ascii="Verdana" w:hAnsi="Verdana"/>
                <w:b/>
                <w:sz w:val="16"/>
                <w:szCs w:val="16"/>
                <w:lang w:val="en-US"/>
              </w:rPr>
              <w:tab/>
            </w:r>
            <w:r w:rsidRPr="00A47F9E">
              <w:rPr>
                <w:rFonts w:ascii="Verdana" w:hAnsi="Verdana"/>
                <w:sz w:val="16"/>
                <w:szCs w:val="16"/>
                <w:lang w:val="en-US"/>
              </w:rPr>
              <w:t>An</w:t>
            </w:r>
            <w:proofErr w:type="gramEnd"/>
            <w:r w:rsidRPr="00A47F9E">
              <w:rPr>
                <w:rFonts w:ascii="Verdana" w:hAnsi="Verdana"/>
                <w:sz w:val="16"/>
                <w:szCs w:val="16"/>
                <w:lang w:val="en-US"/>
              </w:rPr>
              <w:t xml:space="preserve"> agreement was reached on the consideration </w:t>
            </w:r>
            <w:proofErr w:type="gramStart"/>
            <w:r w:rsidRPr="00A47F9E">
              <w:rPr>
                <w:rFonts w:ascii="Verdana" w:hAnsi="Verdana"/>
                <w:sz w:val="16"/>
                <w:szCs w:val="16"/>
                <w:lang w:val="en-US"/>
              </w:rPr>
              <w:t>or</w:t>
            </w:r>
            <w:proofErr w:type="gramEnd"/>
            <w:r w:rsidRPr="00A47F9E">
              <w:rPr>
                <w:rFonts w:ascii="Verdana" w:hAnsi="Verdana"/>
                <w:sz w:val="16"/>
                <w:szCs w:val="16"/>
                <w:lang w:val="en-US"/>
              </w:rPr>
              <w:t xml:space="preserve"> its payment method and, where applicable, the contracting method, so the contract must be signed in accordance with the guidelines referred to in section VIII of article 91 of the Law, for the purposes of validation in terms of article 95 of the Law, and</w:t>
            </w:r>
          </w:p>
        </w:tc>
      </w:tr>
      <w:tr w:rsidR="003A38FF" w:rsidRPr="00D83DA2" w14:paraId="1A5C9B75" w14:textId="018FECD3" w:rsidTr="00FB5DAD">
        <w:tc>
          <w:tcPr>
            <w:tcW w:w="4706" w:type="dxa"/>
          </w:tcPr>
          <w:p w14:paraId="4BDDE30F" w14:textId="77777777" w:rsidR="003A38FF" w:rsidRPr="00D0180E" w:rsidRDefault="003A38FF" w:rsidP="003A38FF">
            <w:pPr>
              <w:pStyle w:val="Texto"/>
              <w:spacing w:after="80" w:line="217"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No se alcanzó un acuerdo, para lo cual la Empresa Pública del Estado y las personas permisionarias pueden acudir ante la Secretaría de Desarrollo Agrario, Territorial y Urbano para que tramite ante la persona Titular del Ejecutivo Federal, la servidumbre legal por vía administrativa.</w:t>
            </w:r>
          </w:p>
        </w:tc>
        <w:tc>
          <w:tcPr>
            <w:tcW w:w="4644" w:type="dxa"/>
          </w:tcPr>
          <w:p w14:paraId="097D0E5B" w14:textId="73AB0113" w:rsidR="003A38FF" w:rsidRPr="00D0180E" w:rsidRDefault="003A38FF" w:rsidP="003A38FF">
            <w:pPr>
              <w:pStyle w:val="Texto"/>
              <w:spacing w:after="80" w:line="217" w:lineRule="exact"/>
              <w:ind w:firstLine="0"/>
              <w:rPr>
                <w:rFonts w:ascii="Verdana" w:hAnsi="Verdana"/>
                <w:b/>
                <w:sz w:val="16"/>
                <w:szCs w:val="16"/>
                <w:lang w:val="en-US"/>
              </w:rPr>
            </w:pPr>
            <w:r w:rsidRPr="00A47F9E">
              <w:rPr>
                <w:rFonts w:ascii="Verdana" w:hAnsi="Verdana"/>
                <w:b/>
                <w:sz w:val="16"/>
                <w:szCs w:val="16"/>
                <w:lang w:val="en-US"/>
              </w:rPr>
              <w:t>b</w:t>
            </w:r>
            <w:proofErr w:type="gramStart"/>
            <w:r w:rsidRPr="00A47F9E">
              <w:rPr>
                <w:rFonts w:ascii="Verdana" w:hAnsi="Verdana"/>
                <w:b/>
                <w:sz w:val="16"/>
                <w:szCs w:val="16"/>
                <w:lang w:val="en-US"/>
              </w:rPr>
              <w:t xml:space="preserve">) </w:t>
            </w:r>
            <w:r w:rsidRPr="00A47F9E">
              <w:rPr>
                <w:rFonts w:ascii="Verdana" w:hAnsi="Verdana"/>
                <w:b/>
                <w:sz w:val="16"/>
                <w:szCs w:val="16"/>
                <w:lang w:val="en-US"/>
              </w:rPr>
              <w:tab/>
            </w:r>
            <w:r w:rsidRPr="00A47F9E">
              <w:rPr>
                <w:rFonts w:ascii="Verdana" w:hAnsi="Verdana"/>
                <w:sz w:val="16"/>
                <w:szCs w:val="16"/>
                <w:lang w:val="en-US"/>
              </w:rPr>
              <w:t>No</w:t>
            </w:r>
            <w:proofErr w:type="gramEnd"/>
            <w:r w:rsidRPr="00A47F9E">
              <w:rPr>
                <w:rFonts w:ascii="Verdana" w:hAnsi="Verdana"/>
                <w:sz w:val="16"/>
                <w:szCs w:val="16"/>
                <w:lang w:val="en-US"/>
              </w:rPr>
              <w:t xml:space="preserve"> agreement was reached, for which the </w:t>
            </w:r>
            <w:r>
              <w:rPr>
                <w:rFonts w:ascii="Verdana" w:hAnsi="Verdana"/>
                <w:sz w:val="16"/>
                <w:szCs w:val="16"/>
                <w:lang w:val="en-US"/>
              </w:rPr>
              <w:t xml:space="preserve">State Public Enterprise </w:t>
            </w:r>
            <w:r w:rsidRPr="00A47F9E">
              <w:rPr>
                <w:rFonts w:ascii="Verdana" w:hAnsi="Verdana"/>
                <w:sz w:val="16"/>
                <w:szCs w:val="16"/>
                <w:lang w:val="en-US"/>
              </w:rPr>
              <w:t>and the permit holders may go to the Secretary of Agrarian, Territorial and Urban Development to process the legal easement through administrative means before the Head of the Federal Executive.</w:t>
            </w:r>
          </w:p>
        </w:tc>
      </w:tr>
      <w:tr w:rsidR="003A38FF" w:rsidRPr="00D83DA2" w14:paraId="273A1AB0" w14:textId="1D9C7947" w:rsidTr="00FB5DAD">
        <w:tc>
          <w:tcPr>
            <w:tcW w:w="4706" w:type="dxa"/>
          </w:tcPr>
          <w:p w14:paraId="6DC48548" w14:textId="77777777" w:rsidR="003A38FF" w:rsidRPr="00D0180E" w:rsidRDefault="003A38FF" w:rsidP="003A38FF">
            <w:pPr>
              <w:pStyle w:val="Texto"/>
              <w:ind w:firstLine="0"/>
              <w:rPr>
                <w:rFonts w:ascii="Verdana" w:hAnsi="Verdana"/>
                <w:sz w:val="16"/>
                <w:szCs w:val="16"/>
              </w:rPr>
            </w:pPr>
            <w:r w:rsidRPr="00A47F9E">
              <w:rPr>
                <w:rFonts w:ascii="Verdana" w:hAnsi="Verdana"/>
                <w:sz w:val="16"/>
                <w:szCs w:val="16"/>
                <w:lang w:val="en-US"/>
              </w:rPr>
              <w:tab/>
            </w:r>
            <w:r w:rsidRPr="00D0180E">
              <w:rPr>
                <w:rFonts w:ascii="Verdana" w:hAnsi="Verdana"/>
                <w:sz w:val="16"/>
                <w:szCs w:val="16"/>
              </w:rPr>
              <w:t>Una vez que se suscriba el acta, se debe entender por hecha la sugerencia de la persona mediadora o de la persona Testigo Social y se debe tener por concluido el procedimiento de Mediación.</w:t>
            </w:r>
          </w:p>
        </w:tc>
        <w:tc>
          <w:tcPr>
            <w:tcW w:w="4644" w:type="dxa"/>
          </w:tcPr>
          <w:p w14:paraId="16E54AF6" w14:textId="63B6C5D2" w:rsidR="003A38FF" w:rsidRPr="00D0180E" w:rsidRDefault="003A38FF" w:rsidP="003A38FF">
            <w:pPr>
              <w:pStyle w:val="Texto"/>
              <w:ind w:firstLine="0"/>
              <w:rPr>
                <w:rFonts w:ascii="Verdana" w:hAnsi="Verdana"/>
                <w:sz w:val="16"/>
                <w:szCs w:val="16"/>
                <w:lang w:val="en-US"/>
              </w:rPr>
            </w:pPr>
            <w:r w:rsidRPr="00D0180E">
              <w:rPr>
                <w:rFonts w:ascii="Verdana" w:hAnsi="Verdana"/>
                <w:sz w:val="16"/>
                <w:szCs w:val="16"/>
              </w:rPr>
              <w:tab/>
            </w:r>
            <w:r w:rsidRPr="00A47F9E">
              <w:rPr>
                <w:rFonts w:ascii="Verdana" w:hAnsi="Verdana"/>
                <w:sz w:val="16"/>
                <w:szCs w:val="16"/>
                <w:lang w:val="en-US"/>
              </w:rPr>
              <w:t xml:space="preserve">Once the minutes are signed, the suggestion of the mediator or social witness must be understood as made and the </w:t>
            </w:r>
            <w:r>
              <w:rPr>
                <w:rFonts w:ascii="Verdana" w:hAnsi="Verdana"/>
                <w:sz w:val="16"/>
                <w:szCs w:val="16"/>
                <w:lang w:val="en-US"/>
              </w:rPr>
              <w:t>m</w:t>
            </w:r>
            <w:r w:rsidRPr="00A47F9E">
              <w:rPr>
                <w:rFonts w:ascii="Verdana" w:hAnsi="Verdana"/>
                <w:sz w:val="16"/>
                <w:szCs w:val="16"/>
                <w:lang w:val="en-US"/>
              </w:rPr>
              <w:t>ediation procedure must be considered concluded.</w:t>
            </w:r>
          </w:p>
        </w:tc>
      </w:tr>
      <w:tr w:rsidR="003A38FF" w:rsidRPr="00D83DA2" w14:paraId="5DD6FAD5" w14:textId="75797700" w:rsidTr="00FB5DAD">
        <w:tc>
          <w:tcPr>
            <w:tcW w:w="4706" w:type="dxa"/>
          </w:tcPr>
          <w:p w14:paraId="7B1E8B67"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b/>
                <w:sz w:val="16"/>
                <w:szCs w:val="16"/>
              </w:rPr>
              <w:t>Artículo 234.</w:t>
            </w:r>
            <w:r w:rsidRPr="00D0180E">
              <w:rPr>
                <w:rFonts w:ascii="Verdana" w:hAnsi="Verdana"/>
                <w:sz w:val="16"/>
                <w:szCs w:val="16"/>
              </w:rPr>
              <w:t xml:space="preserve"> En caso de que la Empresa Pública del Estado y las personas permisionarias o la persona propietaria o titular, no asistan a alguna de las reuniones a que se refiere el artículo anterior, puede justificarse por una sola ocasión y se debe acordar nueva fecha dentro de los cinco días siguientes a la fecha originalmente establecida. En caso de una segunda inasistencia por la misma parte, se debe concluir la Mediación.</w:t>
            </w:r>
          </w:p>
        </w:tc>
        <w:tc>
          <w:tcPr>
            <w:tcW w:w="4644" w:type="dxa"/>
          </w:tcPr>
          <w:p w14:paraId="4FD722F6" w14:textId="13566D2C" w:rsidR="003A38FF" w:rsidRPr="00D0180E" w:rsidRDefault="003A38FF" w:rsidP="003A38FF">
            <w:pPr>
              <w:pStyle w:val="Texto"/>
              <w:spacing w:line="232" w:lineRule="exact"/>
              <w:ind w:firstLine="0"/>
              <w:rPr>
                <w:rFonts w:ascii="Verdana" w:hAnsi="Verdana"/>
                <w:b/>
                <w:sz w:val="16"/>
                <w:szCs w:val="16"/>
                <w:lang w:val="en-US"/>
              </w:rPr>
            </w:pPr>
            <w:r w:rsidRPr="00A47F9E">
              <w:rPr>
                <w:rFonts w:ascii="Verdana" w:hAnsi="Verdana"/>
                <w:b/>
                <w:sz w:val="16"/>
                <w:szCs w:val="16"/>
                <w:lang w:val="en-US"/>
              </w:rPr>
              <w:t xml:space="preserve">Article 234. </w:t>
            </w:r>
            <w:r w:rsidRPr="00A47F9E">
              <w:rPr>
                <w:rFonts w:ascii="Verdana" w:hAnsi="Verdana"/>
                <w:sz w:val="16"/>
                <w:szCs w:val="16"/>
                <w:lang w:val="en-US"/>
              </w:rPr>
              <w:t xml:space="preserve">If the State Public Enterprise and the permit holders, or the owner or titleholder, fail to attend any of the meetings referred to in the </w:t>
            </w:r>
            <w:r>
              <w:rPr>
                <w:rFonts w:ascii="Verdana" w:hAnsi="Verdana"/>
                <w:sz w:val="16"/>
                <w:szCs w:val="16"/>
                <w:lang w:val="en-US"/>
              </w:rPr>
              <w:t>preceding article</w:t>
            </w:r>
            <w:r w:rsidRPr="00A47F9E">
              <w:rPr>
                <w:rFonts w:ascii="Verdana" w:hAnsi="Verdana"/>
                <w:sz w:val="16"/>
                <w:szCs w:val="16"/>
                <w:lang w:val="en-US"/>
              </w:rPr>
              <w:t>, this may be justified only once, and a new date must be agreed upon within five days of the originally scheduled date. If the same party fails to attend for a second time, the mediation process must be concluded.</w:t>
            </w:r>
          </w:p>
        </w:tc>
      </w:tr>
      <w:tr w:rsidR="003A38FF" w:rsidRPr="00D83DA2" w14:paraId="0C3D76A3" w14:textId="0B652571" w:rsidTr="00FB5DAD">
        <w:tc>
          <w:tcPr>
            <w:tcW w:w="4706" w:type="dxa"/>
          </w:tcPr>
          <w:p w14:paraId="1B61A681"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b/>
                <w:sz w:val="16"/>
                <w:szCs w:val="16"/>
              </w:rPr>
              <w:t>Artículo 235.</w:t>
            </w:r>
            <w:r w:rsidRPr="00D0180E">
              <w:rPr>
                <w:rFonts w:ascii="Verdana" w:hAnsi="Verdana"/>
                <w:sz w:val="16"/>
                <w:szCs w:val="16"/>
              </w:rPr>
              <w:t xml:space="preserve"> Son causales de conclusión anticipada de la Mediación, las siguientes:</w:t>
            </w:r>
          </w:p>
        </w:tc>
        <w:tc>
          <w:tcPr>
            <w:tcW w:w="4644" w:type="dxa"/>
          </w:tcPr>
          <w:p w14:paraId="425A0D02" w14:textId="1F21200E" w:rsidR="003A38FF" w:rsidRPr="00D0180E" w:rsidRDefault="003A38FF" w:rsidP="003A38FF">
            <w:pPr>
              <w:pStyle w:val="Texto"/>
              <w:spacing w:line="232" w:lineRule="exact"/>
              <w:ind w:firstLine="0"/>
              <w:rPr>
                <w:rFonts w:ascii="Verdana" w:hAnsi="Verdana"/>
                <w:b/>
                <w:sz w:val="16"/>
                <w:szCs w:val="16"/>
                <w:lang w:val="en-US"/>
              </w:rPr>
            </w:pPr>
            <w:r w:rsidRPr="00A47F9E">
              <w:rPr>
                <w:rFonts w:ascii="Verdana" w:hAnsi="Verdana"/>
                <w:b/>
                <w:sz w:val="16"/>
                <w:szCs w:val="16"/>
                <w:lang w:val="en-US"/>
              </w:rPr>
              <w:t xml:space="preserve">Article 235. </w:t>
            </w:r>
            <w:r w:rsidRPr="00A47F9E">
              <w:rPr>
                <w:rFonts w:ascii="Verdana" w:hAnsi="Verdana"/>
                <w:sz w:val="16"/>
                <w:szCs w:val="16"/>
                <w:lang w:val="en-US"/>
              </w:rPr>
              <w:t>The following are grounds for early termination of Mediation:</w:t>
            </w:r>
          </w:p>
        </w:tc>
      </w:tr>
      <w:tr w:rsidR="003A38FF" w:rsidRPr="00D83DA2" w14:paraId="0130D910" w14:textId="13B1DEF8" w:rsidTr="00FB5DAD">
        <w:tc>
          <w:tcPr>
            <w:tcW w:w="4706" w:type="dxa"/>
          </w:tcPr>
          <w:p w14:paraId="2CFD018A"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El desistimiento por común acuerdo de las partes;</w:t>
            </w:r>
          </w:p>
        </w:tc>
        <w:tc>
          <w:tcPr>
            <w:tcW w:w="4644" w:type="dxa"/>
          </w:tcPr>
          <w:p w14:paraId="29C39062" w14:textId="54D78703" w:rsidR="003A38FF" w:rsidRPr="00D0180E" w:rsidRDefault="003A38FF" w:rsidP="003A38FF">
            <w:pPr>
              <w:pStyle w:val="Texto"/>
              <w:spacing w:line="232" w:lineRule="exact"/>
              <w:ind w:firstLine="0"/>
              <w:rPr>
                <w:rFonts w:ascii="Verdana" w:hAnsi="Verdana"/>
                <w:b/>
                <w:sz w:val="16"/>
                <w:szCs w:val="16"/>
                <w:lang w:val="en-US"/>
              </w:rPr>
            </w:pPr>
            <w:r w:rsidRPr="00A47F9E">
              <w:rPr>
                <w:rFonts w:ascii="Verdana" w:hAnsi="Verdana"/>
                <w:b/>
                <w:sz w:val="16"/>
                <w:szCs w:val="16"/>
                <w:lang w:val="en-US"/>
              </w:rPr>
              <w:t>I</w:t>
            </w:r>
            <w:proofErr w:type="gramStart"/>
            <w:r w:rsidRPr="00A47F9E">
              <w:rPr>
                <w:rFonts w:ascii="Verdana" w:hAnsi="Verdana"/>
                <w:b/>
                <w:sz w:val="16"/>
                <w:szCs w:val="16"/>
                <w:lang w:val="en-US"/>
              </w:rPr>
              <w:t xml:space="preserve">. </w:t>
            </w:r>
            <w:r w:rsidRPr="00A47F9E">
              <w:rPr>
                <w:rFonts w:ascii="Verdana" w:hAnsi="Verdana"/>
                <w:b/>
                <w:sz w:val="16"/>
                <w:szCs w:val="16"/>
                <w:lang w:val="en-US"/>
              </w:rPr>
              <w:tab/>
            </w:r>
            <w:r w:rsidRPr="00A47F9E">
              <w:rPr>
                <w:rFonts w:ascii="Verdana" w:hAnsi="Verdana"/>
                <w:sz w:val="16"/>
                <w:szCs w:val="16"/>
                <w:lang w:val="en-US"/>
              </w:rPr>
              <w:t>Withdrawal</w:t>
            </w:r>
            <w:proofErr w:type="gramEnd"/>
            <w:r w:rsidRPr="00A47F9E">
              <w:rPr>
                <w:rFonts w:ascii="Verdana" w:hAnsi="Verdana"/>
                <w:sz w:val="16"/>
                <w:szCs w:val="16"/>
                <w:lang w:val="en-US"/>
              </w:rPr>
              <w:t xml:space="preserve"> by mutual agreement of the parties;</w:t>
            </w:r>
          </w:p>
        </w:tc>
      </w:tr>
      <w:tr w:rsidR="003A38FF" w:rsidRPr="00D83DA2" w14:paraId="134F64C4" w14:textId="4E86D398" w:rsidTr="00FB5DAD">
        <w:tc>
          <w:tcPr>
            <w:tcW w:w="4706" w:type="dxa"/>
          </w:tcPr>
          <w:p w14:paraId="4A03EAB1"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La muerte de la persona propietaria o titular del inmueble;</w:t>
            </w:r>
          </w:p>
        </w:tc>
        <w:tc>
          <w:tcPr>
            <w:tcW w:w="4644" w:type="dxa"/>
          </w:tcPr>
          <w:p w14:paraId="25705FD0" w14:textId="6B635454" w:rsidR="003A38FF" w:rsidRPr="00D0180E" w:rsidRDefault="003A38FF" w:rsidP="003A38FF">
            <w:pPr>
              <w:pStyle w:val="Texto"/>
              <w:spacing w:line="232" w:lineRule="exact"/>
              <w:ind w:firstLine="0"/>
              <w:rPr>
                <w:rFonts w:ascii="Verdana" w:hAnsi="Verdana"/>
                <w:b/>
                <w:sz w:val="16"/>
                <w:szCs w:val="16"/>
                <w:lang w:val="en-US"/>
              </w:rPr>
            </w:pPr>
            <w:r w:rsidRPr="00A47F9E">
              <w:rPr>
                <w:rFonts w:ascii="Verdana" w:hAnsi="Verdana"/>
                <w:b/>
                <w:sz w:val="16"/>
                <w:szCs w:val="16"/>
                <w:lang w:val="en-US"/>
              </w:rPr>
              <w:t xml:space="preserve">II. </w:t>
            </w:r>
            <w:r w:rsidRPr="00A47F9E">
              <w:rPr>
                <w:rFonts w:ascii="Verdana" w:hAnsi="Verdana"/>
                <w:b/>
                <w:sz w:val="16"/>
                <w:szCs w:val="16"/>
                <w:lang w:val="en-US"/>
              </w:rPr>
              <w:tab/>
            </w:r>
            <w:r w:rsidRPr="00A47F9E">
              <w:rPr>
                <w:rFonts w:ascii="Verdana" w:hAnsi="Verdana"/>
                <w:sz w:val="16"/>
                <w:szCs w:val="16"/>
                <w:lang w:val="en-US"/>
              </w:rPr>
              <w:t>The death of the owner or holder of the property;</w:t>
            </w:r>
          </w:p>
        </w:tc>
      </w:tr>
      <w:tr w:rsidR="003A38FF" w:rsidRPr="00D83DA2" w14:paraId="1CD17587" w14:textId="6318701F" w:rsidTr="00FB5DAD">
        <w:tc>
          <w:tcPr>
            <w:tcW w:w="4706" w:type="dxa"/>
          </w:tcPr>
          <w:p w14:paraId="67D977AF"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La imposibilidad material de continuarlo por causas sobrevenidas, y</w:t>
            </w:r>
          </w:p>
        </w:tc>
        <w:tc>
          <w:tcPr>
            <w:tcW w:w="4644" w:type="dxa"/>
          </w:tcPr>
          <w:p w14:paraId="3B9252FE" w14:textId="5CA71D57" w:rsidR="003A38FF" w:rsidRPr="00D0180E" w:rsidRDefault="003A38FF" w:rsidP="003A38FF">
            <w:pPr>
              <w:pStyle w:val="Texto"/>
              <w:spacing w:line="232" w:lineRule="exact"/>
              <w:ind w:firstLine="0"/>
              <w:rPr>
                <w:rFonts w:ascii="Verdana" w:hAnsi="Verdana"/>
                <w:b/>
                <w:sz w:val="16"/>
                <w:szCs w:val="16"/>
                <w:lang w:val="en-US"/>
              </w:rPr>
            </w:pPr>
            <w:r w:rsidRPr="00A47F9E">
              <w:rPr>
                <w:rFonts w:ascii="Verdana" w:hAnsi="Verdana"/>
                <w:b/>
                <w:sz w:val="16"/>
                <w:szCs w:val="16"/>
                <w:lang w:val="en-US"/>
              </w:rPr>
              <w:t>III</w:t>
            </w:r>
            <w:proofErr w:type="gramStart"/>
            <w:r w:rsidRPr="00A47F9E">
              <w:rPr>
                <w:rFonts w:ascii="Verdana" w:hAnsi="Verdana"/>
                <w:b/>
                <w:sz w:val="16"/>
                <w:szCs w:val="16"/>
                <w:lang w:val="en-US"/>
              </w:rPr>
              <w:t xml:space="preserve">. </w:t>
            </w:r>
            <w:r w:rsidRPr="00A47F9E">
              <w:rPr>
                <w:rFonts w:ascii="Verdana" w:hAnsi="Verdana"/>
                <w:b/>
                <w:sz w:val="16"/>
                <w:szCs w:val="16"/>
                <w:lang w:val="en-US"/>
              </w:rPr>
              <w:tab/>
            </w:r>
            <w:r w:rsidRPr="00A47F9E">
              <w:rPr>
                <w:rFonts w:ascii="Verdana" w:hAnsi="Verdana"/>
                <w:sz w:val="16"/>
                <w:szCs w:val="16"/>
                <w:lang w:val="en-US"/>
              </w:rPr>
              <w:t>The</w:t>
            </w:r>
            <w:proofErr w:type="gramEnd"/>
            <w:r w:rsidRPr="00A47F9E">
              <w:rPr>
                <w:rFonts w:ascii="Verdana" w:hAnsi="Verdana"/>
                <w:sz w:val="16"/>
                <w:szCs w:val="16"/>
                <w:lang w:val="en-US"/>
              </w:rPr>
              <w:t xml:space="preserve"> material impossibility of continuing it due to supervening causes, and</w:t>
            </w:r>
          </w:p>
        </w:tc>
      </w:tr>
      <w:tr w:rsidR="003A38FF" w:rsidRPr="00D83DA2" w14:paraId="6BB94B06" w14:textId="7786AC2B" w:rsidTr="00FB5DAD">
        <w:tc>
          <w:tcPr>
            <w:tcW w:w="4706" w:type="dxa"/>
          </w:tcPr>
          <w:p w14:paraId="2A9686AC"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Los demás casos en que proceda dar por concluido el trámite de la Mediación de conformidad con otras disposiciones jurídicas aplicables.</w:t>
            </w:r>
          </w:p>
        </w:tc>
        <w:tc>
          <w:tcPr>
            <w:tcW w:w="4644" w:type="dxa"/>
          </w:tcPr>
          <w:p w14:paraId="0487DBEB" w14:textId="121D7224" w:rsidR="003A38FF" w:rsidRPr="00D0180E" w:rsidRDefault="003A38FF" w:rsidP="003A38FF">
            <w:pPr>
              <w:pStyle w:val="Texto"/>
              <w:spacing w:line="232" w:lineRule="exact"/>
              <w:ind w:firstLine="0"/>
              <w:rPr>
                <w:rFonts w:ascii="Verdana" w:hAnsi="Verdana"/>
                <w:b/>
                <w:sz w:val="16"/>
                <w:szCs w:val="16"/>
                <w:lang w:val="en-US"/>
              </w:rPr>
            </w:pPr>
            <w:r w:rsidRPr="00A47F9E">
              <w:rPr>
                <w:rFonts w:ascii="Verdana" w:hAnsi="Verdana"/>
                <w:b/>
                <w:sz w:val="16"/>
                <w:szCs w:val="16"/>
                <w:lang w:val="en-US"/>
              </w:rPr>
              <w:t xml:space="preserve">IV. </w:t>
            </w:r>
            <w:r w:rsidRPr="00A47F9E">
              <w:rPr>
                <w:rFonts w:ascii="Verdana" w:hAnsi="Verdana"/>
                <w:b/>
                <w:sz w:val="16"/>
                <w:szCs w:val="16"/>
                <w:lang w:val="en-US"/>
              </w:rPr>
              <w:tab/>
            </w:r>
            <w:r w:rsidRPr="00A47F9E">
              <w:rPr>
                <w:rFonts w:ascii="Verdana" w:hAnsi="Verdana"/>
                <w:sz w:val="16"/>
                <w:szCs w:val="16"/>
                <w:lang w:val="en-US"/>
              </w:rPr>
              <w:t>Other cases in which the Mediation process must be terminated in accordance with other applicable legal provisions.</w:t>
            </w:r>
          </w:p>
        </w:tc>
      </w:tr>
      <w:tr w:rsidR="003A38FF" w:rsidRPr="00D83DA2" w14:paraId="53F92000" w14:textId="6B0C883B" w:rsidTr="00FB5DAD">
        <w:tc>
          <w:tcPr>
            <w:tcW w:w="4706" w:type="dxa"/>
          </w:tcPr>
          <w:p w14:paraId="3E801D84"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b/>
                <w:sz w:val="16"/>
                <w:szCs w:val="16"/>
              </w:rPr>
              <w:t>Artículo 236.</w:t>
            </w:r>
            <w:r w:rsidRPr="00D0180E">
              <w:rPr>
                <w:rFonts w:ascii="Verdana" w:hAnsi="Verdana"/>
                <w:sz w:val="16"/>
                <w:szCs w:val="16"/>
              </w:rPr>
              <w:t xml:space="preserve"> Una vez concluida la Mediación por cualquiera de las razones previstas, se debe proceder al pago de los honorarios que se causen por la participación de las personas Testigos Sociales conforme a la normatividad aplicable que emita la Secretaría en dicha materia.</w:t>
            </w:r>
          </w:p>
        </w:tc>
        <w:tc>
          <w:tcPr>
            <w:tcW w:w="4644" w:type="dxa"/>
          </w:tcPr>
          <w:p w14:paraId="5AD332AC" w14:textId="5FD9F733" w:rsidR="003A38FF" w:rsidRPr="00D0180E" w:rsidRDefault="003A38FF" w:rsidP="003A38FF">
            <w:pPr>
              <w:pStyle w:val="Texto"/>
              <w:spacing w:line="232" w:lineRule="exact"/>
              <w:ind w:firstLine="0"/>
              <w:rPr>
                <w:rFonts w:ascii="Verdana" w:hAnsi="Verdana"/>
                <w:b/>
                <w:sz w:val="16"/>
                <w:szCs w:val="16"/>
                <w:lang w:val="en-US"/>
              </w:rPr>
            </w:pPr>
            <w:r w:rsidRPr="009F0E02">
              <w:rPr>
                <w:rFonts w:ascii="Verdana" w:hAnsi="Verdana"/>
                <w:b/>
                <w:sz w:val="16"/>
                <w:szCs w:val="16"/>
                <w:lang w:val="en-US"/>
              </w:rPr>
              <w:t xml:space="preserve">Article 236. </w:t>
            </w:r>
            <w:r w:rsidRPr="009F0E02">
              <w:rPr>
                <w:rFonts w:ascii="Verdana" w:hAnsi="Verdana"/>
                <w:sz w:val="16"/>
                <w:szCs w:val="16"/>
                <w:lang w:val="en-US"/>
              </w:rPr>
              <w:t xml:space="preserve">Once the </w:t>
            </w:r>
            <w:r>
              <w:rPr>
                <w:rFonts w:ascii="Verdana" w:hAnsi="Verdana"/>
                <w:sz w:val="16"/>
                <w:szCs w:val="16"/>
                <w:lang w:val="en-US"/>
              </w:rPr>
              <w:t>m</w:t>
            </w:r>
            <w:r w:rsidRPr="009F0E02">
              <w:rPr>
                <w:rFonts w:ascii="Verdana" w:hAnsi="Verdana"/>
                <w:sz w:val="16"/>
                <w:szCs w:val="16"/>
                <w:lang w:val="en-US"/>
              </w:rPr>
              <w:t>ediation has concluded for any of the reasons provided, the fees incurred by the participation of the social witnesses must be paid in accordance with the applicable legislation issued by the Secretary on this matter.</w:t>
            </w:r>
          </w:p>
        </w:tc>
      </w:tr>
      <w:tr w:rsidR="003A38FF" w:rsidRPr="00D83DA2" w14:paraId="15E87502" w14:textId="734BD868" w:rsidTr="00FB5DAD">
        <w:tc>
          <w:tcPr>
            <w:tcW w:w="4706" w:type="dxa"/>
          </w:tcPr>
          <w:p w14:paraId="174D920B"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sz w:val="16"/>
                <w:szCs w:val="16"/>
              </w:rPr>
              <w:t xml:space="preserve">Dentro de los treinta días hábiles siguientes a que se haya realizado el pago de honorarios a la persona Testigo Social, la Empresa Pública del Estado y las personas permisionarias deben acreditarlo ante la Secretaría, en caso contrario, transcurrido dicho plazo sin que se acredite el pago, la Secretaría debe sujetarse </w:t>
            </w:r>
            <w:r w:rsidRPr="00D0180E">
              <w:rPr>
                <w:rFonts w:ascii="Verdana" w:hAnsi="Verdana"/>
                <w:sz w:val="16"/>
                <w:szCs w:val="16"/>
              </w:rPr>
              <w:lastRenderedPageBreak/>
              <w:t>al procedimiento para la imposición de sanciones previsto en la Ley Federal de Procedimiento Administrativo.</w:t>
            </w:r>
          </w:p>
        </w:tc>
        <w:tc>
          <w:tcPr>
            <w:tcW w:w="4644" w:type="dxa"/>
          </w:tcPr>
          <w:p w14:paraId="3FBA0B83" w14:textId="037A2D6E" w:rsidR="003A38FF" w:rsidRPr="00D0180E" w:rsidRDefault="003A38FF" w:rsidP="003A38FF">
            <w:pPr>
              <w:pStyle w:val="Texto"/>
              <w:spacing w:line="232" w:lineRule="exact"/>
              <w:ind w:firstLine="0"/>
              <w:rPr>
                <w:rFonts w:ascii="Verdana" w:hAnsi="Verdana"/>
                <w:sz w:val="16"/>
                <w:szCs w:val="16"/>
                <w:lang w:val="en-US"/>
              </w:rPr>
            </w:pPr>
            <w:r w:rsidRPr="009F0E02">
              <w:rPr>
                <w:rFonts w:ascii="Verdana" w:hAnsi="Verdana"/>
                <w:sz w:val="16"/>
                <w:szCs w:val="16"/>
                <w:lang w:val="en-US"/>
              </w:rPr>
              <w:lastRenderedPageBreak/>
              <w:t xml:space="preserve">Within thirty business days following payment of fees to the social witness, the </w:t>
            </w:r>
            <w:r>
              <w:rPr>
                <w:rFonts w:ascii="Verdana" w:hAnsi="Verdana"/>
                <w:sz w:val="16"/>
                <w:szCs w:val="16"/>
                <w:lang w:val="en-US"/>
              </w:rPr>
              <w:t xml:space="preserve">State Public </w:t>
            </w:r>
            <w:proofErr w:type="gramStart"/>
            <w:r>
              <w:rPr>
                <w:rFonts w:ascii="Verdana" w:hAnsi="Verdana"/>
                <w:sz w:val="16"/>
                <w:szCs w:val="16"/>
                <w:lang w:val="en-US"/>
              </w:rPr>
              <w:t xml:space="preserve">Enterprise </w:t>
            </w:r>
            <w:r w:rsidRPr="009F0E02">
              <w:rPr>
                <w:rFonts w:ascii="Verdana" w:hAnsi="Verdana"/>
                <w:sz w:val="16"/>
                <w:szCs w:val="16"/>
                <w:lang w:val="en-US"/>
              </w:rPr>
              <w:t xml:space="preserve"> and</w:t>
            </w:r>
            <w:proofErr w:type="gramEnd"/>
            <w:r w:rsidRPr="009F0E02">
              <w:rPr>
                <w:rFonts w:ascii="Verdana" w:hAnsi="Verdana"/>
                <w:sz w:val="16"/>
                <w:szCs w:val="16"/>
                <w:lang w:val="en-US"/>
              </w:rPr>
              <w:t xml:space="preserve"> the permit holders must provide proof of payment to the Secretary. Otherwise, if payment is not confirmed after this period has elapsed, the Secretary must comply with the procedure for imposing sanctions </w:t>
            </w:r>
            <w:r w:rsidRPr="009F0E02">
              <w:rPr>
                <w:rFonts w:ascii="Verdana" w:hAnsi="Verdana"/>
                <w:sz w:val="16"/>
                <w:szCs w:val="16"/>
                <w:lang w:val="en-US"/>
              </w:rPr>
              <w:lastRenderedPageBreak/>
              <w:t>provided for in the Federal Law on Administrative Procedure.</w:t>
            </w:r>
          </w:p>
        </w:tc>
      </w:tr>
      <w:tr w:rsidR="003A38FF" w:rsidRPr="00D83DA2" w14:paraId="7B5EC64A" w14:textId="5F5872A2" w:rsidTr="00FB5DAD">
        <w:tc>
          <w:tcPr>
            <w:tcW w:w="4706" w:type="dxa"/>
          </w:tcPr>
          <w:p w14:paraId="11DD8C5F"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b/>
                <w:sz w:val="16"/>
                <w:szCs w:val="16"/>
              </w:rPr>
              <w:lastRenderedPageBreak/>
              <w:t>Artículo 237.</w:t>
            </w:r>
            <w:r w:rsidRPr="00D0180E">
              <w:rPr>
                <w:rFonts w:ascii="Verdana" w:hAnsi="Verdana"/>
                <w:sz w:val="16"/>
                <w:szCs w:val="16"/>
              </w:rPr>
              <w:t xml:space="preserve"> Cuando alguna de las partes informe y acredite ante la Secretaría que la actuación de las personas Testigos Sociales no se ha desarrollado conforme a lo establecido en el artículo 228 de este reglamento, la Secretaría puede declarar nula la participación de dichas personas testigos y revocar su registro como Testigo Social de conformidad con los lineamientos que se emitan para tal efecto.</w:t>
            </w:r>
          </w:p>
        </w:tc>
        <w:tc>
          <w:tcPr>
            <w:tcW w:w="4644" w:type="dxa"/>
          </w:tcPr>
          <w:p w14:paraId="5F32AD15" w14:textId="37684C02" w:rsidR="003A38FF" w:rsidRPr="00D0180E" w:rsidRDefault="003A38FF" w:rsidP="003A38FF">
            <w:pPr>
              <w:pStyle w:val="Texto"/>
              <w:spacing w:line="232" w:lineRule="exact"/>
              <w:ind w:firstLine="0"/>
              <w:rPr>
                <w:rFonts w:ascii="Verdana" w:hAnsi="Verdana"/>
                <w:b/>
                <w:sz w:val="16"/>
                <w:szCs w:val="16"/>
                <w:lang w:val="en-US"/>
              </w:rPr>
            </w:pPr>
            <w:r w:rsidRPr="009F0E02">
              <w:rPr>
                <w:rFonts w:ascii="Verdana" w:hAnsi="Verdana"/>
                <w:b/>
                <w:sz w:val="16"/>
                <w:szCs w:val="16"/>
                <w:lang w:val="en-US"/>
              </w:rPr>
              <w:t xml:space="preserve">Article 237. </w:t>
            </w:r>
            <w:r w:rsidRPr="009F0E02">
              <w:rPr>
                <w:rFonts w:ascii="Verdana" w:hAnsi="Verdana"/>
                <w:sz w:val="16"/>
                <w:szCs w:val="16"/>
                <w:lang w:val="en-US"/>
              </w:rPr>
              <w:t>When any of the parties reports and certifies to the Secretary that the performance of the Social Witnesses has not been carried out in accordance with the provisions of Article 228 of this regulation, the Secretary may declare the participation of said witnesses null and void and revoke their registration as social witnesses in accordance with the guidelines issued for such purpose.</w:t>
            </w:r>
          </w:p>
        </w:tc>
      </w:tr>
      <w:tr w:rsidR="003A38FF" w:rsidRPr="00D83DA2" w14:paraId="15B80FFB" w14:textId="3626DE9D" w:rsidTr="00FB5DAD">
        <w:tc>
          <w:tcPr>
            <w:tcW w:w="4706" w:type="dxa"/>
          </w:tcPr>
          <w:p w14:paraId="7DEA0468"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sz w:val="16"/>
                <w:szCs w:val="16"/>
              </w:rPr>
              <w:t>Las personas Testigos Sociales tienen derecho de audiencia a fin de que señalen lo que a su derecho convenga, previo a la declaración de la nulidad de su participación o revocación de su registro a que se refiere el párrafo anterior, por parte de la Secretaría.</w:t>
            </w:r>
          </w:p>
        </w:tc>
        <w:tc>
          <w:tcPr>
            <w:tcW w:w="4644" w:type="dxa"/>
          </w:tcPr>
          <w:p w14:paraId="0C36FAAA" w14:textId="1608F7CF" w:rsidR="003A38FF" w:rsidRPr="00D0180E" w:rsidRDefault="003A38FF" w:rsidP="003A38FF">
            <w:pPr>
              <w:pStyle w:val="Texto"/>
              <w:spacing w:line="232" w:lineRule="exact"/>
              <w:ind w:firstLine="0"/>
              <w:rPr>
                <w:rFonts w:ascii="Verdana" w:hAnsi="Verdana"/>
                <w:sz w:val="16"/>
                <w:szCs w:val="16"/>
                <w:lang w:val="en-US"/>
              </w:rPr>
            </w:pPr>
            <w:r w:rsidRPr="009F0E02">
              <w:rPr>
                <w:rFonts w:ascii="Verdana" w:hAnsi="Verdana"/>
                <w:sz w:val="16"/>
                <w:szCs w:val="16"/>
                <w:lang w:val="en-US"/>
              </w:rPr>
              <w:t xml:space="preserve">Social </w:t>
            </w:r>
            <w:r>
              <w:rPr>
                <w:rFonts w:ascii="Verdana" w:hAnsi="Verdana"/>
                <w:sz w:val="16"/>
                <w:szCs w:val="16"/>
                <w:lang w:val="en-US"/>
              </w:rPr>
              <w:t>w</w:t>
            </w:r>
            <w:r w:rsidRPr="009F0E02">
              <w:rPr>
                <w:rFonts w:ascii="Verdana" w:hAnsi="Verdana"/>
                <w:sz w:val="16"/>
                <w:szCs w:val="16"/>
                <w:lang w:val="en-US"/>
              </w:rPr>
              <w:t xml:space="preserve">itnesses have the right to a hearing </w:t>
            </w:r>
            <w:proofErr w:type="gramStart"/>
            <w:r w:rsidRPr="009F0E02">
              <w:rPr>
                <w:rFonts w:ascii="Verdana" w:hAnsi="Verdana"/>
                <w:sz w:val="16"/>
                <w:szCs w:val="16"/>
                <w:lang w:val="en-US"/>
              </w:rPr>
              <w:t>in order to</w:t>
            </w:r>
            <w:proofErr w:type="gramEnd"/>
            <w:r w:rsidRPr="009F0E02">
              <w:rPr>
                <w:rFonts w:ascii="Verdana" w:hAnsi="Verdana"/>
                <w:sz w:val="16"/>
                <w:szCs w:val="16"/>
                <w:lang w:val="en-US"/>
              </w:rPr>
              <w:t xml:space="preserve"> state what is appropriate for their rights, prior to the declaration of the nullity of their participation or the revocation of their registration referred to in the </w:t>
            </w:r>
            <w:r>
              <w:rPr>
                <w:rFonts w:ascii="Verdana" w:hAnsi="Verdana"/>
                <w:sz w:val="16"/>
                <w:szCs w:val="16"/>
                <w:lang w:val="en-US"/>
              </w:rPr>
              <w:t>preceding paragraph</w:t>
            </w:r>
            <w:r w:rsidRPr="009F0E02">
              <w:rPr>
                <w:rFonts w:ascii="Verdana" w:hAnsi="Verdana"/>
                <w:sz w:val="16"/>
                <w:szCs w:val="16"/>
                <w:lang w:val="en-US"/>
              </w:rPr>
              <w:t xml:space="preserve"> by the Secretary.</w:t>
            </w:r>
          </w:p>
        </w:tc>
      </w:tr>
      <w:tr w:rsidR="003A38FF" w:rsidRPr="00D83DA2" w14:paraId="17BB66DC" w14:textId="343B0621" w:rsidTr="00FB5DAD">
        <w:tc>
          <w:tcPr>
            <w:tcW w:w="4706" w:type="dxa"/>
          </w:tcPr>
          <w:p w14:paraId="5149CFF2"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sz w:val="16"/>
                <w:szCs w:val="16"/>
              </w:rPr>
              <w:t>Sin detrimento de lo anterior, cualquiera de las partes o la Secretaría pueden iniciar los procedimientos correspondientes respecto a la responsabilidad civil, penal o administrativa de las personas Testigos Sociales que resulte de la aplicación de sanciones por otros ordenamientos.</w:t>
            </w:r>
          </w:p>
        </w:tc>
        <w:tc>
          <w:tcPr>
            <w:tcW w:w="4644" w:type="dxa"/>
          </w:tcPr>
          <w:p w14:paraId="5766E692" w14:textId="63462AA6" w:rsidR="003A38FF" w:rsidRPr="00D0180E" w:rsidRDefault="003A38FF" w:rsidP="003A38FF">
            <w:pPr>
              <w:pStyle w:val="Texto"/>
              <w:spacing w:line="232" w:lineRule="exact"/>
              <w:ind w:firstLine="0"/>
              <w:rPr>
                <w:rFonts w:ascii="Verdana" w:hAnsi="Verdana"/>
                <w:sz w:val="16"/>
                <w:szCs w:val="16"/>
                <w:lang w:val="en-US"/>
              </w:rPr>
            </w:pPr>
            <w:r w:rsidRPr="009F0E02">
              <w:rPr>
                <w:rFonts w:ascii="Verdana" w:hAnsi="Verdana"/>
                <w:sz w:val="16"/>
                <w:szCs w:val="16"/>
                <w:lang w:val="en-US"/>
              </w:rPr>
              <w:t>Without prejudice to the foregoing, either party or the Secretary may initiate the corresponding proceedings regarding the civil, criminal, or administrative liability of Social Witnesses resulting from the application of sanctions under other legal systems.</w:t>
            </w:r>
          </w:p>
        </w:tc>
      </w:tr>
      <w:tr w:rsidR="003A38FF" w:rsidRPr="00D83DA2" w14:paraId="5AA87727" w14:textId="21A84CED" w:rsidTr="00FB5DAD">
        <w:tc>
          <w:tcPr>
            <w:tcW w:w="4706" w:type="dxa"/>
          </w:tcPr>
          <w:p w14:paraId="0B65C7A3"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b/>
                <w:sz w:val="16"/>
                <w:szCs w:val="16"/>
              </w:rPr>
              <w:t>Artículo 238.</w:t>
            </w:r>
            <w:r w:rsidRPr="00D0180E">
              <w:rPr>
                <w:rFonts w:ascii="Verdana" w:hAnsi="Verdana"/>
                <w:sz w:val="16"/>
                <w:szCs w:val="16"/>
              </w:rPr>
              <w:t xml:space="preserve"> La solicitud que realicen la Empresa Pública del Estado y las personas permisionarias, a la Secretaría de Desarrollo Agrario, Territorial y Urbano en términos del artículo 99 de la Ley, se debe regir conforme a los lineamientos que para tal efecto emita dicha Secretaría, los cuales deben observar además de lo previsto en el artículo 100 de la Ley, al menos lo siguiente:</w:t>
            </w:r>
          </w:p>
        </w:tc>
        <w:tc>
          <w:tcPr>
            <w:tcW w:w="4644" w:type="dxa"/>
          </w:tcPr>
          <w:p w14:paraId="509BEA6D" w14:textId="7A89316D" w:rsidR="003A38FF" w:rsidRPr="00D0180E" w:rsidRDefault="003A38FF" w:rsidP="003A38FF">
            <w:pPr>
              <w:pStyle w:val="Texto"/>
              <w:spacing w:line="232" w:lineRule="exact"/>
              <w:ind w:firstLine="0"/>
              <w:rPr>
                <w:rFonts w:ascii="Verdana" w:hAnsi="Verdana"/>
                <w:b/>
                <w:sz w:val="16"/>
                <w:szCs w:val="16"/>
                <w:lang w:val="en-US"/>
              </w:rPr>
            </w:pPr>
            <w:r w:rsidRPr="009F0E02">
              <w:rPr>
                <w:rFonts w:ascii="Verdana" w:hAnsi="Verdana"/>
                <w:b/>
                <w:sz w:val="16"/>
                <w:szCs w:val="16"/>
                <w:lang w:val="en-US"/>
              </w:rPr>
              <w:t xml:space="preserve">Article 238. </w:t>
            </w:r>
            <w:r w:rsidRPr="009F0E02">
              <w:rPr>
                <w:rFonts w:ascii="Verdana" w:hAnsi="Verdana"/>
                <w:sz w:val="16"/>
                <w:szCs w:val="16"/>
                <w:lang w:val="en-US"/>
              </w:rPr>
              <w:t xml:space="preserve">The request made by the </w:t>
            </w:r>
            <w:r>
              <w:rPr>
                <w:rFonts w:ascii="Verdana" w:hAnsi="Verdana"/>
                <w:sz w:val="16"/>
                <w:szCs w:val="16"/>
                <w:lang w:val="en-US"/>
              </w:rPr>
              <w:t xml:space="preserve">State Public Enterprise </w:t>
            </w:r>
            <w:r w:rsidRPr="009F0E02">
              <w:rPr>
                <w:rFonts w:ascii="Verdana" w:hAnsi="Verdana"/>
                <w:sz w:val="16"/>
                <w:szCs w:val="16"/>
                <w:lang w:val="en-US"/>
              </w:rPr>
              <w:t xml:space="preserve"> and the permit holders to the Secretary of Agrarian, Territorial and Urban Development in terms of article 99 of the Law, must be governed by the guidelines issued for such purpose by said Secretary, which must observe, in addition to the provisions of article 100 of the Law, at least the following:</w:t>
            </w:r>
          </w:p>
        </w:tc>
      </w:tr>
      <w:tr w:rsidR="003A38FF" w:rsidRPr="00D83DA2" w14:paraId="11B7111F" w14:textId="087D38A2" w:rsidTr="00FB5DAD">
        <w:tc>
          <w:tcPr>
            <w:tcW w:w="4706" w:type="dxa"/>
          </w:tcPr>
          <w:p w14:paraId="0BF00330"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En un plazo de quince días hábiles contado a partir de la solicitud de la Empresa Pública del Estado o las personas permisionarias, la Secretaría de Desarrollo Agrario, Territorial y Urbano debe emitir un dictamen preliminar sobre la procedencia de decretar la servidumbre legal, el cual debe ser notificado dentro de un plazo de cinco días hábiles a la Empresa Pública del Estado y a las personas permisionarias y a la persona titular de la tierra, bien o derecho de que se trate, para que en el plazo de diez días hábiles contado a partir de la fecha de la notificación del dictamen preliminar manifiesten lo que a su derecho corresponda;</w:t>
            </w:r>
          </w:p>
        </w:tc>
        <w:tc>
          <w:tcPr>
            <w:tcW w:w="4644" w:type="dxa"/>
          </w:tcPr>
          <w:p w14:paraId="46F25AF2" w14:textId="0B344DA4" w:rsidR="003A38FF" w:rsidRPr="00D0180E" w:rsidRDefault="003A38FF" w:rsidP="003A38FF">
            <w:pPr>
              <w:pStyle w:val="Texto"/>
              <w:spacing w:line="232" w:lineRule="exact"/>
              <w:ind w:firstLine="0"/>
              <w:rPr>
                <w:rFonts w:ascii="Verdana" w:hAnsi="Verdana"/>
                <w:b/>
                <w:sz w:val="16"/>
                <w:szCs w:val="16"/>
                <w:lang w:val="en-US"/>
              </w:rPr>
            </w:pPr>
            <w:r w:rsidRPr="009F0E02">
              <w:rPr>
                <w:rFonts w:ascii="Verdana" w:hAnsi="Verdana"/>
                <w:b/>
                <w:sz w:val="16"/>
                <w:szCs w:val="16"/>
                <w:lang w:val="en-US"/>
              </w:rPr>
              <w:t xml:space="preserve">I. </w:t>
            </w:r>
            <w:r w:rsidRPr="009F0E02">
              <w:rPr>
                <w:rFonts w:ascii="Verdana" w:hAnsi="Verdana"/>
                <w:b/>
                <w:sz w:val="16"/>
                <w:szCs w:val="16"/>
                <w:lang w:val="en-US"/>
              </w:rPr>
              <w:tab/>
            </w:r>
            <w:r w:rsidRPr="009F0E02">
              <w:rPr>
                <w:rFonts w:ascii="Verdana" w:hAnsi="Verdana"/>
                <w:sz w:val="16"/>
                <w:szCs w:val="16"/>
                <w:lang w:val="en-US"/>
              </w:rPr>
              <w:t xml:space="preserve">Within a period of fifteen business days from the request of the </w:t>
            </w:r>
            <w:r>
              <w:rPr>
                <w:rFonts w:ascii="Verdana" w:hAnsi="Verdana"/>
                <w:sz w:val="16"/>
                <w:szCs w:val="16"/>
                <w:lang w:val="en-US"/>
              </w:rPr>
              <w:t xml:space="preserve">State Public Enterprise </w:t>
            </w:r>
            <w:r w:rsidRPr="009F0E02">
              <w:rPr>
                <w:rFonts w:ascii="Verdana" w:hAnsi="Verdana"/>
                <w:sz w:val="16"/>
                <w:szCs w:val="16"/>
                <w:lang w:val="en-US"/>
              </w:rPr>
              <w:t xml:space="preserve"> or the permit holders, the Secretary of Agrarian, Territorial and Urban Development must issue a preliminary opinion on the appropriateness of decreeing the legal easement, which must be notified within a period of five business days to the </w:t>
            </w:r>
            <w:r>
              <w:rPr>
                <w:rFonts w:ascii="Verdana" w:hAnsi="Verdana"/>
                <w:sz w:val="16"/>
                <w:szCs w:val="16"/>
                <w:lang w:val="en-US"/>
              </w:rPr>
              <w:t xml:space="preserve">State Public Enterprise </w:t>
            </w:r>
            <w:r w:rsidRPr="009F0E02">
              <w:rPr>
                <w:rFonts w:ascii="Verdana" w:hAnsi="Verdana"/>
                <w:sz w:val="16"/>
                <w:szCs w:val="16"/>
                <w:lang w:val="en-US"/>
              </w:rPr>
              <w:t xml:space="preserve"> and the permit holders and to the person holding the land, property or right in question, so that within a period of ten business days from the date of notification of the preliminary opinion they may state what corresponds to their right;</w:t>
            </w:r>
          </w:p>
        </w:tc>
      </w:tr>
      <w:tr w:rsidR="003A38FF" w:rsidRPr="00D83DA2" w14:paraId="43E928A8" w14:textId="5A97C350" w:rsidTr="00FB5DAD">
        <w:tc>
          <w:tcPr>
            <w:tcW w:w="4706" w:type="dxa"/>
          </w:tcPr>
          <w:p w14:paraId="37188D15"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Mientras se substancia el procedimiento de servidumbre legal y hasta en tanto se dicte la resolución definitiva, si las partes llegan a un acuerdo definitivo en términos de las disposiciones jurídicas aplicables, la solicitud debe quedar sin efectos, y</w:t>
            </w:r>
          </w:p>
        </w:tc>
        <w:tc>
          <w:tcPr>
            <w:tcW w:w="4644" w:type="dxa"/>
          </w:tcPr>
          <w:p w14:paraId="0B2CC642" w14:textId="634260C1" w:rsidR="003A38FF" w:rsidRPr="00D0180E" w:rsidRDefault="003A38FF" w:rsidP="003A38FF">
            <w:pPr>
              <w:pStyle w:val="Texto"/>
              <w:spacing w:line="232" w:lineRule="exact"/>
              <w:ind w:firstLine="0"/>
              <w:rPr>
                <w:rFonts w:ascii="Verdana" w:hAnsi="Verdana"/>
                <w:b/>
                <w:sz w:val="16"/>
                <w:szCs w:val="16"/>
                <w:lang w:val="en-US"/>
              </w:rPr>
            </w:pPr>
            <w:proofErr w:type="gramStart"/>
            <w:r w:rsidRPr="009F0E02">
              <w:rPr>
                <w:rFonts w:ascii="Verdana" w:hAnsi="Verdana"/>
                <w:b/>
                <w:sz w:val="16"/>
                <w:szCs w:val="16"/>
                <w:lang w:val="en-US"/>
              </w:rPr>
              <w:t xml:space="preserve">II. </w:t>
            </w:r>
            <w:r w:rsidRPr="009F0E02">
              <w:rPr>
                <w:rFonts w:ascii="Verdana" w:hAnsi="Verdana"/>
                <w:b/>
                <w:sz w:val="16"/>
                <w:szCs w:val="16"/>
                <w:lang w:val="en-US"/>
              </w:rPr>
              <w:tab/>
            </w:r>
            <w:r w:rsidRPr="009F0E02">
              <w:rPr>
                <w:rFonts w:ascii="Verdana" w:hAnsi="Verdana"/>
                <w:sz w:val="16"/>
                <w:szCs w:val="16"/>
                <w:lang w:val="en-US"/>
              </w:rPr>
              <w:t>While</w:t>
            </w:r>
            <w:proofErr w:type="gramEnd"/>
            <w:r w:rsidRPr="009F0E02">
              <w:rPr>
                <w:rFonts w:ascii="Verdana" w:hAnsi="Verdana"/>
                <w:sz w:val="16"/>
                <w:szCs w:val="16"/>
                <w:lang w:val="en-US"/>
              </w:rPr>
              <w:t xml:space="preserve"> the legal easement procedure is being substantiated and until the final resolution is issued, if the parties reach a final agreement in terms of the applicable legal provisions, the request must be rendered ineffective, and</w:t>
            </w:r>
          </w:p>
        </w:tc>
      </w:tr>
      <w:tr w:rsidR="003A38FF" w:rsidRPr="00D83DA2" w14:paraId="6C213429" w14:textId="4FBE7E8F" w:rsidTr="00FB5DAD">
        <w:tc>
          <w:tcPr>
            <w:tcW w:w="4706" w:type="dxa"/>
          </w:tcPr>
          <w:p w14:paraId="62C9A08D" w14:textId="77777777" w:rsidR="003A38FF" w:rsidRPr="00D0180E" w:rsidRDefault="003A38FF" w:rsidP="003A38FF">
            <w:pPr>
              <w:pStyle w:val="Texto"/>
              <w:spacing w:line="232"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 xml:space="preserve">Transcurrido el plazo para que las personas interesadas manifiesten lo que a su derecho convenga la Secretaría de Desarrollo Agrario, Territorial y Urbano cuenta con un plazo de quince días hábiles para emitir </w:t>
            </w:r>
            <w:r w:rsidRPr="00D0180E">
              <w:rPr>
                <w:rFonts w:ascii="Verdana" w:hAnsi="Verdana"/>
                <w:sz w:val="16"/>
                <w:szCs w:val="16"/>
              </w:rPr>
              <w:lastRenderedPageBreak/>
              <w:t>el dictamen definitivo sobre las condiciones en que debe constituirse la servidumbre legal por vía administrativa.</w:t>
            </w:r>
          </w:p>
        </w:tc>
        <w:tc>
          <w:tcPr>
            <w:tcW w:w="4644" w:type="dxa"/>
          </w:tcPr>
          <w:p w14:paraId="5A0A10B6" w14:textId="18BD40CF" w:rsidR="003A38FF" w:rsidRPr="00D0180E" w:rsidRDefault="003A38FF" w:rsidP="003A38FF">
            <w:pPr>
              <w:pStyle w:val="Texto"/>
              <w:spacing w:line="232" w:lineRule="exact"/>
              <w:ind w:firstLine="0"/>
              <w:rPr>
                <w:rFonts w:ascii="Verdana" w:hAnsi="Verdana"/>
                <w:b/>
                <w:sz w:val="16"/>
                <w:szCs w:val="16"/>
                <w:lang w:val="en-US"/>
              </w:rPr>
            </w:pPr>
            <w:r w:rsidRPr="009F0E02">
              <w:rPr>
                <w:rFonts w:ascii="Verdana" w:hAnsi="Verdana"/>
                <w:b/>
                <w:sz w:val="16"/>
                <w:szCs w:val="16"/>
                <w:lang w:val="en-US"/>
              </w:rPr>
              <w:lastRenderedPageBreak/>
              <w:t>III</w:t>
            </w:r>
            <w:proofErr w:type="gramStart"/>
            <w:r w:rsidRPr="009F0E02">
              <w:rPr>
                <w:rFonts w:ascii="Verdana" w:hAnsi="Verdana"/>
                <w:b/>
                <w:sz w:val="16"/>
                <w:szCs w:val="16"/>
                <w:lang w:val="en-US"/>
              </w:rPr>
              <w:t xml:space="preserve">. </w:t>
            </w:r>
            <w:r w:rsidRPr="009F0E02">
              <w:rPr>
                <w:rFonts w:ascii="Verdana" w:hAnsi="Verdana"/>
                <w:b/>
                <w:sz w:val="16"/>
                <w:szCs w:val="16"/>
                <w:lang w:val="en-US"/>
              </w:rPr>
              <w:tab/>
            </w:r>
            <w:r w:rsidRPr="009F0E02">
              <w:rPr>
                <w:rFonts w:ascii="Verdana" w:hAnsi="Verdana"/>
                <w:sz w:val="16"/>
                <w:szCs w:val="16"/>
                <w:lang w:val="en-US"/>
              </w:rPr>
              <w:t>Once</w:t>
            </w:r>
            <w:proofErr w:type="gramEnd"/>
            <w:r w:rsidRPr="009F0E02">
              <w:rPr>
                <w:rFonts w:ascii="Verdana" w:hAnsi="Verdana"/>
                <w:sz w:val="16"/>
                <w:szCs w:val="16"/>
                <w:lang w:val="en-US"/>
              </w:rPr>
              <w:t xml:space="preserve"> the period for interested parties to express their opinions has elapsed, the Secretary of Agrarian, Territorial and Urban Development </w:t>
            </w:r>
            <w:proofErr w:type="gramStart"/>
            <w:r w:rsidRPr="009F0E02">
              <w:rPr>
                <w:rFonts w:ascii="Verdana" w:hAnsi="Verdana"/>
                <w:sz w:val="16"/>
                <w:szCs w:val="16"/>
                <w:lang w:val="en-US"/>
              </w:rPr>
              <w:t>has</w:t>
            </w:r>
            <w:proofErr w:type="gramEnd"/>
            <w:r w:rsidRPr="009F0E02">
              <w:rPr>
                <w:rFonts w:ascii="Verdana" w:hAnsi="Verdana"/>
                <w:sz w:val="16"/>
                <w:szCs w:val="16"/>
                <w:lang w:val="en-US"/>
              </w:rPr>
              <w:t xml:space="preserve"> a period of fifteen working days to issue the final opinion </w:t>
            </w:r>
            <w:r w:rsidRPr="009F0E02">
              <w:rPr>
                <w:rFonts w:ascii="Verdana" w:hAnsi="Verdana"/>
                <w:sz w:val="16"/>
                <w:szCs w:val="16"/>
                <w:lang w:val="en-US"/>
              </w:rPr>
              <w:lastRenderedPageBreak/>
              <w:t>on the conditions under which the legal easement must be established by administrative means.</w:t>
            </w:r>
          </w:p>
        </w:tc>
      </w:tr>
      <w:tr w:rsidR="003A38FF" w:rsidRPr="00D83DA2" w14:paraId="7BE22DE1" w14:textId="4F2FEB03" w:rsidTr="00FB5DAD">
        <w:tc>
          <w:tcPr>
            <w:tcW w:w="4706" w:type="dxa"/>
          </w:tcPr>
          <w:p w14:paraId="50DAFB29" w14:textId="77777777" w:rsidR="003A38FF" w:rsidRPr="00D0180E" w:rsidRDefault="003A38FF" w:rsidP="003A38FF">
            <w:pPr>
              <w:pStyle w:val="Texto"/>
              <w:spacing w:line="232" w:lineRule="exact"/>
              <w:ind w:firstLine="0"/>
              <w:rPr>
                <w:rFonts w:ascii="Verdana" w:hAnsi="Verdana"/>
                <w:b/>
                <w:sz w:val="16"/>
                <w:szCs w:val="16"/>
              </w:rPr>
            </w:pPr>
            <w:r w:rsidRPr="00D0180E">
              <w:rPr>
                <w:rFonts w:ascii="Verdana" w:hAnsi="Verdana"/>
                <w:b/>
                <w:sz w:val="16"/>
                <w:szCs w:val="16"/>
              </w:rPr>
              <w:lastRenderedPageBreak/>
              <w:t xml:space="preserve">Artículo 239. </w:t>
            </w:r>
            <w:r w:rsidRPr="00D0180E">
              <w:rPr>
                <w:rFonts w:ascii="Verdana" w:hAnsi="Verdana"/>
                <w:sz w:val="16"/>
                <w:szCs w:val="16"/>
              </w:rPr>
              <w:t>La causal de rescisión o declaración de insubsistencia a que se refiere la fracción II inciso a) del artículo 105 de la Ley, es procedente cuando el uso que se realiza en el terreno sea distinto o adicional a aquél que justificó su afectación, siempre que dicho uso no corresponda a una actividad complementaria al uso principal.</w:t>
            </w:r>
          </w:p>
        </w:tc>
        <w:tc>
          <w:tcPr>
            <w:tcW w:w="4644" w:type="dxa"/>
          </w:tcPr>
          <w:p w14:paraId="7C57A435" w14:textId="39B63E68" w:rsidR="003A38FF" w:rsidRPr="00D0180E" w:rsidRDefault="003A38FF" w:rsidP="003A38FF">
            <w:pPr>
              <w:pStyle w:val="Texto"/>
              <w:spacing w:line="232" w:lineRule="exact"/>
              <w:ind w:firstLine="0"/>
              <w:rPr>
                <w:rFonts w:ascii="Verdana" w:hAnsi="Verdana"/>
                <w:b/>
                <w:sz w:val="16"/>
                <w:szCs w:val="16"/>
                <w:lang w:val="en-US"/>
              </w:rPr>
            </w:pPr>
            <w:r w:rsidRPr="009F0E02">
              <w:rPr>
                <w:rFonts w:ascii="Verdana" w:hAnsi="Verdana"/>
                <w:b/>
                <w:sz w:val="16"/>
                <w:szCs w:val="16"/>
                <w:lang w:val="en-US"/>
              </w:rPr>
              <w:t xml:space="preserve">Article 239. </w:t>
            </w:r>
            <w:r w:rsidRPr="009F0E02">
              <w:rPr>
                <w:rFonts w:ascii="Verdana" w:hAnsi="Verdana"/>
                <w:sz w:val="16"/>
                <w:szCs w:val="16"/>
                <w:lang w:val="en-US"/>
              </w:rPr>
              <w:t xml:space="preserve">The cause for termination or declaration of non-existence referred to in Section II, paragraph a) of Article 105 of the Law is applicable when the use made of the land is different or additional to that which justified its </w:t>
            </w:r>
            <w:r>
              <w:rPr>
                <w:rFonts w:ascii="Verdana" w:hAnsi="Verdana"/>
                <w:sz w:val="16"/>
                <w:szCs w:val="16"/>
                <w:lang w:val="en-US"/>
              </w:rPr>
              <w:t>assignment</w:t>
            </w:r>
            <w:r w:rsidRPr="009F0E02">
              <w:rPr>
                <w:rFonts w:ascii="Verdana" w:hAnsi="Verdana"/>
                <w:sz w:val="16"/>
                <w:szCs w:val="16"/>
                <w:lang w:val="en-US"/>
              </w:rPr>
              <w:t>, provided that said use does not correspond to an activity complementary to the main use.</w:t>
            </w:r>
          </w:p>
        </w:tc>
      </w:tr>
      <w:tr w:rsidR="003A38FF" w:rsidRPr="00D0180E" w14:paraId="3DFF1544" w14:textId="49438874" w:rsidTr="00FB5DAD">
        <w:tc>
          <w:tcPr>
            <w:tcW w:w="4706" w:type="dxa"/>
          </w:tcPr>
          <w:p w14:paraId="2F0716B6" w14:textId="77777777" w:rsidR="003A38FF" w:rsidRPr="00D0180E" w:rsidRDefault="003A38FF" w:rsidP="003A38FF">
            <w:pPr>
              <w:pStyle w:val="Texto"/>
              <w:ind w:firstLine="0"/>
              <w:jc w:val="center"/>
              <w:rPr>
                <w:rFonts w:ascii="Verdana" w:hAnsi="Verdana"/>
                <w:b/>
                <w:sz w:val="16"/>
                <w:szCs w:val="16"/>
              </w:rPr>
            </w:pPr>
            <w:r w:rsidRPr="00D0180E">
              <w:rPr>
                <w:rFonts w:ascii="Verdana" w:hAnsi="Verdana"/>
                <w:b/>
                <w:sz w:val="16"/>
                <w:szCs w:val="16"/>
              </w:rPr>
              <w:t>TÍTULO OCTAVO</w:t>
            </w:r>
          </w:p>
        </w:tc>
        <w:tc>
          <w:tcPr>
            <w:tcW w:w="4644" w:type="dxa"/>
          </w:tcPr>
          <w:p w14:paraId="3ED6A614" w14:textId="4793CBAE" w:rsidR="003A38FF" w:rsidRPr="00D0180E" w:rsidRDefault="003A38FF" w:rsidP="003A38FF">
            <w:pPr>
              <w:pStyle w:val="Texto"/>
              <w:ind w:firstLine="0"/>
              <w:jc w:val="center"/>
              <w:rPr>
                <w:rFonts w:ascii="Verdana" w:hAnsi="Verdana"/>
                <w:b/>
                <w:sz w:val="16"/>
                <w:szCs w:val="16"/>
                <w:lang w:val="en-US"/>
              </w:rPr>
            </w:pPr>
            <w:r>
              <w:rPr>
                <w:rFonts w:ascii="Verdana" w:hAnsi="Verdana"/>
                <w:b/>
                <w:sz w:val="16"/>
                <w:szCs w:val="16"/>
              </w:rPr>
              <w:t>EIGHTH TITLE</w:t>
            </w:r>
          </w:p>
        </w:tc>
      </w:tr>
      <w:tr w:rsidR="003A38FF" w:rsidRPr="00D0180E" w14:paraId="0723F7ED" w14:textId="4BAE223C" w:rsidTr="00FB5DAD">
        <w:tc>
          <w:tcPr>
            <w:tcW w:w="4706" w:type="dxa"/>
          </w:tcPr>
          <w:p w14:paraId="7DDFA0AD" w14:textId="77777777" w:rsidR="003A38FF" w:rsidRPr="00D0180E" w:rsidRDefault="003A38FF" w:rsidP="003A38FF">
            <w:pPr>
              <w:pStyle w:val="Texto"/>
              <w:ind w:firstLine="0"/>
              <w:jc w:val="center"/>
              <w:rPr>
                <w:rFonts w:ascii="Verdana" w:hAnsi="Verdana"/>
                <w:b/>
                <w:sz w:val="16"/>
                <w:szCs w:val="16"/>
              </w:rPr>
            </w:pPr>
            <w:r w:rsidRPr="00D0180E">
              <w:rPr>
                <w:rFonts w:ascii="Verdana" w:hAnsi="Verdana"/>
                <w:b/>
                <w:sz w:val="16"/>
                <w:szCs w:val="16"/>
              </w:rPr>
              <w:t>DE LA VERIFICACIÓN E INSPECCIÓN</w:t>
            </w:r>
          </w:p>
        </w:tc>
        <w:tc>
          <w:tcPr>
            <w:tcW w:w="4644" w:type="dxa"/>
          </w:tcPr>
          <w:p w14:paraId="726430E2" w14:textId="0BF9A935" w:rsidR="003A38FF" w:rsidRPr="00D0180E" w:rsidRDefault="003A38FF" w:rsidP="003A38FF">
            <w:pPr>
              <w:pStyle w:val="Texto"/>
              <w:ind w:firstLine="0"/>
              <w:jc w:val="center"/>
              <w:rPr>
                <w:rFonts w:ascii="Verdana" w:hAnsi="Verdana"/>
                <w:b/>
                <w:sz w:val="16"/>
                <w:szCs w:val="16"/>
                <w:lang w:val="en-US"/>
              </w:rPr>
            </w:pPr>
            <w:r w:rsidRPr="00D0180E">
              <w:rPr>
                <w:rFonts w:ascii="Verdana" w:hAnsi="Verdana"/>
                <w:b/>
                <w:sz w:val="16"/>
                <w:szCs w:val="16"/>
              </w:rPr>
              <w:t>VERIFICATION AND INSPECTION</w:t>
            </w:r>
          </w:p>
        </w:tc>
      </w:tr>
      <w:tr w:rsidR="003A38FF" w:rsidRPr="00D0180E" w14:paraId="12EA9FCA" w14:textId="08B44D2F" w:rsidTr="00FB5DAD">
        <w:tc>
          <w:tcPr>
            <w:tcW w:w="4706" w:type="dxa"/>
          </w:tcPr>
          <w:p w14:paraId="09EAE1F1" w14:textId="77777777" w:rsidR="003A38FF" w:rsidRPr="00D0180E" w:rsidRDefault="003A38FF" w:rsidP="003A38FF">
            <w:pPr>
              <w:pStyle w:val="Texto"/>
              <w:ind w:firstLine="0"/>
              <w:jc w:val="center"/>
              <w:rPr>
                <w:rFonts w:ascii="Verdana" w:hAnsi="Verdana"/>
                <w:b/>
                <w:sz w:val="16"/>
                <w:szCs w:val="16"/>
              </w:rPr>
            </w:pPr>
            <w:r w:rsidRPr="00D0180E">
              <w:rPr>
                <w:rFonts w:ascii="Verdana" w:hAnsi="Verdana"/>
                <w:b/>
                <w:sz w:val="16"/>
                <w:szCs w:val="16"/>
              </w:rPr>
              <w:t>Capítulo I</w:t>
            </w:r>
          </w:p>
        </w:tc>
        <w:tc>
          <w:tcPr>
            <w:tcW w:w="4644" w:type="dxa"/>
          </w:tcPr>
          <w:p w14:paraId="0801B9F4" w14:textId="58302801" w:rsidR="003A38FF" w:rsidRPr="0025596D" w:rsidRDefault="003A38FF" w:rsidP="003A38FF">
            <w:pPr>
              <w:pStyle w:val="Texto"/>
              <w:ind w:firstLine="0"/>
              <w:jc w:val="center"/>
              <w:rPr>
                <w:rFonts w:ascii="Verdana" w:hAnsi="Verdana"/>
                <w:b/>
                <w:sz w:val="16"/>
                <w:szCs w:val="16"/>
                <w:lang w:val="en-US"/>
              </w:rPr>
            </w:pPr>
            <w:r w:rsidRPr="0025596D">
              <w:rPr>
                <w:rFonts w:ascii="Verdana" w:hAnsi="Verdana"/>
                <w:b/>
                <w:sz w:val="16"/>
                <w:szCs w:val="16"/>
                <w:lang w:val="en-US"/>
              </w:rPr>
              <w:t>Chapter I</w:t>
            </w:r>
          </w:p>
        </w:tc>
      </w:tr>
      <w:tr w:rsidR="003A38FF" w:rsidRPr="00D0180E" w14:paraId="0C424376" w14:textId="454769C2" w:rsidTr="00FB5DAD">
        <w:tc>
          <w:tcPr>
            <w:tcW w:w="4706" w:type="dxa"/>
          </w:tcPr>
          <w:p w14:paraId="4E00B590" w14:textId="77777777" w:rsidR="003A38FF" w:rsidRPr="00D0180E" w:rsidRDefault="003A38FF" w:rsidP="003A38FF">
            <w:pPr>
              <w:pStyle w:val="Texto"/>
              <w:ind w:firstLine="0"/>
              <w:jc w:val="center"/>
              <w:rPr>
                <w:rFonts w:ascii="Verdana" w:hAnsi="Verdana"/>
                <w:b/>
                <w:sz w:val="16"/>
                <w:szCs w:val="16"/>
              </w:rPr>
            </w:pPr>
            <w:r w:rsidRPr="00D0180E">
              <w:rPr>
                <w:rFonts w:ascii="Verdana" w:hAnsi="Verdana"/>
                <w:b/>
                <w:sz w:val="16"/>
                <w:szCs w:val="16"/>
              </w:rPr>
              <w:t>Disposiciones Generales</w:t>
            </w:r>
          </w:p>
        </w:tc>
        <w:tc>
          <w:tcPr>
            <w:tcW w:w="4644" w:type="dxa"/>
          </w:tcPr>
          <w:p w14:paraId="5FB10015" w14:textId="4A7B84E8" w:rsidR="003A38FF" w:rsidRPr="0025596D" w:rsidRDefault="003A38FF" w:rsidP="003A38FF">
            <w:pPr>
              <w:pStyle w:val="Texto"/>
              <w:ind w:firstLine="0"/>
              <w:jc w:val="center"/>
              <w:rPr>
                <w:rFonts w:ascii="Verdana" w:hAnsi="Verdana"/>
                <w:b/>
                <w:sz w:val="16"/>
                <w:szCs w:val="16"/>
                <w:lang w:val="en-US"/>
              </w:rPr>
            </w:pPr>
            <w:r w:rsidRPr="0025596D">
              <w:rPr>
                <w:rFonts w:ascii="Verdana" w:hAnsi="Verdana"/>
                <w:b/>
                <w:sz w:val="16"/>
                <w:szCs w:val="16"/>
                <w:lang w:val="en-US"/>
              </w:rPr>
              <w:t>General Provisions</w:t>
            </w:r>
          </w:p>
        </w:tc>
      </w:tr>
      <w:tr w:rsidR="003A38FF" w:rsidRPr="00D83DA2" w14:paraId="003E75DE" w14:textId="245CFFD8" w:rsidTr="00FB5DAD">
        <w:tc>
          <w:tcPr>
            <w:tcW w:w="4706" w:type="dxa"/>
          </w:tcPr>
          <w:p w14:paraId="6522B9CA"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 xml:space="preserve">Artículo 240. </w:t>
            </w:r>
            <w:r w:rsidRPr="00D0180E">
              <w:rPr>
                <w:rFonts w:ascii="Verdana" w:hAnsi="Verdana"/>
                <w:sz w:val="16"/>
                <w:szCs w:val="16"/>
              </w:rPr>
              <w:t>Además de las obligaciones previstas en la Ley, el presente reglamento y demás instrumentos que de estos emanan, las Integrantes del Sector Eléctrico y demás Personas Obligadas, según corresponda, deben cumplir las siguientes obligaciones:</w:t>
            </w:r>
          </w:p>
        </w:tc>
        <w:tc>
          <w:tcPr>
            <w:tcW w:w="4644" w:type="dxa"/>
          </w:tcPr>
          <w:p w14:paraId="1ECFCF9F" w14:textId="5121843C" w:rsidR="003A38FF" w:rsidRPr="00D0180E" w:rsidRDefault="003A38FF" w:rsidP="003A38FF">
            <w:pPr>
              <w:pStyle w:val="Texto"/>
              <w:ind w:firstLine="0"/>
              <w:rPr>
                <w:rFonts w:ascii="Verdana" w:hAnsi="Verdana"/>
                <w:b/>
                <w:sz w:val="16"/>
                <w:szCs w:val="16"/>
                <w:lang w:val="en-US"/>
              </w:rPr>
            </w:pPr>
            <w:r w:rsidRPr="009F0E02">
              <w:rPr>
                <w:rFonts w:ascii="Verdana" w:hAnsi="Verdana"/>
                <w:b/>
                <w:sz w:val="16"/>
                <w:szCs w:val="16"/>
                <w:lang w:val="en-US"/>
              </w:rPr>
              <w:t xml:space="preserve">Article 240. </w:t>
            </w:r>
            <w:r w:rsidRPr="009F0E02">
              <w:rPr>
                <w:rFonts w:ascii="Verdana" w:hAnsi="Verdana"/>
                <w:sz w:val="16"/>
                <w:szCs w:val="16"/>
                <w:lang w:val="en-US"/>
              </w:rPr>
              <w:t xml:space="preserve">In addition to the obligations provided for in the Law, this regulation and other instruments emanating from them, the members of the electric sector and other </w:t>
            </w:r>
            <w:proofErr w:type="gramStart"/>
            <w:r w:rsidRPr="009F0E02">
              <w:rPr>
                <w:rFonts w:ascii="Verdana" w:hAnsi="Verdana"/>
                <w:sz w:val="16"/>
                <w:szCs w:val="16"/>
                <w:lang w:val="en-US"/>
              </w:rPr>
              <w:t>obligated persons</w:t>
            </w:r>
            <w:proofErr w:type="gramEnd"/>
            <w:r w:rsidRPr="009F0E02">
              <w:rPr>
                <w:rFonts w:ascii="Verdana" w:hAnsi="Verdana"/>
                <w:sz w:val="16"/>
                <w:szCs w:val="16"/>
                <w:lang w:val="en-US"/>
              </w:rPr>
              <w:t>, as appropriate, must comply with the following obligations:</w:t>
            </w:r>
          </w:p>
        </w:tc>
      </w:tr>
      <w:tr w:rsidR="003A38FF" w:rsidRPr="00D83DA2" w14:paraId="67F97B89" w14:textId="255CCB8C" w:rsidTr="00FB5DAD">
        <w:tc>
          <w:tcPr>
            <w:tcW w:w="4706" w:type="dxa"/>
          </w:tcPr>
          <w:p w14:paraId="773C864F"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Comparecer en el lugar, fecha y hora en que sean citadas, a menos que justifiquen la imposibilidad legal o material para hacerlo;</w:t>
            </w:r>
          </w:p>
        </w:tc>
        <w:tc>
          <w:tcPr>
            <w:tcW w:w="4644" w:type="dxa"/>
          </w:tcPr>
          <w:p w14:paraId="73F989F4" w14:textId="3312AE84" w:rsidR="003A38FF" w:rsidRPr="00D0180E" w:rsidRDefault="003A38FF" w:rsidP="003A38FF">
            <w:pPr>
              <w:pStyle w:val="Texto"/>
              <w:ind w:firstLine="0"/>
              <w:rPr>
                <w:rFonts w:ascii="Verdana" w:hAnsi="Verdana"/>
                <w:b/>
                <w:sz w:val="16"/>
                <w:szCs w:val="16"/>
                <w:lang w:val="en-US"/>
              </w:rPr>
            </w:pPr>
            <w:r w:rsidRPr="009F0E02">
              <w:rPr>
                <w:rFonts w:ascii="Verdana" w:hAnsi="Verdana"/>
                <w:b/>
                <w:sz w:val="16"/>
                <w:szCs w:val="16"/>
                <w:lang w:val="en-US"/>
              </w:rPr>
              <w:t>I</w:t>
            </w:r>
            <w:proofErr w:type="gramStart"/>
            <w:r w:rsidRPr="009F0E02">
              <w:rPr>
                <w:rFonts w:ascii="Verdana" w:hAnsi="Verdana"/>
                <w:b/>
                <w:sz w:val="16"/>
                <w:szCs w:val="16"/>
                <w:lang w:val="en-US"/>
              </w:rPr>
              <w:t xml:space="preserve">. </w:t>
            </w:r>
            <w:r w:rsidRPr="009F0E02">
              <w:rPr>
                <w:rFonts w:ascii="Verdana" w:hAnsi="Verdana"/>
                <w:b/>
                <w:sz w:val="16"/>
                <w:szCs w:val="16"/>
                <w:lang w:val="en-US"/>
              </w:rPr>
              <w:tab/>
            </w:r>
            <w:r w:rsidRPr="009F0E02">
              <w:rPr>
                <w:rFonts w:ascii="Verdana" w:hAnsi="Verdana"/>
                <w:sz w:val="16"/>
                <w:szCs w:val="16"/>
                <w:lang w:val="en-US"/>
              </w:rPr>
              <w:t>Appear</w:t>
            </w:r>
            <w:proofErr w:type="gramEnd"/>
            <w:r w:rsidRPr="009F0E02">
              <w:rPr>
                <w:rFonts w:ascii="Verdana" w:hAnsi="Verdana"/>
                <w:sz w:val="16"/>
                <w:szCs w:val="16"/>
                <w:lang w:val="en-US"/>
              </w:rPr>
              <w:t xml:space="preserve"> at the place, date and time they are summoned, unless they justify the legal or material impossibility of doing so;</w:t>
            </w:r>
          </w:p>
        </w:tc>
      </w:tr>
      <w:tr w:rsidR="003A38FF" w:rsidRPr="00D83DA2" w14:paraId="04FBA416" w14:textId="472E5C83" w:rsidTr="00FB5DAD">
        <w:tc>
          <w:tcPr>
            <w:tcW w:w="4706" w:type="dxa"/>
          </w:tcPr>
          <w:p w14:paraId="69052224"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Presentar en tiempo y forma, de manera física o electrónica, la aclaración, reporte técnico, informe, certificado o cualquier otro instrumento que se le haya requerido;</w:t>
            </w:r>
          </w:p>
        </w:tc>
        <w:tc>
          <w:tcPr>
            <w:tcW w:w="4644" w:type="dxa"/>
          </w:tcPr>
          <w:p w14:paraId="589FE5A1" w14:textId="6EBDBBC4" w:rsidR="003A38FF" w:rsidRPr="00D0180E" w:rsidRDefault="003A38FF" w:rsidP="003A38FF">
            <w:pPr>
              <w:pStyle w:val="Texto"/>
              <w:ind w:firstLine="0"/>
              <w:rPr>
                <w:rFonts w:ascii="Verdana" w:hAnsi="Verdana"/>
                <w:b/>
                <w:sz w:val="16"/>
                <w:szCs w:val="16"/>
                <w:lang w:val="en-US"/>
              </w:rPr>
            </w:pPr>
            <w:r w:rsidRPr="009F0E02">
              <w:rPr>
                <w:rFonts w:ascii="Verdana" w:hAnsi="Verdana"/>
                <w:b/>
                <w:sz w:val="16"/>
                <w:szCs w:val="16"/>
                <w:lang w:val="en-US"/>
              </w:rPr>
              <w:t>II</w:t>
            </w:r>
            <w:proofErr w:type="gramStart"/>
            <w:r w:rsidRPr="009F0E02">
              <w:rPr>
                <w:rFonts w:ascii="Verdana" w:hAnsi="Verdana"/>
                <w:b/>
                <w:sz w:val="16"/>
                <w:szCs w:val="16"/>
                <w:lang w:val="en-US"/>
              </w:rPr>
              <w:t xml:space="preserve">. </w:t>
            </w:r>
            <w:r w:rsidRPr="009F0E02">
              <w:rPr>
                <w:rFonts w:ascii="Verdana" w:hAnsi="Verdana"/>
                <w:b/>
                <w:sz w:val="16"/>
                <w:szCs w:val="16"/>
                <w:lang w:val="en-US"/>
              </w:rPr>
              <w:tab/>
            </w:r>
            <w:r w:rsidRPr="009F0E02">
              <w:rPr>
                <w:rFonts w:ascii="Verdana" w:hAnsi="Verdana"/>
                <w:sz w:val="16"/>
                <w:szCs w:val="16"/>
                <w:lang w:val="en-US"/>
              </w:rPr>
              <w:t>Submit</w:t>
            </w:r>
            <w:proofErr w:type="gramEnd"/>
            <w:r w:rsidRPr="009F0E02">
              <w:rPr>
                <w:rFonts w:ascii="Verdana" w:hAnsi="Verdana"/>
                <w:sz w:val="16"/>
                <w:szCs w:val="16"/>
                <w:lang w:val="en-US"/>
              </w:rPr>
              <w:t xml:space="preserve"> in a timely manner, physically or electronically, the clarification, technical report, report, certificate or any other instrument that has been requested;</w:t>
            </w:r>
          </w:p>
        </w:tc>
      </w:tr>
      <w:tr w:rsidR="003A38FF" w:rsidRPr="00D83DA2" w14:paraId="5C95BE18" w14:textId="09393BBE" w:rsidTr="00FB5DAD">
        <w:tc>
          <w:tcPr>
            <w:tcW w:w="4706" w:type="dxa"/>
          </w:tcPr>
          <w:p w14:paraId="44D28DC6"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Permitir el acceso a los inmuebles, Sistemas de Medición, instalaciones eléctricas o demás equipos que sean objeto de una visita de verificación o inspección, así como atender en sus términos los requerimientos de información o solicitudes de comparecencia que se les formulen;</w:t>
            </w:r>
          </w:p>
        </w:tc>
        <w:tc>
          <w:tcPr>
            <w:tcW w:w="4644" w:type="dxa"/>
          </w:tcPr>
          <w:p w14:paraId="73B58ADD" w14:textId="7FD948C8" w:rsidR="003A38FF" w:rsidRPr="00D0180E" w:rsidRDefault="003A38FF" w:rsidP="003A38FF">
            <w:pPr>
              <w:pStyle w:val="Texto"/>
              <w:ind w:firstLine="0"/>
              <w:rPr>
                <w:rFonts w:ascii="Verdana" w:hAnsi="Verdana"/>
                <w:b/>
                <w:sz w:val="16"/>
                <w:szCs w:val="16"/>
                <w:lang w:val="en-US"/>
              </w:rPr>
            </w:pPr>
            <w:r w:rsidRPr="009F0E02">
              <w:rPr>
                <w:rFonts w:ascii="Verdana" w:hAnsi="Verdana"/>
                <w:b/>
                <w:sz w:val="16"/>
                <w:szCs w:val="16"/>
                <w:lang w:val="en-US"/>
              </w:rPr>
              <w:t>III</w:t>
            </w:r>
            <w:proofErr w:type="gramStart"/>
            <w:r w:rsidRPr="009F0E02">
              <w:rPr>
                <w:rFonts w:ascii="Verdana" w:hAnsi="Verdana"/>
                <w:b/>
                <w:sz w:val="16"/>
                <w:szCs w:val="16"/>
                <w:lang w:val="en-US"/>
              </w:rPr>
              <w:t xml:space="preserve">. </w:t>
            </w:r>
            <w:r w:rsidRPr="009F0E02">
              <w:rPr>
                <w:rFonts w:ascii="Verdana" w:hAnsi="Verdana"/>
                <w:b/>
                <w:sz w:val="16"/>
                <w:szCs w:val="16"/>
                <w:lang w:val="en-US"/>
              </w:rPr>
              <w:tab/>
            </w:r>
            <w:r w:rsidRPr="009F0E02">
              <w:rPr>
                <w:rFonts w:ascii="Verdana" w:hAnsi="Verdana"/>
                <w:sz w:val="16"/>
                <w:szCs w:val="16"/>
                <w:lang w:val="en-US"/>
              </w:rPr>
              <w:t>Allow</w:t>
            </w:r>
            <w:proofErr w:type="gramEnd"/>
            <w:r w:rsidRPr="009F0E02">
              <w:rPr>
                <w:rFonts w:ascii="Verdana" w:hAnsi="Verdana"/>
                <w:sz w:val="16"/>
                <w:szCs w:val="16"/>
                <w:lang w:val="en-US"/>
              </w:rPr>
              <w:t xml:space="preserve"> access to the properties, measurement systems, electrical installations or other equipment that are the subject of a verification or inspection visit, as well as respond in their terms to requests for information or </w:t>
            </w:r>
            <w:proofErr w:type="gramStart"/>
            <w:r w:rsidRPr="009F0E02">
              <w:rPr>
                <w:rFonts w:ascii="Verdana" w:hAnsi="Verdana"/>
                <w:sz w:val="16"/>
                <w:szCs w:val="16"/>
                <w:lang w:val="en-US"/>
              </w:rPr>
              <w:t>requests</w:t>
            </w:r>
            <w:proofErr w:type="gramEnd"/>
            <w:r w:rsidRPr="009F0E02">
              <w:rPr>
                <w:rFonts w:ascii="Verdana" w:hAnsi="Verdana"/>
                <w:sz w:val="16"/>
                <w:szCs w:val="16"/>
                <w:lang w:val="en-US"/>
              </w:rPr>
              <w:t xml:space="preserve"> to appear that are made to them;</w:t>
            </w:r>
          </w:p>
        </w:tc>
      </w:tr>
      <w:tr w:rsidR="003A38FF" w:rsidRPr="00D83DA2" w14:paraId="62C00D88" w14:textId="169D2BE3" w:rsidTr="00FB5DAD">
        <w:tc>
          <w:tcPr>
            <w:tcW w:w="4706" w:type="dxa"/>
          </w:tcPr>
          <w:p w14:paraId="77AA7E66"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Permitir el acceso local a los Sistemas de Medición vinculados a las instalaciones que operen o que se encuentren relacionadas con los servicios de Transmisión o Distribución, para la extracción de los datos;</w:t>
            </w:r>
          </w:p>
        </w:tc>
        <w:tc>
          <w:tcPr>
            <w:tcW w:w="4644" w:type="dxa"/>
          </w:tcPr>
          <w:p w14:paraId="26A950A6" w14:textId="7E80EED3" w:rsidR="003A38FF" w:rsidRPr="00D0180E" w:rsidRDefault="003A38FF" w:rsidP="003A38FF">
            <w:pPr>
              <w:pStyle w:val="Texto"/>
              <w:ind w:firstLine="0"/>
              <w:rPr>
                <w:rFonts w:ascii="Verdana" w:hAnsi="Verdana"/>
                <w:b/>
                <w:sz w:val="16"/>
                <w:szCs w:val="16"/>
                <w:lang w:val="en-US"/>
              </w:rPr>
            </w:pPr>
            <w:r w:rsidRPr="009F0E02">
              <w:rPr>
                <w:rFonts w:ascii="Verdana" w:hAnsi="Verdana"/>
                <w:b/>
                <w:sz w:val="16"/>
                <w:szCs w:val="16"/>
                <w:lang w:val="en-US"/>
              </w:rPr>
              <w:t>IV</w:t>
            </w:r>
            <w:proofErr w:type="gramStart"/>
            <w:r w:rsidRPr="009F0E02">
              <w:rPr>
                <w:rFonts w:ascii="Verdana" w:hAnsi="Verdana"/>
                <w:b/>
                <w:sz w:val="16"/>
                <w:szCs w:val="16"/>
                <w:lang w:val="en-US"/>
              </w:rPr>
              <w:t xml:space="preserve">. </w:t>
            </w:r>
            <w:r w:rsidRPr="009F0E02">
              <w:rPr>
                <w:rFonts w:ascii="Verdana" w:hAnsi="Verdana"/>
                <w:b/>
                <w:sz w:val="16"/>
                <w:szCs w:val="16"/>
                <w:lang w:val="en-US"/>
              </w:rPr>
              <w:tab/>
            </w:r>
            <w:r w:rsidRPr="009F0E02">
              <w:rPr>
                <w:rFonts w:ascii="Verdana" w:hAnsi="Verdana"/>
                <w:sz w:val="16"/>
                <w:szCs w:val="16"/>
                <w:lang w:val="en-US"/>
              </w:rPr>
              <w:t>Allow</w:t>
            </w:r>
            <w:proofErr w:type="gramEnd"/>
            <w:r w:rsidRPr="009F0E02">
              <w:rPr>
                <w:rFonts w:ascii="Verdana" w:hAnsi="Verdana"/>
                <w:sz w:val="16"/>
                <w:szCs w:val="16"/>
                <w:lang w:val="en-US"/>
              </w:rPr>
              <w:t xml:space="preserve"> local access to the Measurement Systems linked to the facilities that operate or are related to transmission or distribution services, for the extraction of data;</w:t>
            </w:r>
          </w:p>
        </w:tc>
      </w:tr>
      <w:tr w:rsidR="003A38FF" w:rsidRPr="00D83DA2" w14:paraId="6DCEBE35" w14:textId="4887B816" w:rsidTr="00FB5DAD">
        <w:tc>
          <w:tcPr>
            <w:tcW w:w="4706" w:type="dxa"/>
          </w:tcPr>
          <w:p w14:paraId="7CD40B9F"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Abstenerse de impedir u obstaculizar por cualquier medio las diligencias a que se refieren las fracciones III y IV;</w:t>
            </w:r>
          </w:p>
        </w:tc>
        <w:tc>
          <w:tcPr>
            <w:tcW w:w="4644" w:type="dxa"/>
          </w:tcPr>
          <w:p w14:paraId="19ADFE49" w14:textId="5F4CDECE" w:rsidR="003A38FF" w:rsidRPr="00D0180E" w:rsidRDefault="003A38FF" w:rsidP="003A38FF">
            <w:pPr>
              <w:pStyle w:val="Texto"/>
              <w:ind w:firstLine="0"/>
              <w:rPr>
                <w:rFonts w:ascii="Verdana" w:hAnsi="Verdana"/>
                <w:b/>
                <w:sz w:val="16"/>
                <w:szCs w:val="16"/>
                <w:lang w:val="en-US"/>
              </w:rPr>
            </w:pPr>
            <w:r w:rsidRPr="009F0E02">
              <w:rPr>
                <w:rFonts w:ascii="Verdana" w:hAnsi="Verdana"/>
                <w:b/>
                <w:sz w:val="16"/>
                <w:szCs w:val="16"/>
                <w:lang w:val="en-US"/>
              </w:rPr>
              <w:t>V</w:t>
            </w:r>
            <w:proofErr w:type="gramStart"/>
            <w:r w:rsidRPr="009F0E02">
              <w:rPr>
                <w:rFonts w:ascii="Verdana" w:hAnsi="Verdana"/>
                <w:b/>
                <w:sz w:val="16"/>
                <w:szCs w:val="16"/>
                <w:lang w:val="en-US"/>
              </w:rPr>
              <w:t xml:space="preserve">. </w:t>
            </w:r>
            <w:r w:rsidRPr="009F0E02">
              <w:rPr>
                <w:rFonts w:ascii="Verdana" w:hAnsi="Verdana"/>
                <w:b/>
                <w:sz w:val="16"/>
                <w:szCs w:val="16"/>
                <w:lang w:val="en-US"/>
              </w:rPr>
              <w:tab/>
            </w:r>
            <w:r w:rsidRPr="009F0E02">
              <w:rPr>
                <w:rFonts w:ascii="Verdana" w:hAnsi="Verdana"/>
                <w:sz w:val="16"/>
                <w:szCs w:val="16"/>
                <w:lang w:val="en-US"/>
              </w:rPr>
              <w:t>Refrain</w:t>
            </w:r>
            <w:proofErr w:type="gramEnd"/>
            <w:r w:rsidRPr="009F0E02">
              <w:rPr>
                <w:rFonts w:ascii="Verdana" w:hAnsi="Verdana"/>
                <w:sz w:val="16"/>
                <w:szCs w:val="16"/>
                <w:lang w:val="en-US"/>
              </w:rPr>
              <w:t xml:space="preserve"> from impeding or obstructing by any means the proceedings referred to in sections III and IV;</w:t>
            </w:r>
          </w:p>
        </w:tc>
      </w:tr>
      <w:tr w:rsidR="003A38FF" w:rsidRPr="00D83DA2" w14:paraId="2616B7E9" w14:textId="4300E546" w:rsidTr="00FB5DAD">
        <w:tc>
          <w:tcPr>
            <w:tcW w:w="4706" w:type="dxa"/>
          </w:tcPr>
          <w:p w14:paraId="2F63E360"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Acreditar en su comparecencia o durante el desarrollo de las visitas y diligencias previstas en la Ley, el presente reglamento, así como en las disposiciones administrativas aplicables, su capacidad jurídica y, en su caso, la personalidad con la que se ostenten, salvo que previamente ya se tengan reconocidas y no hayan sido revocadas;</w:t>
            </w:r>
          </w:p>
        </w:tc>
        <w:tc>
          <w:tcPr>
            <w:tcW w:w="4644" w:type="dxa"/>
          </w:tcPr>
          <w:p w14:paraId="14689576" w14:textId="7B351F59" w:rsidR="003A38FF" w:rsidRPr="00D0180E" w:rsidRDefault="003A38FF" w:rsidP="003A38FF">
            <w:pPr>
              <w:pStyle w:val="Texto"/>
              <w:ind w:firstLine="0"/>
              <w:rPr>
                <w:rFonts w:ascii="Verdana" w:hAnsi="Verdana"/>
                <w:b/>
                <w:sz w:val="16"/>
                <w:szCs w:val="16"/>
                <w:lang w:val="en-US"/>
              </w:rPr>
            </w:pPr>
            <w:r w:rsidRPr="009F0E02">
              <w:rPr>
                <w:rFonts w:ascii="Verdana" w:hAnsi="Verdana"/>
                <w:b/>
                <w:sz w:val="16"/>
                <w:szCs w:val="16"/>
                <w:lang w:val="en-US"/>
              </w:rPr>
              <w:t>VI</w:t>
            </w:r>
            <w:proofErr w:type="gramStart"/>
            <w:r w:rsidRPr="009F0E02">
              <w:rPr>
                <w:rFonts w:ascii="Verdana" w:hAnsi="Verdana"/>
                <w:b/>
                <w:sz w:val="16"/>
                <w:szCs w:val="16"/>
                <w:lang w:val="en-US"/>
              </w:rPr>
              <w:t xml:space="preserve">. </w:t>
            </w:r>
            <w:r w:rsidRPr="009F0E02">
              <w:rPr>
                <w:rFonts w:ascii="Verdana" w:hAnsi="Verdana"/>
                <w:b/>
                <w:sz w:val="16"/>
                <w:szCs w:val="16"/>
                <w:lang w:val="en-US"/>
              </w:rPr>
              <w:tab/>
            </w:r>
            <w:r w:rsidRPr="009F0E02">
              <w:rPr>
                <w:rFonts w:ascii="Verdana" w:hAnsi="Verdana"/>
                <w:sz w:val="16"/>
                <w:szCs w:val="16"/>
                <w:lang w:val="en-US"/>
              </w:rPr>
              <w:t>To</w:t>
            </w:r>
            <w:proofErr w:type="gramEnd"/>
            <w:r w:rsidRPr="009F0E02">
              <w:rPr>
                <w:rFonts w:ascii="Verdana" w:hAnsi="Verdana"/>
                <w:sz w:val="16"/>
                <w:szCs w:val="16"/>
                <w:lang w:val="en-US"/>
              </w:rPr>
              <w:t xml:space="preserve"> </w:t>
            </w:r>
            <w:r>
              <w:rPr>
                <w:rFonts w:ascii="Verdana" w:hAnsi="Verdana"/>
                <w:sz w:val="16"/>
                <w:szCs w:val="16"/>
                <w:lang w:val="en-US"/>
              </w:rPr>
              <w:t>verify</w:t>
            </w:r>
            <w:r w:rsidRPr="009F0E02">
              <w:rPr>
                <w:rFonts w:ascii="Verdana" w:hAnsi="Verdana"/>
                <w:sz w:val="16"/>
                <w:szCs w:val="16"/>
                <w:lang w:val="en-US"/>
              </w:rPr>
              <w:t xml:space="preserve">, in their appearance or during the development of the visits and proceedings provided for in the Law, this regulation, as well as in the applicable administrative provisions, their legal capacity and, where applicable, the </w:t>
            </w:r>
            <w:r>
              <w:rPr>
                <w:rFonts w:ascii="Verdana" w:hAnsi="Verdana"/>
                <w:sz w:val="16"/>
                <w:szCs w:val="16"/>
                <w:lang w:val="en-US"/>
              </w:rPr>
              <w:t>standing</w:t>
            </w:r>
            <w:r w:rsidRPr="009F0E02">
              <w:rPr>
                <w:rFonts w:ascii="Verdana" w:hAnsi="Verdana"/>
                <w:sz w:val="16"/>
                <w:szCs w:val="16"/>
                <w:lang w:val="en-US"/>
              </w:rPr>
              <w:t xml:space="preserve"> with which they are held, unless they have already been previously recognized and have not been revoked;</w:t>
            </w:r>
          </w:p>
        </w:tc>
      </w:tr>
      <w:tr w:rsidR="003A38FF" w:rsidRPr="00D83DA2" w14:paraId="4845EC6F" w14:textId="0B3A79FB" w:rsidTr="00FB5DAD">
        <w:tc>
          <w:tcPr>
            <w:tcW w:w="4706" w:type="dxa"/>
          </w:tcPr>
          <w:p w14:paraId="509A3DE9"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Exhibir los libros, registros, documentos, y demás instrumentos que les sean requeridos en la orden u oficio correspondiente;</w:t>
            </w:r>
          </w:p>
        </w:tc>
        <w:tc>
          <w:tcPr>
            <w:tcW w:w="4644" w:type="dxa"/>
          </w:tcPr>
          <w:p w14:paraId="5D6648CE" w14:textId="2D707AD2" w:rsidR="003A38FF" w:rsidRPr="00D0180E" w:rsidRDefault="003A38FF" w:rsidP="003A38FF">
            <w:pPr>
              <w:pStyle w:val="Texto"/>
              <w:ind w:firstLine="0"/>
              <w:rPr>
                <w:rFonts w:ascii="Verdana" w:hAnsi="Verdana"/>
                <w:b/>
                <w:sz w:val="16"/>
                <w:szCs w:val="16"/>
                <w:lang w:val="en-US"/>
              </w:rPr>
            </w:pPr>
            <w:r w:rsidRPr="009F0E02">
              <w:rPr>
                <w:rFonts w:ascii="Verdana" w:hAnsi="Verdana"/>
                <w:b/>
                <w:sz w:val="16"/>
                <w:szCs w:val="16"/>
                <w:lang w:val="en-US"/>
              </w:rPr>
              <w:t>VII</w:t>
            </w:r>
            <w:proofErr w:type="gramStart"/>
            <w:r w:rsidRPr="009F0E02">
              <w:rPr>
                <w:rFonts w:ascii="Verdana" w:hAnsi="Verdana"/>
                <w:b/>
                <w:sz w:val="16"/>
                <w:szCs w:val="16"/>
                <w:lang w:val="en-US"/>
              </w:rPr>
              <w:t xml:space="preserve">. </w:t>
            </w:r>
            <w:r w:rsidRPr="009F0E02">
              <w:rPr>
                <w:rFonts w:ascii="Verdana" w:hAnsi="Verdana"/>
                <w:b/>
                <w:sz w:val="16"/>
                <w:szCs w:val="16"/>
                <w:lang w:val="en-US"/>
              </w:rPr>
              <w:tab/>
            </w:r>
            <w:r w:rsidRPr="009F0E02">
              <w:rPr>
                <w:rFonts w:ascii="Verdana" w:hAnsi="Verdana"/>
                <w:sz w:val="16"/>
                <w:szCs w:val="16"/>
                <w:lang w:val="en-US"/>
              </w:rPr>
              <w:t>Exhibit</w:t>
            </w:r>
            <w:proofErr w:type="gramEnd"/>
            <w:r w:rsidRPr="009F0E02">
              <w:rPr>
                <w:rFonts w:ascii="Verdana" w:hAnsi="Verdana"/>
                <w:sz w:val="16"/>
                <w:szCs w:val="16"/>
                <w:lang w:val="en-US"/>
              </w:rPr>
              <w:t xml:space="preserve"> the books, records, documents, and other instruments that are required in the corresponding order or letter;</w:t>
            </w:r>
          </w:p>
        </w:tc>
      </w:tr>
      <w:tr w:rsidR="003A38FF" w:rsidRPr="00D83DA2" w14:paraId="48BAC4C4" w14:textId="3803F0A3" w:rsidTr="00FB5DAD">
        <w:tc>
          <w:tcPr>
            <w:tcW w:w="4706" w:type="dxa"/>
          </w:tcPr>
          <w:p w14:paraId="3D8C4188"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VIII.</w:t>
            </w:r>
            <w:r w:rsidRPr="00D0180E">
              <w:rPr>
                <w:rFonts w:ascii="Verdana" w:hAnsi="Verdana"/>
                <w:b/>
                <w:sz w:val="16"/>
                <w:szCs w:val="16"/>
              </w:rPr>
              <w:tab/>
            </w:r>
            <w:r w:rsidRPr="00D0180E">
              <w:rPr>
                <w:rFonts w:ascii="Verdana" w:hAnsi="Verdana"/>
                <w:sz w:val="16"/>
                <w:szCs w:val="16"/>
              </w:rPr>
              <w:t xml:space="preserve">Brindar las facilidades necesarias para que se practiquen las diligencias establecidas en el presente reglamento, así como dar instrucciones a sus </w:t>
            </w:r>
            <w:r w:rsidRPr="00D0180E">
              <w:rPr>
                <w:rFonts w:ascii="Verdana" w:hAnsi="Verdana"/>
                <w:sz w:val="16"/>
                <w:szCs w:val="16"/>
              </w:rPr>
              <w:lastRenderedPageBreak/>
              <w:t>representantes o personal a su cargo para que no opongan obstáculo alguno a las mismas y proporcionen la asistencia que se les requiera;</w:t>
            </w:r>
          </w:p>
        </w:tc>
        <w:tc>
          <w:tcPr>
            <w:tcW w:w="4644" w:type="dxa"/>
          </w:tcPr>
          <w:p w14:paraId="0A3362FA" w14:textId="2B38D674" w:rsidR="003A38FF" w:rsidRPr="00D0180E" w:rsidRDefault="003A38FF" w:rsidP="003A38FF">
            <w:pPr>
              <w:pStyle w:val="Texto"/>
              <w:ind w:firstLine="0"/>
              <w:rPr>
                <w:rFonts w:ascii="Verdana" w:hAnsi="Verdana"/>
                <w:b/>
                <w:sz w:val="16"/>
                <w:szCs w:val="16"/>
                <w:lang w:val="en-US"/>
              </w:rPr>
            </w:pPr>
            <w:r w:rsidRPr="009F0E02">
              <w:rPr>
                <w:rFonts w:ascii="Verdana" w:hAnsi="Verdana"/>
                <w:b/>
                <w:sz w:val="16"/>
                <w:szCs w:val="16"/>
                <w:lang w:val="en-US"/>
              </w:rPr>
              <w:lastRenderedPageBreak/>
              <w:t xml:space="preserve">VIII. </w:t>
            </w:r>
            <w:r w:rsidRPr="009F0E02">
              <w:rPr>
                <w:rFonts w:ascii="Verdana" w:hAnsi="Verdana"/>
                <w:b/>
                <w:sz w:val="16"/>
                <w:szCs w:val="16"/>
                <w:lang w:val="en-US"/>
              </w:rPr>
              <w:tab/>
            </w:r>
            <w:r w:rsidRPr="009F0E02">
              <w:rPr>
                <w:rFonts w:ascii="Verdana" w:hAnsi="Verdana"/>
                <w:sz w:val="16"/>
                <w:szCs w:val="16"/>
                <w:lang w:val="en-US"/>
              </w:rPr>
              <w:t xml:space="preserve">Provide the necessary facilities for the performance of the procedures established in this Regulation, as well as instruct their representatives or </w:t>
            </w:r>
            <w:r w:rsidRPr="009F0E02">
              <w:rPr>
                <w:rFonts w:ascii="Verdana" w:hAnsi="Verdana"/>
                <w:sz w:val="16"/>
                <w:szCs w:val="16"/>
                <w:lang w:val="en-US"/>
              </w:rPr>
              <w:lastRenderedPageBreak/>
              <w:t>personnel under their charge not to oppose any obstacles to them and to provide the assistance required;</w:t>
            </w:r>
          </w:p>
        </w:tc>
      </w:tr>
      <w:tr w:rsidR="003A38FF" w:rsidRPr="00D83DA2" w14:paraId="74AC4DC3" w14:textId="7068C86A" w:rsidTr="00FB5DAD">
        <w:tc>
          <w:tcPr>
            <w:tcW w:w="4706" w:type="dxa"/>
          </w:tcPr>
          <w:p w14:paraId="401B5C2F"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lastRenderedPageBreak/>
              <w:t>IX.</w:t>
            </w:r>
            <w:r w:rsidRPr="00D0180E">
              <w:rPr>
                <w:rFonts w:ascii="Verdana" w:hAnsi="Verdana"/>
                <w:b/>
                <w:sz w:val="16"/>
                <w:szCs w:val="16"/>
              </w:rPr>
              <w:tab/>
            </w:r>
            <w:r w:rsidRPr="00D0180E">
              <w:rPr>
                <w:rFonts w:ascii="Verdana" w:hAnsi="Verdana"/>
                <w:sz w:val="16"/>
                <w:szCs w:val="16"/>
              </w:rPr>
              <w:t>Cuando así se le solicite, notificar con la anticipación correspondiente el retiro o sustitución de las personas del centro de trabajo;</w:t>
            </w:r>
          </w:p>
        </w:tc>
        <w:tc>
          <w:tcPr>
            <w:tcW w:w="4644" w:type="dxa"/>
          </w:tcPr>
          <w:p w14:paraId="7EDD822A" w14:textId="4B54BC30" w:rsidR="003A38FF" w:rsidRPr="00D0180E" w:rsidRDefault="003A38FF" w:rsidP="003A38FF">
            <w:pPr>
              <w:pStyle w:val="Texto"/>
              <w:ind w:firstLine="0"/>
              <w:rPr>
                <w:rFonts w:ascii="Verdana" w:hAnsi="Verdana"/>
                <w:b/>
                <w:sz w:val="16"/>
                <w:szCs w:val="16"/>
                <w:lang w:val="en-US"/>
              </w:rPr>
            </w:pPr>
            <w:r w:rsidRPr="009F0E02">
              <w:rPr>
                <w:rFonts w:ascii="Verdana" w:hAnsi="Verdana"/>
                <w:b/>
                <w:sz w:val="16"/>
                <w:szCs w:val="16"/>
                <w:lang w:val="en-US"/>
              </w:rPr>
              <w:t>IX</w:t>
            </w:r>
            <w:proofErr w:type="gramStart"/>
            <w:r w:rsidRPr="009F0E02">
              <w:rPr>
                <w:rFonts w:ascii="Verdana" w:hAnsi="Verdana"/>
                <w:b/>
                <w:sz w:val="16"/>
                <w:szCs w:val="16"/>
                <w:lang w:val="en-US"/>
              </w:rPr>
              <w:t xml:space="preserve">. </w:t>
            </w:r>
            <w:r w:rsidRPr="009F0E02">
              <w:rPr>
                <w:rFonts w:ascii="Verdana" w:hAnsi="Verdana"/>
                <w:b/>
                <w:sz w:val="16"/>
                <w:szCs w:val="16"/>
                <w:lang w:val="en-US"/>
              </w:rPr>
              <w:tab/>
            </w:r>
            <w:r w:rsidRPr="009F0E02">
              <w:rPr>
                <w:rFonts w:ascii="Verdana" w:hAnsi="Verdana"/>
                <w:sz w:val="16"/>
                <w:szCs w:val="16"/>
                <w:lang w:val="en-US"/>
              </w:rPr>
              <w:t>When</w:t>
            </w:r>
            <w:proofErr w:type="gramEnd"/>
            <w:r w:rsidRPr="009F0E02">
              <w:rPr>
                <w:rFonts w:ascii="Verdana" w:hAnsi="Verdana"/>
                <w:sz w:val="16"/>
                <w:szCs w:val="16"/>
                <w:lang w:val="en-US"/>
              </w:rPr>
              <w:t xml:space="preserve"> requested, provide sufficient advance notice of the withdrawal or replacement of </w:t>
            </w:r>
            <w:proofErr w:type="gramStart"/>
            <w:r w:rsidRPr="009F0E02">
              <w:rPr>
                <w:rFonts w:ascii="Verdana" w:hAnsi="Verdana"/>
                <w:sz w:val="16"/>
                <w:szCs w:val="16"/>
                <w:lang w:val="en-US"/>
              </w:rPr>
              <w:t>persons</w:t>
            </w:r>
            <w:proofErr w:type="gramEnd"/>
            <w:r w:rsidRPr="009F0E02">
              <w:rPr>
                <w:rFonts w:ascii="Verdana" w:hAnsi="Verdana"/>
                <w:sz w:val="16"/>
                <w:szCs w:val="16"/>
                <w:lang w:val="en-US"/>
              </w:rPr>
              <w:t xml:space="preserve"> from the workplace;</w:t>
            </w:r>
          </w:p>
        </w:tc>
      </w:tr>
      <w:tr w:rsidR="003A38FF" w:rsidRPr="00D83DA2" w14:paraId="01E57732" w14:textId="12D7889C" w:rsidTr="00FB5DAD">
        <w:tc>
          <w:tcPr>
            <w:tcW w:w="4706" w:type="dxa"/>
          </w:tcPr>
          <w:p w14:paraId="1130381D"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X.</w:t>
            </w:r>
            <w:r w:rsidRPr="00D0180E">
              <w:rPr>
                <w:rFonts w:ascii="Verdana" w:hAnsi="Verdana"/>
                <w:b/>
                <w:sz w:val="16"/>
                <w:szCs w:val="16"/>
              </w:rPr>
              <w:tab/>
            </w:r>
            <w:r w:rsidRPr="00D0180E">
              <w:rPr>
                <w:rFonts w:ascii="Verdana" w:hAnsi="Verdana"/>
                <w:sz w:val="16"/>
                <w:szCs w:val="16"/>
              </w:rPr>
              <w:t>De resultar necesario facilitar el equipo de seguridad que se requiera a las personas encomendadas para ejecutar la diligencia de que se trate;</w:t>
            </w:r>
          </w:p>
        </w:tc>
        <w:tc>
          <w:tcPr>
            <w:tcW w:w="4644" w:type="dxa"/>
          </w:tcPr>
          <w:p w14:paraId="71A08C2E" w14:textId="33CEA144" w:rsidR="003A38FF" w:rsidRPr="00D0180E" w:rsidRDefault="003A38FF" w:rsidP="003A38FF">
            <w:pPr>
              <w:pStyle w:val="Texto"/>
              <w:ind w:firstLine="0"/>
              <w:rPr>
                <w:rFonts w:ascii="Verdana" w:hAnsi="Verdana"/>
                <w:b/>
                <w:sz w:val="16"/>
                <w:szCs w:val="16"/>
                <w:lang w:val="en-US"/>
              </w:rPr>
            </w:pPr>
            <w:r w:rsidRPr="009F0E02">
              <w:rPr>
                <w:rFonts w:ascii="Verdana" w:hAnsi="Verdana"/>
                <w:b/>
                <w:sz w:val="16"/>
                <w:szCs w:val="16"/>
                <w:lang w:val="en-US"/>
              </w:rPr>
              <w:t>X</w:t>
            </w:r>
            <w:proofErr w:type="gramStart"/>
            <w:r w:rsidRPr="009F0E02">
              <w:rPr>
                <w:rFonts w:ascii="Verdana" w:hAnsi="Verdana"/>
                <w:b/>
                <w:sz w:val="16"/>
                <w:szCs w:val="16"/>
                <w:lang w:val="en-US"/>
              </w:rPr>
              <w:t xml:space="preserve">. </w:t>
            </w:r>
            <w:r w:rsidRPr="009F0E02">
              <w:rPr>
                <w:rFonts w:ascii="Verdana" w:hAnsi="Verdana"/>
                <w:b/>
                <w:sz w:val="16"/>
                <w:szCs w:val="16"/>
                <w:lang w:val="en-US"/>
              </w:rPr>
              <w:tab/>
            </w:r>
            <w:r w:rsidRPr="009F0E02">
              <w:rPr>
                <w:rFonts w:ascii="Verdana" w:hAnsi="Verdana"/>
                <w:sz w:val="16"/>
                <w:szCs w:val="16"/>
                <w:lang w:val="en-US"/>
              </w:rPr>
              <w:t>If</w:t>
            </w:r>
            <w:proofErr w:type="gramEnd"/>
            <w:r w:rsidRPr="009F0E02">
              <w:rPr>
                <w:rFonts w:ascii="Verdana" w:hAnsi="Verdana"/>
                <w:sz w:val="16"/>
                <w:szCs w:val="16"/>
                <w:lang w:val="en-US"/>
              </w:rPr>
              <w:t xml:space="preserve"> it is necessary to provide the security equipment required to the </w:t>
            </w:r>
            <w:proofErr w:type="gramStart"/>
            <w:r w:rsidRPr="009F0E02">
              <w:rPr>
                <w:rFonts w:ascii="Verdana" w:hAnsi="Verdana"/>
                <w:sz w:val="16"/>
                <w:szCs w:val="16"/>
                <w:lang w:val="en-US"/>
              </w:rPr>
              <w:t>persons</w:t>
            </w:r>
            <w:proofErr w:type="gramEnd"/>
            <w:r w:rsidRPr="009F0E02">
              <w:rPr>
                <w:rFonts w:ascii="Verdana" w:hAnsi="Verdana"/>
                <w:sz w:val="16"/>
                <w:szCs w:val="16"/>
                <w:lang w:val="en-US"/>
              </w:rPr>
              <w:t xml:space="preserve"> entrusted to carry out the </w:t>
            </w:r>
            <w:r>
              <w:rPr>
                <w:rFonts w:ascii="Verdana" w:hAnsi="Verdana"/>
                <w:sz w:val="16"/>
                <w:szCs w:val="16"/>
                <w:lang w:val="en-US"/>
              </w:rPr>
              <w:t>procedure</w:t>
            </w:r>
            <w:r w:rsidRPr="009F0E02">
              <w:rPr>
                <w:rFonts w:ascii="Verdana" w:hAnsi="Verdana"/>
                <w:sz w:val="16"/>
                <w:szCs w:val="16"/>
                <w:lang w:val="en-US"/>
              </w:rPr>
              <w:t xml:space="preserve"> in question;</w:t>
            </w:r>
          </w:p>
        </w:tc>
      </w:tr>
      <w:tr w:rsidR="003A38FF" w:rsidRPr="00D83DA2" w14:paraId="216D2E3E" w14:textId="372EB3CD" w:rsidTr="00FB5DAD">
        <w:tc>
          <w:tcPr>
            <w:tcW w:w="4706" w:type="dxa"/>
          </w:tcPr>
          <w:p w14:paraId="5B1A77A7"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XI.</w:t>
            </w:r>
            <w:r w:rsidRPr="00D0180E">
              <w:rPr>
                <w:rFonts w:ascii="Verdana" w:hAnsi="Verdana"/>
                <w:b/>
                <w:sz w:val="16"/>
                <w:szCs w:val="16"/>
              </w:rPr>
              <w:tab/>
            </w:r>
            <w:r w:rsidRPr="00D0180E">
              <w:rPr>
                <w:rFonts w:ascii="Verdana" w:hAnsi="Verdana"/>
                <w:sz w:val="16"/>
                <w:szCs w:val="16"/>
              </w:rPr>
              <w:t>Permitir la presencia de las personas servidoras públicas que se determinen en la orden u oficio correspondiente;</w:t>
            </w:r>
          </w:p>
        </w:tc>
        <w:tc>
          <w:tcPr>
            <w:tcW w:w="4644" w:type="dxa"/>
          </w:tcPr>
          <w:p w14:paraId="15B49951" w14:textId="61E24125" w:rsidR="003A38FF" w:rsidRPr="00D0180E" w:rsidRDefault="003A38FF" w:rsidP="003A38FF">
            <w:pPr>
              <w:pStyle w:val="Texto"/>
              <w:ind w:firstLine="0"/>
              <w:rPr>
                <w:rFonts w:ascii="Verdana" w:hAnsi="Verdana"/>
                <w:b/>
                <w:sz w:val="16"/>
                <w:szCs w:val="16"/>
                <w:lang w:val="en-US"/>
              </w:rPr>
            </w:pPr>
            <w:r w:rsidRPr="009F0E02">
              <w:rPr>
                <w:rFonts w:ascii="Verdana" w:hAnsi="Verdana"/>
                <w:b/>
                <w:sz w:val="16"/>
                <w:szCs w:val="16"/>
                <w:lang w:val="en-US"/>
              </w:rPr>
              <w:t>XI</w:t>
            </w:r>
            <w:proofErr w:type="gramStart"/>
            <w:r w:rsidRPr="009F0E02">
              <w:rPr>
                <w:rFonts w:ascii="Verdana" w:hAnsi="Verdana"/>
                <w:b/>
                <w:sz w:val="16"/>
                <w:szCs w:val="16"/>
                <w:lang w:val="en-US"/>
              </w:rPr>
              <w:t xml:space="preserve">. </w:t>
            </w:r>
            <w:r w:rsidRPr="009F0E02">
              <w:rPr>
                <w:rFonts w:ascii="Verdana" w:hAnsi="Verdana"/>
                <w:b/>
                <w:sz w:val="16"/>
                <w:szCs w:val="16"/>
                <w:lang w:val="en-US"/>
              </w:rPr>
              <w:tab/>
            </w:r>
            <w:r w:rsidRPr="009F0E02">
              <w:rPr>
                <w:rFonts w:ascii="Verdana" w:hAnsi="Verdana"/>
                <w:sz w:val="16"/>
                <w:szCs w:val="16"/>
                <w:lang w:val="en-US"/>
              </w:rPr>
              <w:t>Allow</w:t>
            </w:r>
            <w:proofErr w:type="gramEnd"/>
            <w:r w:rsidRPr="009F0E02">
              <w:rPr>
                <w:rFonts w:ascii="Verdana" w:hAnsi="Verdana"/>
                <w:sz w:val="16"/>
                <w:szCs w:val="16"/>
                <w:lang w:val="en-US"/>
              </w:rPr>
              <w:t xml:space="preserve"> the presence of public servants </w:t>
            </w:r>
            <w:proofErr w:type="gramStart"/>
            <w:r w:rsidRPr="009F0E02">
              <w:rPr>
                <w:rFonts w:ascii="Verdana" w:hAnsi="Verdana"/>
                <w:sz w:val="16"/>
                <w:szCs w:val="16"/>
                <w:lang w:val="en-US"/>
              </w:rPr>
              <w:t>determined</w:t>
            </w:r>
            <w:proofErr w:type="gramEnd"/>
            <w:r w:rsidRPr="009F0E02">
              <w:rPr>
                <w:rFonts w:ascii="Verdana" w:hAnsi="Verdana"/>
                <w:sz w:val="16"/>
                <w:szCs w:val="16"/>
                <w:lang w:val="en-US"/>
              </w:rPr>
              <w:t xml:space="preserve"> in the corresponding order or document;</w:t>
            </w:r>
          </w:p>
        </w:tc>
      </w:tr>
      <w:tr w:rsidR="003A38FF" w:rsidRPr="00D83DA2" w14:paraId="660200E8" w14:textId="4C6A63BC" w:rsidTr="00FB5DAD">
        <w:tc>
          <w:tcPr>
            <w:tcW w:w="4706" w:type="dxa"/>
          </w:tcPr>
          <w:p w14:paraId="7493D291"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XII.</w:t>
            </w:r>
            <w:r w:rsidRPr="00D0180E">
              <w:rPr>
                <w:rFonts w:ascii="Verdana" w:hAnsi="Verdana"/>
                <w:b/>
                <w:sz w:val="16"/>
                <w:szCs w:val="16"/>
              </w:rPr>
              <w:tab/>
            </w:r>
            <w:r w:rsidRPr="00D0180E">
              <w:rPr>
                <w:rFonts w:ascii="Verdana" w:hAnsi="Verdana"/>
                <w:sz w:val="16"/>
                <w:szCs w:val="16"/>
              </w:rPr>
              <w:t>Abstenerse de conducirse con falsedad, dolo, mala fe, violencia, presentar documentación apócrifa, así como de promover una conducta contraria a la Ley, y</w:t>
            </w:r>
          </w:p>
        </w:tc>
        <w:tc>
          <w:tcPr>
            <w:tcW w:w="4644" w:type="dxa"/>
          </w:tcPr>
          <w:p w14:paraId="2880FCB0" w14:textId="3FEA22BA" w:rsidR="003A38FF" w:rsidRPr="00D0180E" w:rsidRDefault="003A38FF" w:rsidP="003A38FF">
            <w:pPr>
              <w:pStyle w:val="Texto"/>
              <w:ind w:firstLine="0"/>
              <w:rPr>
                <w:rFonts w:ascii="Verdana" w:hAnsi="Verdana"/>
                <w:b/>
                <w:sz w:val="16"/>
                <w:szCs w:val="16"/>
                <w:lang w:val="en-US"/>
              </w:rPr>
            </w:pPr>
            <w:r w:rsidRPr="009F0E02">
              <w:rPr>
                <w:rFonts w:ascii="Verdana" w:hAnsi="Verdana"/>
                <w:b/>
                <w:sz w:val="16"/>
                <w:szCs w:val="16"/>
                <w:lang w:val="en-US"/>
              </w:rPr>
              <w:t>XII</w:t>
            </w:r>
            <w:proofErr w:type="gramStart"/>
            <w:r w:rsidRPr="009F0E02">
              <w:rPr>
                <w:rFonts w:ascii="Verdana" w:hAnsi="Verdana"/>
                <w:b/>
                <w:sz w:val="16"/>
                <w:szCs w:val="16"/>
                <w:lang w:val="en-US"/>
              </w:rPr>
              <w:t xml:space="preserve">. </w:t>
            </w:r>
            <w:r w:rsidRPr="009F0E02">
              <w:rPr>
                <w:rFonts w:ascii="Verdana" w:hAnsi="Verdana"/>
                <w:b/>
                <w:sz w:val="16"/>
                <w:szCs w:val="16"/>
                <w:lang w:val="en-US"/>
              </w:rPr>
              <w:tab/>
            </w:r>
            <w:r w:rsidRPr="009F0E02">
              <w:rPr>
                <w:rFonts w:ascii="Verdana" w:hAnsi="Verdana"/>
                <w:sz w:val="16"/>
                <w:szCs w:val="16"/>
                <w:lang w:val="en-US"/>
              </w:rPr>
              <w:t>Refrain</w:t>
            </w:r>
            <w:proofErr w:type="gramEnd"/>
            <w:r w:rsidRPr="009F0E02">
              <w:rPr>
                <w:rFonts w:ascii="Verdana" w:hAnsi="Verdana"/>
                <w:sz w:val="16"/>
                <w:szCs w:val="16"/>
                <w:lang w:val="en-US"/>
              </w:rPr>
              <w:t xml:space="preserve"> from behaving with falsehood, deceit, bad faith, violence, presenting false documentation, as well as promoting conduct contrary to the Law, and</w:t>
            </w:r>
          </w:p>
        </w:tc>
      </w:tr>
      <w:tr w:rsidR="003A38FF" w:rsidRPr="00D83DA2" w14:paraId="1F555213" w14:textId="776ABA29" w:rsidTr="00FB5DAD">
        <w:tc>
          <w:tcPr>
            <w:tcW w:w="4706" w:type="dxa"/>
          </w:tcPr>
          <w:p w14:paraId="75E9A469"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XIII.</w:t>
            </w:r>
            <w:r w:rsidRPr="00D0180E">
              <w:rPr>
                <w:rFonts w:ascii="Verdana" w:hAnsi="Verdana"/>
                <w:b/>
                <w:sz w:val="16"/>
                <w:szCs w:val="16"/>
              </w:rPr>
              <w:tab/>
            </w:r>
            <w:r w:rsidRPr="00D0180E">
              <w:rPr>
                <w:rFonts w:ascii="Verdana" w:hAnsi="Verdana"/>
                <w:sz w:val="16"/>
                <w:szCs w:val="16"/>
              </w:rPr>
              <w:t>Las demás que establezcan las disposiciones aplicables.</w:t>
            </w:r>
          </w:p>
        </w:tc>
        <w:tc>
          <w:tcPr>
            <w:tcW w:w="4644" w:type="dxa"/>
          </w:tcPr>
          <w:p w14:paraId="5474A902" w14:textId="1442FDD5" w:rsidR="003A38FF" w:rsidRPr="00D0180E" w:rsidRDefault="003A38FF" w:rsidP="003A38FF">
            <w:pPr>
              <w:pStyle w:val="Texto"/>
              <w:ind w:firstLine="0"/>
              <w:rPr>
                <w:rFonts w:ascii="Verdana" w:hAnsi="Verdana"/>
                <w:b/>
                <w:sz w:val="16"/>
                <w:szCs w:val="16"/>
                <w:lang w:val="en-US"/>
              </w:rPr>
            </w:pPr>
            <w:r w:rsidRPr="009F0E02">
              <w:rPr>
                <w:rFonts w:ascii="Verdana" w:hAnsi="Verdana"/>
                <w:b/>
                <w:sz w:val="16"/>
                <w:szCs w:val="16"/>
                <w:lang w:val="en-US"/>
              </w:rPr>
              <w:t>XIII</w:t>
            </w:r>
            <w:proofErr w:type="gramStart"/>
            <w:r w:rsidRPr="009F0E02">
              <w:rPr>
                <w:rFonts w:ascii="Verdana" w:hAnsi="Verdana"/>
                <w:b/>
                <w:sz w:val="16"/>
                <w:szCs w:val="16"/>
                <w:lang w:val="en-US"/>
              </w:rPr>
              <w:t xml:space="preserve">. </w:t>
            </w:r>
            <w:r w:rsidRPr="009F0E02">
              <w:rPr>
                <w:rFonts w:ascii="Verdana" w:hAnsi="Verdana"/>
                <w:b/>
                <w:sz w:val="16"/>
                <w:szCs w:val="16"/>
                <w:lang w:val="en-US"/>
              </w:rPr>
              <w:tab/>
            </w:r>
            <w:r w:rsidRPr="009F0E02">
              <w:rPr>
                <w:rFonts w:ascii="Verdana" w:hAnsi="Verdana"/>
                <w:sz w:val="16"/>
                <w:szCs w:val="16"/>
                <w:lang w:val="en-US"/>
              </w:rPr>
              <w:t>Others</w:t>
            </w:r>
            <w:proofErr w:type="gramEnd"/>
            <w:r w:rsidRPr="009F0E02">
              <w:rPr>
                <w:rFonts w:ascii="Verdana" w:hAnsi="Verdana"/>
                <w:sz w:val="16"/>
                <w:szCs w:val="16"/>
                <w:lang w:val="en-US"/>
              </w:rPr>
              <w:t xml:space="preserve"> established by the applicable provisions.</w:t>
            </w:r>
          </w:p>
        </w:tc>
      </w:tr>
      <w:tr w:rsidR="003A38FF" w:rsidRPr="00D83DA2" w14:paraId="03E29AFC" w14:textId="1A84A425" w:rsidTr="00FB5DAD">
        <w:tc>
          <w:tcPr>
            <w:tcW w:w="4706" w:type="dxa"/>
          </w:tcPr>
          <w:p w14:paraId="273A552E"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 xml:space="preserve">Artículo 241. </w:t>
            </w:r>
            <w:r w:rsidRPr="00D0180E">
              <w:rPr>
                <w:rFonts w:ascii="Verdana" w:hAnsi="Verdana"/>
                <w:sz w:val="16"/>
                <w:szCs w:val="16"/>
              </w:rPr>
              <w:t>De conformidad con la Ley, la Secretaría y la CNE, se encuentran facultadas para vigilar y supervisar el cumplimiento de la misma, del presente reglamento y demás normatividad aplicable en materia del sector eléctrico, en el ámbito de sus atribuciones, mediante visitas de verificación, requerimientos de información, documentación, informes, comparecencias e inspecciones a las personas que realicen cualquiera de las actividades reguladas que prevé la Ley, el presente reglamento y demás normatividad aplicable.</w:t>
            </w:r>
          </w:p>
        </w:tc>
        <w:tc>
          <w:tcPr>
            <w:tcW w:w="4644" w:type="dxa"/>
          </w:tcPr>
          <w:p w14:paraId="6D99E0ED" w14:textId="4B2855B6" w:rsidR="003A38FF" w:rsidRPr="00D0180E" w:rsidRDefault="003A38FF" w:rsidP="003A38FF">
            <w:pPr>
              <w:pStyle w:val="Texto"/>
              <w:ind w:firstLine="0"/>
              <w:rPr>
                <w:rFonts w:ascii="Verdana" w:hAnsi="Verdana"/>
                <w:b/>
                <w:sz w:val="16"/>
                <w:szCs w:val="16"/>
                <w:lang w:val="en-US"/>
              </w:rPr>
            </w:pPr>
            <w:r w:rsidRPr="009F0E02">
              <w:rPr>
                <w:rFonts w:ascii="Verdana" w:hAnsi="Verdana"/>
                <w:b/>
                <w:sz w:val="16"/>
                <w:szCs w:val="16"/>
                <w:lang w:val="en-US"/>
              </w:rPr>
              <w:t xml:space="preserve">Article 241. </w:t>
            </w:r>
            <w:r w:rsidRPr="009F0E02">
              <w:rPr>
                <w:rFonts w:ascii="Verdana" w:hAnsi="Verdana"/>
                <w:sz w:val="16"/>
                <w:szCs w:val="16"/>
                <w:lang w:val="en-US"/>
              </w:rPr>
              <w:t>In accordance with the Law, the Secretary and the CNE are empowered to monitor and supervise compliance with the Law, this Regulation and other applicable legislation in the area of the electricity sector, within the scope of their powers, through verification visits, requests for information, documentation, reports, appearances and inspections of persons who carry out any of the regulated activities provided for in the Law, this Regulation and other applicable legislation.</w:t>
            </w:r>
          </w:p>
        </w:tc>
      </w:tr>
      <w:tr w:rsidR="003A38FF" w:rsidRPr="00D83DA2" w14:paraId="36FAB040" w14:textId="4356DADC" w:rsidTr="00FB5DAD">
        <w:tc>
          <w:tcPr>
            <w:tcW w:w="4706" w:type="dxa"/>
          </w:tcPr>
          <w:p w14:paraId="27605DC9" w14:textId="77777777" w:rsidR="003A38FF" w:rsidRPr="00D0180E" w:rsidRDefault="003A38FF" w:rsidP="003A38FF">
            <w:pPr>
              <w:pStyle w:val="Texto"/>
              <w:ind w:firstLine="0"/>
              <w:rPr>
                <w:rFonts w:ascii="Verdana" w:hAnsi="Verdana"/>
                <w:sz w:val="16"/>
                <w:szCs w:val="16"/>
              </w:rPr>
            </w:pPr>
            <w:r w:rsidRPr="00D0180E">
              <w:rPr>
                <w:rFonts w:ascii="Verdana" w:hAnsi="Verdana"/>
                <w:sz w:val="16"/>
                <w:szCs w:val="16"/>
              </w:rPr>
              <w:t>Los procedimientos señalados en este Título son independientes de aquellos previstos en las demás disposiciones legales aplicables.</w:t>
            </w:r>
          </w:p>
        </w:tc>
        <w:tc>
          <w:tcPr>
            <w:tcW w:w="4644" w:type="dxa"/>
          </w:tcPr>
          <w:p w14:paraId="76170003" w14:textId="3CF32ECE" w:rsidR="003A38FF" w:rsidRPr="00D0180E" w:rsidRDefault="003A38FF" w:rsidP="003A38FF">
            <w:pPr>
              <w:pStyle w:val="Texto"/>
              <w:ind w:firstLine="0"/>
              <w:rPr>
                <w:rFonts w:ascii="Verdana" w:hAnsi="Verdana"/>
                <w:sz w:val="16"/>
                <w:szCs w:val="16"/>
                <w:lang w:val="en-US"/>
              </w:rPr>
            </w:pPr>
            <w:r w:rsidRPr="009F0E02">
              <w:rPr>
                <w:rFonts w:ascii="Verdana" w:hAnsi="Verdana"/>
                <w:sz w:val="16"/>
                <w:szCs w:val="16"/>
                <w:lang w:val="en-US"/>
              </w:rPr>
              <w:t>The procedures outlined in this Title are independent of those provided for in other applicable legal provisions.</w:t>
            </w:r>
          </w:p>
        </w:tc>
      </w:tr>
      <w:tr w:rsidR="003A38FF" w:rsidRPr="00D83DA2" w14:paraId="5656FA4D" w14:textId="6B6867FA" w:rsidTr="00FB5DAD">
        <w:tc>
          <w:tcPr>
            <w:tcW w:w="4706" w:type="dxa"/>
          </w:tcPr>
          <w:p w14:paraId="4A4864FC"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Artículo 242.</w:t>
            </w:r>
            <w:r w:rsidRPr="00D0180E">
              <w:rPr>
                <w:rFonts w:ascii="Verdana" w:hAnsi="Verdana"/>
                <w:sz w:val="16"/>
                <w:szCs w:val="16"/>
              </w:rPr>
              <w:t xml:space="preserve"> La autoridad competente, puede valerse de cualquier medio de prueba, siempre y cuando estas no estén prohibidas por las disposiciones aplicables.</w:t>
            </w:r>
          </w:p>
        </w:tc>
        <w:tc>
          <w:tcPr>
            <w:tcW w:w="4644" w:type="dxa"/>
          </w:tcPr>
          <w:p w14:paraId="1F69C973" w14:textId="43F99187" w:rsidR="003A38FF" w:rsidRPr="00D0180E" w:rsidRDefault="003A38FF" w:rsidP="003A38FF">
            <w:pPr>
              <w:pStyle w:val="Texto"/>
              <w:ind w:firstLine="0"/>
              <w:rPr>
                <w:rFonts w:ascii="Verdana" w:hAnsi="Verdana"/>
                <w:b/>
                <w:sz w:val="16"/>
                <w:szCs w:val="16"/>
                <w:lang w:val="en-US"/>
              </w:rPr>
            </w:pPr>
            <w:r w:rsidRPr="009F0E02">
              <w:rPr>
                <w:rFonts w:ascii="Verdana" w:hAnsi="Verdana"/>
                <w:b/>
                <w:sz w:val="16"/>
                <w:szCs w:val="16"/>
                <w:lang w:val="en-US"/>
              </w:rPr>
              <w:t xml:space="preserve">Article 242. </w:t>
            </w:r>
            <w:r w:rsidRPr="009F0E02">
              <w:rPr>
                <w:rFonts w:ascii="Verdana" w:hAnsi="Verdana"/>
                <w:sz w:val="16"/>
                <w:szCs w:val="16"/>
                <w:lang w:val="en-US"/>
              </w:rPr>
              <w:t xml:space="preserve">The appropriate authority may use any means of evidence, </w:t>
            </w:r>
            <w:proofErr w:type="gramStart"/>
            <w:r w:rsidRPr="009F0E02">
              <w:rPr>
                <w:rFonts w:ascii="Verdana" w:hAnsi="Verdana"/>
                <w:sz w:val="16"/>
                <w:szCs w:val="16"/>
                <w:lang w:val="en-US"/>
              </w:rPr>
              <w:t>provided that</w:t>
            </w:r>
            <w:proofErr w:type="gramEnd"/>
            <w:r w:rsidRPr="009F0E02">
              <w:rPr>
                <w:rFonts w:ascii="Verdana" w:hAnsi="Verdana"/>
                <w:sz w:val="16"/>
                <w:szCs w:val="16"/>
                <w:lang w:val="en-US"/>
              </w:rPr>
              <w:t xml:space="preserve"> these are not prohibited by the applicable provisions.</w:t>
            </w:r>
          </w:p>
        </w:tc>
      </w:tr>
      <w:tr w:rsidR="003A38FF" w:rsidRPr="00D83DA2" w14:paraId="1AE66399" w14:textId="3861FC59" w:rsidTr="00FB5DAD">
        <w:tc>
          <w:tcPr>
            <w:tcW w:w="4706" w:type="dxa"/>
          </w:tcPr>
          <w:p w14:paraId="61CD453F"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 xml:space="preserve">Artículo 243. </w:t>
            </w:r>
            <w:r w:rsidRPr="00D0180E">
              <w:rPr>
                <w:rFonts w:ascii="Verdana" w:hAnsi="Verdana"/>
                <w:sz w:val="16"/>
                <w:szCs w:val="16"/>
              </w:rPr>
              <w:t>Sin perjuicio de su ejercicio directo, para supervisar y vigilar el cumplimiento de las disposiciones legales en materia del sector eléctrico, la Secretaría y la CNE, pueden auxiliarse de manera enunciativa y no limitativa, de terceras personas especialistas, unidades de verificación e inspección, siempre y cuando se encuentren acreditadas o aprobadas, según corresponda, en términos de las disposiciones jurídicas aplicables.</w:t>
            </w:r>
          </w:p>
        </w:tc>
        <w:tc>
          <w:tcPr>
            <w:tcW w:w="4644" w:type="dxa"/>
          </w:tcPr>
          <w:p w14:paraId="221AA552" w14:textId="6F463213" w:rsidR="003A38FF" w:rsidRPr="00D0180E" w:rsidRDefault="003A38FF" w:rsidP="003A38FF">
            <w:pPr>
              <w:pStyle w:val="Texto"/>
              <w:ind w:firstLine="0"/>
              <w:rPr>
                <w:rFonts w:ascii="Verdana" w:hAnsi="Verdana"/>
                <w:b/>
                <w:sz w:val="16"/>
                <w:szCs w:val="16"/>
                <w:lang w:val="en-US"/>
              </w:rPr>
            </w:pPr>
            <w:r w:rsidRPr="009F0E02">
              <w:rPr>
                <w:rFonts w:ascii="Verdana" w:hAnsi="Verdana"/>
                <w:b/>
                <w:sz w:val="16"/>
                <w:szCs w:val="16"/>
                <w:lang w:val="en-US"/>
              </w:rPr>
              <w:t xml:space="preserve">Article 243. </w:t>
            </w:r>
            <w:r w:rsidRPr="009F0E02">
              <w:rPr>
                <w:rFonts w:ascii="Verdana" w:hAnsi="Verdana"/>
                <w:sz w:val="16"/>
                <w:szCs w:val="16"/>
                <w:lang w:val="en-US"/>
              </w:rPr>
              <w:t xml:space="preserve">Without prejudice to their direct exercise, to supervise and monitor compliance with the legal provisions regarding the electricity sector, the Secretary and the CNE may seek assistance, including but not limited </w:t>
            </w:r>
            <w:proofErr w:type="gramStart"/>
            <w:r w:rsidRPr="009F0E02">
              <w:rPr>
                <w:rFonts w:ascii="Verdana" w:hAnsi="Verdana"/>
                <w:sz w:val="16"/>
                <w:szCs w:val="16"/>
                <w:lang w:val="en-US"/>
              </w:rPr>
              <w:t>to,</w:t>
            </w:r>
            <w:proofErr w:type="gramEnd"/>
            <w:r w:rsidRPr="009F0E02">
              <w:rPr>
                <w:rFonts w:ascii="Verdana" w:hAnsi="Verdana"/>
                <w:sz w:val="16"/>
                <w:szCs w:val="16"/>
                <w:lang w:val="en-US"/>
              </w:rPr>
              <w:t xml:space="preserve"> third-party specialists and verification and inspection units, </w:t>
            </w:r>
            <w:proofErr w:type="gramStart"/>
            <w:r w:rsidRPr="009F0E02">
              <w:rPr>
                <w:rFonts w:ascii="Verdana" w:hAnsi="Verdana"/>
                <w:sz w:val="16"/>
                <w:szCs w:val="16"/>
                <w:lang w:val="en-US"/>
              </w:rPr>
              <w:t>provided that</w:t>
            </w:r>
            <w:proofErr w:type="gramEnd"/>
            <w:r w:rsidRPr="009F0E02">
              <w:rPr>
                <w:rFonts w:ascii="Verdana" w:hAnsi="Verdana"/>
                <w:sz w:val="16"/>
                <w:szCs w:val="16"/>
                <w:lang w:val="en-US"/>
              </w:rPr>
              <w:t xml:space="preserve"> they are accredited or approved, as appropriate, in terms of the applicable legal provisions.</w:t>
            </w:r>
          </w:p>
        </w:tc>
      </w:tr>
      <w:tr w:rsidR="003A38FF" w:rsidRPr="00D0180E" w14:paraId="5312526F" w14:textId="7344FD19" w:rsidTr="00FB5DAD">
        <w:tc>
          <w:tcPr>
            <w:tcW w:w="4706" w:type="dxa"/>
          </w:tcPr>
          <w:p w14:paraId="138792AA" w14:textId="77777777" w:rsidR="003A38FF" w:rsidRPr="00D0180E" w:rsidRDefault="003A38FF" w:rsidP="003A38FF">
            <w:pPr>
              <w:pStyle w:val="Texto"/>
              <w:ind w:firstLine="0"/>
              <w:jc w:val="center"/>
              <w:rPr>
                <w:rFonts w:ascii="Verdana" w:hAnsi="Verdana"/>
                <w:b/>
                <w:sz w:val="16"/>
                <w:szCs w:val="16"/>
              </w:rPr>
            </w:pPr>
            <w:r w:rsidRPr="00D0180E">
              <w:rPr>
                <w:rFonts w:ascii="Verdana" w:hAnsi="Verdana"/>
                <w:b/>
                <w:sz w:val="16"/>
                <w:szCs w:val="16"/>
              </w:rPr>
              <w:t>Capítulo II</w:t>
            </w:r>
          </w:p>
        </w:tc>
        <w:tc>
          <w:tcPr>
            <w:tcW w:w="4644" w:type="dxa"/>
          </w:tcPr>
          <w:p w14:paraId="38AE9EC5" w14:textId="4908C428" w:rsidR="003A38FF" w:rsidRPr="001233AF" w:rsidRDefault="003A38FF" w:rsidP="003A38FF">
            <w:pPr>
              <w:pStyle w:val="Texto"/>
              <w:ind w:firstLine="0"/>
              <w:jc w:val="center"/>
              <w:rPr>
                <w:rFonts w:ascii="Verdana" w:hAnsi="Verdana"/>
                <w:b/>
                <w:sz w:val="16"/>
                <w:szCs w:val="16"/>
                <w:lang w:val="en-US"/>
              </w:rPr>
            </w:pPr>
            <w:r w:rsidRPr="001233AF">
              <w:rPr>
                <w:rFonts w:ascii="Verdana" w:hAnsi="Verdana"/>
                <w:b/>
                <w:sz w:val="16"/>
                <w:szCs w:val="16"/>
                <w:lang w:val="en-US"/>
              </w:rPr>
              <w:t>Chapter II</w:t>
            </w:r>
          </w:p>
        </w:tc>
      </w:tr>
      <w:tr w:rsidR="003A38FF" w:rsidRPr="00D0180E" w14:paraId="41855D4B" w14:textId="1E0DBA9E" w:rsidTr="00FB5DAD">
        <w:tc>
          <w:tcPr>
            <w:tcW w:w="4706" w:type="dxa"/>
          </w:tcPr>
          <w:p w14:paraId="00F13B87" w14:textId="77777777" w:rsidR="003A38FF" w:rsidRPr="00D0180E" w:rsidRDefault="003A38FF" w:rsidP="003A38FF">
            <w:pPr>
              <w:pStyle w:val="Texto"/>
              <w:ind w:firstLine="0"/>
              <w:jc w:val="center"/>
              <w:rPr>
                <w:rFonts w:ascii="Verdana" w:hAnsi="Verdana"/>
                <w:b/>
                <w:sz w:val="16"/>
                <w:szCs w:val="16"/>
              </w:rPr>
            </w:pPr>
            <w:r w:rsidRPr="00D0180E">
              <w:rPr>
                <w:rFonts w:ascii="Verdana" w:hAnsi="Verdana"/>
                <w:b/>
                <w:sz w:val="16"/>
                <w:szCs w:val="16"/>
              </w:rPr>
              <w:t>De las Visitas de Verificación</w:t>
            </w:r>
          </w:p>
        </w:tc>
        <w:tc>
          <w:tcPr>
            <w:tcW w:w="4644" w:type="dxa"/>
          </w:tcPr>
          <w:p w14:paraId="0FBD0B14" w14:textId="7569F96B" w:rsidR="003A38FF" w:rsidRPr="001233AF" w:rsidRDefault="003A38FF" w:rsidP="003A38FF">
            <w:pPr>
              <w:pStyle w:val="Texto"/>
              <w:ind w:firstLine="0"/>
              <w:jc w:val="center"/>
              <w:rPr>
                <w:rFonts w:ascii="Verdana" w:hAnsi="Verdana"/>
                <w:b/>
                <w:sz w:val="16"/>
                <w:szCs w:val="16"/>
                <w:lang w:val="en-US"/>
              </w:rPr>
            </w:pPr>
            <w:r w:rsidRPr="001233AF">
              <w:rPr>
                <w:rFonts w:ascii="Verdana" w:hAnsi="Verdana"/>
                <w:b/>
                <w:sz w:val="16"/>
                <w:szCs w:val="16"/>
                <w:lang w:val="en-US"/>
              </w:rPr>
              <w:t>Verification Visits</w:t>
            </w:r>
          </w:p>
        </w:tc>
      </w:tr>
      <w:tr w:rsidR="003A38FF" w:rsidRPr="00D83DA2" w14:paraId="51FDF917" w14:textId="625EC346" w:rsidTr="00FB5DAD">
        <w:tc>
          <w:tcPr>
            <w:tcW w:w="4706" w:type="dxa"/>
          </w:tcPr>
          <w:p w14:paraId="3458E961"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Artículo 244.</w:t>
            </w:r>
            <w:r w:rsidRPr="00D0180E">
              <w:rPr>
                <w:rFonts w:ascii="Verdana" w:hAnsi="Verdana"/>
                <w:sz w:val="16"/>
                <w:szCs w:val="16"/>
              </w:rPr>
              <w:t xml:space="preserve"> Para efectos de este reglamento, se entiende por visitas de verificación a las diligencias que realizan la Secretaría o la CNE para supervisar y vigilar, en el ámbito de sus respectivas competencias, el cumplimiento de la Ley, el presente reglamento, disposiciones administrativas de carácter general y demás disposiciones e instrumentos aplicables al sector </w:t>
            </w:r>
            <w:r w:rsidRPr="00D0180E">
              <w:rPr>
                <w:rFonts w:ascii="Verdana" w:hAnsi="Verdana"/>
                <w:sz w:val="16"/>
                <w:szCs w:val="16"/>
              </w:rPr>
              <w:lastRenderedPageBreak/>
              <w:t>eléctrico, de conformidad con lo establecido en la orden de visita que, para tal efecto se expida.</w:t>
            </w:r>
          </w:p>
        </w:tc>
        <w:tc>
          <w:tcPr>
            <w:tcW w:w="4644" w:type="dxa"/>
          </w:tcPr>
          <w:p w14:paraId="6876396E" w14:textId="463015AA" w:rsidR="003A38FF" w:rsidRPr="00D0180E" w:rsidRDefault="003A38FF" w:rsidP="003A38FF">
            <w:pPr>
              <w:pStyle w:val="Texto"/>
              <w:ind w:firstLine="0"/>
              <w:rPr>
                <w:rFonts w:ascii="Verdana" w:hAnsi="Verdana"/>
                <w:b/>
                <w:sz w:val="16"/>
                <w:szCs w:val="16"/>
                <w:lang w:val="en-US"/>
              </w:rPr>
            </w:pPr>
            <w:r w:rsidRPr="009F0E02">
              <w:rPr>
                <w:rFonts w:ascii="Verdana" w:hAnsi="Verdana"/>
                <w:b/>
                <w:sz w:val="16"/>
                <w:szCs w:val="16"/>
                <w:lang w:val="en-US"/>
              </w:rPr>
              <w:lastRenderedPageBreak/>
              <w:t xml:space="preserve">Article 244. </w:t>
            </w:r>
            <w:r w:rsidRPr="009F0E02">
              <w:rPr>
                <w:rFonts w:ascii="Verdana" w:hAnsi="Verdana"/>
                <w:sz w:val="16"/>
                <w:szCs w:val="16"/>
                <w:lang w:val="en-US"/>
              </w:rPr>
              <w:t xml:space="preserve">For the purposes of this regulation, verification visits are understood to be the procedures carried out by the Secretary or the CNE to supervise and monitor, within the scope of their respective powers, compliance with the Law, this regulation, general administrative provisions and other provisions and instruments applicable to the electricity sector, in </w:t>
            </w:r>
            <w:r w:rsidRPr="009F0E02">
              <w:rPr>
                <w:rFonts w:ascii="Verdana" w:hAnsi="Verdana"/>
                <w:sz w:val="16"/>
                <w:szCs w:val="16"/>
                <w:lang w:val="en-US"/>
              </w:rPr>
              <w:lastRenderedPageBreak/>
              <w:t>accordance with the provisions established in the visit order issued for such purpose.</w:t>
            </w:r>
          </w:p>
        </w:tc>
      </w:tr>
      <w:tr w:rsidR="003A38FF" w:rsidRPr="00D83DA2" w14:paraId="0628EE73" w14:textId="1A862B79" w:rsidTr="00FB5DAD">
        <w:tc>
          <w:tcPr>
            <w:tcW w:w="4706" w:type="dxa"/>
          </w:tcPr>
          <w:p w14:paraId="1749D2CE"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lastRenderedPageBreak/>
              <w:t>Artículo 245.</w:t>
            </w:r>
            <w:r w:rsidRPr="00D0180E">
              <w:rPr>
                <w:rFonts w:ascii="Verdana" w:hAnsi="Verdana"/>
                <w:sz w:val="16"/>
                <w:szCs w:val="16"/>
              </w:rPr>
              <w:t xml:space="preserve"> La Secretaría o la CNE, según sea el caso, deben habilitar a las personas servidoras públicas para llevar a cabo la práctica de visitas de verificación, las cuales, al momento de realizarlas, deben contar con credencial vigente con fotografía, expedida por dichas autoridades, así como con previa orden de verificación, la cual debe contener, cuando menos lo siguiente:</w:t>
            </w:r>
          </w:p>
        </w:tc>
        <w:tc>
          <w:tcPr>
            <w:tcW w:w="4644" w:type="dxa"/>
          </w:tcPr>
          <w:p w14:paraId="283E73C3" w14:textId="6CC078FA" w:rsidR="003A38FF" w:rsidRPr="00D0180E" w:rsidRDefault="003A38FF" w:rsidP="003A38FF">
            <w:pPr>
              <w:pStyle w:val="Texto"/>
              <w:ind w:firstLine="0"/>
              <w:rPr>
                <w:rFonts w:ascii="Verdana" w:hAnsi="Verdana"/>
                <w:b/>
                <w:sz w:val="16"/>
                <w:szCs w:val="16"/>
                <w:lang w:val="en-US"/>
              </w:rPr>
            </w:pPr>
            <w:r w:rsidRPr="009F0E02">
              <w:rPr>
                <w:rFonts w:ascii="Verdana" w:hAnsi="Verdana"/>
                <w:b/>
                <w:sz w:val="16"/>
                <w:szCs w:val="16"/>
                <w:lang w:val="en-US"/>
              </w:rPr>
              <w:t xml:space="preserve">Article 245. </w:t>
            </w:r>
            <w:r w:rsidRPr="009F0E02">
              <w:rPr>
                <w:rFonts w:ascii="Verdana" w:hAnsi="Verdana"/>
                <w:sz w:val="16"/>
                <w:szCs w:val="16"/>
                <w:lang w:val="en-US"/>
              </w:rPr>
              <w:t>The Secretary or the CNE</w:t>
            </w:r>
            <w:proofErr w:type="gramStart"/>
            <w:r w:rsidRPr="009F0E02">
              <w:rPr>
                <w:rFonts w:ascii="Verdana" w:hAnsi="Verdana"/>
                <w:sz w:val="16"/>
                <w:szCs w:val="16"/>
                <w:lang w:val="en-US"/>
              </w:rPr>
              <w:t>, as the case may be, must</w:t>
            </w:r>
            <w:proofErr w:type="gramEnd"/>
            <w:r w:rsidRPr="009F0E02">
              <w:rPr>
                <w:rFonts w:ascii="Verdana" w:hAnsi="Verdana"/>
                <w:sz w:val="16"/>
                <w:szCs w:val="16"/>
                <w:lang w:val="en-US"/>
              </w:rPr>
              <w:t xml:space="preserve"> authorize public servants to carry out verification visits, which, at the time of carrying them out, must have a valid credential with a photograph, issued by said authorities, as well as a prior verification order, which must contain, at least, the following:</w:t>
            </w:r>
          </w:p>
        </w:tc>
      </w:tr>
      <w:tr w:rsidR="003A38FF" w:rsidRPr="00D83DA2" w14:paraId="04D0B13B" w14:textId="7EEBB928" w:rsidTr="00FB5DAD">
        <w:tc>
          <w:tcPr>
            <w:tcW w:w="4706" w:type="dxa"/>
          </w:tcPr>
          <w:p w14:paraId="6B505B6F"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Lugar y fecha de expedición;</w:t>
            </w:r>
          </w:p>
        </w:tc>
        <w:tc>
          <w:tcPr>
            <w:tcW w:w="4644" w:type="dxa"/>
          </w:tcPr>
          <w:p w14:paraId="342B3203" w14:textId="54621E07" w:rsidR="003A38FF" w:rsidRPr="00D0180E" w:rsidRDefault="003A38FF" w:rsidP="003A38FF">
            <w:pPr>
              <w:pStyle w:val="Texto"/>
              <w:ind w:firstLine="0"/>
              <w:rPr>
                <w:rFonts w:ascii="Verdana" w:hAnsi="Verdana"/>
                <w:b/>
                <w:sz w:val="16"/>
                <w:szCs w:val="16"/>
                <w:lang w:val="en-US"/>
              </w:rPr>
            </w:pPr>
            <w:r w:rsidRPr="009F0E02">
              <w:rPr>
                <w:rFonts w:ascii="Verdana" w:hAnsi="Verdana"/>
                <w:b/>
                <w:sz w:val="16"/>
                <w:szCs w:val="16"/>
                <w:lang w:val="en-US"/>
              </w:rPr>
              <w:t>I</w:t>
            </w:r>
            <w:proofErr w:type="gramStart"/>
            <w:r w:rsidRPr="009F0E02">
              <w:rPr>
                <w:rFonts w:ascii="Verdana" w:hAnsi="Verdana"/>
                <w:b/>
                <w:sz w:val="16"/>
                <w:szCs w:val="16"/>
                <w:lang w:val="en-US"/>
              </w:rPr>
              <w:t xml:space="preserve">. </w:t>
            </w:r>
            <w:r w:rsidRPr="009F0E02">
              <w:rPr>
                <w:rFonts w:ascii="Verdana" w:hAnsi="Verdana"/>
                <w:b/>
                <w:sz w:val="16"/>
                <w:szCs w:val="16"/>
                <w:lang w:val="en-US"/>
              </w:rPr>
              <w:tab/>
            </w:r>
            <w:r w:rsidRPr="009F0E02">
              <w:rPr>
                <w:rFonts w:ascii="Verdana" w:hAnsi="Verdana"/>
                <w:sz w:val="16"/>
                <w:szCs w:val="16"/>
                <w:lang w:val="en-US"/>
              </w:rPr>
              <w:t>Place</w:t>
            </w:r>
            <w:proofErr w:type="gramEnd"/>
            <w:r w:rsidRPr="009F0E02">
              <w:rPr>
                <w:rFonts w:ascii="Verdana" w:hAnsi="Verdana"/>
                <w:sz w:val="16"/>
                <w:szCs w:val="16"/>
                <w:lang w:val="en-US"/>
              </w:rPr>
              <w:t xml:space="preserve"> and date of issue;</w:t>
            </w:r>
          </w:p>
        </w:tc>
      </w:tr>
      <w:tr w:rsidR="003A38FF" w:rsidRPr="00D83DA2" w14:paraId="0E62D32E" w14:textId="782A67F1" w:rsidTr="00FB5DAD">
        <w:tc>
          <w:tcPr>
            <w:tcW w:w="4706" w:type="dxa"/>
          </w:tcPr>
          <w:p w14:paraId="552BDA4E"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Número de expediente, folio u oficio que le corresponda;</w:t>
            </w:r>
          </w:p>
        </w:tc>
        <w:tc>
          <w:tcPr>
            <w:tcW w:w="4644" w:type="dxa"/>
          </w:tcPr>
          <w:p w14:paraId="0DE27400" w14:textId="5326CA22" w:rsidR="003A38FF" w:rsidRPr="00D0180E" w:rsidRDefault="003A38FF" w:rsidP="003A38FF">
            <w:pPr>
              <w:pStyle w:val="Texto"/>
              <w:ind w:firstLine="0"/>
              <w:rPr>
                <w:rFonts w:ascii="Verdana" w:hAnsi="Verdana"/>
                <w:b/>
                <w:sz w:val="16"/>
                <w:szCs w:val="16"/>
                <w:lang w:val="en-US"/>
              </w:rPr>
            </w:pPr>
            <w:r w:rsidRPr="009F0E02">
              <w:rPr>
                <w:rFonts w:ascii="Verdana" w:hAnsi="Verdana"/>
                <w:b/>
                <w:sz w:val="16"/>
                <w:szCs w:val="16"/>
                <w:lang w:val="en-US"/>
              </w:rPr>
              <w:t>II</w:t>
            </w:r>
            <w:proofErr w:type="gramStart"/>
            <w:r w:rsidRPr="009F0E02">
              <w:rPr>
                <w:rFonts w:ascii="Verdana" w:hAnsi="Verdana"/>
                <w:b/>
                <w:sz w:val="16"/>
                <w:szCs w:val="16"/>
                <w:lang w:val="en-US"/>
              </w:rPr>
              <w:t xml:space="preserve">. </w:t>
            </w:r>
            <w:r w:rsidRPr="009F0E02">
              <w:rPr>
                <w:rFonts w:ascii="Verdana" w:hAnsi="Verdana"/>
                <w:b/>
                <w:sz w:val="16"/>
                <w:szCs w:val="16"/>
                <w:lang w:val="en-US"/>
              </w:rPr>
              <w:tab/>
            </w:r>
            <w:r w:rsidRPr="009F0E02">
              <w:rPr>
                <w:rFonts w:ascii="Verdana" w:hAnsi="Verdana"/>
                <w:sz w:val="16"/>
                <w:szCs w:val="16"/>
                <w:lang w:val="en-US"/>
              </w:rPr>
              <w:t>File</w:t>
            </w:r>
            <w:proofErr w:type="gramEnd"/>
            <w:r w:rsidRPr="009F0E02">
              <w:rPr>
                <w:rFonts w:ascii="Verdana" w:hAnsi="Verdana"/>
                <w:sz w:val="16"/>
                <w:szCs w:val="16"/>
                <w:lang w:val="en-US"/>
              </w:rPr>
              <w:t xml:space="preserve"> number, folio or corresponding document;</w:t>
            </w:r>
          </w:p>
        </w:tc>
      </w:tr>
      <w:tr w:rsidR="003A38FF" w:rsidRPr="00D83DA2" w14:paraId="0B4B81A5" w14:textId="4388E9C2" w:rsidTr="00FB5DAD">
        <w:tc>
          <w:tcPr>
            <w:tcW w:w="4706" w:type="dxa"/>
          </w:tcPr>
          <w:p w14:paraId="004C5452"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Nombre, denominación o razón social de la persona a quien se dirige, siempre y cuando aparezca registrada ante la autoridad que emita la orden, o bien, a la persona propietaria, responsable, encargada u ocupante del lugar objeto de verificación;</w:t>
            </w:r>
          </w:p>
        </w:tc>
        <w:tc>
          <w:tcPr>
            <w:tcW w:w="4644" w:type="dxa"/>
          </w:tcPr>
          <w:p w14:paraId="767C956F" w14:textId="12256128" w:rsidR="003A38FF" w:rsidRPr="00D0180E" w:rsidRDefault="003A38FF" w:rsidP="003A38FF">
            <w:pPr>
              <w:pStyle w:val="Texto"/>
              <w:ind w:firstLine="0"/>
              <w:rPr>
                <w:rFonts w:ascii="Verdana" w:hAnsi="Verdana"/>
                <w:b/>
                <w:sz w:val="16"/>
                <w:szCs w:val="16"/>
                <w:lang w:val="en-US"/>
              </w:rPr>
            </w:pPr>
            <w:r w:rsidRPr="009F0E02">
              <w:rPr>
                <w:rFonts w:ascii="Verdana" w:hAnsi="Verdana"/>
                <w:b/>
                <w:sz w:val="16"/>
                <w:szCs w:val="16"/>
                <w:lang w:val="en-US"/>
              </w:rPr>
              <w:t>III</w:t>
            </w:r>
            <w:proofErr w:type="gramStart"/>
            <w:r w:rsidRPr="009F0E02">
              <w:rPr>
                <w:rFonts w:ascii="Verdana" w:hAnsi="Verdana"/>
                <w:b/>
                <w:sz w:val="16"/>
                <w:szCs w:val="16"/>
                <w:lang w:val="en-US"/>
              </w:rPr>
              <w:t xml:space="preserve">. </w:t>
            </w:r>
            <w:r w:rsidRPr="009F0E02">
              <w:rPr>
                <w:rFonts w:ascii="Verdana" w:hAnsi="Verdana"/>
                <w:b/>
                <w:sz w:val="16"/>
                <w:szCs w:val="16"/>
                <w:lang w:val="en-US"/>
              </w:rPr>
              <w:tab/>
            </w:r>
            <w:r w:rsidRPr="009F0E02">
              <w:rPr>
                <w:rFonts w:ascii="Verdana" w:hAnsi="Verdana"/>
                <w:sz w:val="16"/>
                <w:szCs w:val="16"/>
                <w:lang w:val="en-US"/>
              </w:rPr>
              <w:t>Name</w:t>
            </w:r>
            <w:proofErr w:type="gramEnd"/>
            <w:r w:rsidRPr="009F0E02">
              <w:rPr>
                <w:rFonts w:ascii="Verdana" w:hAnsi="Verdana"/>
                <w:sz w:val="16"/>
                <w:szCs w:val="16"/>
                <w:lang w:val="en-US"/>
              </w:rPr>
              <w:t xml:space="preserve">, denomination or business name of the person to whom the order is addressed, </w:t>
            </w:r>
            <w:proofErr w:type="gramStart"/>
            <w:r w:rsidRPr="009F0E02">
              <w:rPr>
                <w:rFonts w:ascii="Verdana" w:hAnsi="Verdana"/>
                <w:sz w:val="16"/>
                <w:szCs w:val="16"/>
                <w:lang w:val="en-US"/>
              </w:rPr>
              <w:t>provided that</w:t>
            </w:r>
            <w:proofErr w:type="gramEnd"/>
            <w:r w:rsidRPr="009F0E02">
              <w:rPr>
                <w:rFonts w:ascii="Verdana" w:hAnsi="Verdana"/>
                <w:sz w:val="16"/>
                <w:szCs w:val="16"/>
                <w:lang w:val="en-US"/>
              </w:rPr>
              <w:t xml:space="preserve"> it appears registered with the authority issuing the order, or with the owner, person responsible, in charge or occupant of the place to be verified;</w:t>
            </w:r>
          </w:p>
        </w:tc>
      </w:tr>
      <w:tr w:rsidR="003A38FF" w:rsidRPr="00D83DA2" w14:paraId="5FA85F18" w14:textId="247DBAFD" w:rsidTr="00FB5DAD">
        <w:tc>
          <w:tcPr>
            <w:tcW w:w="4706" w:type="dxa"/>
          </w:tcPr>
          <w:p w14:paraId="6AB93EBA"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Domicilio, ubicación o descripción de la zona, del lugar o lugares objeto de la verificación;</w:t>
            </w:r>
          </w:p>
        </w:tc>
        <w:tc>
          <w:tcPr>
            <w:tcW w:w="4644" w:type="dxa"/>
          </w:tcPr>
          <w:p w14:paraId="067B3289" w14:textId="3F0CF71A" w:rsidR="003A38FF" w:rsidRPr="00D0180E" w:rsidRDefault="003A38FF" w:rsidP="003A38FF">
            <w:pPr>
              <w:pStyle w:val="Texto"/>
              <w:ind w:firstLine="0"/>
              <w:rPr>
                <w:rFonts w:ascii="Verdana" w:hAnsi="Verdana"/>
                <w:b/>
                <w:sz w:val="16"/>
                <w:szCs w:val="16"/>
                <w:lang w:val="en-US"/>
              </w:rPr>
            </w:pPr>
            <w:r w:rsidRPr="009F0E02">
              <w:rPr>
                <w:rFonts w:ascii="Verdana" w:hAnsi="Verdana"/>
                <w:b/>
                <w:sz w:val="16"/>
                <w:szCs w:val="16"/>
                <w:lang w:val="en-US"/>
              </w:rPr>
              <w:t>IV</w:t>
            </w:r>
            <w:proofErr w:type="gramStart"/>
            <w:r w:rsidRPr="009F0E02">
              <w:rPr>
                <w:rFonts w:ascii="Verdana" w:hAnsi="Verdana"/>
                <w:b/>
                <w:sz w:val="16"/>
                <w:szCs w:val="16"/>
                <w:lang w:val="en-US"/>
              </w:rPr>
              <w:t xml:space="preserve">. </w:t>
            </w:r>
            <w:r w:rsidRPr="009F0E02">
              <w:rPr>
                <w:rFonts w:ascii="Verdana" w:hAnsi="Verdana"/>
                <w:b/>
                <w:sz w:val="16"/>
                <w:szCs w:val="16"/>
                <w:lang w:val="en-US"/>
              </w:rPr>
              <w:tab/>
            </w:r>
            <w:r w:rsidRPr="009F0E02">
              <w:rPr>
                <w:rFonts w:ascii="Verdana" w:hAnsi="Verdana"/>
                <w:sz w:val="16"/>
                <w:szCs w:val="16"/>
                <w:lang w:val="en-US"/>
              </w:rPr>
              <w:t>Address</w:t>
            </w:r>
            <w:proofErr w:type="gramEnd"/>
            <w:r w:rsidRPr="009F0E02">
              <w:rPr>
                <w:rFonts w:ascii="Verdana" w:hAnsi="Verdana"/>
                <w:sz w:val="16"/>
                <w:szCs w:val="16"/>
                <w:lang w:val="en-US"/>
              </w:rPr>
              <w:t>, location or description of the area, place or places subject to verification;</w:t>
            </w:r>
          </w:p>
        </w:tc>
      </w:tr>
      <w:tr w:rsidR="003A38FF" w:rsidRPr="00D83DA2" w14:paraId="2CA4F1E1" w14:textId="3F4E7535" w:rsidTr="00FB5DAD">
        <w:tc>
          <w:tcPr>
            <w:tcW w:w="4706" w:type="dxa"/>
          </w:tcPr>
          <w:p w14:paraId="5954FE19"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Fundamento, cargo, nombre, firma autógrafa o electrónica de la persona servidora pública que expide la orden;</w:t>
            </w:r>
          </w:p>
        </w:tc>
        <w:tc>
          <w:tcPr>
            <w:tcW w:w="4644" w:type="dxa"/>
          </w:tcPr>
          <w:p w14:paraId="3FF33803" w14:textId="24E39C6E" w:rsidR="003A38FF" w:rsidRPr="00D0180E" w:rsidRDefault="003A38FF" w:rsidP="003A38FF">
            <w:pPr>
              <w:pStyle w:val="Texto"/>
              <w:ind w:firstLine="0"/>
              <w:rPr>
                <w:rFonts w:ascii="Verdana" w:hAnsi="Verdana"/>
                <w:b/>
                <w:sz w:val="16"/>
                <w:szCs w:val="16"/>
                <w:lang w:val="en-US"/>
              </w:rPr>
            </w:pPr>
            <w:r w:rsidRPr="009F0E02">
              <w:rPr>
                <w:rFonts w:ascii="Verdana" w:hAnsi="Verdana"/>
                <w:b/>
                <w:sz w:val="16"/>
                <w:szCs w:val="16"/>
                <w:lang w:val="en-US"/>
              </w:rPr>
              <w:t xml:space="preserve">V. </w:t>
            </w:r>
            <w:r w:rsidRPr="009F0E02">
              <w:rPr>
                <w:rFonts w:ascii="Verdana" w:hAnsi="Verdana"/>
                <w:b/>
                <w:sz w:val="16"/>
                <w:szCs w:val="16"/>
                <w:lang w:val="en-US"/>
              </w:rPr>
              <w:tab/>
            </w:r>
            <w:r w:rsidRPr="009F0E02">
              <w:rPr>
                <w:rFonts w:ascii="Verdana" w:hAnsi="Verdana"/>
                <w:sz w:val="16"/>
                <w:szCs w:val="16"/>
                <w:lang w:val="en-US"/>
              </w:rPr>
              <w:t xml:space="preserve">Basis, position, name, autograph or electronic </w:t>
            </w:r>
            <w:r>
              <w:rPr>
                <w:rFonts w:ascii="Verdana" w:hAnsi="Verdana"/>
                <w:sz w:val="16"/>
                <w:szCs w:val="16"/>
                <w:lang w:val="en-US"/>
              </w:rPr>
              <w:t>Signed</w:t>
            </w:r>
            <w:r w:rsidRPr="009F0E02">
              <w:rPr>
                <w:rFonts w:ascii="Verdana" w:hAnsi="Verdana"/>
                <w:sz w:val="16"/>
                <w:szCs w:val="16"/>
                <w:lang w:val="en-US"/>
              </w:rPr>
              <w:t xml:space="preserve"> of the public servant issuing the order;</w:t>
            </w:r>
          </w:p>
        </w:tc>
      </w:tr>
      <w:tr w:rsidR="003A38FF" w:rsidRPr="00D83DA2" w14:paraId="05867683" w14:textId="70B8A90C" w:rsidTr="00FB5DAD">
        <w:tc>
          <w:tcPr>
            <w:tcW w:w="4706" w:type="dxa"/>
          </w:tcPr>
          <w:p w14:paraId="4EE014B0"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Las disposiciones jurídicas que la fundamenten, el objeto y alcance de la visita de verificación, y</w:t>
            </w:r>
          </w:p>
        </w:tc>
        <w:tc>
          <w:tcPr>
            <w:tcW w:w="4644" w:type="dxa"/>
          </w:tcPr>
          <w:p w14:paraId="773A2904" w14:textId="45A35BA3" w:rsidR="003A38FF" w:rsidRPr="00D0180E" w:rsidRDefault="003A38FF" w:rsidP="003A38FF">
            <w:pPr>
              <w:pStyle w:val="Texto"/>
              <w:ind w:firstLine="0"/>
              <w:rPr>
                <w:rFonts w:ascii="Verdana" w:hAnsi="Verdana"/>
                <w:b/>
                <w:sz w:val="16"/>
                <w:szCs w:val="16"/>
                <w:lang w:val="en-US"/>
              </w:rPr>
            </w:pPr>
            <w:r w:rsidRPr="009F0E02">
              <w:rPr>
                <w:rFonts w:ascii="Verdana" w:hAnsi="Verdana"/>
                <w:b/>
                <w:sz w:val="16"/>
                <w:szCs w:val="16"/>
                <w:lang w:val="en-US"/>
              </w:rPr>
              <w:t>VI</w:t>
            </w:r>
            <w:proofErr w:type="gramStart"/>
            <w:r w:rsidRPr="009F0E02">
              <w:rPr>
                <w:rFonts w:ascii="Verdana" w:hAnsi="Verdana"/>
                <w:b/>
                <w:sz w:val="16"/>
                <w:szCs w:val="16"/>
                <w:lang w:val="en-US"/>
              </w:rPr>
              <w:t xml:space="preserve">. </w:t>
            </w:r>
            <w:r w:rsidRPr="009F0E02">
              <w:rPr>
                <w:rFonts w:ascii="Verdana" w:hAnsi="Verdana"/>
                <w:b/>
                <w:sz w:val="16"/>
                <w:szCs w:val="16"/>
                <w:lang w:val="en-US"/>
              </w:rPr>
              <w:tab/>
            </w:r>
            <w:r w:rsidRPr="009F0E02">
              <w:rPr>
                <w:rFonts w:ascii="Verdana" w:hAnsi="Verdana"/>
                <w:sz w:val="16"/>
                <w:szCs w:val="16"/>
                <w:lang w:val="en-US"/>
              </w:rPr>
              <w:t>The</w:t>
            </w:r>
            <w:proofErr w:type="gramEnd"/>
            <w:r w:rsidRPr="009F0E02">
              <w:rPr>
                <w:rFonts w:ascii="Verdana" w:hAnsi="Verdana"/>
                <w:sz w:val="16"/>
                <w:szCs w:val="16"/>
                <w:lang w:val="en-US"/>
              </w:rPr>
              <w:t xml:space="preserve"> legal provisions that support it, the purpose and scope of the verification visit, and</w:t>
            </w:r>
          </w:p>
        </w:tc>
      </w:tr>
      <w:tr w:rsidR="003A38FF" w:rsidRPr="00D83DA2" w14:paraId="691419B9" w14:textId="0D4481CE" w:rsidTr="00FB5DAD">
        <w:tc>
          <w:tcPr>
            <w:tcW w:w="4706" w:type="dxa"/>
          </w:tcPr>
          <w:p w14:paraId="127D3983"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Las demás que señale la normatividad aplicable.</w:t>
            </w:r>
          </w:p>
        </w:tc>
        <w:tc>
          <w:tcPr>
            <w:tcW w:w="4644" w:type="dxa"/>
          </w:tcPr>
          <w:p w14:paraId="18347F59" w14:textId="2300FAB6" w:rsidR="003A38FF" w:rsidRPr="00D0180E" w:rsidRDefault="003A38FF" w:rsidP="003A38FF">
            <w:pPr>
              <w:pStyle w:val="Texto"/>
              <w:ind w:firstLine="0"/>
              <w:rPr>
                <w:rFonts w:ascii="Verdana" w:hAnsi="Verdana"/>
                <w:b/>
                <w:sz w:val="16"/>
                <w:szCs w:val="16"/>
                <w:lang w:val="en-US"/>
              </w:rPr>
            </w:pPr>
            <w:r w:rsidRPr="009F0E02">
              <w:rPr>
                <w:rFonts w:ascii="Verdana" w:hAnsi="Verdana"/>
                <w:b/>
                <w:sz w:val="16"/>
                <w:szCs w:val="16"/>
                <w:lang w:val="en-US"/>
              </w:rPr>
              <w:t>VII</w:t>
            </w:r>
            <w:proofErr w:type="gramStart"/>
            <w:r w:rsidRPr="009F0E02">
              <w:rPr>
                <w:rFonts w:ascii="Verdana" w:hAnsi="Verdana"/>
                <w:b/>
                <w:sz w:val="16"/>
                <w:szCs w:val="16"/>
                <w:lang w:val="en-US"/>
              </w:rPr>
              <w:t xml:space="preserve">. </w:t>
            </w:r>
            <w:r w:rsidRPr="009F0E02">
              <w:rPr>
                <w:rFonts w:ascii="Verdana" w:hAnsi="Verdana"/>
                <w:b/>
                <w:sz w:val="16"/>
                <w:szCs w:val="16"/>
                <w:lang w:val="en-US"/>
              </w:rPr>
              <w:tab/>
            </w:r>
            <w:r w:rsidRPr="009F0E02">
              <w:rPr>
                <w:rFonts w:ascii="Verdana" w:hAnsi="Verdana"/>
                <w:sz w:val="16"/>
                <w:szCs w:val="16"/>
                <w:lang w:val="en-US"/>
              </w:rPr>
              <w:t>Others</w:t>
            </w:r>
            <w:proofErr w:type="gramEnd"/>
            <w:r w:rsidRPr="009F0E02">
              <w:rPr>
                <w:rFonts w:ascii="Verdana" w:hAnsi="Verdana"/>
                <w:sz w:val="16"/>
                <w:szCs w:val="16"/>
                <w:lang w:val="en-US"/>
              </w:rPr>
              <w:t xml:space="preserve"> indicated by the applicable legislation.</w:t>
            </w:r>
          </w:p>
        </w:tc>
      </w:tr>
      <w:tr w:rsidR="003A38FF" w:rsidRPr="00D83DA2" w14:paraId="012A7460" w14:textId="3106460F" w:rsidTr="00FB5DAD">
        <w:tc>
          <w:tcPr>
            <w:tcW w:w="4706" w:type="dxa"/>
          </w:tcPr>
          <w:p w14:paraId="432BC4D2"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 xml:space="preserve">Artículo 246. </w:t>
            </w:r>
            <w:r w:rsidRPr="00D0180E">
              <w:rPr>
                <w:rFonts w:ascii="Verdana" w:hAnsi="Verdana"/>
                <w:sz w:val="16"/>
                <w:szCs w:val="16"/>
              </w:rPr>
              <w:t>La Secretaría o la CNE en el ámbito de su competencia, pueden comunicar anticipadamente por cualquier medio, a la Integrante del Sector Eléctrico o a la Persona Obligada la realización de una visita de verificación, con el objeto de que brinden las facilidades necesarias para su ejecución, en alguno de los siguientes supuestos:</w:t>
            </w:r>
          </w:p>
        </w:tc>
        <w:tc>
          <w:tcPr>
            <w:tcW w:w="4644" w:type="dxa"/>
          </w:tcPr>
          <w:p w14:paraId="58BA8749" w14:textId="238E25B8" w:rsidR="003A38FF" w:rsidRPr="00D0180E" w:rsidRDefault="003A38FF" w:rsidP="003A38FF">
            <w:pPr>
              <w:pStyle w:val="Texto"/>
              <w:ind w:firstLine="0"/>
              <w:rPr>
                <w:rFonts w:ascii="Verdana" w:hAnsi="Verdana"/>
                <w:b/>
                <w:sz w:val="16"/>
                <w:szCs w:val="16"/>
                <w:lang w:val="en-US"/>
              </w:rPr>
            </w:pPr>
            <w:r w:rsidRPr="006B3712">
              <w:rPr>
                <w:rFonts w:ascii="Verdana" w:hAnsi="Verdana"/>
                <w:b/>
                <w:sz w:val="16"/>
                <w:szCs w:val="16"/>
                <w:lang w:val="en-US"/>
              </w:rPr>
              <w:t xml:space="preserve">Article 246. </w:t>
            </w:r>
            <w:r w:rsidRPr="006B3712">
              <w:rPr>
                <w:rFonts w:ascii="Verdana" w:hAnsi="Verdana"/>
                <w:sz w:val="16"/>
                <w:szCs w:val="16"/>
                <w:lang w:val="en-US"/>
              </w:rPr>
              <w:t xml:space="preserve">The Secretary or the CNE within the scope of its </w:t>
            </w:r>
            <w:proofErr w:type="gramStart"/>
            <w:r>
              <w:rPr>
                <w:rFonts w:ascii="Verdana" w:hAnsi="Verdana"/>
                <w:sz w:val="16"/>
                <w:szCs w:val="16"/>
                <w:lang w:val="en-US"/>
              </w:rPr>
              <w:t>authority</w:t>
            </w:r>
            <w:r w:rsidRPr="006B3712">
              <w:rPr>
                <w:rFonts w:ascii="Verdana" w:hAnsi="Verdana"/>
                <w:sz w:val="16"/>
                <w:szCs w:val="16"/>
                <w:lang w:val="en-US"/>
              </w:rPr>
              <w:t>,</w:t>
            </w:r>
            <w:proofErr w:type="gramEnd"/>
            <w:r w:rsidRPr="006B3712">
              <w:rPr>
                <w:rFonts w:ascii="Verdana" w:hAnsi="Verdana"/>
                <w:sz w:val="16"/>
                <w:szCs w:val="16"/>
                <w:lang w:val="en-US"/>
              </w:rPr>
              <w:t xml:space="preserve"> may communicate in advance by any </w:t>
            </w:r>
            <w:proofErr w:type="gramStart"/>
            <w:r w:rsidRPr="006B3712">
              <w:rPr>
                <w:rFonts w:ascii="Verdana" w:hAnsi="Verdana"/>
                <w:sz w:val="16"/>
                <w:szCs w:val="16"/>
                <w:lang w:val="en-US"/>
              </w:rPr>
              <w:t>means,</w:t>
            </w:r>
            <w:proofErr w:type="gramEnd"/>
            <w:r w:rsidRPr="006B3712">
              <w:rPr>
                <w:rFonts w:ascii="Verdana" w:hAnsi="Verdana"/>
                <w:sz w:val="16"/>
                <w:szCs w:val="16"/>
                <w:lang w:val="en-US"/>
              </w:rPr>
              <w:t xml:space="preserve"> to the </w:t>
            </w:r>
            <w:r>
              <w:rPr>
                <w:rFonts w:ascii="Verdana" w:hAnsi="Verdana"/>
                <w:sz w:val="16"/>
                <w:szCs w:val="16"/>
                <w:lang w:val="en-US"/>
              </w:rPr>
              <w:t>m</w:t>
            </w:r>
            <w:r w:rsidRPr="006B3712">
              <w:rPr>
                <w:rFonts w:ascii="Verdana" w:hAnsi="Verdana"/>
                <w:sz w:val="16"/>
                <w:szCs w:val="16"/>
                <w:lang w:val="en-US"/>
              </w:rPr>
              <w:t xml:space="preserve">ember of the Electric Sector or to the </w:t>
            </w:r>
            <w:r>
              <w:rPr>
                <w:rFonts w:ascii="Verdana" w:hAnsi="Verdana"/>
                <w:sz w:val="16"/>
                <w:szCs w:val="16"/>
                <w:lang w:val="en-US"/>
              </w:rPr>
              <w:t>o</w:t>
            </w:r>
            <w:r w:rsidRPr="006B3712">
              <w:rPr>
                <w:rFonts w:ascii="Verdana" w:hAnsi="Verdana"/>
                <w:sz w:val="16"/>
                <w:szCs w:val="16"/>
                <w:lang w:val="en-US"/>
              </w:rPr>
              <w:t>blig</w:t>
            </w:r>
            <w:r>
              <w:rPr>
                <w:rFonts w:ascii="Verdana" w:hAnsi="Verdana"/>
                <w:sz w:val="16"/>
                <w:szCs w:val="16"/>
                <w:lang w:val="en-US"/>
              </w:rPr>
              <w:t>at</w:t>
            </w:r>
            <w:r w:rsidRPr="006B3712">
              <w:rPr>
                <w:rFonts w:ascii="Verdana" w:hAnsi="Verdana"/>
                <w:sz w:val="16"/>
                <w:szCs w:val="16"/>
                <w:lang w:val="en-US"/>
              </w:rPr>
              <w:t xml:space="preserve">ed </w:t>
            </w:r>
            <w:proofErr w:type="gramStart"/>
            <w:r w:rsidRPr="006B3712">
              <w:rPr>
                <w:rFonts w:ascii="Verdana" w:hAnsi="Verdana"/>
                <w:sz w:val="16"/>
                <w:szCs w:val="16"/>
                <w:lang w:val="en-US"/>
              </w:rPr>
              <w:t>Person</w:t>
            </w:r>
            <w:proofErr w:type="gramEnd"/>
            <w:r w:rsidRPr="006B3712">
              <w:rPr>
                <w:rFonts w:ascii="Verdana" w:hAnsi="Verdana"/>
                <w:sz w:val="16"/>
                <w:szCs w:val="16"/>
                <w:lang w:val="en-US"/>
              </w:rPr>
              <w:t xml:space="preserve"> the realization of a verification visit, </w:t>
            </w:r>
            <w:proofErr w:type="gramStart"/>
            <w:r w:rsidRPr="006B3712">
              <w:rPr>
                <w:rFonts w:ascii="Verdana" w:hAnsi="Verdana"/>
                <w:sz w:val="16"/>
                <w:szCs w:val="16"/>
                <w:lang w:val="en-US"/>
              </w:rPr>
              <w:t>in order to</w:t>
            </w:r>
            <w:proofErr w:type="gramEnd"/>
            <w:r w:rsidRPr="006B3712">
              <w:rPr>
                <w:rFonts w:ascii="Verdana" w:hAnsi="Verdana"/>
                <w:sz w:val="16"/>
                <w:szCs w:val="16"/>
                <w:lang w:val="en-US"/>
              </w:rPr>
              <w:t xml:space="preserve"> provide the necessary facilities for its execution, in any of the following cases:</w:t>
            </w:r>
          </w:p>
        </w:tc>
      </w:tr>
      <w:tr w:rsidR="003A38FF" w:rsidRPr="00D83DA2" w14:paraId="45AD31B3" w14:textId="06E4F38F" w:rsidTr="00FB5DAD">
        <w:tc>
          <w:tcPr>
            <w:tcW w:w="4706" w:type="dxa"/>
          </w:tcPr>
          <w:p w14:paraId="54BF304F"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Por cuestiones de seguridad de las personas habilitadas;</w:t>
            </w:r>
          </w:p>
        </w:tc>
        <w:tc>
          <w:tcPr>
            <w:tcW w:w="4644" w:type="dxa"/>
          </w:tcPr>
          <w:p w14:paraId="186067FA" w14:textId="2AA155A5" w:rsidR="003A38FF" w:rsidRPr="00D0180E" w:rsidRDefault="003A38FF" w:rsidP="003A38FF">
            <w:pPr>
              <w:pStyle w:val="Texto"/>
              <w:ind w:firstLine="0"/>
              <w:rPr>
                <w:rFonts w:ascii="Verdana" w:hAnsi="Verdana"/>
                <w:b/>
                <w:sz w:val="16"/>
                <w:szCs w:val="16"/>
                <w:lang w:val="en-US"/>
              </w:rPr>
            </w:pPr>
            <w:r w:rsidRPr="006B3712">
              <w:rPr>
                <w:rFonts w:ascii="Verdana" w:hAnsi="Verdana"/>
                <w:b/>
                <w:sz w:val="16"/>
                <w:szCs w:val="16"/>
                <w:lang w:val="en-US"/>
              </w:rPr>
              <w:t>I</w:t>
            </w:r>
            <w:proofErr w:type="gramStart"/>
            <w:r w:rsidRPr="006B3712">
              <w:rPr>
                <w:rFonts w:ascii="Verdana" w:hAnsi="Verdana"/>
                <w:b/>
                <w:sz w:val="16"/>
                <w:szCs w:val="16"/>
                <w:lang w:val="en-US"/>
              </w:rPr>
              <w:t xml:space="preserve">. </w:t>
            </w:r>
            <w:r w:rsidRPr="006B3712">
              <w:rPr>
                <w:rFonts w:ascii="Verdana" w:hAnsi="Verdana"/>
                <w:b/>
                <w:sz w:val="16"/>
                <w:szCs w:val="16"/>
                <w:lang w:val="en-US"/>
              </w:rPr>
              <w:tab/>
            </w:r>
            <w:r w:rsidRPr="006B3712">
              <w:rPr>
                <w:rFonts w:ascii="Verdana" w:hAnsi="Verdana"/>
                <w:sz w:val="16"/>
                <w:szCs w:val="16"/>
                <w:lang w:val="en-US"/>
              </w:rPr>
              <w:t>For</w:t>
            </w:r>
            <w:proofErr w:type="gramEnd"/>
            <w:r w:rsidRPr="006B3712">
              <w:rPr>
                <w:rFonts w:ascii="Verdana" w:hAnsi="Verdana"/>
                <w:sz w:val="16"/>
                <w:szCs w:val="16"/>
                <w:lang w:val="en-US"/>
              </w:rPr>
              <w:t xml:space="preserve"> security reasons of authorized persons;</w:t>
            </w:r>
          </w:p>
        </w:tc>
      </w:tr>
      <w:tr w:rsidR="003A38FF" w:rsidRPr="00D83DA2" w14:paraId="7B738066" w14:textId="4581B00C" w:rsidTr="00FB5DAD">
        <w:tc>
          <w:tcPr>
            <w:tcW w:w="4706" w:type="dxa"/>
          </w:tcPr>
          <w:p w14:paraId="20586DA8"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Por las características técnicas propias de la instalación a verificar;</w:t>
            </w:r>
          </w:p>
        </w:tc>
        <w:tc>
          <w:tcPr>
            <w:tcW w:w="4644" w:type="dxa"/>
          </w:tcPr>
          <w:p w14:paraId="1B4B881D" w14:textId="0A5F6054" w:rsidR="003A38FF" w:rsidRPr="00D0180E" w:rsidRDefault="003A38FF" w:rsidP="003A38FF">
            <w:pPr>
              <w:pStyle w:val="Texto"/>
              <w:ind w:firstLine="0"/>
              <w:rPr>
                <w:rFonts w:ascii="Verdana" w:hAnsi="Verdana"/>
                <w:b/>
                <w:sz w:val="16"/>
                <w:szCs w:val="16"/>
                <w:lang w:val="en-US"/>
              </w:rPr>
            </w:pPr>
            <w:r w:rsidRPr="006B3712">
              <w:rPr>
                <w:rFonts w:ascii="Verdana" w:hAnsi="Verdana"/>
                <w:b/>
                <w:sz w:val="16"/>
                <w:szCs w:val="16"/>
                <w:lang w:val="en-US"/>
              </w:rPr>
              <w:t>II</w:t>
            </w:r>
            <w:proofErr w:type="gramStart"/>
            <w:r w:rsidRPr="006B3712">
              <w:rPr>
                <w:rFonts w:ascii="Verdana" w:hAnsi="Verdana"/>
                <w:b/>
                <w:sz w:val="16"/>
                <w:szCs w:val="16"/>
                <w:lang w:val="en-US"/>
              </w:rPr>
              <w:t xml:space="preserve">. </w:t>
            </w:r>
            <w:r w:rsidRPr="006B3712">
              <w:rPr>
                <w:rFonts w:ascii="Verdana" w:hAnsi="Verdana"/>
                <w:b/>
                <w:sz w:val="16"/>
                <w:szCs w:val="16"/>
                <w:lang w:val="en-US"/>
              </w:rPr>
              <w:tab/>
            </w:r>
            <w:r w:rsidRPr="006B3712">
              <w:rPr>
                <w:rFonts w:ascii="Verdana" w:hAnsi="Verdana"/>
                <w:sz w:val="16"/>
                <w:szCs w:val="16"/>
                <w:lang w:val="en-US"/>
              </w:rPr>
              <w:t>Due</w:t>
            </w:r>
            <w:proofErr w:type="gramEnd"/>
            <w:r w:rsidRPr="006B3712">
              <w:rPr>
                <w:rFonts w:ascii="Verdana" w:hAnsi="Verdana"/>
                <w:sz w:val="16"/>
                <w:szCs w:val="16"/>
                <w:lang w:val="en-US"/>
              </w:rPr>
              <w:t xml:space="preserve"> to the technical characteristics of the installation to be verified;</w:t>
            </w:r>
          </w:p>
        </w:tc>
      </w:tr>
      <w:tr w:rsidR="003A38FF" w:rsidRPr="00D83DA2" w14:paraId="577FFC09" w14:textId="3BB18C83" w:rsidTr="00FB5DAD">
        <w:tc>
          <w:tcPr>
            <w:tcW w:w="4706" w:type="dxa"/>
          </w:tcPr>
          <w:p w14:paraId="1911B601"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Por su ubicación geográfica o por las condiciones de accesibilidad al lugar donde se debe realizar la visita, o</w:t>
            </w:r>
          </w:p>
        </w:tc>
        <w:tc>
          <w:tcPr>
            <w:tcW w:w="4644" w:type="dxa"/>
          </w:tcPr>
          <w:p w14:paraId="25685E79" w14:textId="07FF31A3" w:rsidR="003A38FF" w:rsidRPr="00D0180E" w:rsidRDefault="003A38FF" w:rsidP="003A38FF">
            <w:pPr>
              <w:pStyle w:val="Texto"/>
              <w:ind w:firstLine="0"/>
              <w:rPr>
                <w:rFonts w:ascii="Verdana" w:hAnsi="Verdana"/>
                <w:b/>
                <w:sz w:val="16"/>
                <w:szCs w:val="16"/>
                <w:lang w:val="en-US"/>
              </w:rPr>
            </w:pPr>
            <w:proofErr w:type="gramStart"/>
            <w:r w:rsidRPr="006B3712">
              <w:rPr>
                <w:rFonts w:ascii="Verdana" w:hAnsi="Verdana"/>
                <w:b/>
                <w:sz w:val="16"/>
                <w:szCs w:val="16"/>
                <w:lang w:val="en-US"/>
              </w:rPr>
              <w:t xml:space="preserve">III. </w:t>
            </w:r>
            <w:r w:rsidRPr="006B3712">
              <w:rPr>
                <w:rFonts w:ascii="Verdana" w:hAnsi="Verdana"/>
                <w:b/>
                <w:sz w:val="16"/>
                <w:szCs w:val="16"/>
                <w:lang w:val="en-US"/>
              </w:rPr>
              <w:tab/>
            </w:r>
            <w:r w:rsidRPr="006B3712">
              <w:rPr>
                <w:rFonts w:ascii="Verdana" w:hAnsi="Verdana"/>
                <w:sz w:val="16"/>
                <w:szCs w:val="16"/>
                <w:lang w:val="en-US"/>
              </w:rPr>
              <w:t>Due</w:t>
            </w:r>
            <w:proofErr w:type="gramEnd"/>
            <w:r w:rsidRPr="006B3712">
              <w:rPr>
                <w:rFonts w:ascii="Verdana" w:hAnsi="Verdana"/>
                <w:sz w:val="16"/>
                <w:szCs w:val="16"/>
                <w:lang w:val="en-US"/>
              </w:rPr>
              <w:t xml:space="preserve"> to its geographical location or the accessibility conditions of the place where the visit is to take place, or</w:t>
            </w:r>
          </w:p>
        </w:tc>
      </w:tr>
      <w:tr w:rsidR="003A38FF" w:rsidRPr="00D83DA2" w14:paraId="3F18098F" w14:textId="2FFD1C7A" w:rsidTr="00FB5DAD">
        <w:tc>
          <w:tcPr>
            <w:tcW w:w="4706" w:type="dxa"/>
          </w:tcPr>
          <w:p w14:paraId="63F4BD88"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Por cualquier otra razón justificada.</w:t>
            </w:r>
          </w:p>
        </w:tc>
        <w:tc>
          <w:tcPr>
            <w:tcW w:w="4644" w:type="dxa"/>
          </w:tcPr>
          <w:p w14:paraId="1C3A49F7" w14:textId="641FF9C1" w:rsidR="003A38FF" w:rsidRPr="00D0180E" w:rsidRDefault="003A38FF" w:rsidP="003A38FF">
            <w:pPr>
              <w:pStyle w:val="Texto"/>
              <w:ind w:firstLine="0"/>
              <w:rPr>
                <w:rFonts w:ascii="Verdana" w:hAnsi="Verdana"/>
                <w:b/>
                <w:sz w:val="16"/>
                <w:szCs w:val="16"/>
                <w:lang w:val="en-US"/>
              </w:rPr>
            </w:pPr>
            <w:r w:rsidRPr="006B3712">
              <w:rPr>
                <w:rFonts w:ascii="Verdana" w:hAnsi="Verdana"/>
                <w:b/>
                <w:sz w:val="16"/>
                <w:szCs w:val="16"/>
                <w:lang w:val="en-US"/>
              </w:rPr>
              <w:t>IV</w:t>
            </w:r>
            <w:proofErr w:type="gramStart"/>
            <w:r w:rsidRPr="006B3712">
              <w:rPr>
                <w:rFonts w:ascii="Verdana" w:hAnsi="Verdana"/>
                <w:b/>
                <w:sz w:val="16"/>
                <w:szCs w:val="16"/>
                <w:lang w:val="en-US"/>
              </w:rPr>
              <w:t xml:space="preserve">. </w:t>
            </w:r>
            <w:r w:rsidRPr="006B3712">
              <w:rPr>
                <w:rFonts w:ascii="Verdana" w:hAnsi="Verdana"/>
                <w:b/>
                <w:sz w:val="16"/>
                <w:szCs w:val="16"/>
                <w:lang w:val="en-US"/>
              </w:rPr>
              <w:tab/>
            </w:r>
            <w:r w:rsidRPr="006B3712">
              <w:rPr>
                <w:rFonts w:ascii="Verdana" w:hAnsi="Verdana"/>
                <w:sz w:val="16"/>
                <w:szCs w:val="16"/>
                <w:lang w:val="en-US"/>
              </w:rPr>
              <w:t>For</w:t>
            </w:r>
            <w:proofErr w:type="gramEnd"/>
            <w:r w:rsidRPr="006B3712">
              <w:rPr>
                <w:rFonts w:ascii="Verdana" w:hAnsi="Verdana"/>
                <w:sz w:val="16"/>
                <w:szCs w:val="16"/>
                <w:lang w:val="en-US"/>
              </w:rPr>
              <w:t xml:space="preserve"> any other justified reason.</w:t>
            </w:r>
          </w:p>
        </w:tc>
      </w:tr>
      <w:tr w:rsidR="003A38FF" w:rsidRPr="00D83DA2" w14:paraId="0E1442E4" w14:textId="033453D0" w:rsidTr="00FB5DAD">
        <w:tc>
          <w:tcPr>
            <w:tcW w:w="4706" w:type="dxa"/>
          </w:tcPr>
          <w:p w14:paraId="18339628" w14:textId="77777777" w:rsidR="003A38FF" w:rsidRPr="00D0180E" w:rsidRDefault="003A38FF" w:rsidP="003A38FF">
            <w:pPr>
              <w:pStyle w:val="Texto"/>
              <w:ind w:firstLine="0"/>
              <w:rPr>
                <w:rFonts w:ascii="Verdana" w:hAnsi="Verdana"/>
                <w:sz w:val="16"/>
                <w:szCs w:val="16"/>
              </w:rPr>
            </w:pPr>
            <w:r w:rsidRPr="00D0180E">
              <w:rPr>
                <w:rFonts w:ascii="Verdana" w:hAnsi="Verdana"/>
                <w:sz w:val="16"/>
                <w:szCs w:val="16"/>
              </w:rPr>
              <w:t>En cualquiera de los supuestos anteriores, el aviso a que se hace referencia no implica que se comunique el alcance y objeto señalados en la orden de visita de verificación.</w:t>
            </w:r>
          </w:p>
        </w:tc>
        <w:tc>
          <w:tcPr>
            <w:tcW w:w="4644" w:type="dxa"/>
          </w:tcPr>
          <w:p w14:paraId="09800631" w14:textId="39BD3C27" w:rsidR="003A38FF" w:rsidRPr="00D0180E" w:rsidRDefault="003A38FF" w:rsidP="003A38FF">
            <w:pPr>
              <w:pStyle w:val="Texto"/>
              <w:ind w:firstLine="0"/>
              <w:rPr>
                <w:rFonts w:ascii="Verdana" w:hAnsi="Verdana"/>
                <w:sz w:val="16"/>
                <w:szCs w:val="16"/>
                <w:lang w:val="en-US"/>
              </w:rPr>
            </w:pPr>
            <w:r w:rsidRPr="006B3712">
              <w:rPr>
                <w:rFonts w:ascii="Verdana" w:hAnsi="Verdana"/>
                <w:sz w:val="16"/>
                <w:szCs w:val="16"/>
                <w:lang w:val="en-US"/>
              </w:rPr>
              <w:t xml:space="preserve">In any of the above cases, the notice referred to does not imply that the scope and purpose indicated in the </w:t>
            </w:r>
            <w:proofErr w:type="gramStart"/>
            <w:r w:rsidRPr="006B3712">
              <w:rPr>
                <w:rFonts w:ascii="Verdana" w:hAnsi="Verdana"/>
                <w:sz w:val="16"/>
                <w:szCs w:val="16"/>
                <w:lang w:val="en-US"/>
              </w:rPr>
              <w:t>verification visit order</w:t>
            </w:r>
            <w:proofErr w:type="gramEnd"/>
            <w:r w:rsidRPr="006B3712">
              <w:rPr>
                <w:rFonts w:ascii="Verdana" w:hAnsi="Verdana"/>
                <w:sz w:val="16"/>
                <w:szCs w:val="16"/>
                <w:lang w:val="en-US"/>
              </w:rPr>
              <w:t xml:space="preserve"> are communicated.</w:t>
            </w:r>
          </w:p>
        </w:tc>
      </w:tr>
      <w:tr w:rsidR="003A38FF" w:rsidRPr="00D83DA2" w14:paraId="33EDF4E4" w14:textId="0F7A3F0D" w:rsidTr="00FB5DAD">
        <w:tc>
          <w:tcPr>
            <w:tcW w:w="4706" w:type="dxa"/>
          </w:tcPr>
          <w:p w14:paraId="3A56EDCF"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Artículo 247.</w:t>
            </w:r>
            <w:r w:rsidRPr="00D0180E">
              <w:rPr>
                <w:rFonts w:ascii="Verdana" w:hAnsi="Verdana"/>
                <w:sz w:val="16"/>
                <w:szCs w:val="16"/>
              </w:rPr>
              <w:t xml:space="preserve"> Al inicio de la visita, la persona verificadora debe exhibir credencial vigente con fotografía expedida por la Secretaría o la CNE que la acredite para desempeñar dicha función, así como la orden de la visita de verificación de la que debe dejar un tanto con firma autógrafa o electrónica a la persona con quien se entendió la diligencia.</w:t>
            </w:r>
          </w:p>
        </w:tc>
        <w:tc>
          <w:tcPr>
            <w:tcW w:w="4644" w:type="dxa"/>
          </w:tcPr>
          <w:p w14:paraId="5FD19780" w14:textId="24BA8539" w:rsidR="003A38FF" w:rsidRPr="00D0180E" w:rsidRDefault="003A38FF" w:rsidP="003A38FF">
            <w:pPr>
              <w:pStyle w:val="Texto"/>
              <w:ind w:firstLine="0"/>
              <w:rPr>
                <w:rFonts w:ascii="Verdana" w:hAnsi="Verdana"/>
                <w:b/>
                <w:sz w:val="16"/>
                <w:szCs w:val="16"/>
                <w:lang w:val="en-US"/>
              </w:rPr>
            </w:pPr>
            <w:r w:rsidRPr="006B3712">
              <w:rPr>
                <w:rFonts w:ascii="Verdana" w:hAnsi="Verdana"/>
                <w:b/>
                <w:sz w:val="16"/>
                <w:szCs w:val="16"/>
                <w:lang w:val="en-US"/>
              </w:rPr>
              <w:t xml:space="preserve">Article 247. </w:t>
            </w:r>
            <w:r w:rsidRPr="006B3712">
              <w:rPr>
                <w:rFonts w:ascii="Verdana" w:hAnsi="Verdana"/>
                <w:sz w:val="16"/>
                <w:szCs w:val="16"/>
                <w:lang w:val="en-US"/>
              </w:rPr>
              <w:t xml:space="preserve">At the beginning of the visit, the verifying person must present a valid photo ID issued by the Secretary or the CNE that accredits them to perform said function, as well as the order of the verification visit, of which they must leave a copy with an </w:t>
            </w:r>
            <w:r>
              <w:rPr>
                <w:rFonts w:ascii="Verdana" w:hAnsi="Verdana"/>
                <w:sz w:val="16"/>
                <w:szCs w:val="16"/>
                <w:lang w:val="en-US"/>
              </w:rPr>
              <w:t>hand signed</w:t>
            </w:r>
            <w:r w:rsidRPr="006B3712">
              <w:rPr>
                <w:rFonts w:ascii="Verdana" w:hAnsi="Verdana"/>
                <w:sz w:val="16"/>
                <w:szCs w:val="16"/>
                <w:lang w:val="en-US"/>
              </w:rPr>
              <w:t xml:space="preserve"> or electronic </w:t>
            </w:r>
            <w:r>
              <w:rPr>
                <w:rFonts w:ascii="Verdana" w:hAnsi="Verdana"/>
                <w:sz w:val="16"/>
                <w:szCs w:val="16"/>
                <w:lang w:val="en-US"/>
              </w:rPr>
              <w:t>signature</w:t>
            </w:r>
            <w:r w:rsidRPr="006B3712">
              <w:rPr>
                <w:rFonts w:ascii="Verdana" w:hAnsi="Verdana"/>
                <w:sz w:val="16"/>
                <w:szCs w:val="16"/>
                <w:lang w:val="en-US"/>
              </w:rPr>
              <w:t xml:space="preserve"> for the person with whom the </w:t>
            </w:r>
            <w:r>
              <w:rPr>
                <w:rFonts w:ascii="Verdana" w:hAnsi="Verdana"/>
                <w:sz w:val="16"/>
                <w:szCs w:val="16"/>
                <w:lang w:val="en-US"/>
              </w:rPr>
              <w:t>procedure</w:t>
            </w:r>
            <w:r w:rsidRPr="006B3712">
              <w:rPr>
                <w:rFonts w:ascii="Verdana" w:hAnsi="Verdana"/>
                <w:sz w:val="16"/>
                <w:szCs w:val="16"/>
                <w:lang w:val="en-US"/>
              </w:rPr>
              <w:t xml:space="preserve"> was conducted.</w:t>
            </w:r>
          </w:p>
        </w:tc>
      </w:tr>
      <w:tr w:rsidR="003A38FF" w:rsidRPr="00D83DA2" w14:paraId="75B44F51" w14:textId="06ADE687" w:rsidTr="00FB5DAD">
        <w:tc>
          <w:tcPr>
            <w:tcW w:w="4706" w:type="dxa"/>
          </w:tcPr>
          <w:p w14:paraId="4AD8AEBC"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lastRenderedPageBreak/>
              <w:t>Artículo 248.</w:t>
            </w:r>
            <w:r w:rsidRPr="00D0180E">
              <w:rPr>
                <w:rFonts w:ascii="Verdana" w:hAnsi="Verdana"/>
                <w:sz w:val="16"/>
                <w:szCs w:val="16"/>
              </w:rPr>
              <w:t xml:space="preserve"> El acta circunstanciada que se levante durante una visita de verificación debe contener, al menos, lo siguiente:</w:t>
            </w:r>
          </w:p>
        </w:tc>
        <w:tc>
          <w:tcPr>
            <w:tcW w:w="4644" w:type="dxa"/>
          </w:tcPr>
          <w:p w14:paraId="58717CBE" w14:textId="046098B5" w:rsidR="003A38FF" w:rsidRPr="00D0180E" w:rsidRDefault="003A38FF" w:rsidP="003A38FF">
            <w:pPr>
              <w:pStyle w:val="Texto"/>
              <w:ind w:firstLine="0"/>
              <w:rPr>
                <w:rFonts w:ascii="Verdana" w:hAnsi="Verdana"/>
                <w:b/>
                <w:sz w:val="16"/>
                <w:szCs w:val="16"/>
                <w:lang w:val="en-US"/>
              </w:rPr>
            </w:pPr>
            <w:r w:rsidRPr="006B3712">
              <w:rPr>
                <w:rFonts w:ascii="Verdana" w:hAnsi="Verdana"/>
                <w:b/>
                <w:sz w:val="16"/>
                <w:szCs w:val="16"/>
                <w:lang w:val="en-US"/>
              </w:rPr>
              <w:t xml:space="preserve">Article 248. </w:t>
            </w:r>
            <w:r w:rsidRPr="006B3712">
              <w:rPr>
                <w:rFonts w:ascii="Verdana" w:hAnsi="Verdana"/>
                <w:sz w:val="16"/>
                <w:szCs w:val="16"/>
                <w:lang w:val="en-US"/>
              </w:rPr>
              <w:t>The detailed report drawn up during a verification visit must contain, at least, the following:</w:t>
            </w:r>
          </w:p>
        </w:tc>
      </w:tr>
      <w:tr w:rsidR="003A38FF" w:rsidRPr="00D83DA2" w14:paraId="24447F84" w14:textId="14CB6B9A" w:rsidTr="00FB5DAD">
        <w:tc>
          <w:tcPr>
            <w:tcW w:w="4706" w:type="dxa"/>
          </w:tcPr>
          <w:p w14:paraId="2153BB48"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Lugar, fecha y hora de su inicio;</w:t>
            </w:r>
          </w:p>
        </w:tc>
        <w:tc>
          <w:tcPr>
            <w:tcW w:w="4644" w:type="dxa"/>
          </w:tcPr>
          <w:p w14:paraId="5AEBBFF8" w14:textId="08CF059D" w:rsidR="003A38FF" w:rsidRPr="00D0180E" w:rsidRDefault="003A38FF" w:rsidP="003A38FF">
            <w:pPr>
              <w:pStyle w:val="Texto"/>
              <w:ind w:firstLine="0"/>
              <w:rPr>
                <w:rFonts w:ascii="Verdana" w:hAnsi="Verdana"/>
                <w:b/>
                <w:sz w:val="16"/>
                <w:szCs w:val="16"/>
                <w:lang w:val="en-US"/>
              </w:rPr>
            </w:pPr>
            <w:r w:rsidRPr="006B3712">
              <w:rPr>
                <w:rFonts w:ascii="Verdana" w:hAnsi="Verdana"/>
                <w:b/>
                <w:sz w:val="16"/>
                <w:szCs w:val="16"/>
                <w:lang w:val="en-US"/>
              </w:rPr>
              <w:t>I</w:t>
            </w:r>
            <w:proofErr w:type="gramStart"/>
            <w:r w:rsidRPr="006B3712">
              <w:rPr>
                <w:rFonts w:ascii="Verdana" w:hAnsi="Verdana"/>
                <w:b/>
                <w:sz w:val="16"/>
                <w:szCs w:val="16"/>
                <w:lang w:val="en-US"/>
              </w:rPr>
              <w:t xml:space="preserve">. </w:t>
            </w:r>
            <w:r w:rsidRPr="006B3712">
              <w:rPr>
                <w:rFonts w:ascii="Verdana" w:hAnsi="Verdana"/>
                <w:b/>
                <w:sz w:val="16"/>
                <w:szCs w:val="16"/>
                <w:lang w:val="en-US"/>
              </w:rPr>
              <w:tab/>
            </w:r>
            <w:r w:rsidRPr="006B3712">
              <w:rPr>
                <w:rFonts w:ascii="Verdana" w:hAnsi="Verdana"/>
                <w:sz w:val="16"/>
                <w:szCs w:val="16"/>
                <w:lang w:val="en-US"/>
              </w:rPr>
              <w:t>Place</w:t>
            </w:r>
            <w:proofErr w:type="gramEnd"/>
            <w:r w:rsidRPr="006B3712">
              <w:rPr>
                <w:rFonts w:ascii="Verdana" w:hAnsi="Verdana"/>
                <w:sz w:val="16"/>
                <w:szCs w:val="16"/>
                <w:lang w:val="en-US"/>
              </w:rPr>
              <w:t>, date and time of its start;</w:t>
            </w:r>
          </w:p>
        </w:tc>
      </w:tr>
      <w:tr w:rsidR="003A38FF" w:rsidRPr="00D83DA2" w14:paraId="17EFAE85" w14:textId="213082CF" w:rsidTr="00FB5DAD">
        <w:tc>
          <w:tcPr>
            <w:tcW w:w="4706" w:type="dxa"/>
          </w:tcPr>
          <w:p w14:paraId="72DCB3EE"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Número de expediente, folio u oficio que le corresponda;</w:t>
            </w:r>
          </w:p>
        </w:tc>
        <w:tc>
          <w:tcPr>
            <w:tcW w:w="4644" w:type="dxa"/>
          </w:tcPr>
          <w:p w14:paraId="5D170063" w14:textId="091711CF" w:rsidR="003A38FF" w:rsidRPr="00D0180E" w:rsidRDefault="003A38FF" w:rsidP="003A38FF">
            <w:pPr>
              <w:pStyle w:val="Texto"/>
              <w:ind w:firstLine="0"/>
              <w:rPr>
                <w:rFonts w:ascii="Verdana" w:hAnsi="Verdana"/>
                <w:b/>
                <w:sz w:val="16"/>
                <w:szCs w:val="16"/>
                <w:lang w:val="en-US"/>
              </w:rPr>
            </w:pPr>
            <w:r w:rsidRPr="006B3712">
              <w:rPr>
                <w:rFonts w:ascii="Verdana" w:hAnsi="Verdana"/>
                <w:b/>
                <w:sz w:val="16"/>
                <w:szCs w:val="16"/>
                <w:lang w:val="en-US"/>
              </w:rPr>
              <w:t>II</w:t>
            </w:r>
            <w:proofErr w:type="gramStart"/>
            <w:r w:rsidRPr="006B3712">
              <w:rPr>
                <w:rFonts w:ascii="Verdana" w:hAnsi="Verdana"/>
                <w:b/>
                <w:sz w:val="16"/>
                <w:szCs w:val="16"/>
                <w:lang w:val="en-US"/>
              </w:rPr>
              <w:t xml:space="preserve">. </w:t>
            </w:r>
            <w:r w:rsidRPr="006B3712">
              <w:rPr>
                <w:rFonts w:ascii="Verdana" w:hAnsi="Verdana"/>
                <w:b/>
                <w:sz w:val="16"/>
                <w:szCs w:val="16"/>
                <w:lang w:val="en-US"/>
              </w:rPr>
              <w:tab/>
            </w:r>
            <w:r w:rsidRPr="006B3712">
              <w:rPr>
                <w:rFonts w:ascii="Verdana" w:hAnsi="Verdana"/>
                <w:sz w:val="16"/>
                <w:szCs w:val="16"/>
                <w:lang w:val="en-US"/>
              </w:rPr>
              <w:t>File</w:t>
            </w:r>
            <w:proofErr w:type="gramEnd"/>
            <w:r w:rsidRPr="006B3712">
              <w:rPr>
                <w:rFonts w:ascii="Verdana" w:hAnsi="Verdana"/>
                <w:sz w:val="16"/>
                <w:szCs w:val="16"/>
                <w:lang w:val="en-US"/>
              </w:rPr>
              <w:t xml:space="preserve"> number, folio or corresponding document;</w:t>
            </w:r>
          </w:p>
        </w:tc>
      </w:tr>
      <w:tr w:rsidR="003A38FF" w:rsidRPr="00D83DA2" w14:paraId="5F7D0DD0" w14:textId="5676B0DA" w:rsidTr="00FB5DAD">
        <w:tc>
          <w:tcPr>
            <w:tcW w:w="4706" w:type="dxa"/>
          </w:tcPr>
          <w:p w14:paraId="6106DDEF"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Número y fecha del oficio de comisión que la motivó;</w:t>
            </w:r>
          </w:p>
        </w:tc>
        <w:tc>
          <w:tcPr>
            <w:tcW w:w="4644" w:type="dxa"/>
          </w:tcPr>
          <w:p w14:paraId="226B81B3" w14:textId="5512E766" w:rsidR="003A38FF" w:rsidRPr="00D0180E" w:rsidRDefault="003A38FF" w:rsidP="003A38FF">
            <w:pPr>
              <w:pStyle w:val="Texto"/>
              <w:ind w:firstLine="0"/>
              <w:rPr>
                <w:rFonts w:ascii="Verdana" w:hAnsi="Verdana"/>
                <w:b/>
                <w:sz w:val="16"/>
                <w:szCs w:val="16"/>
                <w:lang w:val="en-US"/>
              </w:rPr>
            </w:pPr>
            <w:r w:rsidRPr="006B3712">
              <w:rPr>
                <w:rFonts w:ascii="Verdana" w:hAnsi="Verdana"/>
                <w:b/>
                <w:sz w:val="16"/>
                <w:szCs w:val="16"/>
                <w:lang w:val="en-US"/>
              </w:rPr>
              <w:t>III</w:t>
            </w:r>
            <w:proofErr w:type="gramStart"/>
            <w:r w:rsidRPr="006B3712">
              <w:rPr>
                <w:rFonts w:ascii="Verdana" w:hAnsi="Verdana"/>
                <w:b/>
                <w:sz w:val="16"/>
                <w:szCs w:val="16"/>
                <w:lang w:val="en-US"/>
              </w:rPr>
              <w:t xml:space="preserve">. </w:t>
            </w:r>
            <w:r w:rsidRPr="006B3712">
              <w:rPr>
                <w:rFonts w:ascii="Verdana" w:hAnsi="Verdana"/>
                <w:b/>
                <w:sz w:val="16"/>
                <w:szCs w:val="16"/>
                <w:lang w:val="en-US"/>
              </w:rPr>
              <w:tab/>
            </w:r>
            <w:r w:rsidRPr="006B3712">
              <w:rPr>
                <w:rFonts w:ascii="Verdana" w:hAnsi="Verdana"/>
                <w:sz w:val="16"/>
                <w:szCs w:val="16"/>
                <w:lang w:val="en-US"/>
              </w:rPr>
              <w:t>Number</w:t>
            </w:r>
            <w:proofErr w:type="gramEnd"/>
            <w:r w:rsidRPr="006B3712">
              <w:rPr>
                <w:rFonts w:ascii="Verdana" w:hAnsi="Verdana"/>
                <w:sz w:val="16"/>
                <w:szCs w:val="16"/>
                <w:lang w:val="en-US"/>
              </w:rPr>
              <w:t xml:space="preserve"> and date of the commission letter that motivated it;</w:t>
            </w:r>
          </w:p>
        </w:tc>
      </w:tr>
      <w:tr w:rsidR="003A38FF" w:rsidRPr="00D83DA2" w14:paraId="02A8BB32" w14:textId="115B7617" w:rsidTr="00FB5DAD">
        <w:tc>
          <w:tcPr>
            <w:tcW w:w="4706" w:type="dxa"/>
          </w:tcPr>
          <w:p w14:paraId="5B87C54B"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Nombre de las personas verificadoras y el número de su credencial;</w:t>
            </w:r>
          </w:p>
        </w:tc>
        <w:tc>
          <w:tcPr>
            <w:tcW w:w="4644" w:type="dxa"/>
          </w:tcPr>
          <w:p w14:paraId="7CCDFD75" w14:textId="51440C8B" w:rsidR="003A38FF" w:rsidRPr="00D0180E" w:rsidRDefault="003A38FF" w:rsidP="003A38FF">
            <w:pPr>
              <w:pStyle w:val="Texto"/>
              <w:ind w:firstLine="0"/>
              <w:rPr>
                <w:rFonts w:ascii="Verdana" w:hAnsi="Verdana"/>
                <w:b/>
                <w:sz w:val="16"/>
                <w:szCs w:val="16"/>
                <w:lang w:val="en-US"/>
              </w:rPr>
            </w:pPr>
            <w:r w:rsidRPr="006B3712">
              <w:rPr>
                <w:rFonts w:ascii="Verdana" w:hAnsi="Verdana"/>
                <w:b/>
                <w:sz w:val="16"/>
                <w:szCs w:val="16"/>
                <w:lang w:val="en-US"/>
              </w:rPr>
              <w:t>IV</w:t>
            </w:r>
            <w:proofErr w:type="gramStart"/>
            <w:r w:rsidRPr="006B3712">
              <w:rPr>
                <w:rFonts w:ascii="Verdana" w:hAnsi="Verdana"/>
                <w:b/>
                <w:sz w:val="16"/>
                <w:szCs w:val="16"/>
                <w:lang w:val="en-US"/>
              </w:rPr>
              <w:t xml:space="preserve">. </w:t>
            </w:r>
            <w:r w:rsidRPr="006B3712">
              <w:rPr>
                <w:rFonts w:ascii="Verdana" w:hAnsi="Verdana"/>
                <w:b/>
                <w:sz w:val="16"/>
                <w:szCs w:val="16"/>
                <w:lang w:val="en-US"/>
              </w:rPr>
              <w:tab/>
            </w:r>
            <w:r w:rsidRPr="006B3712">
              <w:rPr>
                <w:rFonts w:ascii="Verdana" w:hAnsi="Verdana"/>
                <w:sz w:val="16"/>
                <w:szCs w:val="16"/>
                <w:lang w:val="en-US"/>
              </w:rPr>
              <w:t>Name</w:t>
            </w:r>
            <w:proofErr w:type="gramEnd"/>
            <w:r w:rsidRPr="006B3712">
              <w:rPr>
                <w:rFonts w:ascii="Verdana" w:hAnsi="Verdana"/>
                <w:sz w:val="16"/>
                <w:szCs w:val="16"/>
                <w:lang w:val="en-US"/>
              </w:rPr>
              <w:t xml:space="preserve"> of the verifying persons and their credential number;</w:t>
            </w:r>
          </w:p>
        </w:tc>
      </w:tr>
      <w:tr w:rsidR="003A38FF" w:rsidRPr="00D83DA2" w14:paraId="1EE63E45" w14:textId="05817F0C" w:rsidTr="00FB5DAD">
        <w:tc>
          <w:tcPr>
            <w:tcW w:w="4706" w:type="dxa"/>
          </w:tcPr>
          <w:p w14:paraId="1E2224B0"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Domicilio, ubicación o descripción de la zona, del lugar o lugares objeto de la verificación;</w:t>
            </w:r>
          </w:p>
        </w:tc>
        <w:tc>
          <w:tcPr>
            <w:tcW w:w="4644" w:type="dxa"/>
          </w:tcPr>
          <w:p w14:paraId="53F3A77B" w14:textId="3AA21E31" w:rsidR="003A38FF" w:rsidRPr="00D0180E" w:rsidRDefault="003A38FF" w:rsidP="003A38FF">
            <w:pPr>
              <w:pStyle w:val="Texto"/>
              <w:ind w:firstLine="0"/>
              <w:rPr>
                <w:rFonts w:ascii="Verdana" w:hAnsi="Verdana"/>
                <w:b/>
                <w:sz w:val="16"/>
                <w:szCs w:val="16"/>
                <w:lang w:val="en-US"/>
              </w:rPr>
            </w:pPr>
            <w:r w:rsidRPr="006B3712">
              <w:rPr>
                <w:rFonts w:ascii="Verdana" w:hAnsi="Verdana"/>
                <w:b/>
                <w:sz w:val="16"/>
                <w:szCs w:val="16"/>
                <w:lang w:val="en-US"/>
              </w:rPr>
              <w:t>V</w:t>
            </w:r>
            <w:proofErr w:type="gramStart"/>
            <w:r w:rsidRPr="006B3712">
              <w:rPr>
                <w:rFonts w:ascii="Verdana" w:hAnsi="Verdana"/>
                <w:b/>
                <w:sz w:val="16"/>
                <w:szCs w:val="16"/>
                <w:lang w:val="en-US"/>
              </w:rPr>
              <w:t xml:space="preserve">. </w:t>
            </w:r>
            <w:r w:rsidRPr="006B3712">
              <w:rPr>
                <w:rFonts w:ascii="Verdana" w:hAnsi="Verdana"/>
                <w:b/>
                <w:sz w:val="16"/>
                <w:szCs w:val="16"/>
                <w:lang w:val="en-US"/>
              </w:rPr>
              <w:tab/>
            </w:r>
            <w:r w:rsidRPr="006B3712">
              <w:rPr>
                <w:rFonts w:ascii="Verdana" w:hAnsi="Verdana"/>
                <w:sz w:val="16"/>
                <w:szCs w:val="16"/>
                <w:lang w:val="en-US"/>
              </w:rPr>
              <w:t>Address</w:t>
            </w:r>
            <w:proofErr w:type="gramEnd"/>
            <w:r w:rsidRPr="006B3712">
              <w:rPr>
                <w:rFonts w:ascii="Verdana" w:hAnsi="Verdana"/>
                <w:sz w:val="16"/>
                <w:szCs w:val="16"/>
                <w:lang w:val="en-US"/>
              </w:rPr>
              <w:t>, location or description of the area, place or places subject to verification;</w:t>
            </w:r>
          </w:p>
        </w:tc>
      </w:tr>
      <w:tr w:rsidR="003A38FF" w:rsidRPr="00D83DA2" w14:paraId="630F620C" w14:textId="456CF565" w:rsidTr="00FB5DAD">
        <w:tc>
          <w:tcPr>
            <w:tcW w:w="4706" w:type="dxa"/>
          </w:tcPr>
          <w:p w14:paraId="01EFAEBE"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Nombre, denominación o razón social de la persona visitada;</w:t>
            </w:r>
          </w:p>
        </w:tc>
        <w:tc>
          <w:tcPr>
            <w:tcW w:w="4644" w:type="dxa"/>
          </w:tcPr>
          <w:p w14:paraId="000F0A1F" w14:textId="786D14A4" w:rsidR="003A38FF" w:rsidRPr="00D0180E" w:rsidRDefault="003A38FF" w:rsidP="003A38FF">
            <w:pPr>
              <w:pStyle w:val="Texto"/>
              <w:ind w:firstLine="0"/>
              <w:rPr>
                <w:rFonts w:ascii="Verdana" w:hAnsi="Verdana"/>
                <w:b/>
                <w:sz w:val="16"/>
                <w:szCs w:val="16"/>
                <w:lang w:val="en-US"/>
              </w:rPr>
            </w:pPr>
            <w:r w:rsidRPr="006B3712">
              <w:rPr>
                <w:rFonts w:ascii="Verdana" w:hAnsi="Verdana"/>
                <w:b/>
                <w:sz w:val="16"/>
                <w:szCs w:val="16"/>
                <w:lang w:val="en-US"/>
              </w:rPr>
              <w:t>VI</w:t>
            </w:r>
            <w:proofErr w:type="gramStart"/>
            <w:r w:rsidRPr="006B3712">
              <w:rPr>
                <w:rFonts w:ascii="Verdana" w:hAnsi="Verdana"/>
                <w:b/>
                <w:sz w:val="16"/>
                <w:szCs w:val="16"/>
                <w:lang w:val="en-US"/>
              </w:rPr>
              <w:t xml:space="preserve">. </w:t>
            </w:r>
            <w:r w:rsidRPr="006B3712">
              <w:rPr>
                <w:rFonts w:ascii="Verdana" w:hAnsi="Verdana"/>
                <w:b/>
                <w:sz w:val="16"/>
                <w:szCs w:val="16"/>
                <w:lang w:val="en-US"/>
              </w:rPr>
              <w:tab/>
            </w:r>
            <w:r w:rsidRPr="006B3712">
              <w:rPr>
                <w:rFonts w:ascii="Verdana" w:hAnsi="Verdana"/>
                <w:sz w:val="16"/>
                <w:szCs w:val="16"/>
                <w:lang w:val="en-US"/>
              </w:rPr>
              <w:t>Name</w:t>
            </w:r>
            <w:proofErr w:type="gramEnd"/>
            <w:r w:rsidRPr="006B3712">
              <w:rPr>
                <w:rFonts w:ascii="Verdana" w:hAnsi="Verdana"/>
                <w:sz w:val="16"/>
                <w:szCs w:val="16"/>
                <w:lang w:val="en-US"/>
              </w:rPr>
              <w:t>, denomination or business name of the person visited;</w:t>
            </w:r>
          </w:p>
        </w:tc>
      </w:tr>
      <w:tr w:rsidR="003A38FF" w:rsidRPr="00D83DA2" w14:paraId="607AFF08" w14:textId="5C04065A" w:rsidTr="00FB5DAD">
        <w:tc>
          <w:tcPr>
            <w:tcW w:w="4706" w:type="dxa"/>
          </w:tcPr>
          <w:p w14:paraId="60315AF3"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Nombre de la persona con quien se entiende la diligencia, el carácter con el que se ostenta y, en su caso, los documentos con los que lo acredite;</w:t>
            </w:r>
          </w:p>
        </w:tc>
        <w:tc>
          <w:tcPr>
            <w:tcW w:w="4644" w:type="dxa"/>
          </w:tcPr>
          <w:p w14:paraId="2174824A" w14:textId="43220B29" w:rsidR="003A38FF" w:rsidRPr="00D0180E" w:rsidRDefault="003A38FF" w:rsidP="003A38FF">
            <w:pPr>
              <w:pStyle w:val="Texto"/>
              <w:ind w:firstLine="0"/>
              <w:rPr>
                <w:rFonts w:ascii="Verdana" w:hAnsi="Verdana"/>
                <w:b/>
                <w:sz w:val="16"/>
                <w:szCs w:val="16"/>
                <w:lang w:val="en-US"/>
              </w:rPr>
            </w:pPr>
            <w:r w:rsidRPr="006B3712">
              <w:rPr>
                <w:rFonts w:ascii="Verdana" w:hAnsi="Verdana"/>
                <w:b/>
                <w:sz w:val="16"/>
                <w:szCs w:val="16"/>
                <w:lang w:val="en-US"/>
              </w:rPr>
              <w:t>VII</w:t>
            </w:r>
            <w:proofErr w:type="gramStart"/>
            <w:r w:rsidRPr="006B3712">
              <w:rPr>
                <w:rFonts w:ascii="Verdana" w:hAnsi="Verdana"/>
                <w:b/>
                <w:sz w:val="16"/>
                <w:szCs w:val="16"/>
                <w:lang w:val="en-US"/>
              </w:rPr>
              <w:t xml:space="preserve">. </w:t>
            </w:r>
            <w:r w:rsidRPr="006B3712">
              <w:rPr>
                <w:rFonts w:ascii="Verdana" w:hAnsi="Verdana"/>
                <w:b/>
                <w:sz w:val="16"/>
                <w:szCs w:val="16"/>
                <w:lang w:val="en-US"/>
              </w:rPr>
              <w:tab/>
            </w:r>
            <w:r w:rsidRPr="006B3712">
              <w:rPr>
                <w:rFonts w:ascii="Verdana" w:hAnsi="Verdana"/>
                <w:sz w:val="16"/>
                <w:szCs w:val="16"/>
                <w:lang w:val="en-US"/>
              </w:rPr>
              <w:t>Name</w:t>
            </w:r>
            <w:proofErr w:type="gramEnd"/>
            <w:r w:rsidRPr="006B3712">
              <w:rPr>
                <w:rFonts w:ascii="Verdana" w:hAnsi="Verdana"/>
                <w:sz w:val="16"/>
                <w:szCs w:val="16"/>
                <w:lang w:val="en-US"/>
              </w:rPr>
              <w:t xml:space="preserve"> of the person with whom the </w:t>
            </w:r>
            <w:r>
              <w:rPr>
                <w:rFonts w:ascii="Verdana" w:hAnsi="Verdana"/>
                <w:sz w:val="16"/>
                <w:szCs w:val="16"/>
                <w:lang w:val="en-US"/>
              </w:rPr>
              <w:t>procedure</w:t>
            </w:r>
            <w:r w:rsidRPr="006B3712">
              <w:rPr>
                <w:rFonts w:ascii="Verdana" w:hAnsi="Verdana"/>
                <w:sz w:val="16"/>
                <w:szCs w:val="16"/>
                <w:lang w:val="en-US"/>
              </w:rPr>
              <w:t xml:space="preserve"> is understood, the character with which it is held and, where applicable, the documents that prove it;</w:t>
            </w:r>
          </w:p>
        </w:tc>
      </w:tr>
      <w:tr w:rsidR="003A38FF" w:rsidRPr="00D83DA2" w14:paraId="5731296B" w14:textId="0DB71EF6" w:rsidTr="00FB5DAD">
        <w:tc>
          <w:tcPr>
            <w:tcW w:w="4706" w:type="dxa"/>
          </w:tcPr>
          <w:p w14:paraId="6996BF2E"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VIII.</w:t>
            </w:r>
            <w:r w:rsidRPr="00D0180E">
              <w:rPr>
                <w:rFonts w:ascii="Verdana" w:hAnsi="Verdana"/>
                <w:b/>
                <w:sz w:val="16"/>
                <w:szCs w:val="16"/>
              </w:rPr>
              <w:tab/>
            </w:r>
            <w:r w:rsidRPr="00D0180E">
              <w:rPr>
                <w:rFonts w:ascii="Verdana" w:hAnsi="Verdana"/>
                <w:sz w:val="16"/>
                <w:szCs w:val="16"/>
              </w:rPr>
              <w:t>El requerimiento a la persona con quien se entienda la diligencia para que designe dos testigos y ante su negativa hacer constar que la persona verificadora los propuso;</w:t>
            </w:r>
          </w:p>
        </w:tc>
        <w:tc>
          <w:tcPr>
            <w:tcW w:w="4644" w:type="dxa"/>
          </w:tcPr>
          <w:p w14:paraId="452B812F" w14:textId="4D0D8474" w:rsidR="003A38FF" w:rsidRPr="00D0180E" w:rsidRDefault="003A38FF" w:rsidP="003A38FF">
            <w:pPr>
              <w:pStyle w:val="Texto"/>
              <w:ind w:firstLine="0"/>
              <w:rPr>
                <w:rFonts w:ascii="Verdana" w:hAnsi="Verdana"/>
                <w:b/>
                <w:sz w:val="16"/>
                <w:szCs w:val="16"/>
                <w:lang w:val="en-US"/>
              </w:rPr>
            </w:pPr>
            <w:r w:rsidRPr="006B3712">
              <w:rPr>
                <w:rFonts w:ascii="Verdana" w:hAnsi="Verdana"/>
                <w:b/>
                <w:sz w:val="16"/>
                <w:szCs w:val="16"/>
                <w:lang w:val="en-US"/>
              </w:rPr>
              <w:t>VIII</w:t>
            </w:r>
            <w:proofErr w:type="gramStart"/>
            <w:r w:rsidRPr="006B3712">
              <w:rPr>
                <w:rFonts w:ascii="Verdana" w:hAnsi="Verdana"/>
                <w:b/>
                <w:sz w:val="16"/>
                <w:szCs w:val="16"/>
                <w:lang w:val="en-US"/>
              </w:rPr>
              <w:t xml:space="preserve">. </w:t>
            </w:r>
            <w:r w:rsidRPr="006B3712">
              <w:rPr>
                <w:rFonts w:ascii="Verdana" w:hAnsi="Verdana"/>
                <w:b/>
                <w:sz w:val="16"/>
                <w:szCs w:val="16"/>
                <w:lang w:val="en-US"/>
              </w:rPr>
              <w:tab/>
            </w:r>
            <w:r w:rsidRPr="006B3712">
              <w:rPr>
                <w:rFonts w:ascii="Verdana" w:hAnsi="Verdana"/>
                <w:sz w:val="16"/>
                <w:szCs w:val="16"/>
                <w:lang w:val="en-US"/>
              </w:rPr>
              <w:t>The</w:t>
            </w:r>
            <w:proofErr w:type="gramEnd"/>
            <w:r w:rsidRPr="006B3712">
              <w:rPr>
                <w:rFonts w:ascii="Verdana" w:hAnsi="Verdana"/>
                <w:sz w:val="16"/>
                <w:szCs w:val="16"/>
                <w:lang w:val="en-US"/>
              </w:rPr>
              <w:t xml:space="preserve"> requirement to the person with whom the </w:t>
            </w:r>
            <w:r>
              <w:rPr>
                <w:rFonts w:ascii="Verdana" w:hAnsi="Verdana"/>
                <w:sz w:val="16"/>
                <w:szCs w:val="16"/>
                <w:lang w:val="en-US"/>
              </w:rPr>
              <w:t>procedure</w:t>
            </w:r>
            <w:r w:rsidRPr="006B3712">
              <w:rPr>
                <w:rFonts w:ascii="Verdana" w:hAnsi="Verdana"/>
                <w:sz w:val="16"/>
                <w:szCs w:val="16"/>
                <w:lang w:val="en-US"/>
              </w:rPr>
              <w:t xml:space="preserve"> is to be carried out to appoint two witnesses and, if they refuse, to state that the verifying person proposed them;</w:t>
            </w:r>
          </w:p>
        </w:tc>
      </w:tr>
      <w:tr w:rsidR="003A38FF" w:rsidRPr="00D83DA2" w14:paraId="15416C1A" w14:textId="3107BC4B" w:rsidTr="00FB5DAD">
        <w:tc>
          <w:tcPr>
            <w:tcW w:w="4706" w:type="dxa"/>
          </w:tcPr>
          <w:p w14:paraId="140EC251" w14:textId="77777777" w:rsidR="003A38FF" w:rsidRPr="00D0180E" w:rsidRDefault="003A38FF" w:rsidP="003A38FF">
            <w:pPr>
              <w:pStyle w:val="Texto"/>
              <w:ind w:firstLine="0"/>
              <w:rPr>
                <w:rFonts w:ascii="Verdana" w:hAnsi="Verdana"/>
                <w:sz w:val="16"/>
                <w:szCs w:val="16"/>
              </w:rPr>
            </w:pPr>
            <w:r w:rsidRPr="00D0180E">
              <w:rPr>
                <w:rFonts w:ascii="Verdana" w:hAnsi="Verdana"/>
                <w:b/>
                <w:sz w:val="16"/>
                <w:szCs w:val="16"/>
              </w:rPr>
              <w:t>IX.</w:t>
            </w:r>
            <w:r w:rsidRPr="00D0180E">
              <w:rPr>
                <w:rFonts w:ascii="Verdana" w:hAnsi="Verdana"/>
                <w:b/>
                <w:sz w:val="16"/>
                <w:szCs w:val="16"/>
              </w:rPr>
              <w:tab/>
            </w:r>
            <w:r w:rsidRPr="00D0180E">
              <w:rPr>
                <w:rFonts w:ascii="Verdana" w:hAnsi="Verdana"/>
                <w:sz w:val="16"/>
                <w:szCs w:val="16"/>
              </w:rPr>
              <w:t>El nombre de los testigos y los datos de su identificación;</w:t>
            </w:r>
          </w:p>
        </w:tc>
        <w:tc>
          <w:tcPr>
            <w:tcW w:w="4644" w:type="dxa"/>
          </w:tcPr>
          <w:p w14:paraId="10CF6962" w14:textId="130C0970" w:rsidR="003A38FF" w:rsidRPr="00D0180E" w:rsidRDefault="003A38FF" w:rsidP="003A38FF">
            <w:pPr>
              <w:pStyle w:val="Texto"/>
              <w:ind w:firstLine="0"/>
              <w:rPr>
                <w:rFonts w:ascii="Verdana" w:hAnsi="Verdana"/>
                <w:b/>
                <w:sz w:val="16"/>
                <w:szCs w:val="16"/>
                <w:lang w:val="en-US"/>
              </w:rPr>
            </w:pPr>
            <w:r w:rsidRPr="006B3712">
              <w:rPr>
                <w:rFonts w:ascii="Verdana" w:hAnsi="Verdana"/>
                <w:b/>
                <w:sz w:val="16"/>
                <w:szCs w:val="16"/>
                <w:lang w:val="en-US"/>
              </w:rPr>
              <w:t>IX</w:t>
            </w:r>
            <w:proofErr w:type="gramStart"/>
            <w:r w:rsidRPr="006B3712">
              <w:rPr>
                <w:rFonts w:ascii="Verdana" w:hAnsi="Verdana"/>
                <w:b/>
                <w:sz w:val="16"/>
                <w:szCs w:val="16"/>
                <w:lang w:val="en-US"/>
              </w:rPr>
              <w:t xml:space="preserve">. </w:t>
            </w:r>
            <w:r w:rsidRPr="006B3712">
              <w:rPr>
                <w:rFonts w:ascii="Verdana" w:hAnsi="Verdana"/>
                <w:b/>
                <w:sz w:val="16"/>
                <w:szCs w:val="16"/>
                <w:lang w:val="en-US"/>
              </w:rPr>
              <w:tab/>
            </w:r>
            <w:r w:rsidRPr="006B3712">
              <w:rPr>
                <w:rFonts w:ascii="Verdana" w:hAnsi="Verdana"/>
                <w:sz w:val="16"/>
                <w:szCs w:val="16"/>
                <w:lang w:val="en-US"/>
              </w:rPr>
              <w:t>The</w:t>
            </w:r>
            <w:proofErr w:type="gramEnd"/>
            <w:r w:rsidRPr="006B3712">
              <w:rPr>
                <w:rFonts w:ascii="Verdana" w:hAnsi="Verdana"/>
                <w:sz w:val="16"/>
                <w:szCs w:val="16"/>
                <w:lang w:val="en-US"/>
              </w:rPr>
              <w:t xml:space="preserve"> names of the witnesses and their identification data;</w:t>
            </w:r>
          </w:p>
        </w:tc>
      </w:tr>
      <w:tr w:rsidR="003A38FF" w:rsidRPr="00D83DA2" w14:paraId="7C08C38D" w14:textId="000A89CE" w:rsidTr="00FB5DAD">
        <w:tc>
          <w:tcPr>
            <w:tcW w:w="4706" w:type="dxa"/>
          </w:tcPr>
          <w:p w14:paraId="09DCF0A6" w14:textId="77777777" w:rsidR="003A38FF" w:rsidRPr="00D0180E" w:rsidRDefault="003A38FF" w:rsidP="003A38FF">
            <w:pPr>
              <w:pStyle w:val="Texto"/>
              <w:spacing w:line="242" w:lineRule="exact"/>
              <w:ind w:firstLine="0"/>
              <w:rPr>
                <w:rFonts w:ascii="Verdana" w:hAnsi="Verdana"/>
                <w:sz w:val="16"/>
                <w:szCs w:val="16"/>
              </w:rPr>
            </w:pPr>
            <w:r w:rsidRPr="00D0180E">
              <w:rPr>
                <w:rFonts w:ascii="Verdana" w:hAnsi="Verdana"/>
                <w:b/>
                <w:sz w:val="16"/>
                <w:szCs w:val="16"/>
              </w:rPr>
              <w:t>X.</w:t>
            </w:r>
            <w:r w:rsidRPr="00D0180E">
              <w:rPr>
                <w:rFonts w:ascii="Verdana" w:hAnsi="Verdana"/>
                <w:b/>
                <w:sz w:val="16"/>
                <w:szCs w:val="16"/>
              </w:rPr>
              <w:tab/>
            </w:r>
            <w:r w:rsidRPr="00D0180E">
              <w:rPr>
                <w:rFonts w:ascii="Verdana" w:hAnsi="Verdana"/>
                <w:sz w:val="16"/>
                <w:szCs w:val="16"/>
              </w:rPr>
              <w:t>Descripción de los hechos, objetos, equipos, instalaciones, documentos, lugares y circunstancias que se observen, con relación al objeto y alcance señalados en la orden;</w:t>
            </w:r>
          </w:p>
        </w:tc>
        <w:tc>
          <w:tcPr>
            <w:tcW w:w="4644" w:type="dxa"/>
          </w:tcPr>
          <w:p w14:paraId="2F5555F7" w14:textId="4FD2C49C" w:rsidR="003A38FF" w:rsidRPr="00D0180E" w:rsidRDefault="003A38FF" w:rsidP="003A38FF">
            <w:pPr>
              <w:pStyle w:val="Texto"/>
              <w:spacing w:line="242" w:lineRule="exact"/>
              <w:ind w:firstLine="0"/>
              <w:rPr>
                <w:rFonts w:ascii="Verdana" w:hAnsi="Verdana"/>
                <w:b/>
                <w:sz w:val="16"/>
                <w:szCs w:val="16"/>
                <w:lang w:val="en-US"/>
              </w:rPr>
            </w:pPr>
            <w:r w:rsidRPr="006B3712">
              <w:rPr>
                <w:rFonts w:ascii="Verdana" w:hAnsi="Verdana"/>
                <w:b/>
                <w:sz w:val="16"/>
                <w:szCs w:val="16"/>
                <w:lang w:val="en-US"/>
              </w:rPr>
              <w:t>X</w:t>
            </w:r>
            <w:proofErr w:type="gramStart"/>
            <w:r w:rsidRPr="006B3712">
              <w:rPr>
                <w:rFonts w:ascii="Verdana" w:hAnsi="Verdana"/>
                <w:b/>
                <w:sz w:val="16"/>
                <w:szCs w:val="16"/>
                <w:lang w:val="en-US"/>
              </w:rPr>
              <w:t xml:space="preserve">. </w:t>
            </w:r>
            <w:r w:rsidRPr="006B3712">
              <w:rPr>
                <w:rFonts w:ascii="Verdana" w:hAnsi="Verdana"/>
                <w:b/>
                <w:sz w:val="16"/>
                <w:szCs w:val="16"/>
                <w:lang w:val="en-US"/>
              </w:rPr>
              <w:tab/>
            </w:r>
            <w:r w:rsidRPr="006B3712">
              <w:rPr>
                <w:rFonts w:ascii="Verdana" w:hAnsi="Verdana"/>
                <w:sz w:val="16"/>
                <w:szCs w:val="16"/>
                <w:lang w:val="en-US"/>
              </w:rPr>
              <w:t>Description</w:t>
            </w:r>
            <w:proofErr w:type="gramEnd"/>
            <w:r w:rsidRPr="006B3712">
              <w:rPr>
                <w:rFonts w:ascii="Verdana" w:hAnsi="Verdana"/>
                <w:sz w:val="16"/>
                <w:szCs w:val="16"/>
                <w:lang w:val="en-US"/>
              </w:rPr>
              <w:t xml:space="preserve"> of the facts, objects, equipment, facilities, documents, places and circumstances observed, in relation to the object and scope indicated in the order;</w:t>
            </w:r>
          </w:p>
        </w:tc>
      </w:tr>
      <w:tr w:rsidR="003A38FF" w:rsidRPr="00D83DA2" w14:paraId="60A5AF4E" w14:textId="77CFAC0F" w:rsidTr="00FB5DAD">
        <w:tc>
          <w:tcPr>
            <w:tcW w:w="4706" w:type="dxa"/>
          </w:tcPr>
          <w:p w14:paraId="774301B7" w14:textId="77777777" w:rsidR="003A38FF" w:rsidRPr="00D0180E" w:rsidRDefault="003A38FF" w:rsidP="003A38FF">
            <w:pPr>
              <w:pStyle w:val="Texto"/>
              <w:spacing w:line="242" w:lineRule="exact"/>
              <w:ind w:firstLine="0"/>
              <w:rPr>
                <w:rFonts w:ascii="Verdana" w:hAnsi="Verdana"/>
                <w:sz w:val="16"/>
                <w:szCs w:val="16"/>
              </w:rPr>
            </w:pPr>
            <w:r w:rsidRPr="00D0180E">
              <w:rPr>
                <w:rFonts w:ascii="Verdana" w:hAnsi="Verdana"/>
                <w:b/>
                <w:sz w:val="16"/>
                <w:szCs w:val="16"/>
              </w:rPr>
              <w:t>XI.</w:t>
            </w:r>
            <w:r w:rsidRPr="00D0180E">
              <w:rPr>
                <w:rFonts w:ascii="Verdana" w:hAnsi="Verdana"/>
                <w:b/>
                <w:sz w:val="16"/>
                <w:szCs w:val="16"/>
              </w:rPr>
              <w:tab/>
            </w:r>
            <w:r w:rsidRPr="00D0180E">
              <w:rPr>
                <w:rFonts w:ascii="Verdana" w:hAnsi="Verdana"/>
                <w:sz w:val="16"/>
                <w:szCs w:val="16"/>
              </w:rPr>
              <w:t>La hora, día, mes y año de conclusión de la diligencia;</w:t>
            </w:r>
          </w:p>
        </w:tc>
        <w:tc>
          <w:tcPr>
            <w:tcW w:w="4644" w:type="dxa"/>
          </w:tcPr>
          <w:p w14:paraId="7508C64A" w14:textId="6AC3A20A" w:rsidR="003A38FF" w:rsidRPr="00D0180E" w:rsidRDefault="003A38FF" w:rsidP="003A38FF">
            <w:pPr>
              <w:pStyle w:val="Texto"/>
              <w:spacing w:line="242" w:lineRule="exact"/>
              <w:ind w:firstLine="0"/>
              <w:rPr>
                <w:rFonts w:ascii="Verdana" w:hAnsi="Verdana"/>
                <w:b/>
                <w:sz w:val="16"/>
                <w:szCs w:val="16"/>
                <w:lang w:val="en-US"/>
              </w:rPr>
            </w:pPr>
            <w:r w:rsidRPr="006B3712">
              <w:rPr>
                <w:rFonts w:ascii="Verdana" w:hAnsi="Verdana"/>
                <w:b/>
                <w:sz w:val="16"/>
                <w:szCs w:val="16"/>
                <w:lang w:val="en-US"/>
              </w:rPr>
              <w:t>XI</w:t>
            </w:r>
            <w:proofErr w:type="gramStart"/>
            <w:r w:rsidRPr="006B3712">
              <w:rPr>
                <w:rFonts w:ascii="Verdana" w:hAnsi="Verdana"/>
                <w:b/>
                <w:sz w:val="16"/>
                <w:szCs w:val="16"/>
                <w:lang w:val="en-US"/>
              </w:rPr>
              <w:t xml:space="preserve">. </w:t>
            </w:r>
            <w:r w:rsidRPr="006B3712">
              <w:rPr>
                <w:rFonts w:ascii="Verdana" w:hAnsi="Verdana"/>
                <w:b/>
                <w:sz w:val="16"/>
                <w:szCs w:val="16"/>
                <w:lang w:val="en-US"/>
              </w:rPr>
              <w:tab/>
            </w:r>
            <w:r w:rsidRPr="006B3712">
              <w:rPr>
                <w:rFonts w:ascii="Verdana" w:hAnsi="Verdana"/>
                <w:sz w:val="16"/>
                <w:szCs w:val="16"/>
                <w:lang w:val="en-US"/>
              </w:rPr>
              <w:t>The</w:t>
            </w:r>
            <w:proofErr w:type="gramEnd"/>
            <w:r w:rsidRPr="006B3712">
              <w:rPr>
                <w:rFonts w:ascii="Verdana" w:hAnsi="Verdana"/>
                <w:sz w:val="16"/>
                <w:szCs w:val="16"/>
                <w:lang w:val="en-US"/>
              </w:rPr>
              <w:t xml:space="preserve"> time, day, month and year of the conclusion of the </w:t>
            </w:r>
            <w:r>
              <w:rPr>
                <w:rFonts w:ascii="Verdana" w:hAnsi="Verdana"/>
                <w:sz w:val="16"/>
                <w:szCs w:val="16"/>
                <w:lang w:val="en-US"/>
              </w:rPr>
              <w:t>procedure</w:t>
            </w:r>
            <w:r w:rsidRPr="006B3712">
              <w:rPr>
                <w:rFonts w:ascii="Verdana" w:hAnsi="Verdana"/>
                <w:sz w:val="16"/>
                <w:szCs w:val="16"/>
                <w:lang w:val="en-US"/>
              </w:rPr>
              <w:t>;</w:t>
            </w:r>
          </w:p>
        </w:tc>
      </w:tr>
      <w:tr w:rsidR="003A38FF" w:rsidRPr="00D83DA2" w14:paraId="61A860A2" w14:textId="6CABF50C" w:rsidTr="00FB5DAD">
        <w:tc>
          <w:tcPr>
            <w:tcW w:w="4706" w:type="dxa"/>
          </w:tcPr>
          <w:p w14:paraId="4F433DD8" w14:textId="77777777" w:rsidR="003A38FF" w:rsidRPr="00D0180E" w:rsidRDefault="003A38FF" w:rsidP="003A38FF">
            <w:pPr>
              <w:pStyle w:val="Texto"/>
              <w:spacing w:line="242" w:lineRule="exact"/>
              <w:ind w:firstLine="0"/>
              <w:rPr>
                <w:rFonts w:ascii="Verdana" w:hAnsi="Verdana"/>
                <w:sz w:val="16"/>
                <w:szCs w:val="16"/>
              </w:rPr>
            </w:pPr>
            <w:r w:rsidRPr="00D0180E">
              <w:rPr>
                <w:rFonts w:ascii="Verdana" w:hAnsi="Verdana"/>
                <w:b/>
                <w:sz w:val="16"/>
                <w:szCs w:val="16"/>
              </w:rPr>
              <w:t>XII.</w:t>
            </w:r>
            <w:r w:rsidRPr="00D0180E">
              <w:rPr>
                <w:rFonts w:ascii="Verdana" w:hAnsi="Verdana"/>
                <w:b/>
                <w:sz w:val="16"/>
                <w:szCs w:val="16"/>
              </w:rPr>
              <w:tab/>
            </w:r>
            <w:r w:rsidRPr="00D0180E">
              <w:rPr>
                <w:rFonts w:ascii="Verdana" w:hAnsi="Verdana"/>
                <w:sz w:val="16"/>
                <w:szCs w:val="16"/>
              </w:rPr>
              <w:t>Nombre y firma de las personas que intervinieron en la diligencia, ante la negativa de firmar por parte de las personas particulares, la persona verificadora debe asentar tal circunstancia, sin que ello afecte su validez;</w:t>
            </w:r>
          </w:p>
        </w:tc>
        <w:tc>
          <w:tcPr>
            <w:tcW w:w="4644" w:type="dxa"/>
          </w:tcPr>
          <w:p w14:paraId="1BE4CA6B" w14:textId="2DA1FEE5" w:rsidR="003A38FF" w:rsidRPr="00D0180E" w:rsidRDefault="003A38FF" w:rsidP="003A38FF">
            <w:pPr>
              <w:pStyle w:val="Texto"/>
              <w:spacing w:line="242" w:lineRule="exact"/>
              <w:ind w:firstLine="0"/>
              <w:rPr>
                <w:rFonts w:ascii="Verdana" w:hAnsi="Verdana"/>
                <w:b/>
                <w:sz w:val="16"/>
                <w:szCs w:val="16"/>
                <w:lang w:val="en-US"/>
              </w:rPr>
            </w:pPr>
            <w:r w:rsidRPr="006B3712">
              <w:rPr>
                <w:rFonts w:ascii="Verdana" w:hAnsi="Verdana"/>
                <w:b/>
                <w:sz w:val="16"/>
                <w:szCs w:val="16"/>
                <w:lang w:val="en-US"/>
              </w:rPr>
              <w:t>XII</w:t>
            </w:r>
            <w:proofErr w:type="gramStart"/>
            <w:r w:rsidRPr="006B3712">
              <w:rPr>
                <w:rFonts w:ascii="Verdana" w:hAnsi="Verdana"/>
                <w:b/>
                <w:sz w:val="16"/>
                <w:szCs w:val="16"/>
                <w:lang w:val="en-US"/>
              </w:rPr>
              <w:t xml:space="preserve">. </w:t>
            </w:r>
            <w:r w:rsidRPr="006B3712">
              <w:rPr>
                <w:rFonts w:ascii="Verdana" w:hAnsi="Verdana"/>
                <w:b/>
                <w:sz w:val="16"/>
                <w:szCs w:val="16"/>
                <w:lang w:val="en-US"/>
              </w:rPr>
              <w:tab/>
            </w:r>
            <w:r w:rsidRPr="006B3712">
              <w:rPr>
                <w:rFonts w:ascii="Verdana" w:hAnsi="Verdana"/>
                <w:sz w:val="16"/>
                <w:szCs w:val="16"/>
                <w:lang w:val="en-US"/>
              </w:rPr>
              <w:t>Name</w:t>
            </w:r>
            <w:proofErr w:type="gramEnd"/>
            <w:r w:rsidRPr="006B3712">
              <w:rPr>
                <w:rFonts w:ascii="Verdana" w:hAnsi="Verdana"/>
                <w:sz w:val="16"/>
                <w:szCs w:val="16"/>
                <w:lang w:val="en-US"/>
              </w:rPr>
              <w:t xml:space="preserve"> and </w:t>
            </w:r>
            <w:r>
              <w:rPr>
                <w:rFonts w:ascii="Verdana" w:hAnsi="Verdana"/>
                <w:sz w:val="16"/>
                <w:szCs w:val="16"/>
                <w:lang w:val="en-US"/>
              </w:rPr>
              <w:t>signature</w:t>
            </w:r>
            <w:r w:rsidRPr="006B3712">
              <w:rPr>
                <w:rFonts w:ascii="Verdana" w:hAnsi="Verdana"/>
                <w:sz w:val="16"/>
                <w:szCs w:val="16"/>
                <w:lang w:val="en-US"/>
              </w:rPr>
              <w:t xml:space="preserve"> of the </w:t>
            </w:r>
            <w:proofErr w:type="gramStart"/>
            <w:r w:rsidRPr="006B3712">
              <w:rPr>
                <w:rFonts w:ascii="Verdana" w:hAnsi="Verdana"/>
                <w:sz w:val="16"/>
                <w:szCs w:val="16"/>
                <w:lang w:val="en-US"/>
              </w:rPr>
              <w:t>persons</w:t>
            </w:r>
            <w:proofErr w:type="gramEnd"/>
            <w:r w:rsidRPr="006B3712">
              <w:rPr>
                <w:rFonts w:ascii="Verdana" w:hAnsi="Verdana"/>
                <w:sz w:val="16"/>
                <w:szCs w:val="16"/>
                <w:lang w:val="en-US"/>
              </w:rPr>
              <w:t xml:space="preserve"> involved in the </w:t>
            </w:r>
            <w:r>
              <w:rPr>
                <w:rFonts w:ascii="Verdana" w:hAnsi="Verdana"/>
                <w:sz w:val="16"/>
                <w:szCs w:val="16"/>
                <w:lang w:val="en-US"/>
              </w:rPr>
              <w:t>procedure</w:t>
            </w:r>
            <w:r w:rsidRPr="006B3712">
              <w:rPr>
                <w:rFonts w:ascii="Verdana" w:hAnsi="Verdana"/>
                <w:sz w:val="16"/>
                <w:szCs w:val="16"/>
                <w:lang w:val="en-US"/>
              </w:rPr>
              <w:t>. If the individuals refuse to sign, the verifying person must record this circumstance, without affecting its validity;</w:t>
            </w:r>
          </w:p>
        </w:tc>
      </w:tr>
      <w:tr w:rsidR="003A38FF" w:rsidRPr="00D83DA2" w14:paraId="17578DE3" w14:textId="3336247E" w:rsidTr="00FB5DAD">
        <w:tc>
          <w:tcPr>
            <w:tcW w:w="4706" w:type="dxa"/>
          </w:tcPr>
          <w:p w14:paraId="1390068A" w14:textId="77777777" w:rsidR="003A38FF" w:rsidRPr="00D0180E" w:rsidRDefault="003A38FF" w:rsidP="003A38FF">
            <w:pPr>
              <w:pStyle w:val="Texto"/>
              <w:spacing w:line="242" w:lineRule="exact"/>
              <w:ind w:firstLine="0"/>
              <w:rPr>
                <w:rFonts w:ascii="Verdana" w:hAnsi="Verdana"/>
                <w:sz w:val="16"/>
                <w:szCs w:val="16"/>
              </w:rPr>
            </w:pPr>
            <w:r w:rsidRPr="00D0180E">
              <w:rPr>
                <w:rFonts w:ascii="Verdana" w:hAnsi="Verdana"/>
                <w:b/>
                <w:sz w:val="16"/>
                <w:szCs w:val="16"/>
              </w:rPr>
              <w:t>XIII.</w:t>
            </w:r>
            <w:r w:rsidRPr="00D0180E">
              <w:rPr>
                <w:rFonts w:ascii="Verdana" w:hAnsi="Verdana"/>
                <w:b/>
                <w:sz w:val="16"/>
                <w:szCs w:val="16"/>
              </w:rPr>
              <w:tab/>
            </w:r>
            <w:r w:rsidRPr="00D0180E">
              <w:rPr>
                <w:rFonts w:ascii="Verdana" w:hAnsi="Verdana"/>
                <w:sz w:val="16"/>
                <w:szCs w:val="16"/>
              </w:rPr>
              <w:t xml:space="preserve">Las manifestaciones de la persona con quien se entienda la diligencia de visita, en caso de que las realice, y </w:t>
            </w:r>
          </w:p>
        </w:tc>
        <w:tc>
          <w:tcPr>
            <w:tcW w:w="4644" w:type="dxa"/>
          </w:tcPr>
          <w:p w14:paraId="3F22C366" w14:textId="53DBBF1A" w:rsidR="003A38FF" w:rsidRPr="00D0180E" w:rsidRDefault="003A38FF" w:rsidP="003A38FF">
            <w:pPr>
              <w:pStyle w:val="Texto"/>
              <w:spacing w:line="242" w:lineRule="exact"/>
              <w:ind w:firstLine="0"/>
              <w:rPr>
                <w:rFonts w:ascii="Verdana" w:hAnsi="Verdana"/>
                <w:b/>
                <w:sz w:val="16"/>
                <w:szCs w:val="16"/>
                <w:lang w:val="en-US"/>
              </w:rPr>
            </w:pPr>
            <w:r w:rsidRPr="006B3712">
              <w:rPr>
                <w:rFonts w:ascii="Verdana" w:hAnsi="Verdana"/>
                <w:b/>
                <w:sz w:val="16"/>
                <w:szCs w:val="16"/>
                <w:lang w:val="en-US"/>
              </w:rPr>
              <w:t>XIII</w:t>
            </w:r>
            <w:proofErr w:type="gramStart"/>
            <w:r w:rsidRPr="006B3712">
              <w:rPr>
                <w:rFonts w:ascii="Verdana" w:hAnsi="Verdana"/>
                <w:b/>
                <w:sz w:val="16"/>
                <w:szCs w:val="16"/>
                <w:lang w:val="en-US"/>
              </w:rPr>
              <w:t xml:space="preserve">. </w:t>
            </w:r>
            <w:r w:rsidRPr="006B3712">
              <w:rPr>
                <w:rFonts w:ascii="Verdana" w:hAnsi="Verdana"/>
                <w:b/>
                <w:sz w:val="16"/>
                <w:szCs w:val="16"/>
                <w:lang w:val="en-US"/>
              </w:rPr>
              <w:tab/>
            </w:r>
            <w:r w:rsidRPr="006B3712">
              <w:rPr>
                <w:rFonts w:ascii="Verdana" w:hAnsi="Verdana"/>
                <w:sz w:val="16"/>
                <w:szCs w:val="16"/>
                <w:lang w:val="en-US"/>
              </w:rPr>
              <w:t>The</w:t>
            </w:r>
            <w:proofErr w:type="gramEnd"/>
            <w:r w:rsidRPr="006B3712">
              <w:rPr>
                <w:rFonts w:ascii="Verdana" w:hAnsi="Verdana"/>
                <w:sz w:val="16"/>
                <w:szCs w:val="16"/>
                <w:lang w:val="en-US"/>
              </w:rPr>
              <w:t xml:space="preserve"> statements of the person with whom the inspection </w:t>
            </w:r>
            <w:r>
              <w:rPr>
                <w:rFonts w:ascii="Verdana" w:hAnsi="Verdana"/>
                <w:sz w:val="16"/>
                <w:szCs w:val="16"/>
                <w:lang w:val="en-US"/>
              </w:rPr>
              <w:t>procedure</w:t>
            </w:r>
            <w:r w:rsidRPr="006B3712">
              <w:rPr>
                <w:rFonts w:ascii="Verdana" w:hAnsi="Verdana"/>
                <w:sz w:val="16"/>
                <w:szCs w:val="16"/>
                <w:lang w:val="en-US"/>
              </w:rPr>
              <w:t xml:space="preserve"> is understood, if any, and</w:t>
            </w:r>
          </w:p>
        </w:tc>
      </w:tr>
      <w:tr w:rsidR="003A38FF" w:rsidRPr="00D83DA2" w14:paraId="17AAF6E0" w14:textId="33AF00CA" w:rsidTr="00FB5DAD">
        <w:tc>
          <w:tcPr>
            <w:tcW w:w="4706" w:type="dxa"/>
          </w:tcPr>
          <w:p w14:paraId="14EB0852" w14:textId="77777777" w:rsidR="003A38FF" w:rsidRPr="00D0180E" w:rsidRDefault="003A38FF" w:rsidP="003A38FF">
            <w:pPr>
              <w:pStyle w:val="Texto"/>
              <w:spacing w:line="242" w:lineRule="exact"/>
              <w:ind w:firstLine="0"/>
              <w:rPr>
                <w:rFonts w:ascii="Verdana" w:hAnsi="Verdana"/>
                <w:sz w:val="16"/>
                <w:szCs w:val="16"/>
              </w:rPr>
            </w:pPr>
            <w:r w:rsidRPr="00D0180E">
              <w:rPr>
                <w:rFonts w:ascii="Verdana" w:hAnsi="Verdana"/>
                <w:b/>
                <w:sz w:val="16"/>
                <w:szCs w:val="16"/>
              </w:rPr>
              <w:t>XIV.</w:t>
            </w:r>
            <w:r w:rsidRPr="00D0180E">
              <w:rPr>
                <w:rFonts w:ascii="Verdana" w:hAnsi="Verdana"/>
                <w:b/>
                <w:sz w:val="16"/>
                <w:szCs w:val="16"/>
              </w:rPr>
              <w:tab/>
            </w:r>
            <w:r w:rsidRPr="00D0180E">
              <w:rPr>
                <w:rFonts w:ascii="Verdana" w:hAnsi="Verdana"/>
                <w:sz w:val="16"/>
                <w:szCs w:val="16"/>
              </w:rPr>
              <w:t>En caso de que, por cuestiones de seguridad, caso fortuito o fuerza mayor, una diligencia iniciada no pueda concluirse, la persona verificadora debe asentar en el acta respectiva las causas que dieron origen a su interrupción, sin que ello afecte la validez de los hechos y circunstancias previamente señaladas y las consecuencias jurídicas que de esta deriven.</w:t>
            </w:r>
          </w:p>
        </w:tc>
        <w:tc>
          <w:tcPr>
            <w:tcW w:w="4644" w:type="dxa"/>
          </w:tcPr>
          <w:p w14:paraId="5BBE0BF7" w14:textId="72429AF5" w:rsidR="003A38FF" w:rsidRPr="00D0180E" w:rsidRDefault="003A38FF" w:rsidP="003A38FF">
            <w:pPr>
              <w:pStyle w:val="Texto"/>
              <w:spacing w:line="242" w:lineRule="exact"/>
              <w:ind w:firstLine="0"/>
              <w:rPr>
                <w:rFonts w:ascii="Verdana" w:hAnsi="Verdana"/>
                <w:b/>
                <w:sz w:val="16"/>
                <w:szCs w:val="16"/>
                <w:lang w:val="en-US"/>
              </w:rPr>
            </w:pPr>
            <w:r w:rsidRPr="006B3712">
              <w:rPr>
                <w:rFonts w:ascii="Verdana" w:hAnsi="Verdana"/>
                <w:b/>
                <w:sz w:val="16"/>
                <w:szCs w:val="16"/>
                <w:lang w:val="en-US"/>
              </w:rPr>
              <w:t xml:space="preserve">XIV. </w:t>
            </w:r>
            <w:r w:rsidRPr="006B3712">
              <w:rPr>
                <w:rFonts w:ascii="Verdana" w:hAnsi="Verdana"/>
                <w:b/>
                <w:sz w:val="16"/>
                <w:szCs w:val="16"/>
                <w:lang w:val="en-US"/>
              </w:rPr>
              <w:tab/>
            </w:r>
            <w:r w:rsidRPr="006B3712">
              <w:rPr>
                <w:rFonts w:ascii="Verdana" w:hAnsi="Verdana"/>
                <w:sz w:val="16"/>
                <w:szCs w:val="16"/>
                <w:lang w:val="en-US"/>
              </w:rPr>
              <w:t>In the event that, for reasons of security, fortuitous event or force majeure, a procedure initiated cannot be concluded, the person in charge must record in the respective minutes the reasons that led to its interruption, without affecting the validity of the facts and circumstances previously indicated and the legal consequences arising from them.</w:t>
            </w:r>
          </w:p>
        </w:tc>
      </w:tr>
      <w:tr w:rsidR="003A38FF" w:rsidRPr="00D83DA2" w14:paraId="32A4F792" w14:textId="24DDE09E" w:rsidTr="00FB5DAD">
        <w:tc>
          <w:tcPr>
            <w:tcW w:w="4706" w:type="dxa"/>
          </w:tcPr>
          <w:p w14:paraId="14CDB4FD" w14:textId="77777777" w:rsidR="003A38FF" w:rsidRPr="00D0180E" w:rsidRDefault="003A38FF" w:rsidP="003A38FF">
            <w:pPr>
              <w:pStyle w:val="Texto"/>
              <w:spacing w:line="242" w:lineRule="exact"/>
              <w:ind w:firstLine="0"/>
              <w:rPr>
                <w:rFonts w:ascii="Verdana" w:hAnsi="Verdana"/>
                <w:sz w:val="16"/>
                <w:szCs w:val="16"/>
              </w:rPr>
            </w:pPr>
            <w:r w:rsidRPr="00D0180E">
              <w:rPr>
                <w:rFonts w:ascii="Verdana" w:hAnsi="Verdana"/>
                <w:sz w:val="16"/>
                <w:szCs w:val="16"/>
              </w:rPr>
              <w:t>Para efectos de la fracción VIII del presente artículo, se debe estar a lo siguiente:</w:t>
            </w:r>
          </w:p>
        </w:tc>
        <w:tc>
          <w:tcPr>
            <w:tcW w:w="4644" w:type="dxa"/>
          </w:tcPr>
          <w:p w14:paraId="6EFED7BA" w14:textId="003FA697" w:rsidR="003A38FF" w:rsidRPr="00D0180E" w:rsidRDefault="003A38FF" w:rsidP="003A38FF">
            <w:pPr>
              <w:pStyle w:val="Texto"/>
              <w:spacing w:line="242" w:lineRule="exact"/>
              <w:ind w:firstLine="0"/>
              <w:rPr>
                <w:rFonts w:ascii="Verdana" w:hAnsi="Verdana"/>
                <w:sz w:val="16"/>
                <w:szCs w:val="16"/>
                <w:lang w:val="en-US"/>
              </w:rPr>
            </w:pPr>
            <w:r w:rsidRPr="006B3712">
              <w:rPr>
                <w:rFonts w:ascii="Verdana" w:hAnsi="Verdana"/>
                <w:sz w:val="16"/>
                <w:szCs w:val="16"/>
                <w:lang w:val="en-US"/>
              </w:rPr>
              <w:t>For the purposes of section VIII of this article, the following must apply:</w:t>
            </w:r>
          </w:p>
        </w:tc>
      </w:tr>
      <w:tr w:rsidR="003A38FF" w:rsidRPr="00D83DA2" w14:paraId="753D8AED" w14:textId="41A6DB9A" w:rsidTr="00FB5DAD">
        <w:tc>
          <w:tcPr>
            <w:tcW w:w="4706" w:type="dxa"/>
          </w:tcPr>
          <w:p w14:paraId="7DBA7593" w14:textId="77777777" w:rsidR="003A38FF" w:rsidRPr="00D0180E" w:rsidRDefault="003A38FF" w:rsidP="003A38FF">
            <w:pPr>
              <w:pStyle w:val="Texto"/>
              <w:spacing w:line="242"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 xml:space="preserve">Ante la negativa de la persona con quien se entienda la visita de verificación a nombrar testigos, estos deben ser nombrados por la persona verificadora, </w:t>
            </w:r>
            <w:r w:rsidRPr="00D0180E">
              <w:rPr>
                <w:rFonts w:ascii="Verdana" w:hAnsi="Verdana"/>
                <w:sz w:val="16"/>
                <w:szCs w:val="16"/>
              </w:rPr>
              <w:lastRenderedPageBreak/>
              <w:t>en cuyo caso, se debe asentar dicha circunstancia en el acta de visita de verificación;</w:t>
            </w:r>
          </w:p>
        </w:tc>
        <w:tc>
          <w:tcPr>
            <w:tcW w:w="4644" w:type="dxa"/>
          </w:tcPr>
          <w:p w14:paraId="3943857A" w14:textId="24E68C74" w:rsidR="003A38FF" w:rsidRPr="00D0180E" w:rsidRDefault="003A38FF" w:rsidP="003A38FF">
            <w:pPr>
              <w:pStyle w:val="Texto"/>
              <w:spacing w:line="242" w:lineRule="exact"/>
              <w:ind w:firstLine="0"/>
              <w:rPr>
                <w:rFonts w:ascii="Verdana" w:hAnsi="Verdana"/>
                <w:b/>
                <w:sz w:val="16"/>
                <w:szCs w:val="16"/>
                <w:lang w:val="en-US"/>
              </w:rPr>
            </w:pPr>
            <w:proofErr w:type="gramStart"/>
            <w:r w:rsidRPr="006B3712">
              <w:rPr>
                <w:rFonts w:ascii="Verdana" w:hAnsi="Verdana"/>
                <w:b/>
                <w:sz w:val="16"/>
                <w:szCs w:val="16"/>
                <w:lang w:val="en-US"/>
              </w:rPr>
              <w:lastRenderedPageBreak/>
              <w:t xml:space="preserve">I. </w:t>
            </w:r>
            <w:r w:rsidRPr="006B3712">
              <w:rPr>
                <w:rFonts w:ascii="Verdana" w:hAnsi="Verdana"/>
                <w:b/>
                <w:sz w:val="16"/>
                <w:szCs w:val="16"/>
                <w:lang w:val="en-US"/>
              </w:rPr>
              <w:tab/>
            </w:r>
            <w:r w:rsidRPr="006B3712">
              <w:rPr>
                <w:rFonts w:ascii="Verdana" w:hAnsi="Verdana"/>
                <w:sz w:val="16"/>
                <w:szCs w:val="16"/>
                <w:lang w:val="en-US"/>
              </w:rPr>
              <w:t>If</w:t>
            </w:r>
            <w:proofErr w:type="gramEnd"/>
            <w:r w:rsidRPr="006B3712">
              <w:rPr>
                <w:rFonts w:ascii="Verdana" w:hAnsi="Verdana"/>
                <w:sz w:val="16"/>
                <w:szCs w:val="16"/>
                <w:lang w:val="en-US"/>
              </w:rPr>
              <w:t xml:space="preserve"> the person with whom the verification visit is to be carried out refuses to appoint witnesses, these must be appointed by the verifying person, in which </w:t>
            </w:r>
            <w:r w:rsidRPr="006B3712">
              <w:rPr>
                <w:rFonts w:ascii="Verdana" w:hAnsi="Verdana"/>
                <w:sz w:val="16"/>
                <w:szCs w:val="16"/>
                <w:lang w:val="en-US"/>
              </w:rPr>
              <w:lastRenderedPageBreak/>
              <w:t>case, this circumstance must be recorded in the verification visit record;</w:t>
            </w:r>
          </w:p>
        </w:tc>
      </w:tr>
      <w:tr w:rsidR="003A38FF" w:rsidRPr="00D83DA2" w14:paraId="1E30D001" w14:textId="6E646DB0" w:rsidTr="00FB5DAD">
        <w:tc>
          <w:tcPr>
            <w:tcW w:w="4706" w:type="dxa"/>
          </w:tcPr>
          <w:p w14:paraId="5507901F" w14:textId="77777777" w:rsidR="003A38FF" w:rsidRPr="00D0180E" w:rsidRDefault="003A38FF" w:rsidP="003A38FF">
            <w:pPr>
              <w:pStyle w:val="Texto"/>
              <w:spacing w:line="242" w:lineRule="exact"/>
              <w:ind w:firstLine="0"/>
              <w:rPr>
                <w:rFonts w:ascii="Verdana" w:hAnsi="Verdana"/>
                <w:sz w:val="16"/>
                <w:szCs w:val="16"/>
              </w:rPr>
            </w:pPr>
            <w:r w:rsidRPr="00D0180E">
              <w:rPr>
                <w:rFonts w:ascii="Verdana" w:hAnsi="Verdana"/>
                <w:b/>
                <w:sz w:val="16"/>
                <w:szCs w:val="16"/>
              </w:rPr>
              <w:lastRenderedPageBreak/>
              <w:t>II.</w:t>
            </w:r>
            <w:r w:rsidRPr="00D0180E">
              <w:rPr>
                <w:rFonts w:ascii="Verdana" w:hAnsi="Verdana"/>
                <w:b/>
                <w:sz w:val="16"/>
                <w:szCs w:val="16"/>
              </w:rPr>
              <w:tab/>
            </w:r>
            <w:r w:rsidRPr="00D0180E">
              <w:rPr>
                <w:rFonts w:ascii="Verdana" w:hAnsi="Verdana"/>
                <w:sz w:val="16"/>
                <w:szCs w:val="16"/>
              </w:rPr>
              <w:t>En el supuesto de que no sea posible que persona alguna pueda fungir como testigo, la persona verificadora debe asentar tal circunstancia en el acta, sin que esto afecte su validez, y</w:t>
            </w:r>
          </w:p>
        </w:tc>
        <w:tc>
          <w:tcPr>
            <w:tcW w:w="4644" w:type="dxa"/>
          </w:tcPr>
          <w:p w14:paraId="1DD0E702" w14:textId="3BA70E51" w:rsidR="003A38FF" w:rsidRPr="00D0180E" w:rsidRDefault="003A38FF" w:rsidP="003A38FF">
            <w:pPr>
              <w:pStyle w:val="Texto"/>
              <w:spacing w:line="242" w:lineRule="exact"/>
              <w:ind w:firstLine="0"/>
              <w:rPr>
                <w:rFonts w:ascii="Verdana" w:hAnsi="Verdana"/>
                <w:b/>
                <w:sz w:val="16"/>
                <w:szCs w:val="16"/>
                <w:lang w:val="en-US"/>
              </w:rPr>
            </w:pPr>
            <w:r w:rsidRPr="006B3712">
              <w:rPr>
                <w:rFonts w:ascii="Verdana" w:hAnsi="Verdana"/>
                <w:b/>
                <w:sz w:val="16"/>
                <w:szCs w:val="16"/>
                <w:lang w:val="en-US"/>
              </w:rPr>
              <w:t xml:space="preserve">II. </w:t>
            </w:r>
            <w:r w:rsidRPr="006B3712">
              <w:rPr>
                <w:rFonts w:ascii="Verdana" w:hAnsi="Verdana"/>
                <w:b/>
                <w:sz w:val="16"/>
                <w:szCs w:val="16"/>
                <w:lang w:val="en-US"/>
              </w:rPr>
              <w:tab/>
            </w:r>
            <w:r w:rsidRPr="006B3712">
              <w:rPr>
                <w:rFonts w:ascii="Verdana" w:hAnsi="Verdana"/>
                <w:sz w:val="16"/>
                <w:szCs w:val="16"/>
                <w:lang w:val="en-US"/>
              </w:rPr>
              <w:t>In the event that it is not possible for any person to act as a witness, the verifying person must record such circumstance in the minutes, without this affecting their validity, and</w:t>
            </w:r>
          </w:p>
        </w:tc>
      </w:tr>
      <w:tr w:rsidR="003A38FF" w:rsidRPr="00D83DA2" w14:paraId="44C050FA" w14:textId="723B0B1E" w:rsidTr="00FB5DAD">
        <w:tc>
          <w:tcPr>
            <w:tcW w:w="4706" w:type="dxa"/>
          </w:tcPr>
          <w:p w14:paraId="51A86891" w14:textId="77777777" w:rsidR="003A38FF" w:rsidRPr="00D0180E" w:rsidRDefault="003A38FF" w:rsidP="003A38FF">
            <w:pPr>
              <w:pStyle w:val="Texto"/>
              <w:spacing w:line="242"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Si alguna de las personas designadas como testigos se ausenta en alguna etapa de la visita de verificación, se debe requerir a la persona con quien se entienda la visita, para que nombre a su sustituto y, en caso de que se niegue, de ser posible la persona verificadora debe nombrar y asentar dicha circunstancia en el acta de visita de verificación, sin que esto afecte su validez.</w:t>
            </w:r>
          </w:p>
        </w:tc>
        <w:tc>
          <w:tcPr>
            <w:tcW w:w="4644" w:type="dxa"/>
          </w:tcPr>
          <w:p w14:paraId="5E268478" w14:textId="12DD08EE" w:rsidR="003A38FF" w:rsidRPr="00D0180E" w:rsidRDefault="003A38FF" w:rsidP="003A38FF">
            <w:pPr>
              <w:pStyle w:val="Texto"/>
              <w:spacing w:line="242" w:lineRule="exact"/>
              <w:ind w:firstLine="0"/>
              <w:rPr>
                <w:rFonts w:ascii="Verdana" w:hAnsi="Verdana"/>
                <w:b/>
                <w:sz w:val="16"/>
                <w:szCs w:val="16"/>
                <w:lang w:val="en-US"/>
              </w:rPr>
            </w:pPr>
            <w:r w:rsidRPr="006B3712">
              <w:rPr>
                <w:rFonts w:ascii="Verdana" w:hAnsi="Verdana"/>
                <w:b/>
                <w:sz w:val="16"/>
                <w:szCs w:val="16"/>
                <w:lang w:val="en-US"/>
              </w:rPr>
              <w:t xml:space="preserve">III. </w:t>
            </w:r>
            <w:r w:rsidRPr="006B3712">
              <w:rPr>
                <w:rFonts w:ascii="Verdana" w:hAnsi="Verdana"/>
                <w:b/>
                <w:sz w:val="16"/>
                <w:szCs w:val="16"/>
                <w:lang w:val="en-US"/>
              </w:rPr>
              <w:tab/>
            </w:r>
            <w:r w:rsidRPr="006B3712">
              <w:rPr>
                <w:rFonts w:ascii="Verdana" w:hAnsi="Verdana"/>
                <w:sz w:val="16"/>
                <w:szCs w:val="16"/>
                <w:lang w:val="en-US"/>
              </w:rPr>
              <w:t>If any of the persons designated as witnesses is absent at any stage of the verification visit, the person with whom the visit is scheduled must be asked to name a substitute and, if they refuse, the verifying person must, if possible, name and record this circumstance in the verification visit record, without this affecting its validity.</w:t>
            </w:r>
          </w:p>
        </w:tc>
      </w:tr>
      <w:tr w:rsidR="003A38FF" w:rsidRPr="00D83DA2" w14:paraId="194AF15B" w14:textId="06B4D221" w:rsidTr="00FB5DAD">
        <w:tc>
          <w:tcPr>
            <w:tcW w:w="4706" w:type="dxa"/>
          </w:tcPr>
          <w:p w14:paraId="20EF598B" w14:textId="77777777" w:rsidR="003A38FF" w:rsidRPr="00D0180E" w:rsidRDefault="003A38FF" w:rsidP="003A38FF">
            <w:pPr>
              <w:pStyle w:val="Texto"/>
              <w:spacing w:line="242" w:lineRule="exact"/>
              <w:ind w:firstLine="0"/>
              <w:rPr>
                <w:rFonts w:ascii="Verdana" w:hAnsi="Verdana"/>
                <w:sz w:val="16"/>
                <w:szCs w:val="16"/>
              </w:rPr>
            </w:pPr>
            <w:r w:rsidRPr="00D0180E">
              <w:rPr>
                <w:rFonts w:ascii="Verdana" w:hAnsi="Verdana"/>
                <w:b/>
                <w:sz w:val="16"/>
                <w:szCs w:val="16"/>
              </w:rPr>
              <w:t>Artículo 249.</w:t>
            </w:r>
            <w:r w:rsidRPr="00D0180E">
              <w:rPr>
                <w:rFonts w:ascii="Verdana" w:hAnsi="Verdana"/>
                <w:sz w:val="16"/>
                <w:szCs w:val="16"/>
              </w:rPr>
              <w:t xml:space="preserve"> Las personas verificadoras se encuentran dotadas de fe pública en los actos en que intervienen conforme al ejercicio de sus atribuciones y, por tanto, estos deben presumirse por ciertos, salvo prueba en contrario.</w:t>
            </w:r>
          </w:p>
        </w:tc>
        <w:tc>
          <w:tcPr>
            <w:tcW w:w="4644" w:type="dxa"/>
          </w:tcPr>
          <w:p w14:paraId="61EDE9FE" w14:textId="44AC3B39" w:rsidR="003A38FF" w:rsidRPr="00D0180E" w:rsidRDefault="003A38FF" w:rsidP="003A38FF">
            <w:pPr>
              <w:pStyle w:val="Texto"/>
              <w:spacing w:line="242" w:lineRule="exact"/>
              <w:ind w:firstLine="0"/>
              <w:rPr>
                <w:rFonts w:ascii="Verdana" w:hAnsi="Verdana"/>
                <w:b/>
                <w:sz w:val="16"/>
                <w:szCs w:val="16"/>
                <w:lang w:val="en-US"/>
              </w:rPr>
            </w:pPr>
            <w:r w:rsidRPr="006B3712">
              <w:rPr>
                <w:rFonts w:ascii="Verdana" w:hAnsi="Verdana"/>
                <w:b/>
                <w:sz w:val="16"/>
                <w:szCs w:val="16"/>
                <w:lang w:val="en-US"/>
              </w:rPr>
              <w:t xml:space="preserve">Article 249. </w:t>
            </w:r>
            <w:r w:rsidRPr="006B3712">
              <w:rPr>
                <w:rFonts w:ascii="Verdana" w:hAnsi="Verdana"/>
                <w:sz w:val="16"/>
                <w:szCs w:val="16"/>
                <w:lang w:val="en-US"/>
              </w:rPr>
              <w:t xml:space="preserve">Verifying </w:t>
            </w:r>
            <w:proofErr w:type="gramStart"/>
            <w:r w:rsidRPr="006B3712">
              <w:rPr>
                <w:rFonts w:ascii="Verdana" w:hAnsi="Verdana"/>
                <w:sz w:val="16"/>
                <w:szCs w:val="16"/>
                <w:lang w:val="en-US"/>
              </w:rPr>
              <w:t>persons</w:t>
            </w:r>
            <w:proofErr w:type="gramEnd"/>
            <w:r w:rsidRPr="006B3712">
              <w:rPr>
                <w:rFonts w:ascii="Verdana" w:hAnsi="Verdana"/>
                <w:sz w:val="16"/>
                <w:szCs w:val="16"/>
                <w:lang w:val="en-US"/>
              </w:rPr>
              <w:t xml:space="preserve"> are endowed with public faith in the acts in which they intervene in accordance with the exercise of their powers and, therefore, these must be presumed to be true, unless proven otherwise.</w:t>
            </w:r>
          </w:p>
        </w:tc>
      </w:tr>
      <w:tr w:rsidR="003A38FF" w:rsidRPr="00D83DA2" w14:paraId="5C5763A3" w14:textId="7F36A357" w:rsidTr="00FB5DAD">
        <w:tc>
          <w:tcPr>
            <w:tcW w:w="4706" w:type="dxa"/>
          </w:tcPr>
          <w:p w14:paraId="6B19EAF3" w14:textId="77777777" w:rsidR="003A38FF" w:rsidRPr="00D0180E" w:rsidRDefault="003A38FF" w:rsidP="003A38FF">
            <w:pPr>
              <w:pStyle w:val="Texto"/>
              <w:spacing w:line="242" w:lineRule="exact"/>
              <w:ind w:firstLine="0"/>
              <w:rPr>
                <w:rFonts w:ascii="Verdana" w:hAnsi="Verdana"/>
                <w:sz w:val="16"/>
                <w:szCs w:val="16"/>
              </w:rPr>
            </w:pPr>
            <w:r w:rsidRPr="00D0180E">
              <w:rPr>
                <w:rFonts w:ascii="Verdana" w:hAnsi="Verdana"/>
                <w:b/>
                <w:sz w:val="16"/>
                <w:szCs w:val="16"/>
              </w:rPr>
              <w:t xml:space="preserve">Artículo 250. </w:t>
            </w:r>
            <w:r w:rsidRPr="00D0180E">
              <w:rPr>
                <w:rFonts w:ascii="Verdana" w:hAnsi="Verdana"/>
                <w:sz w:val="16"/>
                <w:szCs w:val="16"/>
              </w:rPr>
              <w:t>Las personas verificadoras, tienen las facultades y obligaciones siguientes:</w:t>
            </w:r>
          </w:p>
        </w:tc>
        <w:tc>
          <w:tcPr>
            <w:tcW w:w="4644" w:type="dxa"/>
          </w:tcPr>
          <w:p w14:paraId="6E253A49" w14:textId="1E68CC5B" w:rsidR="003A38FF" w:rsidRPr="00D0180E" w:rsidRDefault="003A38FF" w:rsidP="003A38FF">
            <w:pPr>
              <w:pStyle w:val="Texto"/>
              <w:spacing w:line="242" w:lineRule="exact"/>
              <w:ind w:firstLine="0"/>
              <w:rPr>
                <w:rFonts w:ascii="Verdana" w:hAnsi="Verdana"/>
                <w:b/>
                <w:sz w:val="16"/>
                <w:szCs w:val="16"/>
                <w:lang w:val="en-US"/>
              </w:rPr>
            </w:pPr>
            <w:r w:rsidRPr="006B3712">
              <w:rPr>
                <w:rFonts w:ascii="Verdana" w:hAnsi="Verdana"/>
                <w:b/>
                <w:sz w:val="16"/>
                <w:szCs w:val="16"/>
                <w:lang w:val="en-US"/>
              </w:rPr>
              <w:t xml:space="preserve">Article 250. </w:t>
            </w:r>
            <w:r w:rsidRPr="006B3712">
              <w:rPr>
                <w:rFonts w:ascii="Verdana" w:hAnsi="Verdana"/>
                <w:sz w:val="16"/>
                <w:szCs w:val="16"/>
                <w:lang w:val="en-US"/>
              </w:rPr>
              <w:t xml:space="preserve">Verifying </w:t>
            </w:r>
            <w:proofErr w:type="gramStart"/>
            <w:r w:rsidRPr="006B3712">
              <w:rPr>
                <w:rFonts w:ascii="Verdana" w:hAnsi="Verdana"/>
                <w:sz w:val="16"/>
                <w:szCs w:val="16"/>
                <w:lang w:val="en-US"/>
              </w:rPr>
              <w:t>persons</w:t>
            </w:r>
            <w:proofErr w:type="gramEnd"/>
            <w:r w:rsidRPr="006B3712">
              <w:rPr>
                <w:rFonts w:ascii="Verdana" w:hAnsi="Verdana"/>
                <w:sz w:val="16"/>
                <w:szCs w:val="16"/>
                <w:lang w:val="en-US"/>
              </w:rPr>
              <w:t xml:space="preserve"> have the following powers and obligations:</w:t>
            </w:r>
          </w:p>
        </w:tc>
      </w:tr>
      <w:tr w:rsidR="003A38FF" w:rsidRPr="00D83DA2" w14:paraId="63E29938" w14:textId="253A0220" w:rsidTr="00FB5DAD">
        <w:tc>
          <w:tcPr>
            <w:tcW w:w="4706" w:type="dxa"/>
          </w:tcPr>
          <w:p w14:paraId="1F964BB1" w14:textId="77777777" w:rsidR="003A38FF" w:rsidRPr="00D0180E" w:rsidRDefault="003A38FF" w:rsidP="003A38FF">
            <w:pPr>
              <w:pStyle w:val="Texto"/>
              <w:spacing w:line="242"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Recibir y ejecutar las órdenes de visita de verificación, notificaciones, citaciones, emplazamientos, requerimientos, resoluciones, acuerdos, y demás actos y diligencias determinadas por la Secretaría o la CNE;</w:t>
            </w:r>
          </w:p>
        </w:tc>
        <w:tc>
          <w:tcPr>
            <w:tcW w:w="4644" w:type="dxa"/>
          </w:tcPr>
          <w:p w14:paraId="3D7045FD" w14:textId="7CADD13E" w:rsidR="003A38FF" w:rsidRPr="00D0180E" w:rsidRDefault="003A38FF" w:rsidP="003A38FF">
            <w:pPr>
              <w:pStyle w:val="Texto"/>
              <w:spacing w:line="242" w:lineRule="exact"/>
              <w:ind w:firstLine="0"/>
              <w:rPr>
                <w:rFonts w:ascii="Verdana" w:hAnsi="Verdana"/>
                <w:b/>
                <w:sz w:val="16"/>
                <w:szCs w:val="16"/>
                <w:lang w:val="en-US"/>
              </w:rPr>
            </w:pPr>
            <w:r w:rsidRPr="006B3712">
              <w:rPr>
                <w:rFonts w:ascii="Verdana" w:hAnsi="Verdana"/>
                <w:b/>
                <w:sz w:val="16"/>
                <w:szCs w:val="16"/>
                <w:lang w:val="en-US"/>
              </w:rPr>
              <w:t>I</w:t>
            </w:r>
            <w:proofErr w:type="gramStart"/>
            <w:r w:rsidRPr="006B3712">
              <w:rPr>
                <w:rFonts w:ascii="Verdana" w:hAnsi="Verdana"/>
                <w:b/>
                <w:sz w:val="16"/>
                <w:szCs w:val="16"/>
                <w:lang w:val="en-US"/>
              </w:rPr>
              <w:t xml:space="preserve">. </w:t>
            </w:r>
            <w:r w:rsidRPr="006B3712">
              <w:rPr>
                <w:rFonts w:ascii="Verdana" w:hAnsi="Verdana"/>
                <w:b/>
                <w:sz w:val="16"/>
                <w:szCs w:val="16"/>
                <w:lang w:val="en-US"/>
              </w:rPr>
              <w:tab/>
            </w:r>
            <w:r w:rsidRPr="006B3712">
              <w:rPr>
                <w:rFonts w:ascii="Verdana" w:hAnsi="Verdana"/>
                <w:sz w:val="16"/>
                <w:szCs w:val="16"/>
                <w:lang w:val="en-US"/>
              </w:rPr>
              <w:t>Receive</w:t>
            </w:r>
            <w:proofErr w:type="gramEnd"/>
            <w:r w:rsidRPr="006B3712">
              <w:rPr>
                <w:rFonts w:ascii="Verdana" w:hAnsi="Verdana"/>
                <w:sz w:val="16"/>
                <w:szCs w:val="16"/>
                <w:lang w:val="en-US"/>
              </w:rPr>
              <w:t xml:space="preserve"> and execute verification visit orders, notifications, summonses, requests, resolutions, agreements, and other acts and proceedings determined by the Secretary or the CNE;</w:t>
            </w:r>
          </w:p>
        </w:tc>
      </w:tr>
      <w:tr w:rsidR="003A38FF" w:rsidRPr="00D83DA2" w14:paraId="7A6266C6" w14:textId="1739D5E0" w:rsidTr="00FB5DAD">
        <w:tc>
          <w:tcPr>
            <w:tcW w:w="4706" w:type="dxa"/>
          </w:tcPr>
          <w:p w14:paraId="071CE3F8" w14:textId="77777777" w:rsidR="003A38FF" w:rsidRPr="00D0180E" w:rsidRDefault="003A38FF" w:rsidP="003A38FF">
            <w:pPr>
              <w:pStyle w:val="Texto"/>
              <w:spacing w:line="242"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Practicar las diligencias encomendadas de conformidad con las formalidades previstas para tales efectos en la normatividad aplicable;</w:t>
            </w:r>
          </w:p>
        </w:tc>
        <w:tc>
          <w:tcPr>
            <w:tcW w:w="4644" w:type="dxa"/>
          </w:tcPr>
          <w:p w14:paraId="20CEB97C" w14:textId="242E7E49" w:rsidR="003A38FF" w:rsidRPr="00D0180E" w:rsidRDefault="003A38FF" w:rsidP="003A38FF">
            <w:pPr>
              <w:pStyle w:val="Texto"/>
              <w:spacing w:line="242" w:lineRule="exact"/>
              <w:ind w:firstLine="0"/>
              <w:rPr>
                <w:rFonts w:ascii="Verdana" w:hAnsi="Verdana"/>
                <w:b/>
                <w:sz w:val="16"/>
                <w:szCs w:val="16"/>
                <w:lang w:val="en-US"/>
              </w:rPr>
            </w:pPr>
            <w:r w:rsidRPr="006B3712">
              <w:rPr>
                <w:rFonts w:ascii="Verdana" w:hAnsi="Verdana"/>
                <w:b/>
                <w:sz w:val="16"/>
                <w:szCs w:val="16"/>
                <w:lang w:val="en-US"/>
              </w:rPr>
              <w:t>II</w:t>
            </w:r>
            <w:proofErr w:type="gramStart"/>
            <w:r w:rsidRPr="006B3712">
              <w:rPr>
                <w:rFonts w:ascii="Verdana" w:hAnsi="Verdana"/>
                <w:b/>
                <w:sz w:val="16"/>
                <w:szCs w:val="16"/>
                <w:lang w:val="en-US"/>
              </w:rPr>
              <w:t xml:space="preserve">. </w:t>
            </w:r>
            <w:r w:rsidRPr="006B3712">
              <w:rPr>
                <w:rFonts w:ascii="Verdana" w:hAnsi="Verdana"/>
                <w:b/>
                <w:sz w:val="16"/>
                <w:szCs w:val="16"/>
                <w:lang w:val="en-US"/>
              </w:rPr>
              <w:tab/>
            </w:r>
            <w:r w:rsidRPr="006B3712">
              <w:rPr>
                <w:rFonts w:ascii="Verdana" w:hAnsi="Verdana"/>
                <w:sz w:val="16"/>
                <w:szCs w:val="16"/>
                <w:lang w:val="en-US"/>
              </w:rPr>
              <w:t>Carry</w:t>
            </w:r>
            <w:proofErr w:type="gramEnd"/>
            <w:r w:rsidRPr="006B3712">
              <w:rPr>
                <w:rFonts w:ascii="Verdana" w:hAnsi="Verdana"/>
                <w:sz w:val="16"/>
                <w:szCs w:val="16"/>
                <w:lang w:val="en-US"/>
              </w:rPr>
              <w:t xml:space="preserve"> out the entrusted procedures in accordance with the formalities provided for such purposes in the applicable legislation;</w:t>
            </w:r>
          </w:p>
        </w:tc>
      </w:tr>
      <w:tr w:rsidR="003A38FF" w:rsidRPr="00D83DA2" w14:paraId="253D4104" w14:textId="35AE8BFC" w:rsidTr="00FB5DAD">
        <w:tc>
          <w:tcPr>
            <w:tcW w:w="4706" w:type="dxa"/>
          </w:tcPr>
          <w:p w14:paraId="2C0DB749" w14:textId="77777777" w:rsidR="003A38FF" w:rsidRPr="00D0180E" w:rsidRDefault="003A38FF" w:rsidP="003A38FF">
            <w:pPr>
              <w:pStyle w:val="Texto"/>
              <w:spacing w:line="242"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Ejecutar en sus términos las medidas precautorias, correctivas y de seguridad que procedan en términos de las disposiciones aplicables, y</w:t>
            </w:r>
          </w:p>
        </w:tc>
        <w:tc>
          <w:tcPr>
            <w:tcW w:w="4644" w:type="dxa"/>
          </w:tcPr>
          <w:p w14:paraId="043D1665" w14:textId="23656B72" w:rsidR="003A38FF" w:rsidRPr="00D0180E" w:rsidRDefault="003A38FF" w:rsidP="003A38FF">
            <w:pPr>
              <w:pStyle w:val="Texto"/>
              <w:spacing w:line="242" w:lineRule="exact"/>
              <w:ind w:firstLine="0"/>
              <w:rPr>
                <w:rFonts w:ascii="Verdana" w:hAnsi="Verdana"/>
                <w:b/>
                <w:sz w:val="16"/>
                <w:szCs w:val="16"/>
                <w:lang w:val="en-US"/>
              </w:rPr>
            </w:pPr>
            <w:r w:rsidRPr="006B3712">
              <w:rPr>
                <w:rFonts w:ascii="Verdana" w:hAnsi="Verdana"/>
                <w:b/>
                <w:sz w:val="16"/>
                <w:szCs w:val="16"/>
                <w:lang w:val="en-US"/>
              </w:rPr>
              <w:t>III</w:t>
            </w:r>
            <w:proofErr w:type="gramStart"/>
            <w:r w:rsidRPr="006B3712">
              <w:rPr>
                <w:rFonts w:ascii="Verdana" w:hAnsi="Verdana"/>
                <w:b/>
                <w:sz w:val="16"/>
                <w:szCs w:val="16"/>
                <w:lang w:val="en-US"/>
              </w:rPr>
              <w:t xml:space="preserve">. </w:t>
            </w:r>
            <w:r w:rsidRPr="006B3712">
              <w:rPr>
                <w:rFonts w:ascii="Verdana" w:hAnsi="Verdana"/>
                <w:b/>
                <w:sz w:val="16"/>
                <w:szCs w:val="16"/>
                <w:lang w:val="en-US"/>
              </w:rPr>
              <w:tab/>
            </w:r>
            <w:r w:rsidRPr="006B3712">
              <w:rPr>
                <w:rFonts w:ascii="Verdana" w:hAnsi="Verdana"/>
                <w:sz w:val="16"/>
                <w:szCs w:val="16"/>
                <w:lang w:val="en-US"/>
              </w:rPr>
              <w:t>Execute</w:t>
            </w:r>
            <w:proofErr w:type="gramEnd"/>
            <w:r w:rsidRPr="006B3712">
              <w:rPr>
                <w:rFonts w:ascii="Verdana" w:hAnsi="Verdana"/>
                <w:sz w:val="16"/>
                <w:szCs w:val="16"/>
                <w:lang w:val="en-US"/>
              </w:rPr>
              <w:t xml:space="preserve"> in its terms the precautionary, corrective and </w:t>
            </w:r>
            <w:r w:rsidR="00226052">
              <w:rPr>
                <w:rFonts w:ascii="Verdana" w:hAnsi="Verdana"/>
                <w:sz w:val="16"/>
                <w:szCs w:val="16"/>
                <w:lang w:val="en-US"/>
              </w:rPr>
              <w:t>safety measures</w:t>
            </w:r>
            <w:r w:rsidRPr="006B3712">
              <w:rPr>
                <w:rFonts w:ascii="Verdana" w:hAnsi="Verdana"/>
                <w:sz w:val="16"/>
                <w:szCs w:val="16"/>
                <w:lang w:val="en-US"/>
              </w:rPr>
              <w:t xml:space="preserve"> that proceed in terms of the applicable provisions, and</w:t>
            </w:r>
          </w:p>
        </w:tc>
      </w:tr>
      <w:tr w:rsidR="003A38FF" w:rsidRPr="00D83DA2" w14:paraId="5ED4F073" w14:textId="3690DDFC" w:rsidTr="00FB5DAD">
        <w:tc>
          <w:tcPr>
            <w:tcW w:w="4706" w:type="dxa"/>
          </w:tcPr>
          <w:p w14:paraId="39F3F398" w14:textId="77777777" w:rsidR="003A38FF" w:rsidRPr="00D0180E" w:rsidRDefault="003A38FF" w:rsidP="003A38FF">
            <w:pPr>
              <w:pStyle w:val="Texto"/>
              <w:spacing w:line="242"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Las demás que se establezcan en la normatividad conducente.</w:t>
            </w:r>
          </w:p>
        </w:tc>
        <w:tc>
          <w:tcPr>
            <w:tcW w:w="4644" w:type="dxa"/>
          </w:tcPr>
          <w:p w14:paraId="6EA0D659" w14:textId="33C3FE66" w:rsidR="003A38FF" w:rsidRPr="00D0180E" w:rsidRDefault="003A38FF" w:rsidP="003A38FF">
            <w:pPr>
              <w:pStyle w:val="Texto"/>
              <w:spacing w:line="242" w:lineRule="exact"/>
              <w:ind w:firstLine="0"/>
              <w:rPr>
                <w:rFonts w:ascii="Verdana" w:hAnsi="Verdana"/>
                <w:b/>
                <w:sz w:val="16"/>
                <w:szCs w:val="16"/>
                <w:lang w:val="en-US"/>
              </w:rPr>
            </w:pPr>
            <w:r w:rsidRPr="006B3712">
              <w:rPr>
                <w:rFonts w:ascii="Verdana" w:hAnsi="Verdana"/>
                <w:b/>
                <w:sz w:val="16"/>
                <w:szCs w:val="16"/>
                <w:lang w:val="en-US"/>
              </w:rPr>
              <w:t>IV</w:t>
            </w:r>
            <w:proofErr w:type="gramStart"/>
            <w:r w:rsidRPr="006B3712">
              <w:rPr>
                <w:rFonts w:ascii="Verdana" w:hAnsi="Verdana"/>
                <w:b/>
                <w:sz w:val="16"/>
                <w:szCs w:val="16"/>
                <w:lang w:val="en-US"/>
              </w:rPr>
              <w:t xml:space="preserve">. </w:t>
            </w:r>
            <w:r w:rsidRPr="006B3712">
              <w:rPr>
                <w:rFonts w:ascii="Verdana" w:hAnsi="Verdana"/>
                <w:b/>
                <w:sz w:val="16"/>
                <w:szCs w:val="16"/>
                <w:lang w:val="en-US"/>
              </w:rPr>
              <w:tab/>
            </w:r>
            <w:r w:rsidRPr="006B3712">
              <w:rPr>
                <w:rFonts w:ascii="Verdana" w:hAnsi="Verdana"/>
                <w:sz w:val="16"/>
                <w:szCs w:val="16"/>
                <w:lang w:val="en-US"/>
              </w:rPr>
              <w:t>Others</w:t>
            </w:r>
            <w:proofErr w:type="gramEnd"/>
            <w:r w:rsidRPr="006B3712">
              <w:rPr>
                <w:rFonts w:ascii="Verdana" w:hAnsi="Verdana"/>
                <w:sz w:val="16"/>
                <w:szCs w:val="16"/>
                <w:lang w:val="en-US"/>
              </w:rPr>
              <w:t xml:space="preserve"> established in the relevant Regulation.</w:t>
            </w:r>
          </w:p>
        </w:tc>
      </w:tr>
      <w:tr w:rsidR="003A38FF" w:rsidRPr="00D83DA2" w14:paraId="27512768" w14:textId="2B4C1150" w:rsidTr="00FB5DAD">
        <w:tc>
          <w:tcPr>
            <w:tcW w:w="4706" w:type="dxa"/>
          </w:tcPr>
          <w:p w14:paraId="2A194AA3" w14:textId="77777777" w:rsidR="003A38FF" w:rsidRPr="00D0180E" w:rsidRDefault="003A38FF" w:rsidP="003A38FF">
            <w:pPr>
              <w:pStyle w:val="Texto"/>
              <w:spacing w:line="242" w:lineRule="exact"/>
              <w:ind w:firstLine="0"/>
              <w:rPr>
                <w:rFonts w:ascii="Verdana" w:hAnsi="Verdana"/>
                <w:sz w:val="16"/>
                <w:szCs w:val="16"/>
              </w:rPr>
            </w:pPr>
            <w:r w:rsidRPr="00D0180E">
              <w:rPr>
                <w:rFonts w:ascii="Verdana" w:hAnsi="Verdana"/>
                <w:b/>
                <w:sz w:val="16"/>
                <w:szCs w:val="16"/>
              </w:rPr>
              <w:t xml:space="preserve">Artículo 251. </w:t>
            </w:r>
            <w:r w:rsidRPr="00D0180E">
              <w:rPr>
                <w:rFonts w:ascii="Verdana" w:hAnsi="Verdana"/>
                <w:sz w:val="16"/>
                <w:szCs w:val="16"/>
              </w:rPr>
              <w:t xml:space="preserve">Quien ejecute la visita de verificación debe dar oportunidad a la persona visitada para que durante la diligencia formule observaciones y ofrezca las pruebas que considere convenientes en relación con los hechos, hallazgos u omisiones detectados y asentados en el acta circunstanciada respectiva, o bien, la parte interesada puede hacer uso de ese derecho por escrito ante la autoridad que corresponda, dentro del término de cinco días hábiles </w:t>
            </w:r>
            <w:r w:rsidRPr="00D0180E">
              <w:rPr>
                <w:rFonts w:ascii="Verdana" w:hAnsi="Verdana"/>
                <w:sz w:val="16"/>
                <w:szCs w:val="16"/>
                <w:lang w:val="es"/>
              </w:rPr>
              <w:t>contados a partir del día hábil siguiente a aquel en que</w:t>
            </w:r>
            <w:r w:rsidRPr="00D0180E">
              <w:rPr>
                <w:rFonts w:ascii="Verdana" w:hAnsi="Verdana"/>
                <w:sz w:val="16"/>
                <w:szCs w:val="16"/>
              </w:rPr>
              <w:t xml:space="preserve"> se haya levantado el acta de verificación.</w:t>
            </w:r>
          </w:p>
        </w:tc>
        <w:tc>
          <w:tcPr>
            <w:tcW w:w="4644" w:type="dxa"/>
          </w:tcPr>
          <w:p w14:paraId="20410301" w14:textId="2E918699" w:rsidR="003A38FF" w:rsidRPr="00D0180E" w:rsidRDefault="003A38FF" w:rsidP="003A38FF">
            <w:pPr>
              <w:pStyle w:val="Texto"/>
              <w:spacing w:line="242" w:lineRule="exact"/>
              <w:ind w:firstLine="0"/>
              <w:rPr>
                <w:rFonts w:ascii="Verdana" w:hAnsi="Verdana"/>
                <w:b/>
                <w:sz w:val="16"/>
                <w:szCs w:val="16"/>
                <w:lang w:val="en-US"/>
              </w:rPr>
            </w:pPr>
            <w:r w:rsidRPr="006B3712">
              <w:rPr>
                <w:rFonts w:ascii="Verdana" w:hAnsi="Verdana"/>
                <w:b/>
                <w:sz w:val="16"/>
                <w:szCs w:val="16"/>
                <w:lang w:val="en-US"/>
              </w:rPr>
              <w:t xml:space="preserve">Article 251. </w:t>
            </w:r>
            <w:r w:rsidRPr="006B3712">
              <w:rPr>
                <w:rFonts w:ascii="Verdana" w:hAnsi="Verdana"/>
                <w:sz w:val="16"/>
                <w:szCs w:val="16"/>
                <w:lang w:val="en-US"/>
              </w:rPr>
              <w:t>Whoever carries out the verification visit must give the person visited the opportunity to make observations and offer any evidence they consider appropriate in relation to the facts, findings or omissions detected and recorded in the respective detailed report, or the interested party may exercise this right in writing before the corresponding authority, within a period of five business days counted from the business day following the day on which the verification report was drawn up.</w:t>
            </w:r>
          </w:p>
        </w:tc>
      </w:tr>
      <w:tr w:rsidR="003A38FF" w:rsidRPr="00D83DA2" w14:paraId="0D420546" w14:textId="791D0823" w:rsidTr="00FB5DAD">
        <w:tc>
          <w:tcPr>
            <w:tcW w:w="4706" w:type="dxa"/>
          </w:tcPr>
          <w:p w14:paraId="6F61929A" w14:textId="77777777" w:rsidR="003A38FF" w:rsidRPr="00D0180E" w:rsidRDefault="003A38FF" w:rsidP="003A38FF">
            <w:pPr>
              <w:pStyle w:val="Texto"/>
              <w:spacing w:line="242" w:lineRule="exact"/>
              <w:ind w:firstLine="0"/>
              <w:rPr>
                <w:rFonts w:ascii="Verdana" w:hAnsi="Verdana"/>
                <w:sz w:val="16"/>
                <w:szCs w:val="16"/>
              </w:rPr>
            </w:pPr>
            <w:r w:rsidRPr="00D0180E">
              <w:rPr>
                <w:rFonts w:ascii="Verdana" w:hAnsi="Verdana"/>
                <w:sz w:val="16"/>
                <w:szCs w:val="16"/>
              </w:rPr>
              <w:t xml:space="preserve">Concluida la visita de verificación, el acta se debe firmar por duplicado tanto por la persona con quien se entendió la diligencia, como por la persona verificadora y, en su caso, por los testigos conforme a lo señalado en el </w:t>
            </w:r>
            <w:r w:rsidRPr="00D0180E">
              <w:rPr>
                <w:rFonts w:ascii="Verdana" w:hAnsi="Verdana"/>
                <w:sz w:val="16"/>
                <w:szCs w:val="16"/>
              </w:rPr>
              <w:lastRenderedPageBreak/>
              <w:t xml:space="preserve">artículo 248 del presente reglamento, y entregar un tanto de </w:t>
            </w:r>
            <w:proofErr w:type="gramStart"/>
            <w:r w:rsidRPr="00D0180E">
              <w:rPr>
                <w:rFonts w:ascii="Verdana" w:hAnsi="Verdana"/>
                <w:sz w:val="16"/>
                <w:szCs w:val="16"/>
              </w:rPr>
              <w:t>la misma</w:t>
            </w:r>
            <w:proofErr w:type="gramEnd"/>
            <w:r w:rsidRPr="00D0180E">
              <w:rPr>
                <w:rFonts w:ascii="Verdana" w:hAnsi="Verdana"/>
                <w:sz w:val="16"/>
                <w:szCs w:val="16"/>
              </w:rPr>
              <w:t xml:space="preserve"> a la persona con quien se practicó.</w:t>
            </w:r>
          </w:p>
        </w:tc>
        <w:tc>
          <w:tcPr>
            <w:tcW w:w="4644" w:type="dxa"/>
          </w:tcPr>
          <w:p w14:paraId="69CE318E" w14:textId="26D72C98" w:rsidR="003A38FF" w:rsidRPr="00D0180E" w:rsidRDefault="003A38FF" w:rsidP="003A38FF">
            <w:pPr>
              <w:pStyle w:val="Texto"/>
              <w:spacing w:line="242" w:lineRule="exact"/>
              <w:ind w:firstLine="0"/>
              <w:rPr>
                <w:rFonts w:ascii="Verdana" w:hAnsi="Verdana"/>
                <w:sz w:val="16"/>
                <w:szCs w:val="16"/>
                <w:lang w:val="en-US"/>
              </w:rPr>
            </w:pPr>
            <w:r w:rsidRPr="006B3712">
              <w:rPr>
                <w:rFonts w:ascii="Verdana" w:hAnsi="Verdana"/>
                <w:sz w:val="16"/>
                <w:szCs w:val="16"/>
                <w:lang w:val="en-US"/>
              </w:rPr>
              <w:lastRenderedPageBreak/>
              <w:t xml:space="preserve">Once the verification visit is completed, the report must be signed in duplicate by both the person with whom the procedure was carried out, the person inspecting it, and, where applicable, by the witnesses, in accordance with the provisions of Article 248 of this Regulation. A </w:t>
            </w:r>
            <w:r w:rsidRPr="006B3712">
              <w:rPr>
                <w:rFonts w:ascii="Verdana" w:hAnsi="Verdana"/>
                <w:sz w:val="16"/>
                <w:szCs w:val="16"/>
                <w:lang w:val="en-US"/>
              </w:rPr>
              <w:lastRenderedPageBreak/>
              <w:t>copy of the report must be delivered to the person with whom it was carried out.</w:t>
            </w:r>
          </w:p>
        </w:tc>
      </w:tr>
      <w:tr w:rsidR="003A38FF" w:rsidRPr="00D83DA2" w14:paraId="480BD2E1" w14:textId="265004C1" w:rsidTr="00FB5DAD">
        <w:tc>
          <w:tcPr>
            <w:tcW w:w="4706" w:type="dxa"/>
          </w:tcPr>
          <w:p w14:paraId="38D1147D" w14:textId="77777777" w:rsidR="003A38FF" w:rsidRPr="00D0180E" w:rsidRDefault="003A38FF" w:rsidP="003A38FF">
            <w:pPr>
              <w:pStyle w:val="Texto"/>
              <w:spacing w:line="242" w:lineRule="exact"/>
              <w:ind w:firstLine="0"/>
              <w:rPr>
                <w:rFonts w:ascii="Verdana" w:hAnsi="Verdana"/>
                <w:sz w:val="16"/>
                <w:szCs w:val="16"/>
              </w:rPr>
            </w:pPr>
            <w:r w:rsidRPr="00D0180E">
              <w:rPr>
                <w:rFonts w:ascii="Verdana" w:hAnsi="Verdana"/>
                <w:b/>
                <w:sz w:val="16"/>
                <w:szCs w:val="16"/>
              </w:rPr>
              <w:lastRenderedPageBreak/>
              <w:t>Artículo 252.</w:t>
            </w:r>
            <w:r w:rsidRPr="00D0180E">
              <w:rPr>
                <w:rFonts w:ascii="Verdana" w:hAnsi="Verdana"/>
                <w:sz w:val="16"/>
                <w:szCs w:val="16"/>
              </w:rPr>
              <w:t xml:space="preserve"> Dentro del plazo de cuarenta días hábiles siguientes a la conclusión del término otorgado a la persona visitada para formular observaciones y ofrecer pruebas, la Secretaría o la CNE, según corresponda, deben emitir la resolución que concluya el procedimiento de visita de verificación, en la cual se defina la situación jurídica de la persona visitada.</w:t>
            </w:r>
          </w:p>
        </w:tc>
        <w:tc>
          <w:tcPr>
            <w:tcW w:w="4644" w:type="dxa"/>
          </w:tcPr>
          <w:p w14:paraId="66D336BA" w14:textId="65492BAB" w:rsidR="003A38FF" w:rsidRPr="00D0180E" w:rsidRDefault="003A38FF" w:rsidP="003A38FF">
            <w:pPr>
              <w:pStyle w:val="Texto"/>
              <w:spacing w:line="242" w:lineRule="exact"/>
              <w:ind w:firstLine="0"/>
              <w:rPr>
                <w:rFonts w:ascii="Verdana" w:hAnsi="Verdana"/>
                <w:b/>
                <w:sz w:val="16"/>
                <w:szCs w:val="16"/>
                <w:lang w:val="en-US"/>
              </w:rPr>
            </w:pPr>
            <w:r w:rsidRPr="006B3712">
              <w:rPr>
                <w:rFonts w:ascii="Verdana" w:hAnsi="Verdana"/>
                <w:b/>
                <w:sz w:val="16"/>
                <w:szCs w:val="16"/>
                <w:lang w:val="en-US"/>
              </w:rPr>
              <w:t xml:space="preserve">Article 252. </w:t>
            </w:r>
            <w:r w:rsidRPr="006B3712">
              <w:rPr>
                <w:rFonts w:ascii="Verdana" w:hAnsi="Verdana"/>
                <w:sz w:val="16"/>
                <w:szCs w:val="16"/>
                <w:lang w:val="en-US"/>
              </w:rPr>
              <w:t xml:space="preserve">Within forty business days following the conclusion of the period granted to the person visited to make observations and offer evidence, the Secretary or the CNE, as appropriate, must issue </w:t>
            </w:r>
            <w:proofErr w:type="gramStart"/>
            <w:r w:rsidRPr="006B3712">
              <w:rPr>
                <w:rFonts w:ascii="Verdana" w:hAnsi="Verdana"/>
                <w:sz w:val="16"/>
                <w:szCs w:val="16"/>
                <w:lang w:val="en-US"/>
              </w:rPr>
              <w:t>the</w:t>
            </w:r>
            <w:proofErr w:type="gramEnd"/>
            <w:r w:rsidRPr="006B3712">
              <w:rPr>
                <w:rFonts w:ascii="Verdana" w:hAnsi="Verdana"/>
                <w:sz w:val="16"/>
                <w:szCs w:val="16"/>
                <w:lang w:val="en-US"/>
              </w:rPr>
              <w:t xml:space="preserve"> resolution concluding the verification visit procedure, in which the legal status of the person visited is defined.</w:t>
            </w:r>
          </w:p>
        </w:tc>
      </w:tr>
      <w:tr w:rsidR="003A38FF" w:rsidRPr="00D83DA2" w14:paraId="5FE5376A" w14:textId="4FE77CDF" w:rsidTr="00FB5DAD">
        <w:tc>
          <w:tcPr>
            <w:tcW w:w="4706" w:type="dxa"/>
          </w:tcPr>
          <w:p w14:paraId="08A5E8EB"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b/>
                <w:sz w:val="16"/>
                <w:szCs w:val="16"/>
              </w:rPr>
              <w:t xml:space="preserve">Artículo 253. </w:t>
            </w:r>
            <w:r w:rsidRPr="00D0180E">
              <w:rPr>
                <w:rFonts w:ascii="Verdana" w:hAnsi="Verdana"/>
                <w:sz w:val="16"/>
                <w:szCs w:val="16"/>
              </w:rPr>
              <w:t>La resolución a que se refiere el artículo anterior debe señalar los motivos y fundamentos que sustentan las obligaciones que se consideren posiblemente incumplidas o pendientes de cumplimiento, o bien, se debe determinar la inexistencia de posibles incumplimientos.</w:t>
            </w:r>
          </w:p>
        </w:tc>
        <w:tc>
          <w:tcPr>
            <w:tcW w:w="4644" w:type="dxa"/>
          </w:tcPr>
          <w:p w14:paraId="7EAE6826" w14:textId="213A6260" w:rsidR="003A38FF" w:rsidRPr="00D0180E" w:rsidRDefault="003A38FF" w:rsidP="003A38FF">
            <w:pPr>
              <w:pStyle w:val="Texto"/>
              <w:spacing w:line="223" w:lineRule="exact"/>
              <w:ind w:firstLine="0"/>
              <w:rPr>
                <w:rFonts w:ascii="Verdana" w:hAnsi="Verdana"/>
                <w:b/>
                <w:sz w:val="16"/>
                <w:szCs w:val="16"/>
                <w:lang w:val="en-US"/>
              </w:rPr>
            </w:pPr>
            <w:r w:rsidRPr="006B3712">
              <w:rPr>
                <w:rFonts w:ascii="Verdana" w:hAnsi="Verdana"/>
                <w:b/>
                <w:sz w:val="16"/>
                <w:szCs w:val="16"/>
                <w:lang w:val="en-US"/>
              </w:rPr>
              <w:t xml:space="preserve">Article 253. </w:t>
            </w:r>
            <w:r w:rsidRPr="006B3712">
              <w:rPr>
                <w:rFonts w:ascii="Verdana" w:hAnsi="Verdana"/>
                <w:sz w:val="16"/>
                <w:szCs w:val="16"/>
                <w:lang w:val="en-US"/>
              </w:rPr>
              <w:t xml:space="preserve">The resolution referred to in the </w:t>
            </w:r>
            <w:r>
              <w:rPr>
                <w:rFonts w:ascii="Verdana" w:hAnsi="Verdana"/>
                <w:sz w:val="16"/>
                <w:szCs w:val="16"/>
                <w:lang w:val="en-US"/>
              </w:rPr>
              <w:t>preceding article</w:t>
            </w:r>
            <w:r w:rsidRPr="006B3712">
              <w:rPr>
                <w:rFonts w:ascii="Verdana" w:hAnsi="Verdana"/>
                <w:sz w:val="16"/>
                <w:szCs w:val="16"/>
                <w:lang w:val="en-US"/>
              </w:rPr>
              <w:t xml:space="preserve"> must state the reasons and grounds that support the obligations that are considered possibly unfulfilled or pending fulfillment, or it must determine that there are no possible breaches.</w:t>
            </w:r>
          </w:p>
        </w:tc>
      </w:tr>
      <w:tr w:rsidR="003A38FF" w:rsidRPr="00D83DA2" w14:paraId="4B01E995" w14:textId="03DE84A7" w:rsidTr="00FB5DAD">
        <w:tc>
          <w:tcPr>
            <w:tcW w:w="4706" w:type="dxa"/>
          </w:tcPr>
          <w:p w14:paraId="778BD89D"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sz w:val="16"/>
                <w:szCs w:val="16"/>
              </w:rPr>
              <w:t>Si, como resultado de la visita la Secretaría o la CNE, detectan posibles incumplimientos, en la resolución que concluya el procedimiento de visita de verificación pueden requerir a la persona visitada para que en un plazo máximo de veinte días hábiles solvente los posibles incumplimientos detectados, solo en los casos en que las conductas u omisiones detectadas cumplan con los requisitos establecidos en el primer párrafo del artículo 302 de este reglamento y no se ubiquen en alguno de los supuestos establecidos en las fracciones I, II y III del indicado artículo.</w:t>
            </w:r>
          </w:p>
        </w:tc>
        <w:tc>
          <w:tcPr>
            <w:tcW w:w="4644" w:type="dxa"/>
          </w:tcPr>
          <w:p w14:paraId="0A939E1D" w14:textId="4EDA80F6" w:rsidR="003A38FF" w:rsidRPr="00D0180E" w:rsidRDefault="003A38FF" w:rsidP="003A38FF">
            <w:pPr>
              <w:pStyle w:val="Texto"/>
              <w:spacing w:line="223" w:lineRule="exact"/>
              <w:ind w:firstLine="0"/>
              <w:rPr>
                <w:rFonts w:ascii="Verdana" w:hAnsi="Verdana"/>
                <w:sz w:val="16"/>
                <w:szCs w:val="16"/>
                <w:lang w:val="en-US"/>
              </w:rPr>
            </w:pPr>
            <w:r w:rsidRPr="006B3712">
              <w:rPr>
                <w:rFonts w:ascii="Verdana" w:hAnsi="Verdana"/>
                <w:sz w:val="16"/>
                <w:szCs w:val="16"/>
                <w:lang w:val="en-US"/>
              </w:rPr>
              <w:t>If, as a result of the visit, the Secretary or the CNE detect possible non-compliance, in the resolution concluding the verification visit procedure they may require the person visited to resolve the possible non-compliance detected within a maximum period of twenty working days, only in cases where the conduct or omissions detected comply with the requirements established in the first paragraph of article 302 of this regulation and do not fall into any of the assumptions established in sections I, II and III of the aforementioned article.</w:t>
            </w:r>
          </w:p>
        </w:tc>
      </w:tr>
      <w:tr w:rsidR="003A38FF" w:rsidRPr="00D83DA2" w14:paraId="55E1321B" w14:textId="5C256ECA" w:rsidTr="00FB5DAD">
        <w:tc>
          <w:tcPr>
            <w:tcW w:w="4706" w:type="dxa"/>
          </w:tcPr>
          <w:p w14:paraId="236ADE5C"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sz w:val="16"/>
                <w:szCs w:val="16"/>
              </w:rPr>
              <w:t>Dentro del plazo de cuarenta días hábiles siguientes a la conclusión del plazo otorgado a la persona visitada para que solvente los posibles incumplimientos detectados, la Secretaría o la CNE, según corresponda, deben emitir la resolución que tenga por solventada o desvirtuada la posible irregularidad administrativa detectada o bien, la que inicie el procedimiento administrativo de sanción que corresponda.</w:t>
            </w:r>
          </w:p>
        </w:tc>
        <w:tc>
          <w:tcPr>
            <w:tcW w:w="4644" w:type="dxa"/>
          </w:tcPr>
          <w:p w14:paraId="23181453" w14:textId="1703A1F0" w:rsidR="003A38FF" w:rsidRPr="00D0180E" w:rsidRDefault="003A38FF" w:rsidP="003A38FF">
            <w:pPr>
              <w:pStyle w:val="Texto"/>
              <w:spacing w:line="223" w:lineRule="exact"/>
              <w:ind w:firstLine="0"/>
              <w:rPr>
                <w:rFonts w:ascii="Verdana" w:hAnsi="Verdana"/>
                <w:sz w:val="16"/>
                <w:szCs w:val="16"/>
                <w:lang w:val="en-US"/>
              </w:rPr>
            </w:pPr>
            <w:r w:rsidRPr="006B3712">
              <w:rPr>
                <w:rFonts w:ascii="Verdana" w:hAnsi="Verdana"/>
                <w:sz w:val="16"/>
                <w:szCs w:val="16"/>
                <w:lang w:val="en-US"/>
              </w:rPr>
              <w:t xml:space="preserve">Within forty business days following the conclusion of the period granted to the person inspected to resolve any potential non-compliance detected, the Secretary or the CNE, as appropriate, must issue a resolution that resolves or refutes the potential administrative irregularity detected, or initiates the corresponding </w:t>
            </w:r>
            <w:proofErr w:type="gramStart"/>
            <w:r w:rsidRPr="006B3712">
              <w:rPr>
                <w:rFonts w:ascii="Verdana" w:hAnsi="Verdana"/>
                <w:sz w:val="16"/>
                <w:szCs w:val="16"/>
                <w:lang w:val="en-US"/>
              </w:rPr>
              <w:t>administrative sanction</w:t>
            </w:r>
            <w:proofErr w:type="gramEnd"/>
            <w:r w:rsidRPr="006B3712">
              <w:rPr>
                <w:rFonts w:ascii="Verdana" w:hAnsi="Verdana"/>
                <w:sz w:val="16"/>
                <w:szCs w:val="16"/>
                <w:lang w:val="en-US"/>
              </w:rPr>
              <w:t xml:space="preserve"> procedure.</w:t>
            </w:r>
          </w:p>
        </w:tc>
      </w:tr>
      <w:tr w:rsidR="003A38FF" w:rsidRPr="00D83DA2" w14:paraId="73CCB943" w14:textId="6DD07EEE" w:rsidTr="00FB5DAD">
        <w:tc>
          <w:tcPr>
            <w:tcW w:w="4706" w:type="dxa"/>
          </w:tcPr>
          <w:p w14:paraId="3B4C28F9"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sz w:val="16"/>
                <w:szCs w:val="16"/>
              </w:rPr>
              <w:t>En caso de que los posibles incumplimientos detectados no cumplan con los requisitos establecidos en el primer párrafo del artículo 302 de este reglamento o se ubiquen en los supuestos previstos en las fracciones I, II y III del citado artículo, la Secretaría o la CNE, según corresponda, deben dictar, en un plazo no mayor a cuarenta días hábiles contados a partir de la emisión de la resolución de cierre del procedimiento de visita de verificación, el inicio del procedimiento administrativo de sanción que corresponda.</w:t>
            </w:r>
          </w:p>
        </w:tc>
        <w:tc>
          <w:tcPr>
            <w:tcW w:w="4644" w:type="dxa"/>
          </w:tcPr>
          <w:p w14:paraId="72A254F0" w14:textId="159B015A" w:rsidR="003A38FF" w:rsidRPr="00D0180E" w:rsidRDefault="003A38FF" w:rsidP="003A38FF">
            <w:pPr>
              <w:pStyle w:val="Texto"/>
              <w:spacing w:line="223" w:lineRule="exact"/>
              <w:ind w:firstLine="0"/>
              <w:rPr>
                <w:rFonts w:ascii="Verdana" w:hAnsi="Verdana"/>
                <w:sz w:val="16"/>
                <w:szCs w:val="16"/>
                <w:lang w:val="en-US"/>
              </w:rPr>
            </w:pPr>
            <w:r w:rsidRPr="006B3712">
              <w:rPr>
                <w:rFonts w:ascii="Verdana" w:hAnsi="Verdana"/>
                <w:sz w:val="16"/>
                <w:szCs w:val="16"/>
                <w:lang w:val="en-US"/>
              </w:rPr>
              <w:t>In the event that the possible non-compliances detected do not comply with the requirements established in the first paragraph of article 302 of this regulation or are located in the assumptions provided for in sections I, II and III of the aforementioned article, the Secretary or the CNE, as appropriate, must dictate, within a period of no more than forty business days from the issuance of the resolution closing the verification visit procedure, the initiation of the corresponding administrative sanction procedure.</w:t>
            </w:r>
          </w:p>
        </w:tc>
      </w:tr>
      <w:tr w:rsidR="003A38FF" w:rsidRPr="00D0180E" w14:paraId="73771E73" w14:textId="58A16B5B" w:rsidTr="00FB5DAD">
        <w:tc>
          <w:tcPr>
            <w:tcW w:w="4706" w:type="dxa"/>
          </w:tcPr>
          <w:p w14:paraId="0FEC3342" w14:textId="77777777" w:rsidR="003A38FF" w:rsidRPr="00D0180E" w:rsidRDefault="003A38FF" w:rsidP="003A38FF">
            <w:pPr>
              <w:pStyle w:val="Texto"/>
              <w:spacing w:line="223" w:lineRule="exact"/>
              <w:ind w:firstLine="0"/>
              <w:jc w:val="center"/>
              <w:rPr>
                <w:rFonts w:ascii="Verdana" w:hAnsi="Verdana"/>
                <w:b/>
                <w:sz w:val="16"/>
                <w:szCs w:val="16"/>
              </w:rPr>
            </w:pPr>
            <w:r w:rsidRPr="00D0180E">
              <w:rPr>
                <w:rFonts w:ascii="Verdana" w:hAnsi="Verdana"/>
                <w:b/>
                <w:sz w:val="16"/>
                <w:szCs w:val="16"/>
              </w:rPr>
              <w:t>Capítulo III</w:t>
            </w:r>
          </w:p>
        </w:tc>
        <w:tc>
          <w:tcPr>
            <w:tcW w:w="4644" w:type="dxa"/>
          </w:tcPr>
          <w:p w14:paraId="43A058C0" w14:textId="53CCC784" w:rsidR="003A38FF" w:rsidRPr="004410E9" w:rsidRDefault="003A38FF" w:rsidP="003A38FF">
            <w:pPr>
              <w:pStyle w:val="Texto"/>
              <w:spacing w:line="223" w:lineRule="exact"/>
              <w:ind w:firstLine="0"/>
              <w:jc w:val="center"/>
              <w:rPr>
                <w:rFonts w:ascii="Verdana" w:hAnsi="Verdana"/>
                <w:b/>
                <w:sz w:val="16"/>
                <w:szCs w:val="16"/>
                <w:lang w:val="en-US"/>
              </w:rPr>
            </w:pPr>
            <w:r w:rsidRPr="004410E9">
              <w:rPr>
                <w:rFonts w:ascii="Verdana" w:hAnsi="Verdana"/>
                <w:b/>
                <w:sz w:val="16"/>
                <w:szCs w:val="16"/>
                <w:lang w:val="en-US"/>
              </w:rPr>
              <w:t>Chapter III</w:t>
            </w:r>
          </w:p>
        </w:tc>
      </w:tr>
      <w:tr w:rsidR="003A38FF" w:rsidRPr="00D83DA2" w14:paraId="6C631A19" w14:textId="79799DA8" w:rsidTr="00FB5DAD">
        <w:tc>
          <w:tcPr>
            <w:tcW w:w="4706" w:type="dxa"/>
          </w:tcPr>
          <w:p w14:paraId="3BD819D0" w14:textId="77777777" w:rsidR="003A38FF" w:rsidRPr="00D0180E" w:rsidRDefault="003A38FF" w:rsidP="003A38FF">
            <w:pPr>
              <w:pStyle w:val="Texto"/>
              <w:spacing w:line="223" w:lineRule="exact"/>
              <w:ind w:firstLine="0"/>
              <w:jc w:val="center"/>
              <w:rPr>
                <w:rFonts w:ascii="Verdana" w:hAnsi="Verdana"/>
                <w:b/>
                <w:sz w:val="16"/>
                <w:szCs w:val="16"/>
              </w:rPr>
            </w:pPr>
            <w:r w:rsidRPr="00D0180E">
              <w:rPr>
                <w:rFonts w:ascii="Verdana" w:hAnsi="Verdana"/>
                <w:b/>
                <w:sz w:val="16"/>
                <w:szCs w:val="16"/>
              </w:rPr>
              <w:t>De la Verificación mediante Requerimientos y Comparecencias</w:t>
            </w:r>
          </w:p>
        </w:tc>
        <w:tc>
          <w:tcPr>
            <w:tcW w:w="4644" w:type="dxa"/>
          </w:tcPr>
          <w:p w14:paraId="49A2230D" w14:textId="667D6545" w:rsidR="003A38FF" w:rsidRPr="00D0180E" w:rsidRDefault="003A38FF" w:rsidP="003A38FF">
            <w:pPr>
              <w:pStyle w:val="Texto"/>
              <w:spacing w:line="223" w:lineRule="exact"/>
              <w:ind w:firstLine="0"/>
              <w:jc w:val="center"/>
              <w:rPr>
                <w:rFonts w:ascii="Verdana" w:hAnsi="Verdana"/>
                <w:b/>
                <w:sz w:val="16"/>
                <w:szCs w:val="16"/>
                <w:lang w:val="en-US"/>
              </w:rPr>
            </w:pPr>
            <w:r w:rsidRPr="006B3712">
              <w:rPr>
                <w:rFonts w:ascii="Verdana" w:hAnsi="Verdana"/>
                <w:b/>
                <w:sz w:val="16"/>
                <w:szCs w:val="16"/>
                <w:lang w:val="en-US"/>
              </w:rPr>
              <w:t>Verification through Requ</w:t>
            </w:r>
            <w:r>
              <w:rPr>
                <w:rFonts w:ascii="Verdana" w:hAnsi="Verdana"/>
                <w:b/>
                <w:sz w:val="16"/>
                <w:szCs w:val="16"/>
                <w:lang w:val="en-US"/>
              </w:rPr>
              <w:t>irements</w:t>
            </w:r>
            <w:r>
              <w:rPr>
                <w:rStyle w:val="FootnoteReference"/>
                <w:rFonts w:ascii="Verdana" w:hAnsi="Verdana"/>
                <w:b/>
                <w:sz w:val="16"/>
                <w:szCs w:val="16"/>
                <w:lang w:val="en-US"/>
              </w:rPr>
              <w:footnoteReference w:id="4"/>
            </w:r>
            <w:r w:rsidRPr="006B3712">
              <w:rPr>
                <w:rFonts w:ascii="Verdana" w:hAnsi="Verdana"/>
                <w:b/>
                <w:sz w:val="16"/>
                <w:szCs w:val="16"/>
                <w:lang w:val="en-US"/>
              </w:rPr>
              <w:t xml:space="preserve"> and Appearances</w:t>
            </w:r>
          </w:p>
        </w:tc>
      </w:tr>
      <w:tr w:rsidR="003A38FF" w:rsidRPr="00D83DA2" w14:paraId="16E1AB56" w14:textId="6C278EA6" w:rsidTr="00FB5DAD">
        <w:tc>
          <w:tcPr>
            <w:tcW w:w="4706" w:type="dxa"/>
          </w:tcPr>
          <w:p w14:paraId="30ED339C"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b/>
                <w:sz w:val="16"/>
                <w:szCs w:val="16"/>
              </w:rPr>
              <w:lastRenderedPageBreak/>
              <w:t>Artículo 254.</w:t>
            </w:r>
            <w:r w:rsidRPr="00D0180E">
              <w:rPr>
                <w:rFonts w:ascii="Verdana" w:hAnsi="Verdana"/>
                <w:sz w:val="16"/>
                <w:szCs w:val="16"/>
              </w:rPr>
              <w:t xml:space="preserve"> Para efectos de este Capítulo, se entiende por verificación mediante requerimientos y comparecencias, a las actividades que realizan la Secretaría y la CNE para supervisar y vigilar, en el ámbito de sus respectivas competencias, el cumplimiento de la Ley, el presente reglamento y demás disposiciones jurídicas aplicables al sector eléctrico, mediante la realización de requerimientos de información, así como la citación a comparecer en el domicilio que la Secretaría o la CNE determinen.</w:t>
            </w:r>
          </w:p>
        </w:tc>
        <w:tc>
          <w:tcPr>
            <w:tcW w:w="4644" w:type="dxa"/>
          </w:tcPr>
          <w:p w14:paraId="449869D8" w14:textId="7FCEED3B" w:rsidR="003A38FF" w:rsidRPr="00D0180E" w:rsidRDefault="003A38FF" w:rsidP="003A38FF">
            <w:pPr>
              <w:pStyle w:val="Texto"/>
              <w:spacing w:line="223" w:lineRule="exact"/>
              <w:ind w:firstLine="0"/>
              <w:rPr>
                <w:rFonts w:ascii="Verdana" w:hAnsi="Verdana"/>
                <w:b/>
                <w:sz w:val="16"/>
                <w:szCs w:val="16"/>
                <w:lang w:val="en-US"/>
              </w:rPr>
            </w:pPr>
            <w:r w:rsidRPr="006B3712">
              <w:rPr>
                <w:rFonts w:ascii="Verdana" w:hAnsi="Verdana"/>
                <w:b/>
                <w:sz w:val="16"/>
                <w:szCs w:val="16"/>
                <w:lang w:val="en-US"/>
              </w:rPr>
              <w:t xml:space="preserve">Article 254. </w:t>
            </w:r>
            <w:r w:rsidRPr="006B3712">
              <w:rPr>
                <w:rFonts w:ascii="Verdana" w:hAnsi="Verdana"/>
                <w:sz w:val="16"/>
                <w:szCs w:val="16"/>
                <w:lang w:val="en-US"/>
              </w:rPr>
              <w:t>For the purposes of this Chapter, verification through requests and appearances is understood to mean the activities carried out by the Secretary and the CNE to supervise and monitor, within the scope of their respective powers, compliance with the Law, this regulation and other legal provisions applicable to the electricity sector, by making requests for information, as well as summoning people to appear at the address determined by the Secretary or the CNE.</w:t>
            </w:r>
          </w:p>
        </w:tc>
      </w:tr>
      <w:tr w:rsidR="003A38FF" w:rsidRPr="00D83DA2" w14:paraId="6745C417" w14:textId="262160E8" w:rsidTr="00FB5DAD">
        <w:tc>
          <w:tcPr>
            <w:tcW w:w="4706" w:type="dxa"/>
          </w:tcPr>
          <w:p w14:paraId="6A76B68A"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b/>
                <w:sz w:val="16"/>
                <w:szCs w:val="16"/>
              </w:rPr>
              <w:t>Artículo 255.</w:t>
            </w:r>
            <w:r w:rsidRPr="00D0180E">
              <w:rPr>
                <w:rFonts w:ascii="Verdana" w:hAnsi="Verdana"/>
                <w:sz w:val="16"/>
                <w:szCs w:val="16"/>
              </w:rPr>
              <w:t xml:space="preserve"> En los requerimientos y comparecencias a que se refiere este Capítulo, la Secretaría o la CNE, según corresponda, deben emitir oficio en el que se señale expresamente que se trata del inicio de un procedimiento de verificación mediante requerimiento o comparecencia, se precise su objeto, alcance y la modalidad en la que debe ser entregada la información requerida, así como el plazo para su atención, el cual no puede ser menor a cinco, ni mayor a quince días hábiles. Cuando se trate de comparecencias se debe indicar la fecha, hora y lugar de su celebración.</w:t>
            </w:r>
          </w:p>
        </w:tc>
        <w:tc>
          <w:tcPr>
            <w:tcW w:w="4644" w:type="dxa"/>
          </w:tcPr>
          <w:p w14:paraId="698F6B29" w14:textId="225E044E" w:rsidR="003A38FF" w:rsidRPr="00D0180E" w:rsidRDefault="003A38FF" w:rsidP="003A38FF">
            <w:pPr>
              <w:pStyle w:val="Texto"/>
              <w:spacing w:line="223" w:lineRule="exact"/>
              <w:ind w:firstLine="0"/>
              <w:rPr>
                <w:rFonts w:ascii="Verdana" w:hAnsi="Verdana"/>
                <w:b/>
                <w:sz w:val="16"/>
                <w:szCs w:val="16"/>
                <w:lang w:val="en-US"/>
              </w:rPr>
            </w:pPr>
            <w:r w:rsidRPr="006B3712">
              <w:rPr>
                <w:rFonts w:ascii="Verdana" w:hAnsi="Verdana"/>
                <w:b/>
                <w:sz w:val="16"/>
                <w:szCs w:val="16"/>
                <w:lang w:val="en-US"/>
              </w:rPr>
              <w:t xml:space="preserve">Article 255. </w:t>
            </w:r>
            <w:r w:rsidRPr="006B3712">
              <w:rPr>
                <w:rFonts w:ascii="Verdana" w:hAnsi="Verdana"/>
                <w:sz w:val="16"/>
                <w:szCs w:val="16"/>
                <w:lang w:val="en-US"/>
              </w:rPr>
              <w:t>In the requests and appearances referred to in this Chapter, the Secretary or the CNE, as appropriate, must issue a letter expressly stating that this is the initiation of a verification procedure through a request or appearance, specifying its purpose, scope, and the method by which the requested information must be delivered, as well as the deadline for its processing, which may not be less than five or more than fifteen business days. In the case of appearances, the date, time, and place of the procedure must be indicated.</w:t>
            </w:r>
          </w:p>
        </w:tc>
      </w:tr>
      <w:tr w:rsidR="003A38FF" w:rsidRPr="00D83DA2" w14:paraId="3365FA6D" w14:textId="3E0EFDA7" w:rsidTr="00FB5DAD">
        <w:tc>
          <w:tcPr>
            <w:tcW w:w="4706" w:type="dxa"/>
          </w:tcPr>
          <w:p w14:paraId="7A809F23"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sz w:val="16"/>
                <w:szCs w:val="16"/>
              </w:rPr>
              <w:t>Los requerimientos de información previstos en el presente Capítulo son independientes de los que la Secretaría o la CNE realicen en cumplimiento de otras atribuciones distintas a las de verificación.</w:t>
            </w:r>
          </w:p>
        </w:tc>
        <w:tc>
          <w:tcPr>
            <w:tcW w:w="4644" w:type="dxa"/>
          </w:tcPr>
          <w:p w14:paraId="6025CFE0" w14:textId="75001B64" w:rsidR="003A38FF" w:rsidRPr="00D0180E" w:rsidRDefault="003A38FF" w:rsidP="003A38FF">
            <w:pPr>
              <w:pStyle w:val="Texto"/>
              <w:spacing w:line="223" w:lineRule="exact"/>
              <w:ind w:firstLine="0"/>
              <w:rPr>
                <w:rFonts w:ascii="Verdana" w:hAnsi="Verdana"/>
                <w:sz w:val="16"/>
                <w:szCs w:val="16"/>
                <w:lang w:val="en-US"/>
              </w:rPr>
            </w:pPr>
            <w:r w:rsidRPr="006B3712">
              <w:rPr>
                <w:rFonts w:ascii="Verdana" w:hAnsi="Verdana"/>
                <w:sz w:val="16"/>
                <w:szCs w:val="16"/>
                <w:lang w:val="en-US"/>
              </w:rPr>
              <w:t>The information requirements provided for in this Chapter are independent of those made by the Secretary or the CNE in compliance with other powers other than verification.</w:t>
            </w:r>
          </w:p>
        </w:tc>
      </w:tr>
      <w:tr w:rsidR="003A38FF" w:rsidRPr="00D83DA2" w14:paraId="722D1030" w14:textId="25A4A6E8" w:rsidTr="00FB5DAD">
        <w:tc>
          <w:tcPr>
            <w:tcW w:w="4706" w:type="dxa"/>
          </w:tcPr>
          <w:p w14:paraId="6A44F30C"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b/>
                <w:sz w:val="16"/>
                <w:szCs w:val="16"/>
              </w:rPr>
              <w:t>Artículo 256.</w:t>
            </w:r>
            <w:r w:rsidRPr="00D0180E">
              <w:rPr>
                <w:rFonts w:ascii="Verdana" w:hAnsi="Verdana"/>
                <w:sz w:val="16"/>
                <w:szCs w:val="16"/>
              </w:rPr>
              <w:t xml:space="preserve"> Al desahogar los requerimientos que les sean formulados por la Secretaría o la CNE según corresponda, las personas requeridas deben manifestar por escrito, que declaran bajo protesta de decir verdad, que se conducen con verdad y que la información proporcionada es verídica, que asumen las consecuencias legales, responsabilidades y penas que deriven del uso de información o documentación falsa.</w:t>
            </w:r>
          </w:p>
        </w:tc>
        <w:tc>
          <w:tcPr>
            <w:tcW w:w="4644" w:type="dxa"/>
          </w:tcPr>
          <w:p w14:paraId="38A3E6A7" w14:textId="31E8CFE1" w:rsidR="003A38FF" w:rsidRPr="00D0180E" w:rsidRDefault="003A38FF" w:rsidP="003A38FF">
            <w:pPr>
              <w:pStyle w:val="Texto"/>
              <w:spacing w:line="223" w:lineRule="exact"/>
              <w:ind w:firstLine="0"/>
              <w:rPr>
                <w:rFonts w:ascii="Verdana" w:hAnsi="Verdana"/>
                <w:b/>
                <w:sz w:val="16"/>
                <w:szCs w:val="16"/>
                <w:lang w:val="en-US"/>
              </w:rPr>
            </w:pPr>
            <w:r w:rsidRPr="006B3712">
              <w:rPr>
                <w:rFonts w:ascii="Verdana" w:hAnsi="Verdana"/>
                <w:b/>
                <w:sz w:val="16"/>
                <w:szCs w:val="16"/>
                <w:lang w:val="en-US"/>
              </w:rPr>
              <w:t xml:space="preserve">Article 256. </w:t>
            </w:r>
            <w:r w:rsidRPr="006B3712">
              <w:rPr>
                <w:rFonts w:ascii="Verdana" w:hAnsi="Verdana"/>
                <w:sz w:val="16"/>
                <w:szCs w:val="16"/>
                <w:lang w:val="en-US"/>
              </w:rPr>
              <w:t>When responding to requests made by the Secretary or the CNE, as appropriate, the requested persons must declare in writing that they declare under oath that they are acting truthfully and that the information provided is true, and that they assume the legal consequences, responsibilities, and penalties arising from the use of false information or documentation.</w:t>
            </w:r>
          </w:p>
        </w:tc>
      </w:tr>
      <w:tr w:rsidR="003A38FF" w:rsidRPr="00D83DA2" w14:paraId="48B99BEE" w14:textId="02D45C61" w:rsidTr="00FB5DAD">
        <w:tc>
          <w:tcPr>
            <w:tcW w:w="4706" w:type="dxa"/>
          </w:tcPr>
          <w:p w14:paraId="45D2F2CE"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sz w:val="16"/>
                <w:szCs w:val="16"/>
              </w:rPr>
              <w:t>En caso de comparecencias, al inicio de estas, las personas requeridas, deben ser protestadas para que se conduzcan con verdad y se les debe hacer saber las penas a que se hacen acreedoras si se incurre en falsedad al ser interrogadas por una autoridad distinta a la judicial en ejercicio de sus funciones o con motivo de ellas.</w:t>
            </w:r>
          </w:p>
        </w:tc>
        <w:tc>
          <w:tcPr>
            <w:tcW w:w="4644" w:type="dxa"/>
          </w:tcPr>
          <w:p w14:paraId="27E8A232" w14:textId="315ECE5A" w:rsidR="003A38FF" w:rsidRPr="00D0180E" w:rsidRDefault="003A38FF" w:rsidP="003A38FF">
            <w:pPr>
              <w:pStyle w:val="Texto"/>
              <w:spacing w:line="223" w:lineRule="exact"/>
              <w:ind w:firstLine="0"/>
              <w:rPr>
                <w:rFonts w:ascii="Verdana" w:hAnsi="Verdana"/>
                <w:sz w:val="16"/>
                <w:szCs w:val="16"/>
                <w:lang w:val="en-US"/>
              </w:rPr>
            </w:pPr>
            <w:r w:rsidRPr="006B3712">
              <w:rPr>
                <w:rFonts w:ascii="Verdana" w:hAnsi="Verdana"/>
                <w:sz w:val="16"/>
                <w:szCs w:val="16"/>
                <w:lang w:val="en-US"/>
              </w:rPr>
              <w:t>In the case of appearances, at the beginning of these, the requested persons must be warned to conduct themselves truthfully and must be informed of the penalties they will face if they commit falsehood when questioned by an authority other than the judicial authority in the exercise of their functions or in connection with them.</w:t>
            </w:r>
          </w:p>
        </w:tc>
      </w:tr>
      <w:tr w:rsidR="003A38FF" w:rsidRPr="00D83DA2" w14:paraId="7800C58B" w14:textId="22A33168" w:rsidTr="00FB5DAD">
        <w:tc>
          <w:tcPr>
            <w:tcW w:w="4706" w:type="dxa"/>
          </w:tcPr>
          <w:p w14:paraId="139FE429"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b/>
                <w:sz w:val="16"/>
                <w:szCs w:val="16"/>
              </w:rPr>
              <w:t>Artículo 257.</w:t>
            </w:r>
            <w:r w:rsidRPr="00D0180E">
              <w:rPr>
                <w:rFonts w:ascii="Verdana" w:hAnsi="Verdana"/>
                <w:sz w:val="16"/>
                <w:szCs w:val="16"/>
              </w:rPr>
              <w:t xml:space="preserve"> En el caso de que, con motivo de la información proporcionada o las manifestaciones formuladas por las personas verificadas o que hayan sido citadas a comparecencia, se requieran mayores elementos para cumplir con el objeto de la verificación, la autoridad que conozca del asunto puede solicitar hasta por una ocasión más la presentación de información adicional o una comparecencia complementaria. Lo anterior, dentro del plazo de quince días hábiles siguientes a la presentación del escrito por el cual se da atención al desahogo del requerimiento o a la celebración de la comparecencia que corresponda.</w:t>
            </w:r>
          </w:p>
        </w:tc>
        <w:tc>
          <w:tcPr>
            <w:tcW w:w="4644" w:type="dxa"/>
          </w:tcPr>
          <w:p w14:paraId="69AB3A12" w14:textId="1D1F287E" w:rsidR="003A38FF" w:rsidRPr="00D0180E" w:rsidRDefault="003A38FF" w:rsidP="003A38FF">
            <w:pPr>
              <w:pStyle w:val="Texto"/>
              <w:spacing w:line="223" w:lineRule="exact"/>
              <w:ind w:firstLine="0"/>
              <w:rPr>
                <w:rFonts w:ascii="Verdana" w:hAnsi="Verdana"/>
                <w:b/>
                <w:sz w:val="16"/>
                <w:szCs w:val="16"/>
                <w:lang w:val="en-US"/>
              </w:rPr>
            </w:pPr>
            <w:r w:rsidRPr="006B3712">
              <w:rPr>
                <w:rFonts w:ascii="Verdana" w:hAnsi="Verdana"/>
                <w:b/>
                <w:sz w:val="16"/>
                <w:szCs w:val="16"/>
                <w:lang w:val="en-US"/>
              </w:rPr>
              <w:t xml:space="preserve">Article 257. </w:t>
            </w:r>
            <w:proofErr w:type="gramStart"/>
            <w:r w:rsidRPr="006B3712">
              <w:rPr>
                <w:rFonts w:ascii="Verdana" w:hAnsi="Verdana"/>
                <w:sz w:val="16"/>
                <w:szCs w:val="16"/>
                <w:lang w:val="en-US"/>
              </w:rPr>
              <w:t>In the event that</w:t>
            </w:r>
            <w:proofErr w:type="gramEnd"/>
            <w:r w:rsidRPr="006B3712">
              <w:rPr>
                <w:rFonts w:ascii="Verdana" w:hAnsi="Verdana"/>
                <w:sz w:val="16"/>
                <w:szCs w:val="16"/>
                <w:lang w:val="en-US"/>
              </w:rPr>
              <w:t xml:space="preserve">, based on the information provided or statements made by the </w:t>
            </w:r>
            <w:proofErr w:type="gramStart"/>
            <w:r w:rsidRPr="006B3712">
              <w:rPr>
                <w:rFonts w:ascii="Verdana" w:hAnsi="Verdana"/>
                <w:sz w:val="16"/>
                <w:szCs w:val="16"/>
                <w:lang w:val="en-US"/>
              </w:rPr>
              <w:t>persons</w:t>
            </w:r>
            <w:proofErr w:type="gramEnd"/>
            <w:r w:rsidRPr="006B3712">
              <w:rPr>
                <w:rFonts w:ascii="Verdana" w:hAnsi="Verdana"/>
                <w:sz w:val="16"/>
                <w:szCs w:val="16"/>
                <w:lang w:val="en-US"/>
              </w:rPr>
              <w:t xml:space="preserve"> being verified or summoned to appear, additional elements are required to fulfill the purpose of the verification, the authority hearing the matter may request the presentation of additional information or a supplementary appearance up to one more time. This shall be done within fifteen business days following the submission of the written document addressing the request or the holding of the corresponding appearance.</w:t>
            </w:r>
          </w:p>
        </w:tc>
      </w:tr>
      <w:tr w:rsidR="003A38FF" w:rsidRPr="00D83DA2" w14:paraId="3FEA01E0" w14:textId="68DFB5D4" w:rsidTr="00FB5DAD">
        <w:tc>
          <w:tcPr>
            <w:tcW w:w="4706" w:type="dxa"/>
          </w:tcPr>
          <w:p w14:paraId="50A75EBB"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b/>
                <w:sz w:val="16"/>
                <w:szCs w:val="16"/>
              </w:rPr>
              <w:t>Artículo 258.</w:t>
            </w:r>
            <w:r w:rsidRPr="00D0180E">
              <w:rPr>
                <w:rFonts w:ascii="Verdana" w:hAnsi="Verdana"/>
                <w:sz w:val="16"/>
                <w:szCs w:val="16"/>
              </w:rPr>
              <w:t xml:space="preserve"> Dentro del plazo de cuarenta días hábiles contados a partir de la fecha en que haya fenecido el plazo para el desahogo del último requerimiento </w:t>
            </w:r>
            <w:r w:rsidRPr="00D0180E">
              <w:rPr>
                <w:rFonts w:ascii="Verdana" w:hAnsi="Verdana"/>
                <w:sz w:val="16"/>
                <w:szCs w:val="16"/>
              </w:rPr>
              <w:lastRenderedPageBreak/>
              <w:t>formulado o de la fecha de celebración de la comparecencia final, la Secretaría o la CNE, según corresponda, debe emitir, la resolución que concluya el procedimiento de verificación, en la cual se defina la situación jurídica de la persona verificada.</w:t>
            </w:r>
          </w:p>
        </w:tc>
        <w:tc>
          <w:tcPr>
            <w:tcW w:w="4644" w:type="dxa"/>
          </w:tcPr>
          <w:p w14:paraId="694F786E" w14:textId="671FC8B4" w:rsidR="003A38FF" w:rsidRPr="00D0180E" w:rsidRDefault="003A38FF" w:rsidP="003A38FF">
            <w:pPr>
              <w:pStyle w:val="Texto"/>
              <w:spacing w:line="223" w:lineRule="exact"/>
              <w:ind w:firstLine="0"/>
              <w:rPr>
                <w:rFonts w:ascii="Verdana" w:hAnsi="Verdana"/>
                <w:b/>
                <w:sz w:val="16"/>
                <w:szCs w:val="16"/>
                <w:lang w:val="en-US"/>
              </w:rPr>
            </w:pPr>
            <w:r w:rsidRPr="006B3712">
              <w:rPr>
                <w:rFonts w:ascii="Verdana" w:hAnsi="Verdana"/>
                <w:b/>
                <w:sz w:val="16"/>
                <w:szCs w:val="16"/>
                <w:lang w:val="en-US"/>
              </w:rPr>
              <w:lastRenderedPageBreak/>
              <w:t xml:space="preserve">Article 258. </w:t>
            </w:r>
            <w:r w:rsidRPr="006B3712">
              <w:rPr>
                <w:rFonts w:ascii="Verdana" w:hAnsi="Verdana"/>
                <w:sz w:val="16"/>
                <w:szCs w:val="16"/>
                <w:lang w:val="en-US"/>
              </w:rPr>
              <w:t xml:space="preserve">Within forty business days from the date on which the deadline for the processing of the last request made has expired or from the date of the final </w:t>
            </w:r>
            <w:r w:rsidRPr="006B3712">
              <w:rPr>
                <w:rFonts w:ascii="Verdana" w:hAnsi="Verdana"/>
                <w:sz w:val="16"/>
                <w:szCs w:val="16"/>
                <w:lang w:val="en-US"/>
              </w:rPr>
              <w:lastRenderedPageBreak/>
              <w:t xml:space="preserve">appearance, the Secretary or the CNE, as appropriate, must issue </w:t>
            </w:r>
            <w:proofErr w:type="gramStart"/>
            <w:r w:rsidRPr="006B3712">
              <w:rPr>
                <w:rFonts w:ascii="Verdana" w:hAnsi="Verdana"/>
                <w:sz w:val="16"/>
                <w:szCs w:val="16"/>
                <w:lang w:val="en-US"/>
              </w:rPr>
              <w:t>the</w:t>
            </w:r>
            <w:proofErr w:type="gramEnd"/>
            <w:r w:rsidRPr="006B3712">
              <w:rPr>
                <w:rFonts w:ascii="Verdana" w:hAnsi="Verdana"/>
                <w:sz w:val="16"/>
                <w:szCs w:val="16"/>
                <w:lang w:val="en-US"/>
              </w:rPr>
              <w:t xml:space="preserve"> resolution concluding the verification procedure, in which the legal status of the person being verified is defined.</w:t>
            </w:r>
          </w:p>
        </w:tc>
      </w:tr>
      <w:tr w:rsidR="003A38FF" w:rsidRPr="00D83DA2" w14:paraId="1142C106" w14:textId="28CBFBD0" w:rsidTr="00FB5DAD">
        <w:tc>
          <w:tcPr>
            <w:tcW w:w="4706" w:type="dxa"/>
          </w:tcPr>
          <w:p w14:paraId="0F56D554" w14:textId="77777777" w:rsidR="003A38FF" w:rsidRPr="00D0180E" w:rsidRDefault="003A38FF" w:rsidP="003A38FF">
            <w:pPr>
              <w:pStyle w:val="Texto"/>
              <w:spacing w:line="223" w:lineRule="exact"/>
              <w:ind w:firstLine="0"/>
              <w:rPr>
                <w:rFonts w:ascii="Verdana" w:hAnsi="Verdana"/>
                <w:sz w:val="16"/>
                <w:szCs w:val="16"/>
              </w:rPr>
            </w:pPr>
            <w:r w:rsidRPr="00D0180E">
              <w:rPr>
                <w:rFonts w:ascii="Verdana" w:hAnsi="Verdana"/>
                <w:b/>
                <w:sz w:val="16"/>
                <w:szCs w:val="16"/>
              </w:rPr>
              <w:lastRenderedPageBreak/>
              <w:t>Artículo 259.</w:t>
            </w:r>
            <w:r w:rsidRPr="00D0180E">
              <w:rPr>
                <w:rFonts w:ascii="Verdana" w:hAnsi="Verdana"/>
                <w:sz w:val="16"/>
                <w:szCs w:val="16"/>
              </w:rPr>
              <w:t xml:space="preserve"> La resolución a que se refiere el artículo anterior debe señalar los motivos y fundamentos que sustentan las obligaciones que se consideren posiblemente incumplidas o pendientes de cumplimiento, o bien, se debe determinar la inexistencia de posibles incumplimientos.</w:t>
            </w:r>
          </w:p>
        </w:tc>
        <w:tc>
          <w:tcPr>
            <w:tcW w:w="4644" w:type="dxa"/>
          </w:tcPr>
          <w:p w14:paraId="34882AF6" w14:textId="688A553E" w:rsidR="003A38FF" w:rsidRPr="00D0180E" w:rsidRDefault="003A38FF" w:rsidP="003A38FF">
            <w:pPr>
              <w:pStyle w:val="Texto"/>
              <w:spacing w:line="223" w:lineRule="exact"/>
              <w:ind w:firstLine="0"/>
              <w:rPr>
                <w:rFonts w:ascii="Verdana" w:hAnsi="Verdana"/>
                <w:b/>
                <w:sz w:val="16"/>
                <w:szCs w:val="16"/>
                <w:lang w:val="en-US"/>
              </w:rPr>
            </w:pPr>
            <w:r w:rsidRPr="006B3712">
              <w:rPr>
                <w:rFonts w:ascii="Verdana" w:hAnsi="Verdana"/>
                <w:b/>
                <w:sz w:val="16"/>
                <w:szCs w:val="16"/>
                <w:lang w:val="en-US"/>
              </w:rPr>
              <w:t xml:space="preserve">Article 259. </w:t>
            </w:r>
            <w:r w:rsidRPr="006B3712">
              <w:rPr>
                <w:rFonts w:ascii="Verdana" w:hAnsi="Verdana"/>
                <w:sz w:val="16"/>
                <w:szCs w:val="16"/>
                <w:lang w:val="en-US"/>
              </w:rPr>
              <w:t xml:space="preserve">The resolution referred to in the </w:t>
            </w:r>
            <w:r>
              <w:rPr>
                <w:rFonts w:ascii="Verdana" w:hAnsi="Verdana"/>
                <w:sz w:val="16"/>
                <w:szCs w:val="16"/>
                <w:lang w:val="en-US"/>
              </w:rPr>
              <w:t>preceding article</w:t>
            </w:r>
            <w:r w:rsidRPr="006B3712">
              <w:rPr>
                <w:rFonts w:ascii="Verdana" w:hAnsi="Verdana"/>
                <w:sz w:val="16"/>
                <w:szCs w:val="16"/>
                <w:lang w:val="en-US"/>
              </w:rPr>
              <w:t xml:space="preserve"> must state the reasons and grounds that support the obligations that are considered possibly unfulfilled or pending </w:t>
            </w:r>
            <w:r>
              <w:rPr>
                <w:rFonts w:ascii="Verdana" w:hAnsi="Verdana"/>
                <w:sz w:val="16"/>
                <w:szCs w:val="16"/>
                <w:lang w:val="en-US"/>
              </w:rPr>
              <w:t>compliance</w:t>
            </w:r>
            <w:r w:rsidRPr="006B3712">
              <w:rPr>
                <w:rFonts w:ascii="Verdana" w:hAnsi="Verdana"/>
                <w:sz w:val="16"/>
                <w:szCs w:val="16"/>
                <w:lang w:val="en-US"/>
              </w:rPr>
              <w:t>, or it must determine that there are no possible breaches.</w:t>
            </w:r>
          </w:p>
        </w:tc>
      </w:tr>
      <w:tr w:rsidR="003A38FF" w:rsidRPr="00D83DA2" w14:paraId="49C9F029" w14:textId="66E4F562" w:rsidTr="00FB5DAD">
        <w:tc>
          <w:tcPr>
            <w:tcW w:w="4706" w:type="dxa"/>
          </w:tcPr>
          <w:p w14:paraId="48F3BDEC"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sz w:val="16"/>
                <w:szCs w:val="16"/>
              </w:rPr>
              <w:t>Si, como resultado del procedimiento de verificación la Secretaría o la CNE, detectan posibles incumplimientos, en la resolución que concluya el mismo, pueden requerir a la persona verificada para que, en un plazo máximo de veinte días hábiles, solvente los posibles incumplimientos detectados. Lo anterior, solo es aplicable en los casos en que las conductas u omisiones detectadas cumplan con los requisitos establecidos en el primer párrafo del artículo 302 de este reglamento y no se ubiquen dentro de los supuestos previstos en las fracciones I, II y III del indicado artículo.</w:t>
            </w:r>
          </w:p>
        </w:tc>
        <w:tc>
          <w:tcPr>
            <w:tcW w:w="4644" w:type="dxa"/>
          </w:tcPr>
          <w:p w14:paraId="78A69E85" w14:textId="656650C3" w:rsidR="003A38FF" w:rsidRPr="00D0180E" w:rsidRDefault="003A38FF" w:rsidP="003A38FF">
            <w:pPr>
              <w:pStyle w:val="Texto"/>
              <w:spacing w:line="220" w:lineRule="exact"/>
              <w:ind w:firstLine="0"/>
              <w:rPr>
                <w:rFonts w:ascii="Verdana" w:hAnsi="Verdana"/>
                <w:sz w:val="16"/>
                <w:szCs w:val="16"/>
                <w:lang w:val="en-US"/>
              </w:rPr>
            </w:pPr>
            <w:r w:rsidRPr="006B3712">
              <w:rPr>
                <w:rFonts w:ascii="Verdana" w:hAnsi="Verdana"/>
                <w:sz w:val="16"/>
                <w:szCs w:val="16"/>
                <w:lang w:val="en-US"/>
              </w:rPr>
              <w:t>If,</w:t>
            </w:r>
            <w:r>
              <w:rPr>
                <w:rFonts w:ascii="Verdana" w:hAnsi="Verdana"/>
                <w:sz w:val="16"/>
                <w:szCs w:val="16"/>
                <w:lang w:val="en-US"/>
              </w:rPr>
              <w:t xml:space="preserve"> </w:t>
            </w:r>
            <w:proofErr w:type="gramStart"/>
            <w:r w:rsidRPr="006B3712">
              <w:rPr>
                <w:rFonts w:ascii="Verdana" w:hAnsi="Verdana"/>
                <w:sz w:val="16"/>
                <w:szCs w:val="16"/>
                <w:lang w:val="en-US"/>
              </w:rPr>
              <w:t>as a result of</w:t>
            </w:r>
            <w:proofErr w:type="gramEnd"/>
            <w:r w:rsidRPr="006B3712">
              <w:rPr>
                <w:rFonts w:ascii="Verdana" w:hAnsi="Verdana"/>
                <w:sz w:val="16"/>
                <w:szCs w:val="16"/>
                <w:lang w:val="en-US"/>
              </w:rPr>
              <w:t xml:space="preserve"> the verification procedure, the Secretary or the CNE detect potential noncompliance, in the resolution concluding the procedure, they may require the verified person to remedy the potential noncompliance detected within a maximum period of twenty business days. The foregoing only applies in cases where the conduct or omissions detected meet the requirements established in the first paragraph of Article 302 of this regulation and do not fall within the conditions provided for in Sections I, II, and III of the </w:t>
            </w:r>
            <w:proofErr w:type="gramStart"/>
            <w:r w:rsidRPr="006B3712">
              <w:rPr>
                <w:rFonts w:ascii="Verdana" w:hAnsi="Verdana"/>
                <w:sz w:val="16"/>
                <w:szCs w:val="16"/>
                <w:lang w:val="en-US"/>
              </w:rPr>
              <w:t xml:space="preserve">aforementioned </w:t>
            </w:r>
            <w:r>
              <w:rPr>
                <w:rFonts w:ascii="Verdana" w:hAnsi="Verdana"/>
                <w:sz w:val="16"/>
                <w:szCs w:val="16"/>
                <w:lang w:val="en-US"/>
              </w:rPr>
              <w:t>A</w:t>
            </w:r>
            <w:r w:rsidRPr="006B3712">
              <w:rPr>
                <w:rFonts w:ascii="Verdana" w:hAnsi="Verdana"/>
                <w:sz w:val="16"/>
                <w:szCs w:val="16"/>
                <w:lang w:val="en-US"/>
              </w:rPr>
              <w:t>rticle</w:t>
            </w:r>
            <w:proofErr w:type="gramEnd"/>
            <w:r w:rsidRPr="006B3712">
              <w:rPr>
                <w:rFonts w:ascii="Verdana" w:hAnsi="Verdana"/>
                <w:sz w:val="16"/>
                <w:szCs w:val="16"/>
                <w:lang w:val="en-US"/>
              </w:rPr>
              <w:t>.</w:t>
            </w:r>
          </w:p>
        </w:tc>
      </w:tr>
      <w:tr w:rsidR="003A38FF" w:rsidRPr="00D83DA2" w14:paraId="5605708C" w14:textId="2B1C4011" w:rsidTr="00FB5DAD">
        <w:tc>
          <w:tcPr>
            <w:tcW w:w="4706" w:type="dxa"/>
          </w:tcPr>
          <w:p w14:paraId="630F1E2C"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sz w:val="16"/>
                <w:szCs w:val="16"/>
              </w:rPr>
              <w:t>Dentro del plazo de cuarenta días hábiles siguientes a la conclusión del plazo otorgado a la persona verificada o citada a comparecer para que solvente los posibles incumplimientos detectados, la Secretaría o la CNE, según corresponda, deben emitir la resolución que tenga por solventada o desvirtuada la posible irregularidad administrativa detectada o bien la que inicie el procedimiento administrativo de sanción que corresponda.</w:t>
            </w:r>
          </w:p>
        </w:tc>
        <w:tc>
          <w:tcPr>
            <w:tcW w:w="4644" w:type="dxa"/>
          </w:tcPr>
          <w:p w14:paraId="75D28771" w14:textId="4D0D5341" w:rsidR="003A38FF" w:rsidRPr="00D0180E" w:rsidRDefault="003A38FF" w:rsidP="003A38FF">
            <w:pPr>
              <w:pStyle w:val="Texto"/>
              <w:spacing w:line="220" w:lineRule="exact"/>
              <w:ind w:firstLine="0"/>
              <w:rPr>
                <w:rFonts w:ascii="Verdana" w:hAnsi="Verdana"/>
                <w:sz w:val="16"/>
                <w:szCs w:val="16"/>
                <w:lang w:val="en-US"/>
              </w:rPr>
            </w:pPr>
            <w:r w:rsidRPr="006B3712">
              <w:rPr>
                <w:rFonts w:ascii="Verdana" w:hAnsi="Verdana"/>
                <w:sz w:val="16"/>
                <w:szCs w:val="16"/>
                <w:lang w:val="en-US"/>
              </w:rPr>
              <w:t>Within forty business days following the conclusion of the period granted to the person verified or summoned to appear to resolve any potential non-compliance detected, the Secretary or the CNE, as appropriate, must issue a resolution that resolves or refutes the potential administrative irregularity detected or initiates the corresponding administrative sanction procedure.</w:t>
            </w:r>
          </w:p>
        </w:tc>
      </w:tr>
      <w:tr w:rsidR="003A38FF" w:rsidRPr="00D83DA2" w14:paraId="1E0EC877" w14:textId="28A2EDE4" w:rsidTr="00FB5DAD">
        <w:tc>
          <w:tcPr>
            <w:tcW w:w="4706" w:type="dxa"/>
          </w:tcPr>
          <w:p w14:paraId="29BBA0A6"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sz w:val="16"/>
                <w:szCs w:val="16"/>
              </w:rPr>
              <w:t>En caso de que los posibles incumplimientos detectados no cumplan con los requisitos establecidos en el primer párrafo del artículo 302 de este reglamento o se ubiquen en alguno de los supuestos previstos en las fracciones I, II y III del citado artículo, la Secretaría o la CNE, según corresponda, deben dictar, en un plazo no mayor a cuarenta días hábiles contados a partir de la emisión de la resolución de cierre del procedimiento de verificación, el inicio del procedimiento administrativo de sanción que corresponda.</w:t>
            </w:r>
          </w:p>
        </w:tc>
        <w:tc>
          <w:tcPr>
            <w:tcW w:w="4644" w:type="dxa"/>
          </w:tcPr>
          <w:p w14:paraId="0D8D16C7" w14:textId="10D8EA0A" w:rsidR="003A38FF" w:rsidRPr="00D0180E" w:rsidRDefault="003A38FF" w:rsidP="003A38FF">
            <w:pPr>
              <w:pStyle w:val="Texto"/>
              <w:spacing w:line="220" w:lineRule="exact"/>
              <w:ind w:firstLine="0"/>
              <w:rPr>
                <w:rFonts w:ascii="Verdana" w:hAnsi="Verdana"/>
                <w:sz w:val="16"/>
                <w:szCs w:val="16"/>
                <w:lang w:val="en-US"/>
              </w:rPr>
            </w:pPr>
            <w:r w:rsidRPr="006B3712">
              <w:rPr>
                <w:rFonts w:ascii="Verdana" w:hAnsi="Verdana"/>
                <w:sz w:val="16"/>
                <w:szCs w:val="16"/>
                <w:lang w:val="en-US"/>
              </w:rPr>
              <w:t>In the event that the possible non-compliances detected do not comply with the requirements established in the first paragraph of article 302 of this regulation or fall into any of the situations provided for in sections I, II and III of the aforementioned article, the Secretary or the CNE, as appropriate, must issue, within a period of no more than forty business days from the issuance of the resolution closing the verification procedure, the initiation of the corresponding administrative sanction procedure.</w:t>
            </w:r>
          </w:p>
        </w:tc>
      </w:tr>
      <w:tr w:rsidR="003A38FF" w:rsidRPr="00D0180E" w14:paraId="383C86BB" w14:textId="78AF86B0" w:rsidTr="00FB5DAD">
        <w:tc>
          <w:tcPr>
            <w:tcW w:w="4706" w:type="dxa"/>
          </w:tcPr>
          <w:p w14:paraId="382D2DA3" w14:textId="77777777" w:rsidR="003A38FF" w:rsidRPr="00D0180E" w:rsidRDefault="003A38FF" w:rsidP="003A38FF">
            <w:pPr>
              <w:pStyle w:val="Texto"/>
              <w:spacing w:line="220" w:lineRule="exact"/>
              <w:ind w:firstLine="0"/>
              <w:jc w:val="center"/>
              <w:rPr>
                <w:rFonts w:ascii="Verdana" w:hAnsi="Verdana"/>
                <w:b/>
                <w:sz w:val="16"/>
                <w:szCs w:val="16"/>
              </w:rPr>
            </w:pPr>
            <w:r w:rsidRPr="00D0180E">
              <w:rPr>
                <w:rFonts w:ascii="Verdana" w:hAnsi="Verdana"/>
                <w:b/>
                <w:sz w:val="16"/>
                <w:szCs w:val="16"/>
              </w:rPr>
              <w:t>Capítulo IV</w:t>
            </w:r>
          </w:p>
        </w:tc>
        <w:tc>
          <w:tcPr>
            <w:tcW w:w="4644" w:type="dxa"/>
          </w:tcPr>
          <w:p w14:paraId="00CF0933" w14:textId="30DA2949" w:rsidR="003A38FF" w:rsidRPr="007238AD" w:rsidRDefault="003A38FF" w:rsidP="003A38FF">
            <w:pPr>
              <w:pStyle w:val="Texto"/>
              <w:spacing w:line="220" w:lineRule="exact"/>
              <w:ind w:firstLine="0"/>
              <w:jc w:val="center"/>
              <w:rPr>
                <w:rFonts w:ascii="Verdana" w:hAnsi="Verdana"/>
                <w:b/>
                <w:sz w:val="16"/>
                <w:szCs w:val="16"/>
                <w:lang w:val="en-US"/>
              </w:rPr>
            </w:pPr>
            <w:r w:rsidRPr="007238AD">
              <w:rPr>
                <w:rFonts w:ascii="Verdana" w:hAnsi="Verdana"/>
                <w:b/>
                <w:sz w:val="16"/>
                <w:szCs w:val="16"/>
                <w:lang w:val="en-US"/>
              </w:rPr>
              <w:t>Chapter IV</w:t>
            </w:r>
          </w:p>
        </w:tc>
      </w:tr>
      <w:tr w:rsidR="003A38FF" w:rsidRPr="00D0180E" w14:paraId="5712BED2" w14:textId="21A0955D" w:rsidTr="00FB5DAD">
        <w:tc>
          <w:tcPr>
            <w:tcW w:w="4706" w:type="dxa"/>
          </w:tcPr>
          <w:p w14:paraId="05097679" w14:textId="77777777" w:rsidR="003A38FF" w:rsidRPr="00D0180E" w:rsidRDefault="003A38FF" w:rsidP="003A38FF">
            <w:pPr>
              <w:pStyle w:val="Texto"/>
              <w:spacing w:line="220" w:lineRule="exact"/>
              <w:ind w:firstLine="0"/>
              <w:jc w:val="center"/>
              <w:rPr>
                <w:rFonts w:ascii="Verdana" w:hAnsi="Verdana"/>
                <w:b/>
                <w:sz w:val="16"/>
                <w:szCs w:val="16"/>
              </w:rPr>
            </w:pPr>
            <w:r w:rsidRPr="00D0180E">
              <w:rPr>
                <w:rFonts w:ascii="Verdana" w:hAnsi="Verdana"/>
                <w:b/>
                <w:sz w:val="16"/>
                <w:szCs w:val="16"/>
              </w:rPr>
              <w:t>De la Inspección</w:t>
            </w:r>
          </w:p>
        </w:tc>
        <w:tc>
          <w:tcPr>
            <w:tcW w:w="4644" w:type="dxa"/>
          </w:tcPr>
          <w:p w14:paraId="288ECE3B" w14:textId="7ED68BCF" w:rsidR="003A38FF" w:rsidRPr="007238AD" w:rsidRDefault="003A38FF" w:rsidP="003A38FF">
            <w:pPr>
              <w:pStyle w:val="Texto"/>
              <w:spacing w:line="220" w:lineRule="exact"/>
              <w:ind w:firstLine="0"/>
              <w:jc w:val="center"/>
              <w:rPr>
                <w:rFonts w:ascii="Verdana" w:hAnsi="Verdana"/>
                <w:b/>
                <w:sz w:val="16"/>
                <w:szCs w:val="16"/>
                <w:lang w:val="en-US"/>
              </w:rPr>
            </w:pPr>
            <w:r w:rsidRPr="007238AD">
              <w:rPr>
                <w:rFonts w:ascii="Verdana" w:hAnsi="Verdana"/>
                <w:b/>
                <w:sz w:val="16"/>
                <w:szCs w:val="16"/>
                <w:lang w:val="en-US"/>
              </w:rPr>
              <w:t>Inspection</w:t>
            </w:r>
          </w:p>
        </w:tc>
      </w:tr>
      <w:tr w:rsidR="003A38FF" w:rsidRPr="00D83DA2" w14:paraId="069C4169" w14:textId="098A6A51" w:rsidTr="00FB5DAD">
        <w:tc>
          <w:tcPr>
            <w:tcW w:w="4706" w:type="dxa"/>
          </w:tcPr>
          <w:p w14:paraId="052F6758"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Artículo 260.</w:t>
            </w:r>
            <w:r w:rsidRPr="00D0180E">
              <w:rPr>
                <w:rFonts w:ascii="Verdana" w:hAnsi="Verdana"/>
                <w:sz w:val="16"/>
                <w:szCs w:val="16"/>
              </w:rPr>
              <w:t xml:space="preserve"> Todas las instalaciones destinadas a la generación, almacenamiento, transporte y uso de energía eléctrica deben cumplir con las normas oficiales mexicanas, normas mexicanas, las características específicas de la infraestructura requeridas para la interconexión o conexión, los criterios de Calidad, Confiabilidad, Continuidad, Eficiencia, Seguridad y Sostenibilidad para su operación, según corresponda, así como la demás normatividad aplicable.</w:t>
            </w:r>
          </w:p>
        </w:tc>
        <w:tc>
          <w:tcPr>
            <w:tcW w:w="4644" w:type="dxa"/>
          </w:tcPr>
          <w:p w14:paraId="1E1D5C17" w14:textId="7AE75620" w:rsidR="003A38FF" w:rsidRPr="00D0180E" w:rsidRDefault="003A38FF" w:rsidP="003A38FF">
            <w:pPr>
              <w:pStyle w:val="Texto"/>
              <w:spacing w:line="220" w:lineRule="exact"/>
              <w:ind w:firstLine="0"/>
              <w:rPr>
                <w:rFonts w:ascii="Verdana" w:hAnsi="Verdana"/>
                <w:b/>
                <w:sz w:val="16"/>
                <w:szCs w:val="16"/>
                <w:lang w:val="en-US"/>
              </w:rPr>
            </w:pPr>
            <w:r w:rsidRPr="002A7BDA">
              <w:rPr>
                <w:rFonts w:ascii="Verdana" w:hAnsi="Verdana"/>
                <w:b/>
                <w:sz w:val="16"/>
                <w:szCs w:val="16"/>
                <w:lang w:val="en-US"/>
              </w:rPr>
              <w:t xml:space="preserve">Article 260. </w:t>
            </w:r>
            <w:r w:rsidRPr="002A7BDA">
              <w:rPr>
                <w:rFonts w:ascii="Verdana" w:hAnsi="Verdana"/>
                <w:sz w:val="16"/>
                <w:szCs w:val="16"/>
                <w:lang w:val="en-US"/>
              </w:rPr>
              <w:t xml:space="preserve">All facilities intended for the generation, storage, transportation and use of electrical energy must comply with </w:t>
            </w:r>
            <w:r>
              <w:rPr>
                <w:rFonts w:ascii="Verdana" w:hAnsi="Verdana"/>
                <w:sz w:val="16"/>
                <w:szCs w:val="16"/>
                <w:lang w:val="en-US"/>
              </w:rPr>
              <w:t>Official Mexican Standards</w:t>
            </w:r>
            <w:r w:rsidRPr="002A7BDA">
              <w:rPr>
                <w:rFonts w:ascii="Verdana" w:hAnsi="Verdana"/>
                <w:sz w:val="16"/>
                <w:szCs w:val="16"/>
                <w:lang w:val="en-US"/>
              </w:rPr>
              <w:t>, Mexican standards, the specific characteristics of the infrastructure required for interconnection or connection, the criteria of quality, reliability, continuity, efficiency, safety and sustainability for its operation, as appropriate, as well as other applicable legislation.</w:t>
            </w:r>
          </w:p>
        </w:tc>
      </w:tr>
      <w:tr w:rsidR="003A38FF" w:rsidRPr="00D83DA2" w14:paraId="39AA5568" w14:textId="67629217" w:rsidTr="00FB5DAD">
        <w:tc>
          <w:tcPr>
            <w:tcW w:w="4706" w:type="dxa"/>
          </w:tcPr>
          <w:p w14:paraId="33861397"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sz w:val="16"/>
                <w:szCs w:val="16"/>
              </w:rPr>
              <w:t xml:space="preserve">La Secretaría o la CNE, según corresponda, pueden inspeccionar el cumplimiento de los citados ordenamientos, a través de terceras personas </w:t>
            </w:r>
            <w:r w:rsidRPr="00D0180E">
              <w:rPr>
                <w:rFonts w:ascii="Verdana" w:hAnsi="Verdana"/>
                <w:sz w:val="16"/>
                <w:szCs w:val="16"/>
              </w:rPr>
              <w:lastRenderedPageBreak/>
              <w:t>especialistas, unidades de inspección y verificación para la interconexión y conexión, organismos de evaluación de la conformidad o cualquier otro, acreditados y aprobados en los términos previstos en la normatividad aplicable expedida por la Secretaría o la CNE, según corresponda. Para el caso de normas oficiales mexicanas o cualquier otra relacionada con la evaluación de la conformidad, los procedimientos se deben regir por la ley en la materia.</w:t>
            </w:r>
          </w:p>
        </w:tc>
        <w:tc>
          <w:tcPr>
            <w:tcW w:w="4644" w:type="dxa"/>
          </w:tcPr>
          <w:p w14:paraId="4B8B7999" w14:textId="39B4BA74" w:rsidR="003A38FF" w:rsidRPr="00D0180E" w:rsidRDefault="003A38FF" w:rsidP="003A38FF">
            <w:pPr>
              <w:pStyle w:val="Texto"/>
              <w:spacing w:line="220" w:lineRule="exact"/>
              <w:ind w:firstLine="0"/>
              <w:rPr>
                <w:rFonts w:ascii="Verdana" w:hAnsi="Verdana"/>
                <w:sz w:val="16"/>
                <w:szCs w:val="16"/>
                <w:lang w:val="en-US"/>
              </w:rPr>
            </w:pPr>
            <w:r w:rsidRPr="002A7BDA">
              <w:rPr>
                <w:rFonts w:ascii="Verdana" w:hAnsi="Verdana"/>
                <w:sz w:val="16"/>
                <w:szCs w:val="16"/>
                <w:lang w:val="en-US"/>
              </w:rPr>
              <w:lastRenderedPageBreak/>
              <w:t xml:space="preserve">The Secretary or the CNE, as appropriate, may inspect compliance with the </w:t>
            </w:r>
            <w:proofErr w:type="gramStart"/>
            <w:r w:rsidRPr="002A7BDA">
              <w:rPr>
                <w:rFonts w:ascii="Verdana" w:hAnsi="Verdana"/>
                <w:sz w:val="16"/>
                <w:szCs w:val="16"/>
                <w:lang w:val="en-US"/>
              </w:rPr>
              <w:t>aforementioned Regulation</w:t>
            </w:r>
            <w:proofErr w:type="gramEnd"/>
            <w:r w:rsidRPr="002A7BDA">
              <w:rPr>
                <w:rFonts w:ascii="Verdana" w:hAnsi="Verdana"/>
                <w:sz w:val="16"/>
                <w:szCs w:val="16"/>
                <w:lang w:val="en-US"/>
              </w:rPr>
              <w:t xml:space="preserve"> through third-party specialists, interconnection and </w:t>
            </w:r>
            <w:r w:rsidRPr="002A7BDA">
              <w:rPr>
                <w:rFonts w:ascii="Verdana" w:hAnsi="Verdana"/>
                <w:sz w:val="16"/>
                <w:szCs w:val="16"/>
                <w:lang w:val="en-US"/>
              </w:rPr>
              <w:lastRenderedPageBreak/>
              <w:t xml:space="preserve">connection inspection and verification units, conformity assessment bodies, or any other bodies accredited and approved under the terms established in the applicable legislation issued by the Secretary or the CNE, as appropriate. In the case of </w:t>
            </w:r>
            <w:r>
              <w:rPr>
                <w:rFonts w:ascii="Verdana" w:hAnsi="Verdana"/>
                <w:sz w:val="16"/>
                <w:szCs w:val="16"/>
                <w:lang w:val="en-US"/>
              </w:rPr>
              <w:t>Official Mexican Standards</w:t>
            </w:r>
            <w:r w:rsidRPr="002A7BDA">
              <w:rPr>
                <w:rFonts w:ascii="Verdana" w:hAnsi="Verdana"/>
                <w:sz w:val="16"/>
                <w:szCs w:val="16"/>
                <w:lang w:val="en-US"/>
              </w:rPr>
              <w:t xml:space="preserve"> or any other standards related to</w:t>
            </w:r>
            <w:r>
              <w:rPr>
                <w:rFonts w:ascii="Verdana" w:hAnsi="Verdana"/>
                <w:sz w:val="16"/>
                <w:szCs w:val="16"/>
                <w:lang w:val="en-US"/>
              </w:rPr>
              <w:t xml:space="preserve"> the evaluation of</w:t>
            </w:r>
            <w:r w:rsidRPr="002A7BDA">
              <w:rPr>
                <w:rFonts w:ascii="Verdana" w:hAnsi="Verdana"/>
                <w:sz w:val="16"/>
                <w:szCs w:val="16"/>
                <w:lang w:val="en-US"/>
              </w:rPr>
              <w:t xml:space="preserve"> conformity, the procedures must be governed by the relevant law.</w:t>
            </w:r>
          </w:p>
        </w:tc>
      </w:tr>
      <w:tr w:rsidR="003A38FF" w:rsidRPr="00D83DA2" w14:paraId="1F6DD591" w14:textId="40C4C0B1" w:rsidTr="00FB5DAD">
        <w:tc>
          <w:tcPr>
            <w:tcW w:w="4706" w:type="dxa"/>
          </w:tcPr>
          <w:p w14:paraId="569B508B"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sz w:val="16"/>
                <w:szCs w:val="16"/>
              </w:rPr>
              <w:lastRenderedPageBreak/>
              <w:t>Para efectos de las unidades de inspección aprobadas, a las que se refieren los artículos 26, fracción III y 48, fracción IV de la Ley, la CNE debe emitir las disposiciones administrativas de carácter general que determinen las bases normativas para su autorización en coordinación con la Secretaría. Cuando se trate de las unidades de inspección a que se refiere el artículo 48, fracción V de la Ley, así como el artículo 264 del presente reglamento, es la Secretaría quien debe emitir los términos para la aprobación de las unidades de inspección.</w:t>
            </w:r>
          </w:p>
        </w:tc>
        <w:tc>
          <w:tcPr>
            <w:tcW w:w="4644" w:type="dxa"/>
          </w:tcPr>
          <w:p w14:paraId="57212589" w14:textId="527985D5" w:rsidR="003A38FF" w:rsidRPr="00D0180E" w:rsidRDefault="003A38FF" w:rsidP="003A38FF">
            <w:pPr>
              <w:pStyle w:val="Texto"/>
              <w:spacing w:line="220" w:lineRule="exact"/>
              <w:ind w:firstLine="0"/>
              <w:rPr>
                <w:rFonts w:ascii="Verdana" w:hAnsi="Verdana"/>
                <w:sz w:val="16"/>
                <w:szCs w:val="16"/>
                <w:lang w:val="en-US"/>
              </w:rPr>
            </w:pPr>
            <w:r w:rsidRPr="002A7BDA">
              <w:rPr>
                <w:rFonts w:ascii="Verdana" w:hAnsi="Verdana"/>
                <w:sz w:val="16"/>
                <w:szCs w:val="16"/>
                <w:lang w:val="en-US"/>
              </w:rPr>
              <w:t xml:space="preserve">For the purposes of approved inspection units, referred to in Articles 26, Section III, and 48, Section IV of the Law, the CNE must issue general administrative provisions that determine the regulatory </w:t>
            </w:r>
            <w:r>
              <w:rPr>
                <w:rFonts w:ascii="Verdana" w:hAnsi="Verdana"/>
                <w:sz w:val="16"/>
                <w:szCs w:val="16"/>
                <w:lang w:val="en-US"/>
              </w:rPr>
              <w:t>criteria</w:t>
            </w:r>
            <w:r w:rsidRPr="002A7BDA">
              <w:rPr>
                <w:rFonts w:ascii="Verdana" w:hAnsi="Verdana"/>
                <w:sz w:val="16"/>
                <w:szCs w:val="16"/>
                <w:lang w:val="en-US"/>
              </w:rPr>
              <w:t xml:space="preserve"> for their authorization, in coordination with the Secretary. In the case of inspection units referred to in Article 48, Section V of the Law, as well as Article 264 of this Regulation, it is the Secretary that must issue the terms for the approval of inspection units.</w:t>
            </w:r>
          </w:p>
        </w:tc>
      </w:tr>
      <w:tr w:rsidR="003A38FF" w:rsidRPr="00D83DA2" w14:paraId="41F2B681" w14:textId="2DA9CD71" w:rsidTr="00FB5DAD">
        <w:tc>
          <w:tcPr>
            <w:tcW w:w="4706" w:type="dxa"/>
          </w:tcPr>
          <w:p w14:paraId="53A6D2D2"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Artículo 261.</w:t>
            </w:r>
            <w:r w:rsidRPr="00D0180E">
              <w:rPr>
                <w:rFonts w:ascii="Verdana" w:hAnsi="Verdana"/>
                <w:sz w:val="16"/>
                <w:szCs w:val="16"/>
              </w:rPr>
              <w:t xml:space="preserve"> La realización de las visitas de inspección a que se refiere el presente </w:t>
            </w:r>
            <w:proofErr w:type="gramStart"/>
            <w:r w:rsidRPr="00D0180E">
              <w:rPr>
                <w:rFonts w:ascii="Verdana" w:hAnsi="Verdana"/>
                <w:sz w:val="16"/>
                <w:szCs w:val="16"/>
              </w:rPr>
              <w:t>Capítulo,</w:t>
            </w:r>
            <w:proofErr w:type="gramEnd"/>
            <w:r w:rsidRPr="00D0180E">
              <w:rPr>
                <w:rFonts w:ascii="Verdana" w:hAnsi="Verdana"/>
                <w:sz w:val="16"/>
                <w:szCs w:val="16"/>
              </w:rPr>
              <w:t xml:space="preserve"> está sujeta a previa solicitud que realice la Secretaría, la CNE, la Transportista, la Suministradora, la Distribuidora o bien las demás Integrantes del Sector Eléctrico interesadas en acreditar el cumplimiento a que se refiere el artículo anterior.</w:t>
            </w:r>
          </w:p>
        </w:tc>
        <w:tc>
          <w:tcPr>
            <w:tcW w:w="4644" w:type="dxa"/>
          </w:tcPr>
          <w:p w14:paraId="663B2544" w14:textId="5D3E8084" w:rsidR="003A38FF" w:rsidRPr="00D0180E" w:rsidRDefault="003A38FF" w:rsidP="003A38FF">
            <w:pPr>
              <w:pStyle w:val="Texto"/>
              <w:spacing w:line="220" w:lineRule="exact"/>
              <w:ind w:firstLine="0"/>
              <w:rPr>
                <w:rFonts w:ascii="Verdana" w:hAnsi="Verdana"/>
                <w:b/>
                <w:sz w:val="16"/>
                <w:szCs w:val="16"/>
                <w:lang w:val="en-US"/>
              </w:rPr>
            </w:pPr>
            <w:r w:rsidRPr="002A7BDA">
              <w:rPr>
                <w:rFonts w:ascii="Verdana" w:hAnsi="Verdana"/>
                <w:b/>
                <w:sz w:val="16"/>
                <w:szCs w:val="16"/>
                <w:lang w:val="en-US"/>
              </w:rPr>
              <w:t xml:space="preserve">Article 261. </w:t>
            </w:r>
            <w:r w:rsidRPr="002A7BDA">
              <w:rPr>
                <w:rFonts w:ascii="Verdana" w:hAnsi="Verdana"/>
                <w:sz w:val="16"/>
                <w:szCs w:val="16"/>
                <w:lang w:val="en-US"/>
              </w:rPr>
              <w:t>The performance of the inspection visits referred to in this Chapter is subject to</w:t>
            </w:r>
            <w:r>
              <w:rPr>
                <w:rFonts w:ascii="Verdana" w:hAnsi="Verdana"/>
                <w:sz w:val="16"/>
                <w:szCs w:val="16"/>
                <w:lang w:val="en-US"/>
              </w:rPr>
              <w:t xml:space="preserve"> a</w:t>
            </w:r>
            <w:r w:rsidRPr="002A7BDA">
              <w:rPr>
                <w:rFonts w:ascii="Verdana" w:hAnsi="Verdana"/>
                <w:sz w:val="16"/>
                <w:szCs w:val="16"/>
                <w:lang w:val="en-US"/>
              </w:rPr>
              <w:t xml:space="preserve"> prior request made by the Secretary, the CNE, the transporter, the supplier, the distributor or other members of the electric sector interested in certifying compliance with the provisions of the </w:t>
            </w:r>
            <w:r>
              <w:rPr>
                <w:rFonts w:ascii="Verdana" w:hAnsi="Verdana"/>
                <w:sz w:val="16"/>
                <w:szCs w:val="16"/>
                <w:lang w:val="en-US"/>
              </w:rPr>
              <w:t>preceding article</w:t>
            </w:r>
            <w:r w:rsidRPr="002A7BDA">
              <w:rPr>
                <w:rFonts w:ascii="Verdana" w:hAnsi="Verdana"/>
                <w:sz w:val="16"/>
                <w:szCs w:val="16"/>
                <w:lang w:val="en-US"/>
              </w:rPr>
              <w:t>.</w:t>
            </w:r>
          </w:p>
        </w:tc>
      </w:tr>
      <w:tr w:rsidR="003A38FF" w:rsidRPr="00D83DA2" w14:paraId="7D06194B" w14:textId="06118AE8" w:rsidTr="00FB5DAD">
        <w:tc>
          <w:tcPr>
            <w:tcW w:w="4706" w:type="dxa"/>
          </w:tcPr>
          <w:p w14:paraId="17504224"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sz w:val="16"/>
                <w:szCs w:val="16"/>
              </w:rPr>
              <w:t>Las condiciones generales para la prestación del Suministro Eléctrico y los Servicios Públicos de Transmisión y Distribución, así como las Reglas del Mercado y los contratos para la prestación de los servicios, pueden señalar los supuestos en los que resulta necesaria la inspección a través de terceras personas especialistas, una unidad de inspección, verificación u otro organismo de evaluación de la conformidad, así como la determinación de la persona responsable de cubrir los gastos que ello genere. Lo anterior, sin perjuicio de aquellos casos en los que la Secretaría o la CNE, según corresponda, así lo determinen.</w:t>
            </w:r>
          </w:p>
        </w:tc>
        <w:tc>
          <w:tcPr>
            <w:tcW w:w="4644" w:type="dxa"/>
          </w:tcPr>
          <w:p w14:paraId="6A0A9AA7" w14:textId="0520180C" w:rsidR="003A38FF" w:rsidRPr="00D0180E" w:rsidRDefault="003A38FF" w:rsidP="003A38FF">
            <w:pPr>
              <w:pStyle w:val="Texto"/>
              <w:spacing w:line="220" w:lineRule="exact"/>
              <w:ind w:firstLine="0"/>
              <w:rPr>
                <w:rFonts w:ascii="Verdana" w:hAnsi="Verdana"/>
                <w:sz w:val="16"/>
                <w:szCs w:val="16"/>
                <w:lang w:val="en-US"/>
              </w:rPr>
            </w:pPr>
            <w:r w:rsidRPr="002A7BDA">
              <w:rPr>
                <w:rFonts w:ascii="Verdana" w:hAnsi="Verdana"/>
                <w:sz w:val="16"/>
                <w:szCs w:val="16"/>
                <w:lang w:val="en-US"/>
              </w:rPr>
              <w:t xml:space="preserve">The general conditions for the provision of electricity supply and public transmission and distribution services, as well as the market rules and contracts for the provision of services, may specify the cases in which inspection by third-party specialists, an inspection or verification unit, or another conformity assessment body is necessary, as well as the determination of the person responsible for covering the resulting expenses. This is without prejudice </w:t>
            </w:r>
            <w:proofErr w:type="gramStart"/>
            <w:r w:rsidRPr="002A7BDA">
              <w:rPr>
                <w:rFonts w:ascii="Verdana" w:hAnsi="Verdana"/>
                <w:sz w:val="16"/>
                <w:szCs w:val="16"/>
                <w:lang w:val="en-US"/>
              </w:rPr>
              <w:t>to</w:t>
            </w:r>
            <w:proofErr w:type="gramEnd"/>
            <w:r w:rsidRPr="002A7BDA">
              <w:rPr>
                <w:rFonts w:ascii="Verdana" w:hAnsi="Verdana"/>
                <w:sz w:val="16"/>
                <w:szCs w:val="16"/>
                <w:lang w:val="en-US"/>
              </w:rPr>
              <w:t xml:space="preserve"> those cases in which the Secretary or the CNE, as appropriate, so determine.</w:t>
            </w:r>
          </w:p>
        </w:tc>
      </w:tr>
      <w:tr w:rsidR="003A38FF" w:rsidRPr="00D83DA2" w14:paraId="5DFF2E86" w14:textId="33DBF799" w:rsidTr="00FB5DAD">
        <w:tc>
          <w:tcPr>
            <w:tcW w:w="4706" w:type="dxa"/>
          </w:tcPr>
          <w:p w14:paraId="6E05579E" w14:textId="77777777" w:rsidR="003A38FF" w:rsidRPr="00D0180E" w:rsidRDefault="003A38FF" w:rsidP="003A38FF">
            <w:pPr>
              <w:pStyle w:val="Texto"/>
              <w:spacing w:line="220" w:lineRule="exact"/>
              <w:ind w:firstLine="0"/>
              <w:rPr>
                <w:rFonts w:ascii="Verdana" w:hAnsi="Verdana"/>
                <w:sz w:val="16"/>
                <w:szCs w:val="16"/>
              </w:rPr>
            </w:pPr>
            <w:r w:rsidRPr="00D0180E">
              <w:rPr>
                <w:rFonts w:ascii="Verdana" w:hAnsi="Verdana"/>
                <w:b/>
                <w:sz w:val="16"/>
                <w:szCs w:val="16"/>
              </w:rPr>
              <w:t>Artículo 262.</w:t>
            </w:r>
            <w:r w:rsidRPr="00D0180E">
              <w:rPr>
                <w:rFonts w:ascii="Verdana" w:hAnsi="Verdana"/>
                <w:sz w:val="16"/>
                <w:szCs w:val="16"/>
              </w:rPr>
              <w:t xml:space="preserve"> Cuando así corresponda, las visitas de inspección deben observar lo siguiente:</w:t>
            </w:r>
          </w:p>
        </w:tc>
        <w:tc>
          <w:tcPr>
            <w:tcW w:w="4644" w:type="dxa"/>
          </w:tcPr>
          <w:p w14:paraId="18B676E3" w14:textId="52DE962C" w:rsidR="003A38FF" w:rsidRPr="00D0180E" w:rsidRDefault="003A38FF" w:rsidP="003A38FF">
            <w:pPr>
              <w:pStyle w:val="Texto"/>
              <w:spacing w:line="220" w:lineRule="exact"/>
              <w:ind w:firstLine="0"/>
              <w:rPr>
                <w:rFonts w:ascii="Verdana" w:hAnsi="Verdana"/>
                <w:b/>
                <w:sz w:val="16"/>
                <w:szCs w:val="16"/>
                <w:lang w:val="en-US"/>
              </w:rPr>
            </w:pPr>
            <w:r w:rsidRPr="002A7BDA">
              <w:rPr>
                <w:rFonts w:ascii="Verdana" w:hAnsi="Verdana"/>
                <w:b/>
                <w:sz w:val="16"/>
                <w:szCs w:val="16"/>
                <w:lang w:val="en-US"/>
              </w:rPr>
              <w:t xml:space="preserve">Article 262. </w:t>
            </w:r>
            <w:r w:rsidRPr="002A7BDA">
              <w:rPr>
                <w:rFonts w:ascii="Verdana" w:hAnsi="Verdana"/>
                <w:sz w:val="16"/>
                <w:szCs w:val="16"/>
                <w:lang w:val="en-US"/>
              </w:rPr>
              <w:t>When appropriate, inspection visits must observe the following:</w:t>
            </w:r>
          </w:p>
        </w:tc>
      </w:tr>
      <w:tr w:rsidR="003A38FF" w:rsidRPr="00D83DA2" w14:paraId="610F2DB5" w14:textId="2AFB8ED3" w:rsidTr="00FB5DAD">
        <w:tc>
          <w:tcPr>
            <w:tcW w:w="4706" w:type="dxa"/>
          </w:tcPr>
          <w:p w14:paraId="21A8BAB3" w14:textId="77777777" w:rsidR="003A38FF" w:rsidRPr="00D0180E" w:rsidRDefault="003A38FF" w:rsidP="003A38FF">
            <w:pPr>
              <w:pStyle w:val="Texto"/>
              <w:spacing w:line="220" w:lineRule="exact"/>
              <w:ind w:firstLine="0"/>
              <w:rPr>
                <w:rFonts w:ascii="Verdana" w:hAnsi="Verdana"/>
                <w:sz w:val="16"/>
                <w:szCs w:val="16"/>
                <w:lang w:val="es"/>
              </w:rPr>
            </w:pPr>
            <w:r w:rsidRPr="00D0180E">
              <w:rPr>
                <w:rFonts w:ascii="Verdana" w:hAnsi="Verdana"/>
                <w:b/>
                <w:sz w:val="16"/>
                <w:szCs w:val="16"/>
                <w:lang w:val="es"/>
              </w:rPr>
              <w:t>I.</w:t>
            </w:r>
            <w:r w:rsidRPr="00D0180E">
              <w:rPr>
                <w:rFonts w:ascii="Verdana" w:hAnsi="Verdana"/>
                <w:b/>
                <w:sz w:val="16"/>
                <w:szCs w:val="16"/>
                <w:lang w:val="es"/>
              </w:rPr>
              <w:tab/>
            </w:r>
            <w:r w:rsidRPr="00D0180E">
              <w:rPr>
                <w:rFonts w:ascii="Verdana" w:hAnsi="Verdana"/>
                <w:sz w:val="16"/>
                <w:szCs w:val="16"/>
                <w:lang w:val="es"/>
              </w:rPr>
              <w:t>Para conexiones en Alta Tensión se debe comunicar a la Usuaria Final el día y la hora en que se pretende llevar a cabo la visita de inspección a su instalación, con no menos de veinticuatro horas de anticipación. No se requiere esta formalidad en las demás tensiones;</w:t>
            </w:r>
          </w:p>
        </w:tc>
        <w:tc>
          <w:tcPr>
            <w:tcW w:w="4644" w:type="dxa"/>
          </w:tcPr>
          <w:p w14:paraId="0FA2FC83" w14:textId="5E139C90" w:rsidR="003A38FF" w:rsidRPr="00D0180E" w:rsidRDefault="003A38FF" w:rsidP="003A38FF">
            <w:pPr>
              <w:pStyle w:val="Texto"/>
              <w:spacing w:line="220" w:lineRule="exact"/>
              <w:ind w:firstLine="0"/>
              <w:rPr>
                <w:rFonts w:ascii="Verdana" w:hAnsi="Verdana"/>
                <w:b/>
                <w:sz w:val="16"/>
                <w:szCs w:val="16"/>
                <w:lang w:val="en-US"/>
              </w:rPr>
            </w:pPr>
            <w:proofErr w:type="gramStart"/>
            <w:r w:rsidRPr="002A7BDA">
              <w:rPr>
                <w:rFonts w:ascii="Verdana" w:hAnsi="Verdana"/>
                <w:b/>
                <w:sz w:val="16"/>
                <w:szCs w:val="16"/>
                <w:lang w:val="en-US"/>
              </w:rPr>
              <w:t xml:space="preserve">I. </w:t>
            </w:r>
            <w:r w:rsidRPr="002A7BDA">
              <w:rPr>
                <w:rFonts w:ascii="Verdana" w:hAnsi="Verdana"/>
                <w:b/>
                <w:sz w:val="16"/>
                <w:szCs w:val="16"/>
                <w:lang w:val="en-US"/>
              </w:rPr>
              <w:tab/>
            </w:r>
            <w:r w:rsidRPr="002A7BDA">
              <w:rPr>
                <w:rFonts w:ascii="Verdana" w:hAnsi="Verdana"/>
                <w:sz w:val="16"/>
                <w:szCs w:val="16"/>
                <w:lang w:val="en-US"/>
              </w:rPr>
              <w:t>For</w:t>
            </w:r>
            <w:proofErr w:type="gramEnd"/>
            <w:r w:rsidRPr="002A7BDA">
              <w:rPr>
                <w:rFonts w:ascii="Verdana" w:hAnsi="Verdana"/>
                <w:sz w:val="16"/>
                <w:szCs w:val="16"/>
                <w:lang w:val="en-US"/>
              </w:rPr>
              <w:t xml:space="preserve"> high-voltage connections, the end user must be notified of the day and time of the planned inspection visit to their facility at least twenty-four hours in advance. </w:t>
            </w:r>
            <w:r w:rsidRPr="008B5EE3">
              <w:rPr>
                <w:rFonts w:ascii="Verdana" w:hAnsi="Verdana"/>
                <w:sz w:val="16"/>
                <w:szCs w:val="16"/>
                <w:lang w:val="en-US"/>
              </w:rPr>
              <w:t>this formality is not required for other voltages;</w:t>
            </w:r>
          </w:p>
        </w:tc>
      </w:tr>
      <w:tr w:rsidR="003A38FF" w:rsidRPr="00D83DA2" w14:paraId="64DC1637" w14:textId="7ABDE87B" w:rsidTr="00FB5DAD">
        <w:tc>
          <w:tcPr>
            <w:tcW w:w="4706" w:type="dxa"/>
          </w:tcPr>
          <w:p w14:paraId="1E5959F0" w14:textId="77777777" w:rsidR="003A38FF" w:rsidRPr="00D0180E" w:rsidRDefault="003A38FF" w:rsidP="003A38FF">
            <w:pPr>
              <w:pStyle w:val="Texto"/>
              <w:spacing w:line="220" w:lineRule="exact"/>
              <w:ind w:firstLine="0"/>
              <w:rPr>
                <w:rFonts w:ascii="Verdana" w:hAnsi="Verdana"/>
                <w:sz w:val="16"/>
                <w:szCs w:val="16"/>
                <w:lang w:val="es"/>
              </w:rPr>
            </w:pPr>
            <w:r w:rsidRPr="00D0180E">
              <w:rPr>
                <w:rFonts w:ascii="Verdana" w:hAnsi="Verdana"/>
                <w:b/>
                <w:sz w:val="16"/>
                <w:szCs w:val="16"/>
                <w:lang w:val="es"/>
              </w:rPr>
              <w:t>II.</w:t>
            </w:r>
            <w:r w:rsidRPr="00D0180E">
              <w:rPr>
                <w:rFonts w:ascii="Verdana" w:hAnsi="Verdana"/>
                <w:b/>
                <w:sz w:val="16"/>
                <w:szCs w:val="16"/>
                <w:lang w:val="es"/>
              </w:rPr>
              <w:tab/>
            </w:r>
            <w:r w:rsidRPr="00D0180E">
              <w:rPr>
                <w:rFonts w:ascii="Verdana" w:hAnsi="Verdana"/>
                <w:sz w:val="16"/>
                <w:szCs w:val="16"/>
                <w:lang w:val="es"/>
              </w:rPr>
              <w:t xml:space="preserve">Si la instalación no cumple con las normas oficiales mexicanas en aspectos que no pongan en peligro la vida o bienes de las personas, se debe notificar a la Usuaria Final las fallas o irregularidades encontradas, así como las correcciones que deben hacerse y el plazo para realizarlas, apercibiéndola de </w:t>
            </w:r>
            <w:r w:rsidRPr="00D0180E">
              <w:rPr>
                <w:rFonts w:ascii="Verdana" w:hAnsi="Verdana"/>
                <w:sz w:val="16"/>
                <w:szCs w:val="16"/>
                <w:lang w:val="es"/>
              </w:rPr>
              <w:lastRenderedPageBreak/>
              <w:t>que en caso de incumplimiento puede ser acreedora de las sanciones correspondientes;</w:t>
            </w:r>
          </w:p>
        </w:tc>
        <w:tc>
          <w:tcPr>
            <w:tcW w:w="4644" w:type="dxa"/>
          </w:tcPr>
          <w:p w14:paraId="628CAE0B" w14:textId="1BFBA11E" w:rsidR="003A38FF" w:rsidRPr="00D0180E" w:rsidRDefault="003A38FF" w:rsidP="003A38FF">
            <w:pPr>
              <w:pStyle w:val="Texto"/>
              <w:spacing w:line="220" w:lineRule="exact"/>
              <w:ind w:firstLine="0"/>
              <w:rPr>
                <w:rFonts w:ascii="Verdana" w:hAnsi="Verdana"/>
                <w:b/>
                <w:sz w:val="16"/>
                <w:szCs w:val="16"/>
                <w:lang w:val="en-US"/>
              </w:rPr>
            </w:pPr>
            <w:r w:rsidRPr="002A7BDA">
              <w:rPr>
                <w:rFonts w:ascii="Verdana" w:hAnsi="Verdana"/>
                <w:b/>
                <w:sz w:val="16"/>
                <w:szCs w:val="16"/>
                <w:lang w:val="en-US"/>
              </w:rPr>
              <w:lastRenderedPageBreak/>
              <w:t xml:space="preserve">II. </w:t>
            </w:r>
            <w:r w:rsidRPr="002A7BDA">
              <w:rPr>
                <w:rFonts w:ascii="Verdana" w:hAnsi="Verdana"/>
                <w:b/>
                <w:sz w:val="16"/>
                <w:szCs w:val="16"/>
                <w:lang w:val="en-US"/>
              </w:rPr>
              <w:tab/>
            </w:r>
            <w:r w:rsidRPr="002A7BDA">
              <w:rPr>
                <w:rFonts w:ascii="Verdana" w:hAnsi="Verdana"/>
                <w:sz w:val="16"/>
                <w:szCs w:val="16"/>
                <w:lang w:val="en-US"/>
              </w:rPr>
              <w:t xml:space="preserve">If the installation does not comply with </w:t>
            </w:r>
            <w:r>
              <w:rPr>
                <w:rFonts w:ascii="Verdana" w:hAnsi="Verdana"/>
                <w:sz w:val="16"/>
                <w:szCs w:val="16"/>
                <w:lang w:val="en-US"/>
              </w:rPr>
              <w:t>Official Mexican Standards</w:t>
            </w:r>
            <w:r w:rsidRPr="002A7BDA">
              <w:rPr>
                <w:rFonts w:ascii="Verdana" w:hAnsi="Verdana"/>
                <w:sz w:val="16"/>
                <w:szCs w:val="16"/>
                <w:lang w:val="en-US"/>
              </w:rPr>
              <w:t xml:space="preserve"> in aspects that do not endanger the life or property of people, the end user must be notified of the faults or irregularities found, as well as the corrections that must be made and the deadline for doing so, warning them that in case of non-compliance they may be subject to the corresponding sanctions;</w:t>
            </w:r>
          </w:p>
        </w:tc>
      </w:tr>
      <w:tr w:rsidR="003A38FF" w:rsidRPr="00D83DA2" w14:paraId="2CF14C71" w14:textId="49FDC379" w:rsidTr="00FB5DAD">
        <w:tc>
          <w:tcPr>
            <w:tcW w:w="4706" w:type="dxa"/>
          </w:tcPr>
          <w:p w14:paraId="6A4D2780"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Si la instalación tiene partes que pudieran poner en peligro la vida o bienes de las personas, se debe notificar estas no conformidades a la Usuaria Final, refiriéndolas a las normas oficiales mexicanas correspondientes, así como precisarle las correcciones que deben hacerse y el plazo para llevarlas a cabo, mismo que se debe estimar según la complejidad de los trabajos, apercibiéndola de que si no se cumple con lo requerido se puede ordenar la suspensión del Suministro Eléctrico, sin perjuicio de la facultad de la Transportista o la Distribuidora de efectuar la suspensión del servicio. Transcurrido el plazo se debe efectuar una segunda visita de inspección y si no se han corregido las fallas o irregularidades, se debe ordenar a la Transportista o la Distribuidora la suspensión del Suministro Eléctrico, así como hacer llegar a la Usuaria Final una copia de dicha orden;</w:t>
            </w:r>
          </w:p>
        </w:tc>
        <w:tc>
          <w:tcPr>
            <w:tcW w:w="4644" w:type="dxa"/>
          </w:tcPr>
          <w:p w14:paraId="2740CCE1" w14:textId="3A66F43A" w:rsidR="003A38FF" w:rsidRPr="00D0180E" w:rsidRDefault="003A38FF" w:rsidP="003A38FF">
            <w:pPr>
              <w:pStyle w:val="Texto"/>
              <w:spacing w:line="225" w:lineRule="exact"/>
              <w:ind w:firstLine="0"/>
              <w:rPr>
                <w:rFonts w:ascii="Verdana" w:hAnsi="Verdana"/>
                <w:b/>
                <w:sz w:val="16"/>
                <w:szCs w:val="16"/>
                <w:lang w:val="en-US"/>
              </w:rPr>
            </w:pPr>
            <w:r w:rsidRPr="002A7BDA">
              <w:rPr>
                <w:rFonts w:ascii="Verdana" w:hAnsi="Verdana"/>
                <w:b/>
                <w:sz w:val="16"/>
                <w:szCs w:val="16"/>
                <w:lang w:val="en-US"/>
              </w:rPr>
              <w:t xml:space="preserve">III. </w:t>
            </w:r>
            <w:r w:rsidRPr="002A7BDA">
              <w:rPr>
                <w:rFonts w:ascii="Verdana" w:hAnsi="Verdana"/>
                <w:b/>
                <w:sz w:val="16"/>
                <w:szCs w:val="16"/>
                <w:lang w:val="en-US"/>
              </w:rPr>
              <w:tab/>
            </w:r>
            <w:r w:rsidRPr="002A7BDA">
              <w:rPr>
                <w:rFonts w:ascii="Verdana" w:hAnsi="Verdana"/>
                <w:sz w:val="16"/>
                <w:szCs w:val="16"/>
                <w:lang w:val="en-US"/>
              </w:rPr>
              <w:t>If the installation has parts that could endanger the life or property of people, these non-conformities must be notified to the end user, referring them to the corresponding Official Mexican Standards, as well as specifying the corrections that must be made and the deadline for carrying them out, which must be estimated according to the complexity of the works, warning them that if what is required is not complied with, the suspension of the electricity supply may be ordered, without prejudice to the authority of the transporter or the distributor to suspend the service. After this deadline has elapsed, a second inspection visit must be carried out and if the faults or irregularities have not been corrected, the transporter or the distributor must be ordered to suspend the electricity supply, and a copy of said order must be sent to the end user;</w:t>
            </w:r>
          </w:p>
        </w:tc>
      </w:tr>
      <w:tr w:rsidR="003A38FF" w:rsidRPr="00D83DA2" w14:paraId="012AA88F" w14:textId="7C0097FF" w:rsidTr="00FB5DAD">
        <w:tc>
          <w:tcPr>
            <w:tcW w:w="4706" w:type="dxa"/>
          </w:tcPr>
          <w:p w14:paraId="400E56F4" w14:textId="77777777" w:rsidR="003A38FF" w:rsidRPr="00D0180E" w:rsidRDefault="003A38FF" w:rsidP="003A38FF">
            <w:pPr>
              <w:pStyle w:val="Texto"/>
              <w:spacing w:line="225" w:lineRule="exact"/>
              <w:ind w:firstLine="0"/>
              <w:rPr>
                <w:rFonts w:ascii="Verdana" w:hAnsi="Verdana"/>
                <w:sz w:val="16"/>
                <w:szCs w:val="16"/>
                <w:lang w:val="es"/>
              </w:rPr>
            </w:pPr>
            <w:r w:rsidRPr="00D0180E">
              <w:rPr>
                <w:rFonts w:ascii="Verdana" w:hAnsi="Verdana"/>
                <w:b/>
                <w:sz w:val="16"/>
                <w:szCs w:val="16"/>
                <w:lang w:val="es"/>
              </w:rPr>
              <w:t>IV.</w:t>
            </w:r>
            <w:r w:rsidRPr="00D0180E">
              <w:rPr>
                <w:rFonts w:ascii="Verdana" w:hAnsi="Verdana"/>
                <w:b/>
                <w:sz w:val="16"/>
                <w:szCs w:val="16"/>
                <w:lang w:val="es"/>
              </w:rPr>
              <w:tab/>
            </w:r>
            <w:r w:rsidRPr="00D0180E">
              <w:rPr>
                <w:rFonts w:ascii="Verdana" w:hAnsi="Verdana"/>
                <w:sz w:val="16"/>
                <w:szCs w:val="16"/>
                <w:lang w:val="es"/>
              </w:rPr>
              <w:t>Si la instalación no cumple con las normas oficiales mexicanas y representa riesgos inminentes para la vida o bienes de las personas, se debe ordenar a la Transportista o la Distribuidora la suspensión del Suministro Eléctrico y se debe comunicar a la Usuaria Final las deficiencias encontradas para que las corrija o se debe ordenar el retiro parcial o total de la instalación, si el caso lo amerita;</w:t>
            </w:r>
          </w:p>
        </w:tc>
        <w:tc>
          <w:tcPr>
            <w:tcW w:w="4644" w:type="dxa"/>
          </w:tcPr>
          <w:p w14:paraId="3DD3FDAF" w14:textId="09F4BACD" w:rsidR="003A38FF" w:rsidRPr="00D0180E" w:rsidRDefault="003A38FF" w:rsidP="003A38FF">
            <w:pPr>
              <w:pStyle w:val="Texto"/>
              <w:spacing w:line="225" w:lineRule="exact"/>
              <w:ind w:firstLine="0"/>
              <w:rPr>
                <w:rFonts w:ascii="Verdana" w:hAnsi="Verdana"/>
                <w:b/>
                <w:sz w:val="16"/>
                <w:szCs w:val="16"/>
                <w:lang w:val="en-US"/>
              </w:rPr>
            </w:pPr>
            <w:r w:rsidRPr="002A7BDA">
              <w:rPr>
                <w:rFonts w:ascii="Verdana" w:hAnsi="Verdana"/>
                <w:b/>
                <w:sz w:val="16"/>
                <w:szCs w:val="16"/>
                <w:lang w:val="en-US"/>
              </w:rPr>
              <w:t xml:space="preserve">IV. </w:t>
            </w:r>
            <w:r w:rsidRPr="002A7BDA">
              <w:rPr>
                <w:rFonts w:ascii="Verdana" w:hAnsi="Verdana"/>
                <w:b/>
                <w:sz w:val="16"/>
                <w:szCs w:val="16"/>
                <w:lang w:val="en-US"/>
              </w:rPr>
              <w:tab/>
            </w:r>
            <w:r w:rsidRPr="002A7BDA">
              <w:rPr>
                <w:rFonts w:ascii="Verdana" w:hAnsi="Verdana"/>
                <w:sz w:val="16"/>
                <w:szCs w:val="16"/>
                <w:lang w:val="en-US"/>
              </w:rPr>
              <w:t xml:space="preserve">If the installation does not comply with </w:t>
            </w:r>
            <w:r>
              <w:rPr>
                <w:rFonts w:ascii="Verdana" w:hAnsi="Verdana"/>
                <w:sz w:val="16"/>
                <w:szCs w:val="16"/>
                <w:lang w:val="en-US"/>
              </w:rPr>
              <w:t>Official Mexican Standards</w:t>
            </w:r>
            <w:r w:rsidRPr="002A7BDA">
              <w:rPr>
                <w:rFonts w:ascii="Verdana" w:hAnsi="Verdana"/>
                <w:sz w:val="16"/>
                <w:szCs w:val="16"/>
                <w:lang w:val="en-US"/>
              </w:rPr>
              <w:t xml:space="preserve"> and represents imminent risks to the life or property of people, the Transporter or Distributor must be ordered to suspend the electricity supply and the end user must be informed of the deficiencies found so that they may correct them or the partial or total removal of the installation must be ordered, if the case so warrants;</w:t>
            </w:r>
          </w:p>
        </w:tc>
      </w:tr>
      <w:tr w:rsidR="003A38FF" w:rsidRPr="00D83DA2" w14:paraId="47C10E57" w14:textId="08B7F9B8" w:rsidTr="00FB5DAD">
        <w:tc>
          <w:tcPr>
            <w:tcW w:w="4706" w:type="dxa"/>
          </w:tcPr>
          <w:p w14:paraId="5C91283A" w14:textId="77777777" w:rsidR="003A38FF" w:rsidRPr="00D0180E" w:rsidRDefault="003A38FF" w:rsidP="003A38FF">
            <w:pPr>
              <w:pStyle w:val="Texto"/>
              <w:spacing w:line="225" w:lineRule="exact"/>
              <w:ind w:firstLine="0"/>
              <w:rPr>
                <w:rFonts w:ascii="Verdana" w:hAnsi="Verdana"/>
                <w:sz w:val="16"/>
                <w:szCs w:val="16"/>
                <w:lang w:val="es"/>
              </w:rPr>
            </w:pPr>
            <w:r w:rsidRPr="00D0180E">
              <w:rPr>
                <w:rFonts w:ascii="Verdana" w:hAnsi="Verdana"/>
                <w:b/>
                <w:sz w:val="16"/>
                <w:szCs w:val="16"/>
                <w:lang w:val="es"/>
              </w:rPr>
              <w:t>V.</w:t>
            </w:r>
            <w:r w:rsidRPr="00D0180E">
              <w:rPr>
                <w:rFonts w:ascii="Verdana" w:hAnsi="Verdana"/>
                <w:b/>
                <w:sz w:val="16"/>
                <w:szCs w:val="16"/>
                <w:lang w:val="es"/>
              </w:rPr>
              <w:tab/>
            </w:r>
            <w:r w:rsidRPr="00D0180E">
              <w:rPr>
                <w:rFonts w:ascii="Verdana" w:hAnsi="Verdana"/>
                <w:sz w:val="16"/>
                <w:szCs w:val="16"/>
                <w:lang w:val="es"/>
              </w:rPr>
              <w:t>El aviso de la Secretaría o de la CNE, según corresponda, a la Transportista o la Distribuidora para que reanude el Suministro Eléctrico se da una vez que la Secretaría o la CNE hayan verificado que la instalación no presenta riesgos, y</w:t>
            </w:r>
          </w:p>
        </w:tc>
        <w:tc>
          <w:tcPr>
            <w:tcW w:w="4644" w:type="dxa"/>
          </w:tcPr>
          <w:p w14:paraId="14F3C4D7" w14:textId="2E151EB0" w:rsidR="003A38FF" w:rsidRPr="00D0180E" w:rsidRDefault="003A38FF" w:rsidP="003A38FF">
            <w:pPr>
              <w:pStyle w:val="Texto"/>
              <w:spacing w:line="225" w:lineRule="exact"/>
              <w:ind w:firstLine="0"/>
              <w:rPr>
                <w:rFonts w:ascii="Verdana" w:hAnsi="Verdana"/>
                <w:b/>
                <w:sz w:val="16"/>
                <w:szCs w:val="16"/>
                <w:lang w:val="en-US"/>
              </w:rPr>
            </w:pPr>
            <w:r w:rsidRPr="002A7BDA">
              <w:rPr>
                <w:rFonts w:ascii="Verdana" w:hAnsi="Verdana"/>
                <w:b/>
                <w:sz w:val="16"/>
                <w:szCs w:val="16"/>
                <w:lang w:val="en-US"/>
              </w:rPr>
              <w:t>V</w:t>
            </w:r>
            <w:proofErr w:type="gramStart"/>
            <w:r w:rsidRPr="002A7BDA">
              <w:rPr>
                <w:rFonts w:ascii="Verdana" w:hAnsi="Verdana"/>
                <w:b/>
                <w:sz w:val="16"/>
                <w:szCs w:val="16"/>
                <w:lang w:val="en-US"/>
              </w:rPr>
              <w:t xml:space="preserve">. </w:t>
            </w:r>
            <w:r w:rsidRPr="002A7BDA">
              <w:rPr>
                <w:rFonts w:ascii="Verdana" w:hAnsi="Verdana"/>
                <w:b/>
                <w:sz w:val="16"/>
                <w:szCs w:val="16"/>
                <w:lang w:val="en-US"/>
              </w:rPr>
              <w:tab/>
            </w:r>
            <w:r w:rsidRPr="002A7BDA">
              <w:rPr>
                <w:rFonts w:ascii="Verdana" w:hAnsi="Verdana"/>
                <w:sz w:val="16"/>
                <w:szCs w:val="16"/>
                <w:lang w:val="en-US"/>
              </w:rPr>
              <w:t>The</w:t>
            </w:r>
            <w:proofErr w:type="gramEnd"/>
            <w:r w:rsidRPr="002A7BDA">
              <w:rPr>
                <w:rFonts w:ascii="Verdana" w:hAnsi="Verdana"/>
                <w:sz w:val="16"/>
                <w:szCs w:val="16"/>
                <w:lang w:val="en-US"/>
              </w:rPr>
              <w:t xml:space="preserve"> notice from the Secretary or the CNE, as appropriate, to the transporter or the distributor to resume the electric supply is given once the Secretary or the CNE have verified that the installation does not present risks, and</w:t>
            </w:r>
          </w:p>
        </w:tc>
      </w:tr>
      <w:tr w:rsidR="003A38FF" w:rsidRPr="00D83DA2" w14:paraId="1B29FBB3" w14:textId="66D31A09" w:rsidTr="00FB5DAD">
        <w:tc>
          <w:tcPr>
            <w:tcW w:w="4706" w:type="dxa"/>
          </w:tcPr>
          <w:p w14:paraId="544FF9AB" w14:textId="77777777" w:rsidR="003A38FF" w:rsidRPr="00D0180E" w:rsidRDefault="003A38FF" w:rsidP="003A38FF">
            <w:pPr>
              <w:pStyle w:val="Texto"/>
              <w:spacing w:line="225" w:lineRule="exact"/>
              <w:ind w:firstLine="0"/>
              <w:rPr>
                <w:rFonts w:ascii="Verdana" w:hAnsi="Verdana"/>
                <w:sz w:val="16"/>
                <w:szCs w:val="16"/>
                <w:lang w:val="es"/>
              </w:rPr>
            </w:pPr>
            <w:r w:rsidRPr="00D0180E">
              <w:rPr>
                <w:rFonts w:ascii="Verdana" w:hAnsi="Verdana"/>
                <w:b/>
                <w:sz w:val="16"/>
                <w:szCs w:val="16"/>
                <w:lang w:val="es"/>
              </w:rPr>
              <w:t>VI.</w:t>
            </w:r>
            <w:r w:rsidRPr="00D0180E">
              <w:rPr>
                <w:rFonts w:ascii="Verdana" w:hAnsi="Verdana"/>
                <w:b/>
                <w:sz w:val="16"/>
                <w:szCs w:val="16"/>
                <w:lang w:val="es"/>
              </w:rPr>
              <w:tab/>
            </w:r>
            <w:r w:rsidRPr="00D0180E">
              <w:rPr>
                <w:rFonts w:ascii="Verdana" w:hAnsi="Verdana"/>
                <w:sz w:val="16"/>
                <w:szCs w:val="16"/>
                <w:lang w:val="es"/>
              </w:rPr>
              <w:t>En caso de que, de la inspección a que se refiere este artículo, el Transportista o Distribuidor encuentra en el equipo o instrumento de medición instalado errores en el registro de consumo, fuera de la tolerancia permisible y siempre que no exista alteración o impedimento de la función normal de éstos, la Transportista o la Distribuidora, según corresponda, puede proceder conforme a lo previsto en el artículo 108 del presente reglamento.</w:t>
            </w:r>
          </w:p>
        </w:tc>
        <w:tc>
          <w:tcPr>
            <w:tcW w:w="4644" w:type="dxa"/>
          </w:tcPr>
          <w:p w14:paraId="4B9AB25F" w14:textId="136B36E0" w:rsidR="003A38FF" w:rsidRPr="00D0180E" w:rsidRDefault="003A38FF" w:rsidP="003A38FF">
            <w:pPr>
              <w:pStyle w:val="Texto"/>
              <w:spacing w:line="225" w:lineRule="exact"/>
              <w:ind w:firstLine="0"/>
              <w:rPr>
                <w:rFonts w:ascii="Verdana" w:hAnsi="Verdana"/>
                <w:b/>
                <w:sz w:val="16"/>
                <w:szCs w:val="16"/>
                <w:lang w:val="en-US"/>
              </w:rPr>
            </w:pPr>
            <w:r w:rsidRPr="002A7BDA">
              <w:rPr>
                <w:rFonts w:ascii="Verdana" w:hAnsi="Verdana"/>
                <w:b/>
                <w:sz w:val="16"/>
                <w:szCs w:val="16"/>
                <w:lang w:val="en-US"/>
              </w:rPr>
              <w:t xml:space="preserve">VI. </w:t>
            </w:r>
            <w:r w:rsidRPr="002A7BDA">
              <w:rPr>
                <w:rFonts w:ascii="Verdana" w:hAnsi="Verdana"/>
                <w:b/>
                <w:sz w:val="16"/>
                <w:szCs w:val="16"/>
                <w:lang w:val="en-US"/>
              </w:rPr>
              <w:tab/>
            </w:r>
            <w:r w:rsidRPr="002A7BDA">
              <w:rPr>
                <w:rFonts w:ascii="Verdana" w:hAnsi="Verdana"/>
                <w:sz w:val="16"/>
                <w:szCs w:val="16"/>
                <w:lang w:val="en-US"/>
              </w:rPr>
              <w:t>If, during the inspection referred to in this article, the transporter or distributor finds errors in the consumption record in the installed measuring equipment or instrument outside the permissible tolerance, and provided that there is no alteration or impediment to their normal function, the transporter or distributor, as appropriate, may proceed in accordance with the provisions of article 108 of this regulation.</w:t>
            </w:r>
          </w:p>
        </w:tc>
      </w:tr>
      <w:tr w:rsidR="003A38FF" w:rsidRPr="00D83DA2" w14:paraId="71791B6F" w14:textId="08B9BDF5" w:rsidTr="00FB5DAD">
        <w:tc>
          <w:tcPr>
            <w:tcW w:w="4706" w:type="dxa"/>
          </w:tcPr>
          <w:p w14:paraId="34A9CF0E"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b/>
                <w:sz w:val="16"/>
                <w:szCs w:val="16"/>
              </w:rPr>
              <w:t>Artículo 263</w:t>
            </w:r>
            <w:r w:rsidRPr="00D0180E">
              <w:rPr>
                <w:rFonts w:ascii="Verdana" w:hAnsi="Verdana"/>
                <w:sz w:val="16"/>
                <w:szCs w:val="16"/>
              </w:rPr>
              <w:t>. Las disposiciones que determinen las bases normativas para aprobar o autorizar las unidades de inspección a que se refiere el artículo 260 de este reglamento, deben contener como mínimo lo siguiente:</w:t>
            </w:r>
          </w:p>
        </w:tc>
        <w:tc>
          <w:tcPr>
            <w:tcW w:w="4644" w:type="dxa"/>
          </w:tcPr>
          <w:p w14:paraId="58B91281" w14:textId="665C72FF" w:rsidR="003A38FF" w:rsidRPr="00D0180E" w:rsidRDefault="003A38FF" w:rsidP="003A38FF">
            <w:pPr>
              <w:pStyle w:val="Texto"/>
              <w:spacing w:line="225" w:lineRule="exact"/>
              <w:ind w:firstLine="0"/>
              <w:rPr>
                <w:rFonts w:ascii="Verdana" w:hAnsi="Verdana"/>
                <w:b/>
                <w:sz w:val="16"/>
                <w:szCs w:val="16"/>
                <w:lang w:val="en-US"/>
              </w:rPr>
            </w:pPr>
            <w:r w:rsidRPr="002A7BDA">
              <w:rPr>
                <w:rFonts w:ascii="Verdana" w:hAnsi="Verdana"/>
                <w:b/>
                <w:sz w:val="16"/>
                <w:szCs w:val="16"/>
                <w:lang w:val="en-US"/>
              </w:rPr>
              <w:t xml:space="preserve">Article 263. </w:t>
            </w:r>
            <w:r w:rsidRPr="002A7BDA">
              <w:rPr>
                <w:rFonts w:ascii="Verdana" w:hAnsi="Verdana"/>
                <w:sz w:val="16"/>
                <w:szCs w:val="16"/>
                <w:lang w:val="en-US"/>
              </w:rPr>
              <w:t xml:space="preserve">The provisions that determine the regulatory </w:t>
            </w:r>
            <w:r>
              <w:rPr>
                <w:rFonts w:ascii="Verdana" w:hAnsi="Verdana"/>
                <w:sz w:val="16"/>
                <w:szCs w:val="16"/>
                <w:lang w:val="en-US"/>
              </w:rPr>
              <w:t>criteria</w:t>
            </w:r>
            <w:r w:rsidRPr="002A7BDA">
              <w:rPr>
                <w:rFonts w:ascii="Verdana" w:hAnsi="Verdana"/>
                <w:sz w:val="16"/>
                <w:szCs w:val="16"/>
                <w:lang w:val="en-US"/>
              </w:rPr>
              <w:t xml:space="preserve"> for approving or authorizing the inspection units referred to in Article 260 of this regulation must contain at least the following:</w:t>
            </w:r>
          </w:p>
        </w:tc>
      </w:tr>
      <w:tr w:rsidR="003A38FF" w:rsidRPr="00D83DA2" w14:paraId="7D446469" w14:textId="4F07C909" w:rsidTr="00FB5DAD">
        <w:tc>
          <w:tcPr>
            <w:tcW w:w="4706" w:type="dxa"/>
          </w:tcPr>
          <w:p w14:paraId="4E1E58E0" w14:textId="77777777" w:rsidR="003A38FF" w:rsidRPr="00D0180E" w:rsidRDefault="003A38FF" w:rsidP="003A38FF">
            <w:pPr>
              <w:pStyle w:val="Texto"/>
              <w:spacing w:line="225" w:lineRule="exact"/>
              <w:ind w:firstLine="0"/>
              <w:rPr>
                <w:rFonts w:ascii="Verdana" w:hAnsi="Verdana"/>
                <w:sz w:val="16"/>
                <w:szCs w:val="16"/>
                <w:lang w:val="es"/>
              </w:rPr>
            </w:pPr>
            <w:r w:rsidRPr="00D0180E">
              <w:rPr>
                <w:rFonts w:ascii="Verdana" w:hAnsi="Verdana"/>
                <w:b/>
                <w:sz w:val="16"/>
                <w:szCs w:val="16"/>
                <w:lang w:val="es"/>
              </w:rPr>
              <w:t>I.</w:t>
            </w:r>
            <w:r w:rsidRPr="00D0180E">
              <w:rPr>
                <w:rFonts w:ascii="Verdana" w:hAnsi="Verdana"/>
                <w:b/>
                <w:sz w:val="16"/>
                <w:szCs w:val="16"/>
                <w:lang w:val="es"/>
              </w:rPr>
              <w:tab/>
            </w:r>
            <w:r w:rsidRPr="00D0180E">
              <w:rPr>
                <w:rFonts w:ascii="Verdana" w:hAnsi="Verdana"/>
                <w:sz w:val="16"/>
                <w:szCs w:val="16"/>
                <w:lang w:val="es"/>
              </w:rPr>
              <w:t>Los requisitos que deben cumplir las personas interesadas en solicitar la aprobación o autorización, de la Secretaría o de la CNE, para las unidades de inspección, los estándares, normas internacionales u otras disposiciones legales que así lo requieran, según corresponda;</w:t>
            </w:r>
          </w:p>
        </w:tc>
        <w:tc>
          <w:tcPr>
            <w:tcW w:w="4644" w:type="dxa"/>
          </w:tcPr>
          <w:p w14:paraId="78B846DE" w14:textId="54780BCC" w:rsidR="003A38FF" w:rsidRPr="00D0180E" w:rsidRDefault="003A38FF" w:rsidP="003A38FF">
            <w:pPr>
              <w:pStyle w:val="Texto"/>
              <w:spacing w:line="225" w:lineRule="exact"/>
              <w:ind w:firstLine="0"/>
              <w:rPr>
                <w:rFonts w:ascii="Verdana" w:hAnsi="Verdana"/>
                <w:b/>
                <w:sz w:val="16"/>
                <w:szCs w:val="16"/>
                <w:lang w:val="en-US"/>
              </w:rPr>
            </w:pPr>
            <w:r w:rsidRPr="002A7BDA">
              <w:rPr>
                <w:rFonts w:ascii="Verdana" w:hAnsi="Verdana"/>
                <w:b/>
                <w:sz w:val="16"/>
                <w:szCs w:val="16"/>
                <w:lang w:val="en-US"/>
              </w:rPr>
              <w:t>I</w:t>
            </w:r>
            <w:proofErr w:type="gramStart"/>
            <w:r w:rsidRPr="002A7BDA">
              <w:rPr>
                <w:rFonts w:ascii="Verdana" w:hAnsi="Verdana"/>
                <w:b/>
                <w:sz w:val="16"/>
                <w:szCs w:val="16"/>
                <w:lang w:val="en-US"/>
              </w:rPr>
              <w:t xml:space="preserve">. </w:t>
            </w:r>
            <w:r w:rsidRPr="002A7BDA">
              <w:rPr>
                <w:rFonts w:ascii="Verdana" w:hAnsi="Verdana"/>
                <w:b/>
                <w:sz w:val="16"/>
                <w:szCs w:val="16"/>
                <w:lang w:val="en-US"/>
              </w:rPr>
              <w:tab/>
            </w:r>
            <w:r w:rsidRPr="002A7BDA">
              <w:rPr>
                <w:rFonts w:ascii="Verdana" w:hAnsi="Verdana"/>
                <w:sz w:val="16"/>
                <w:szCs w:val="16"/>
                <w:lang w:val="en-US"/>
              </w:rPr>
              <w:t>The</w:t>
            </w:r>
            <w:proofErr w:type="gramEnd"/>
            <w:r w:rsidRPr="002A7BDA">
              <w:rPr>
                <w:rFonts w:ascii="Verdana" w:hAnsi="Verdana"/>
                <w:sz w:val="16"/>
                <w:szCs w:val="16"/>
                <w:lang w:val="en-US"/>
              </w:rPr>
              <w:t xml:space="preserve"> requirements that must be met by </w:t>
            </w:r>
            <w:proofErr w:type="gramStart"/>
            <w:r w:rsidRPr="002A7BDA">
              <w:rPr>
                <w:rFonts w:ascii="Verdana" w:hAnsi="Verdana"/>
                <w:sz w:val="16"/>
                <w:szCs w:val="16"/>
                <w:lang w:val="en-US"/>
              </w:rPr>
              <w:t>persons</w:t>
            </w:r>
            <w:proofErr w:type="gramEnd"/>
            <w:r w:rsidRPr="002A7BDA">
              <w:rPr>
                <w:rFonts w:ascii="Verdana" w:hAnsi="Verdana"/>
                <w:sz w:val="16"/>
                <w:szCs w:val="16"/>
                <w:lang w:val="en-US"/>
              </w:rPr>
              <w:t xml:space="preserve"> interested in requesting approval or authorization from the Secretary or the CNE for inspection units, standards, international norms or other legal provisions that require it, as appropriate;</w:t>
            </w:r>
          </w:p>
        </w:tc>
      </w:tr>
      <w:tr w:rsidR="003A38FF" w:rsidRPr="00D83DA2" w14:paraId="2B35AC76" w14:textId="5083A25E" w:rsidTr="00FB5DAD">
        <w:tc>
          <w:tcPr>
            <w:tcW w:w="4706" w:type="dxa"/>
          </w:tcPr>
          <w:p w14:paraId="43CD0495" w14:textId="77777777" w:rsidR="003A38FF" w:rsidRPr="00D0180E" w:rsidRDefault="003A38FF" w:rsidP="003A38FF">
            <w:pPr>
              <w:pStyle w:val="Texto"/>
              <w:spacing w:line="225" w:lineRule="exact"/>
              <w:ind w:firstLine="0"/>
              <w:rPr>
                <w:rFonts w:ascii="Verdana" w:hAnsi="Verdana"/>
                <w:sz w:val="16"/>
                <w:szCs w:val="16"/>
                <w:lang w:val="es"/>
              </w:rPr>
            </w:pPr>
            <w:r w:rsidRPr="00D0180E">
              <w:rPr>
                <w:rFonts w:ascii="Verdana" w:hAnsi="Verdana"/>
                <w:b/>
                <w:sz w:val="16"/>
                <w:szCs w:val="16"/>
                <w:lang w:val="es"/>
              </w:rPr>
              <w:t>II.</w:t>
            </w:r>
            <w:r w:rsidRPr="00D0180E">
              <w:rPr>
                <w:rFonts w:ascii="Verdana" w:hAnsi="Verdana"/>
                <w:b/>
                <w:sz w:val="16"/>
                <w:szCs w:val="16"/>
                <w:lang w:val="es"/>
              </w:rPr>
              <w:tab/>
            </w:r>
            <w:r w:rsidRPr="00D0180E">
              <w:rPr>
                <w:rFonts w:ascii="Verdana" w:hAnsi="Verdana"/>
                <w:sz w:val="16"/>
                <w:szCs w:val="16"/>
                <w:lang w:val="es"/>
              </w:rPr>
              <w:t>El mecanismo para la evaluación de las solicitudes;</w:t>
            </w:r>
          </w:p>
        </w:tc>
        <w:tc>
          <w:tcPr>
            <w:tcW w:w="4644" w:type="dxa"/>
          </w:tcPr>
          <w:p w14:paraId="64F8C364" w14:textId="09BEB619" w:rsidR="003A38FF" w:rsidRPr="00D0180E" w:rsidRDefault="003A38FF" w:rsidP="003A38FF">
            <w:pPr>
              <w:pStyle w:val="Texto"/>
              <w:spacing w:line="225" w:lineRule="exact"/>
              <w:ind w:firstLine="0"/>
              <w:rPr>
                <w:rFonts w:ascii="Verdana" w:hAnsi="Verdana"/>
                <w:b/>
                <w:sz w:val="16"/>
                <w:szCs w:val="16"/>
                <w:lang w:val="en-US"/>
              </w:rPr>
            </w:pPr>
            <w:r w:rsidRPr="002A7BDA">
              <w:rPr>
                <w:rFonts w:ascii="Verdana" w:hAnsi="Verdana"/>
                <w:b/>
                <w:sz w:val="16"/>
                <w:szCs w:val="16"/>
                <w:lang w:val="en-US"/>
              </w:rPr>
              <w:t>II</w:t>
            </w:r>
            <w:proofErr w:type="gramStart"/>
            <w:r w:rsidRPr="002A7BDA">
              <w:rPr>
                <w:rFonts w:ascii="Verdana" w:hAnsi="Verdana"/>
                <w:b/>
                <w:sz w:val="16"/>
                <w:szCs w:val="16"/>
                <w:lang w:val="en-US"/>
              </w:rPr>
              <w:t xml:space="preserve">. </w:t>
            </w:r>
            <w:r w:rsidRPr="002A7BDA">
              <w:rPr>
                <w:rFonts w:ascii="Verdana" w:hAnsi="Verdana"/>
                <w:b/>
                <w:sz w:val="16"/>
                <w:szCs w:val="16"/>
                <w:lang w:val="en-US"/>
              </w:rPr>
              <w:tab/>
            </w:r>
            <w:r w:rsidRPr="002A7BDA">
              <w:rPr>
                <w:rFonts w:ascii="Verdana" w:hAnsi="Verdana"/>
                <w:sz w:val="16"/>
                <w:szCs w:val="16"/>
                <w:lang w:val="en-US"/>
              </w:rPr>
              <w:t>The</w:t>
            </w:r>
            <w:proofErr w:type="gramEnd"/>
            <w:r w:rsidRPr="002A7BDA">
              <w:rPr>
                <w:rFonts w:ascii="Verdana" w:hAnsi="Verdana"/>
                <w:sz w:val="16"/>
                <w:szCs w:val="16"/>
                <w:lang w:val="en-US"/>
              </w:rPr>
              <w:t xml:space="preserve"> mechanism for evaluating applications;</w:t>
            </w:r>
          </w:p>
        </w:tc>
      </w:tr>
      <w:tr w:rsidR="003A38FF" w:rsidRPr="00D83DA2" w14:paraId="5A0EB949" w14:textId="366CCBF7" w:rsidTr="00FB5DAD">
        <w:tc>
          <w:tcPr>
            <w:tcW w:w="4706" w:type="dxa"/>
          </w:tcPr>
          <w:p w14:paraId="4525E6A9" w14:textId="77777777" w:rsidR="003A38FF" w:rsidRPr="00D0180E" w:rsidRDefault="003A38FF" w:rsidP="003A38FF">
            <w:pPr>
              <w:pStyle w:val="Texto"/>
              <w:spacing w:line="225" w:lineRule="exact"/>
              <w:ind w:firstLine="0"/>
              <w:rPr>
                <w:rFonts w:ascii="Verdana" w:hAnsi="Verdana"/>
                <w:sz w:val="16"/>
                <w:szCs w:val="16"/>
                <w:lang w:val="es"/>
              </w:rPr>
            </w:pPr>
            <w:r w:rsidRPr="00D0180E">
              <w:rPr>
                <w:rFonts w:ascii="Verdana" w:hAnsi="Verdana"/>
                <w:b/>
                <w:sz w:val="16"/>
                <w:szCs w:val="16"/>
                <w:lang w:val="es"/>
              </w:rPr>
              <w:lastRenderedPageBreak/>
              <w:t>III.</w:t>
            </w:r>
            <w:r w:rsidRPr="00D0180E">
              <w:rPr>
                <w:rFonts w:ascii="Verdana" w:hAnsi="Verdana"/>
                <w:b/>
                <w:sz w:val="16"/>
                <w:szCs w:val="16"/>
                <w:lang w:val="es"/>
              </w:rPr>
              <w:tab/>
            </w:r>
            <w:r w:rsidRPr="00D0180E">
              <w:rPr>
                <w:rFonts w:ascii="Verdana" w:hAnsi="Verdana"/>
                <w:sz w:val="16"/>
                <w:szCs w:val="16"/>
                <w:lang w:val="es"/>
              </w:rPr>
              <w:t>El procedimiento general que deben observar en el desarrollo de sus actividades, y</w:t>
            </w:r>
          </w:p>
        </w:tc>
        <w:tc>
          <w:tcPr>
            <w:tcW w:w="4644" w:type="dxa"/>
          </w:tcPr>
          <w:p w14:paraId="06D98725" w14:textId="745C9D25" w:rsidR="003A38FF" w:rsidRPr="00D0180E" w:rsidRDefault="003A38FF" w:rsidP="003A38FF">
            <w:pPr>
              <w:pStyle w:val="Texto"/>
              <w:spacing w:line="225" w:lineRule="exact"/>
              <w:ind w:firstLine="0"/>
              <w:rPr>
                <w:rFonts w:ascii="Verdana" w:hAnsi="Verdana"/>
                <w:b/>
                <w:sz w:val="16"/>
                <w:szCs w:val="16"/>
                <w:lang w:val="en-US"/>
              </w:rPr>
            </w:pPr>
            <w:r w:rsidRPr="002A7BDA">
              <w:rPr>
                <w:rFonts w:ascii="Verdana" w:hAnsi="Verdana"/>
                <w:b/>
                <w:sz w:val="16"/>
                <w:szCs w:val="16"/>
                <w:lang w:val="en-US"/>
              </w:rPr>
              <w:t>III</w:t>
            </w:r>
            <w:proofErr w:type="gramStart"/>
            <w:r w:rsidRPr="002A7BDA">
              <w:rPr>
                <w:rFonts w:ascii="Verdana" w:hAnsi="Verdana"/>
                <w:b/>
                <w:sz w:val="16"/>
                <w:szCs w:val="16"/>
                <w:lang w:val="en-US"/>
              </w:rPr>
              <w:t xml:space="preserve">. </w:t>
            </w:r>
            <w:r w:rsidRPr="002A7BDA">
              <w:rPr>
                <w:rFonts w:ascii="Verdana" w:hAnsi="Verdana"/>
                <w:b/>
                <w:sz w:val="16"/>
                <w:szCs w:val="16"/>
                <w:lang w:val="en-US"/>
              </w:rPr>
              <w:tab/>
            </w:r>
            <w:r w:rsidRPr="002A7BDA">
              <w:rPr>
                <w:rFonts w:ascii="Verdana" w:hAnsi="Verdana"/>
                <w:sz w:val="16"/>
                <w:szCs w:val="16"/>
                <w:lang w:val="en-US"/>
              </w:rPr>
              <w:t>The</w:t>
            </w:r>
            <w:proofErr w:type="gramEnd"/>
            <w:r w:rsidRPr="002A7BDA">
              <w:rPr>
                <w:rFonts w:ascii="Verdana" w:hAnsi="Verdana"/>
                <w:sz w:val="16"/>
                <w:szCs w:val="16"/>
                <w:lang w:val="en-US"/>
              </w:rPr>
              <w:t xml:space="preserve"> general procedure that they must observe in the development of their activities, and</w:t>
            </w:r>
          </w:p>
        </w:tc>
      </w:tr>
      <w:tr w:rsidR="003A38FF" w:rsidRPr="00D83DA2" w14:paraId="163E19D4" w14:textId="622243B2" w:rsidTr="00FB5DAD">
        <w:tc>
          <w:tcPr>
            <w:tcW w:w="4706" w:type="dxa"/>
          </w:tcPr>
          <w:p w14:paraId="01E701D6"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Los formatos necesarios para presentar la solicitud, así como para llevar a cabo sus actividades de inspección.</w:t>
            </w:r>
          </w:p>
        </w:tc>
        <w:tc>
          <w:tcPr>
            <w:tcW w:w="4644" w:type="dxa"/>
          </w:tcPr>
          <w:p w14:paraId="578BF8C7" w14:textId="200579E6" w:rsidR="003A38FF" w:rsidRPr="00D0180E" w:rsidRDefault="003A38FF" w:rsidP="003A38FF">
            <w:pPr>
              <w:pStyle w:val="Texto"/>
              <w:spacing w:line="225" w:lineRule="exact"/>
              <w:ind w:firstLine="0"/>
              <w:rPr>
                <w:rFonts w:ascii="Verdana" w:hAnsi="Verdana"/>
                <w:b/>
                <w:sz w:val="16"/>
                <w:szCs w:val="16"/>
                <w:lang w:val="en-US"/>
              </w:rPr>
            </w:pPr>
            <w:r w:rsidRPr="002A7BDA">
              <w:rPr>
                <w:rFonts w:ascii="Verdana" w:hAnsi="Verdana"/>
                <w:b/>
                <w:sz w:val="16"/>
                <w:szCs w:val="16"/>
                <w:lang w:val="en-US"/>
              </w:rPr>
              <w:t>IV</w:t>
            </w:r>
            <w:proofErr w:type="gramStart"/>
            <w:r w:rsidRPr="002A7BDA">
              <w:rPr>
                <w:rFonts w:ascii="Verdana" w:hAnsi="Verdana"/>
                <w:b/>
                <w:sz w:val="16"/>
                <w:szCs w:val="16"/>
                <w:lang w:val="en-US"/>
              </w:rPr>
              <w:t xml:space="preserve">. </w:t>
            </w:r>
            <w:r w:rsidRPr="002A7BDA">
              <w:rPr>
                <w:rFonts w:ascii="Verdana" w:hAnsi="Verdana"/>
                <w:b/>
                <w:sz w:val="16"/>
                <w:szCs w:val="16"/>
                <w:lang w:val="en-US"/>
              </w:rPr>
              <w:tab/>
            </w:r>
            <w:r w:rsidRPr="002A7BDA">
              <w:rPr>
                <w:rFonts w:ascii="Verdana" w:hAnsi="Verdana"/>
                <w:sz w:val="16"/>
                <w:szCs w:val="16"/>
                <w:lang w:val="en-US"/>
              </w:rPr>
              <w:t>The</w:t>
            </w:r>
            <w:proofErr w:type="gramEnd"/>
            <w:r w:rsidRPr="002A7BDA">
              <w:rPr>
                <w:rFonts w:ascii="Verdana" w:hAnsi="Verdana"/>
                <w:sz w:val="16"/>
                <w:szCs w:val="16"/>
                <w:lang w:val="en-US"/>
              </w:rPr>
              <w:t xml:space="preserve"> formats required to submit the application and to carry out inspection activities.</w:t>
            </w:r>
          </w:p>
        </w:tc>
      </w:tr>
      <w:tr w:rsidR="003A38FF" w:rsidRPr="00D83DA2" w14:paraId="0CDA8618" w14:textId="2FD3C076" w:rsidTr="00FB5DAD">
        <w:tc>
          <w:tcPr>
            <w:tcW w:w="4706" w:type="dxa"/>
          </w:tcPr>
          <w:p w14:paraId="67719E80"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b/>
                <w:sz w:val="16"/>
                <w:szCs w:val="16"/>
              </w:rPr>
              <w:t xml:space="preserve">Artículo 264. </w:t>
            </w:r>
            <w:r w:rsidRPr="00D0180E">
              <w:rPr>
                <w:rFonts w:ascii="Verdana" w:hAnsi="Verdana"/>
                <w:sz w:val="16"/>
                <w:szCs w:val="16"/>
              </w:rPr>
              <w:t>Cuando se trate de conexiones de instalaciones destinadas al uso de energía eléctrica para servicios en Alta Tensión y de la prestación de servicios en lugares de concentración pública, a que se refiere el artículo 48, fracción V de la Ley, así como de la inspección a instalaciones eléctricas, la certificación corresponde a la inspección que realice una unidad de inspección aprobada por la Secretaría para verificar que la instalación en cuestión cumpla con las normas oficiales mexicanas aplicables a dichas instalaciones, en los formatos que para tal efecto expida la Secretaría.</w:t>
            </w:r>
          </w:p>
        </w:tc>
        <w:tc>
          <w:tcPr>
            <w:tcW w:w="4644" w:type="dxa"/>
          </w:tcPr>
          <w:p w14:paraId="698B445C" w14:textId="3F6C393E" w:rsidR="003A38FF" w:rsidRPr="00D0180E" w:rsidRDefault="003A38FF" w:rsidP="003A38FF">
            <w:pPr>
              <w:pStyle w:val="Texto"/>
              <w:spacing w:line="225" w:lineRule="exact"/>
              <w:ind w:firstLine="0"/>
              <w:rPr>
                <w:rFonts w:ascii="Verdana" w:hAnsi="Verdana"/>
                <w:b/>
                <w:sz w:val="16"/>
                <w:szCs w:val="16"/>
                <w:lang w:val="en-US"/>
              </w:rPr>
            </w:pPr>
            <w:r w:rsidRPr="002A7BDA">
              <w:rPr>
                <w:rFonts w:ascii="Verdana" w:hAnsi="Verdana"/>
                <w:b/>
                <w:sz w:val="16"/>
                <w:szCs w:val="16"/>
                <w:lang w:val="en-US"/>
              </w:rPr>
              <w:t xml:space="preserve">Article 264. </w:t>
            </w:r>
            <w:r w:rsidRPr="002A7BDA">
              <w:rPr>
                <w:rFonts w:ascii="Verdana" w:hAnsi="Verdana"/>
                <w:sz w:val="16"/>
                <w:szCs w:val="16"/>
                <w:lang w:val="en-US"/>
              </w:rPr>
              <w:t xml:space="preserve">When it comes to connections of facilities intended for the use of electrical energy for high voltage services and the provision of services in places of public concentration, as referred to in article 48, section V of the Law, as well as the inspection of electrical facilities, the certification corresponds to the inspection carried out by an inspection unit approved by the Secretary to verify that the facility in question complies with the </w:t>
            </w:r>
            <w:r>
              <w:rPr>
                <w:rFonts w:ascii="Verdana" w:hAnsi="Verdana"/>
                <w:sz w:val="16"/>
                <w:szCs w:val="16"/>
                <w:lang w:val="en-US"/>
              </w:rPr>
              <w:t>Official Mexican Standards</w:t>
            </w:r>
            <w:r w:rsidRPr="002A7BDA">
              <w:rPr>
                <w:rFonts w:ascii="Verdana" w:hAnsi="Verdana"/>
                <w:sz w:val="16"/>
                <w:szCs w:val="16"/>
                <w:lang w:val="en-US"/>
              </w:rPr>
              <w:t xml:space="preserve"> applicable to said facilities, in the formats issued for such purpose by the Secretary.</w:t>
            </w:r>
          </w:p>
        </w:tc>
      </w:tr>
      <w:tr w:rsidR="003A38FF" w:rsidRPr="00D83DA2" w14:paraId="43E58986" w14:textId="1ECA60EE" w:rsidTr="00FB5DAD">
        <w:tc>
          <w:tcPr>
            <w:tcW w:w="4706" w:type="dxa"/>
          </w:tcPr>
          <w:p w14:paraId="36570848"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sz w:val="16"/>
                <w:szCs w:val="16"/>
              </w:rPr>
              <w:t>Se consideran lugares de concentración pública para la verificación de las instalaciones eléctricas a que se refiere el párrafo anterior, los destinados a actividades de esparcimiento, deportivas, educativas, de trabajo, comerciales, de salud, además de cualquier otra área en donde se reúna público en general.</w:t>
            </w:r>
          </w:p>
        </w:tc>
        <w:tc>
          <w:tcPr>
            <w:tcW w:w="4644" w:type="dxa"/>
          </w:tcPr>
          <w:p w14:paraId="54F54654" w14:textId="70E32832" w:rsidR="003A38FF" w:rsidRPr="00D0180E" w:rsidRDefault="003A38FF" w:rsidP="003A38FF">
            <w:pPr>
              <w:pStyle w:val="Texto"/>
              <w:spacing w:line="225" w:lineRule="exact"/>
              <w:ind w:firstLine="0"/>
              <w:rPr>
                <w:rFonts w:ascii="Verdana" w:hAnsi="Verdana"/>
                <w:sz w:val="16"/>
                <w:szCs w:val="16"/>
                <w:lang w:val="en-US"/>
              </w:rPr>
            </w:pPr>
            <w:r w:rsidRPr="002A7BDA">
              <w:rPr>
                <w:rFonts w:ascii="Verdana" w:hAnsi="Verdana"/>
                <w:sz w:val="16"/>
                <w:szCs w:val="16"/>
                <w:lang w:val="en-US"/>
              </w:rPr>
              <w:t xml:space="preserve">Places of public gathering for the </w:t>
            </w:r>
            <w:proofErr w:type="gramStart"/>
            <w:r w:rsidRPr="002A7BDA">
              <w:rPr>
                <w:rFonts w:ascii="Verdana" w:hAnsi="Verdana"/>
                <w:sz w:val="16"/>
                <w:szCs w:val="16"/>
                <w:lang w:val="en-US"/>
              </w:rPr>
              <w:t>purposes</w:t>
            </w:r>
            <w:proofErr w:type="gramEnd"/>
            <w:r w:rsidRPr="002A7BDA">
              <w:rPr>
                <w:rFonts w:ascii="Verdana" w:hAnsi="Verdana"/>
                <w:sz w:val="16"/>
                <w:szCs w:val="16"/>
                <w:lang w:val="en-US"/>
              </w:rPr>
              <w:t xml:space="preserve"> of inspecting the electrical installations referred to in the preceding paragraph </w:t>
            </w:r>
            <w:proofErr w:type="gramStart"/>
            <w:r w:rsidRPr="002A7BDA">
              <w:rPr>
                <w:rFonts w:ascii="Verdana" w:hAnsi="Verdana"/>
                <w:sz w:val="16"/>
                <w:szCs w:val="16"/>
                <w:lang w:val="en-US"/>
              </w:rPr>
              <w:t>are considered to be</w:t>
            </w:r>
            <w:proofErr w:type="gramEnd"/>
            <w:r w:rsidRPr="002A7BDA">
              <w:rPr>
                <w:rFonts w:ascii="Verdana" w:hAnsi="Verdana"/>
                <w:sz w:val="16"/>
                <w:szCs w:val="16"/>
                <w:lang w:val="en-US"/>
              </w:rPr>
              <w:t xml:space="preserve"> those intended for recreational, sports, educational, work, commercial, and health activities, as well as any other area where the </w:t>
            </w:r>
            <w:proofErr w:type="gramStart"/>
            <w:r w:rsidRPr="002A7BDA">
              <w:rPr>
                <w:rFonts w:ascii="Verdana" w:hAnsi="Verdana"/>
                <w:sz w:val="16"/>
                <w:szCs w:val="16"/>
                <w:lang w:val="en-US"/>
              </w:rPr>
              <w:t>general public</w:t>
            </w:r>
            <w:proofErr w:type="gramEnd"/>
            <w:r w:rsidRPr="002A7BDA">
              <w:rPr>
                <w:rFonts w:ascii="Verdana" w:hAnsi="Verdana"/>
                <w:sz w:val="16"/>
                <w:szCs w:val="16"/>
                <w:lang w:val="en-US"/>
              </w:rPr>
              <w:t xml:space="preserve"> gathers.</w:t>
            </w:r>
          </w:p>
        </w:tc>
      </w:tr>
      <w:tr w:rsidR="003A38FF" w:rsidRPr="00D83DA2" w14:paraId="549814B2" w14:textId="6097E360" w:rsidTr="00FB5DAD">
        <w:tc>
          <w:tcPr>
            <w:tcW w:w="4706" w:type="dxa"/>
          </w:tcPr>
          <w:p w14:paraId="57D9AB93" w14:textId="77777777" w:rsidR="003A38FF" w:rsidRPr="00D0180E" w:rsidRDefault="003A38FF" w:rsidP="003A38FF">
            <w:pPr>
              <w:pStyle w:val="Texto"/>
              <w:spacing w:line="225" w:lineRule="exact"/>
              <w:ind w:firstLine="0"/>
              <w:rPr>
                <w:rFonts w:ascii="Verdana" w:hAnsi="Verdana"/>
                <w:sz w:val="16"/>
                <w:szCs w:val="16"/>
              </w:rPr>
            </w:pPr>
            <w:r w:rsidRPr="00D0180E">
              <w:rPr>
                <w:rFonts w:ascii="Verdana" w:hAnsi="Verdana"/>
                <w:sz w:val="16"/>
                <w:szCs w:val="16"/>
              </w:rPr>
              <w:t>La Secretaría debe emitir el acuerdo que determine los lugares de concentración pública para la verificación de las instalaciones destinadas al uso de energía eléctrica, conforme al párrafo anterior.</w:t>
            </w:r>
          </w:p>
        </w:tc>
        <w:tc>
          <w:tcPr>
            <w:tcW w:w="4644" w:type="dxa"/>
          </w:tcPr>
          <w:p w14:paraId="3DFAB211" w14:textId="22273917" w:rsidR="003A38FF" w:rsidRPr="00D0180E" w:rsidRDefault="003A38FF" w:rsidP="003A38FF">
            <w:pPr>
              <w:pStyle w:val="Texto"/>
              <w:spacing w:line="225" w:lineRule="exact"/>
              <w:ind w:firstLine="0"/>
              <w:rPr>
                <w:rFonts w:ascii="Verdana" w:hAnsi="Verdana"/>
                <w:sz w:val="16"/>
                <w:szCs w:val="16"/>
                <w:lang w:val="en-US"/>
              </w:rPr>
            </w:pPr>
            <w:r w:rsidRPr="002A7BDA">
              <w:rPr>
                <w:rFonts w:ascii="Verdana" w:hAnsi="Verdana"/>
                <w:sz w:val="16"/>
                <w:szCs w:val="16"/>
                <w:lang w:val="en-US"/>
              </w:rPr>
              <w:t xml:space="preserve">The Secretary must issue </w:t>
            </w:r>
            <w:proofErr w:type="gramStart"/>
            <w:r w:rsidRPr="002A7BDA">
              <w:rPr>
                <w:rFonts w:ascii="Verdana" w:hAnsi="Verdana"/>
                <w:sz w:val="16"/>
                <w:szCs w:val="16"/>
                <w:lang w:val="en-US"/>
              </w:rPr>
              <w:t>the</w:t>
            </w:r>
            <w:proofErr w:type="gramEnd"/>
            <w:r w:rsidRPr="002A7BDA">
              <w:rPr>
                <w:rFonts w:ascii="Verdana" w:hAnsi="Verdana"/>
                <w:sz w:val="16"/>
                <w:szCs w:val="16"/>
                <w:lang w:val="en-US"/>
              </w:rPr>
              <w:t xml:space="preserve"> agreement determining the places of public gathering for the verification of facilities intended for the use of electrical energy, in accordance with the </w:t>
            </w:r>
            <w:r>
              <w:rPr>
                <w:rFonts w:ascii="Verdana" w:hAnsi="Verdana"/>
                <w:sz w:val="16"/>
                <w:szCs w:val="16"/>
                <w:lang w:val="en-US"/>
              </w:rPr>
              <w:t>preceding paragraph</w:t>
            </w:r>
            <w:r w:rsidRPr="002A7BDA">
              <w:rPr>
                <w:rFonts w:ascii="Verdana" w:hAnsi="Verdana"/>
                <w:sz w:val="16"/>
                <w:szCs w:val="16"/>
                <w:lang w:val="en-US"/>
              </w:rPr>
              <w:t>.</w:t>
            </w:r>
          </w:p>
        </w:tc>
      </w:tr>
      <w:tr w:rsidR="003A38FF" w:rsidRPr="00D0180E" w14:paraId="76B36FB4" w14:textId="558E07FF" w:rsidTr="00FB5DAD">
        <w:tc>
          <w:tcPr>
            <w:tcW w:w="4706" w:type="dxa"/>
          </w:tcPr>
          <w:p w14:paraId="695ED8E3" w14:textId="77777777" w:rsidR="003A38FF" w:rsidRPr="00D0180E" w:rsidRDefault="003A38FF" w:rsidP="003A38FF">
            <w:pPr>
              <w:pStyle w:val="Texto"/>
              <w:spacing w:line="225" w:lineRule="exact"/>
              <w:ind w:firstLine="0"/>
              <w:jc w:val="center"/>
              <w:rPr>
                <w:rFonts w:ascii="Verdana" w:hAnsi="Verdana"/>
                <w:b/>
                <w:sz w:val="16"/>
                <w:szCs w:val="16"/>
              </w:rPr>
            </w:pPr>
            <w:r w:rsidRPr="00D0180E">
              <w:rPr>
                <w:rFonts w:ascii="Verdana" w:hAnsi="Verdana"/>
                <w:b/>
                <w:sz w:val="16"/>
                <w:szCs w:val="16"/>
              </w:rPr>
              <w:t>Capítulo V</w:t>
            </w:r>
          </w:p>
        </w:tc>
        <w:tc>
          <w:tcPr>
            <w:tcW w:w="4644" w:type="dxa"/>
          </w:tcPr>
          <w:p w14:paraId="44D5A8F6" w14:textId="2B1D5628" w:rsidR="003A38FF" w:rsidRPr="003A01D6" w:rsidRDefault="003A38FF" w:rsidP="003A38FF">
            <w:pPr>
              <w:pStyle w:val="Texto"/>
              <w:spacing w:line="225" w:lineRule="exact"/>
              <w:ind w:firstLine="0"/>
              <w:jc w:val="center"/>
              <w:rPr>
                <w:rFonts w:ascii="Verdana" w:hAnsi="Verdana"/>
                <w:b/>
                <w:sz w:val="16"/>
                <w:szCs w:val="16"/>
                <w:lang w:val="en-US"/>
              </w:rPr>
            </w:pPr>
            <w:r w:rsidRPr="003A01D6">
              <w:rPr>
                <w:rFonts w:ascii="Verdana" w:hAnsi="Verdana"/>
                <w:b/>
                <w:sz w:val="16"/>
                <w:szCs w:val="16"/>
                <w:lang w:val="en-US"/>
              </w:rPr>
              <w:t>Chapter V</w:t>
            </w:r>
          </w:p>
        </w:tc>
      </w:tr>
      <w:tr w:rsidR="003A38FF" w:rsidRPr="00D83DA2" w14:paraId="60CB1F20" w14:textId="53BFD1B6" w:rsidTr="00FB5DAD">
        <w:tc>
          <w:tcPr>
            <w:tcW w:w="4706" w:type="dxa"/>
          </w:tcPr>
          <w:p w14:paraId="5CD1342A" w14:textId="77777777" w:rsidR="003A38FF" w:rsidRPr="00D0180E" w:rsidRDefault="003A38FF" w:rsidP="003A38FF">
            <w:pPr>
              <w:pStyle w:val="Texto"/>
              <w:spacing w:line="225" w:lineRule="exact"/>
              <w:ind w:firstLine="0"/>
              <w:jc w:val="center"/>
              <w:rPr>
                <w:rFonts w:ascii="Verdana" w:hAnsi="Verdana"/>
                <w:b/>
                <w:sz w:val="16"/>
                <w:szCs w:val="16"/>
              </w:rPr>
            </w:pPr>
            <w:r w:rsidRPr="00D0180E">
              <w:rPr>
                <w:rFonts w:ascii="Verdana" w:hAnsi="Verdana"/>
                <w:b/>
                <w:sz w:val="16"/>
                <w:szCs w:val="16"/>
              </w:rPr>
              <w:t>De la Supervisión y Vigilancia de las otras Entidades de la Administración Pública Federal con actividades en el Sector Eléctrico</w:t>
            </w:r>
          </w:p>
        </w:tc>
        <w:tc>
          <w:tcPr>
            <w:tcW w:w="4644" w:type="dxa"/>
          </w:tcPr>
          <w:p w14:paraId="00DD25FD" w14:textId="1F7EFEC5" w:rsidR="003A38FF" w:rsidRPr="00D0180E" w:rsidRDefault="003A38FF" w:rsidP="003A38FF">
            <w:pPr>
              <w:pStyle w:val="Texto"/>
              <w:spacing w:line="225" w:lineRule="exact"/>
              <w:ind w:firstLine="0"/>
              <w:jc w:val="center"/>
              <w:rPr>
                <w:rFonts w:ascii="Verdana" w:hAnsi="Verdana"/>
                <w:b/>
                <w:sz w:val="16"/>
                <w:szCs w:val="16"/>
                <w:lang w:val="en-US"/>
              </w:rPr>
            </w:pPr>
            <w:r w:rsidRPr="002A7BDA">
              <w:rPr>
                <w:rFonts w:ascii="Verdana" w:hAnsi="Verdana"/>
                <w:b/>
                <w:sz w:val="16"/>
                <w:szCs w:val="16"/>
                <w:lang w:val="en-US"/>
              </w:rPr>
              <w:t>Supervision and Oversight of other Federal Public Administration Entities with activities in the Electric Sector</w:t>
            </w:r>
          </w:p>
        </w:tc>
      </w:tr>
      <w:tr w:rsidR="003A38FF" w:rsidRPr="00D83DA2" w14:paraId="267AC25C" w14:textId="3F06F97B" w:rsidTr="00FB5DAD">
        <w:tc>
          <w:tcPr>
            <w:tcW w:w="4706" w:type="dxa"/>
          </w:tcPr>
          <w:p w14:paraId="6B75EFBB" w14:textId="77777777" w:rsidR="003A38FF" w:rsidRPr="00D0180E" w:rsidRDefault="003A38FF" w:rsidP="003A38FF">
            <w:pPr>
              <w:pStyle w:val="Texto"/>
              <w:spacing w:line="225" w:lineRule="exact"/>
              <w:ind w:firstLine="0"/>
              <w:rPr>
                <w:rFonts w:ascii="Verdana" w:hAnsi="Verdana"/>
                <w:b/>
                <w:sz w:val="16"/>
                <w:szCs w:val="16"/>
              </w:rPr>
            </w:pPr>
            <w:r w:rsidRPr="00D0180E">
              <w:rPr>
                <w:rFonts w:ascii="Verdana" w:hAnsi="Verdana"/>
                <w:b/>
                <w:sz w:val="16"/>
                <w:szCs w:val="16"/>
              </w:rPr>
              <w:t xml:space="preserve">Artículo 265. </w:t>
            </w:r>
            <w:r w:rsidRPr="00D0180E">
              <w:rPr>
                <w:rFonts w:ascii="Verdana" w:hAnsi="Verdana"/>
                <w:sz w:val="16"/>
                <w:szCs w:val="16"/>
              </w:rPr>
              <w:t>La Secretaría y la CNE, en el ámbito de sus competencias, pueden solicitar a otras entidades de la Administración Pública Federal Integrantes del Sector Eléctrico la presentación de información, informes, citar a comparecer a sus representantes o administradores, o cualquier actividad que considere necesaria para realizar la supervisión y vigilancia del cumplimiento de la Ley, el presente reglamento y la demás disposiciones administrativas de carácter general y jurídicas aplicables, en términos de lo señalado en el artículo 10, fracción XXXIII y 11, fracción XLII de la Ley.</w:t>
            </w:r>
          </w:p>
        </w:tc>
        <w:tc>
          <w:tcPr>
            <w:tcW w:w="4644" w:type="dxa"/>
          </w:tcPr>
          <w:p w14:paraId="099DC1B9" w14:textId="45D02BBC" w:rsidR="003A38FF" w:rsidRPr="00D0180E" w:rsidRDefault="003A38FF" w:rsidP="003A38FF">
            <w:pPr>
              <w:pStyle w:val="Texto"/>
              <w:spacing w:line="225" w:lineRule="exact"/>
              <w:ind w:firstLine="0"/>
              <w:rPr>
                <w:rFonts w:ascii="Verdana" w:hAnsi="Verdana"/>
                <w:b/>
                <w:sz w:val="16"/>
                <w:szCs w:val="16"/>
                <w:lang w:val="en-US"/>
              </w:rPr>
            </w:pPr>
            <w:r w:rsidRPr="002A7BDA">
              <w:rPr>
                <w:rFonts w:ascii="Verdana" w:hAnsi="Verdana"/>
                <w:b/>
                <w:sz w:val="16"/>
                <w:szCs w:val="16"/>
                <w:lang w:val="en-US"/>
              </w:rPr>
              <w:t xml:space="preserve">Article 265. </w:t>
            </w:r>
            <w:r w:rsidRPr="002A7BDA">
              <w:rPr>
                <w:rFonts w:ascii="Verdana" w:hAnsi="Verdana"/>
                <w:sz w:val="16"/>
                <w:szCs w:val="16"/>
                <w:lang w:val="en-US"/>
              </w:rPr>
              <w:t>The Secretary and the CNE, within the scope of their powers, may request other entities of the Federal Public Administration that are part of the electricity sector to submit information, reports, summon their representatives or administrators to appear, or any activity that is considered necessary to supervise and monitor compliance with the Law, this regulation and other general administrative and legal provisions applicable, in terms of the provisions set forth in article 10, section XXXIII and 11, section XLII of the Law.</w:t>
            </w:r>
          </w:p>
        </w:tc>
      </w:tr>
      <w:tr w:rsidR="003A38FF" w:rsidRPr="00D83DA2" w14:paraId="7B1A0176" w14:textId="041D9394" w:rsidTr="00FB5DAD">
        <w:tc>
          <w:tcPr>
            <w:tcW w:w="4706" w:type="dxa"/>
          </w:tcPr>
          <w:p w14:paraId="4E7F0CC7" w14:textId="77777777" w:rsidR="003A38FF" w:rsidRPr="00D0180E" w:rsidRDefault="003A38FF" w:rsidP="003A38FF">
            <w:pPr>
              <w:pStyle w:val="Texto"/>
              <w:spacing w:line="237" w:lineRule="exact"/>
              <w:ind w:firstLine="0"/>
              <w:rPr>
                <w:rFonts w:ascii="Verdana" w:hAnsi="Verdana"/>
                <w:sz w:val="16"/>
                <w:szCs w:val="16"/>
              </w:rPr>
            </w:pPr>
            <w:r w:rsidRPr="00D0180E">
              <w:rPr>
                <w:rFonts w:ascii="Verdana" w:hAnsi="Verdana"/>
                <w:sz w:val="16"/>
                <w:szCs w:val="16"/>
              </w:rPr>
              <w:t>Se entiende como otras entidades de la Administración Pública Federal Integrantes del Sector Eléctrico a aquellas en las que la Secretaría no participe directamente en sus consejos de administración, comités técnicos o cualquier otra forma de órgano de gobierno. Estas entidades incluyen a fideicomisos públicos, entidades paraestatales o cualquier otra entidad de la Administración Pública Federal con actividades en el sector eléctrico.</w:t>
            </w:r>
          </w:p>
        </w:tc>
        <w:tc>
          <w:tcPr>
            <w:tcW w:w="4644" w:type="dxa"/>
          </w:tcPr>
          <w:p w14:paraId="7DB33F2C" w14:textId="3B215C17" w:rsidR="003A38FF" w:rsidRPr="00D0180E" w:rsidRDefault="003A38FF" w:rsidP="003A38FF">
            <w:pPr>
              <w:pStyle w:val="Texto"/>
              <w:spacing w:line="237" w:lineRule="exact"/>
              <w:ind w:firstLine="0"/>
              <w:rPr>
                <w:rFonts w:ascii="Verdana" w:hAnsi="Verdana"/>
                <w:sz w:val="16"/>
                <w:szCs w:val="16"/>
                <w:lang w:val="en-US"/>
              </w:rPr>
            </w:pPr>
            <w:r w:rsidRPr="002A7BDA">
              <w:rPr>
                <w:rFonts w:ascii="Verdana" w:hAnsi="Verdana"/>
                <w:sz w:val="16"/>
                <w:szCs w:val="16"/>
                <w:lang w:val="en-US"/>
              </w:rPr>
              <w:t>Other entities of the Federal Public Administration that are part of the electricity sector are those in which the Secretary does not directly participate in their boards of directors, technical committees, or any other form of governing body. These entities include public trusts, parastatal entities, or any other entity of the Federal Public Administration with activities in the electricity sector.</w:t>
            </w:r>
          </w:p>
        </w:tc>
      </w:tr>
      <w:tr w:rsidR="003A38FF" w:rsidRPr="00D0180E" w14:paraId="1A293961" w14:textId="608B73D8" w:rsidTr="00FB5DAD">
        <w:tc>
          <w:tcPr>
            <w:tcW w:w="4706" w:type="dxa"/>
          </w:tcPr>
          <w:p w14:paraId="2FB6FD89" w14:textId="77777777" w:rsidR="003A38FF" w:rsidRPr="00D0180E" w:rsidRDefault="003A38FF" w:rsidP="003A38FF">
            <w:pPr>
              <w:pStyle w:val="Texto"/>
              <w:spacing w:line="237" w:lineRule="exact"/>
              <w:ind w:firstLine="0"/>
              <w:jc w:val="center"/>
              <w:rPr>
                <w:rFonts w:ascii="Verdana" w:hAnsi="Verdana"/>
                <w:b/>
                <w:sz w:val="16"/>
                <w:szCs w:val="16"/>
              </w:rPr>
            </w:pPr>
            <w:r w:rsidRPr="00D0180E">
              <w:rPr>
                <w:rFonts w:ascii="Verdana" w:hAnsi="Verdana"/>
                <w:b/>
                <w:sz w:val="16"/>
                <w:szCs w:val="16"/>
              </w:rPr>
              <w:t>TÍTULO NOVENO</w:t>
            </w:r>
          </w:p>
        </w:tc>
        <w:tc>
          <w:tcPr>
            <w:tcW w:w="4644" w:type="dxa"/>
          </w:tcPr>
          <w:p w14:paraId="60E7FEDB" w14:textId="6A5106B1" w:rsidR="003A38FF" w:rsidRPr="00D0180E" w:rsidRDefault="003A38FF" w:rsidP="003A38FF">
            <w:pPr>
              <w:pStyle w:val="Texto"/>
              <w:spacing w:line="237" w:lineRule="exact"/>
              <w:ind w:firstLine="0"/>
              <w:jc w:val="center"/>
              <w:rPr>
                <w:rFonts w:ascii="Verdana" w:hAnsi="Verdana"/>
                <w:b/>
                <w:sz w:val="16"/>
                <w:szCs w:val="16"/>
                <w:lang w:val="en-US"/>
              </w:rPr>
            </w:pPr>
            <w:r>
              <w:rPr>
                <w:rFonts w:ascii="Verdana" w:hAnsi="Verdana"/>
                <w:b/>
                <w:sz w:val="16"/>
                <w:szCs w:val="16"/>
              </w:rPr>
              <w:t>NINTH TITLE</w:t>
            </w:r>
          </w:p>
        </w:tc>
      </w:tr>
      <w:tr w:rsidR="003A38FF" w:rsidRPr="00D0180E" w14:paraId="7F762A81" w14:textId="3F290C26" w:rsidTr="00FB5DAD">
        <w:tc>
          <w:tcPr>
            <w:tcW w:w="4706" w:type="dxa"/>
          </w:tcPr>
          <w:p w14:paraId="3A8AF217" w14:textId="77777777" w:rsidR="003A38FF" w:rsidRPr="00D0180E" w:rsidRDefault="003A38FF" w:rsidP="003A38FF">
            <w:pPr>
              <w:pStyle w:val="Texto"/>
              <w:spacing w:line="237" w:lineRule="exact"/>
              <w:ind w:firstLine="0"/>
              <w:jc w:val="center"/>
              <w:rPr>
                <w:rFonts w:ascii="Verdana" w:hAnsi="Verdana"/>
                <w:b/>
                <w:sz w:val="16"/>
                <w:szCs w:val="16"/>
              </w:rPr>
            </w:pPr>
            <w:r w:rsidRPr="00D0180E">
              <w:rPr>
                <w:rFonts w:ascii="Verdana" w:hAnsi="Verdana"/>
                <w:b/>
                <w:sz w:val="16"/>
                <w:szCs w:val="16"/>
              </w:rPr>
              <w:t>DE LA INTERVENCIÓN Y LA REQUISA</w:t>
            </w:r>
          </w:p>
        </w:tc>
        <w:tc>
          <w:tcPr>
            <w:tcW w:w="4644" w:type="dxa"/>
          </w:tcPr>
          <w:p w14:paraId="24C3D98F" w14:textId="417A99D4" w:rsidR="003A38FF" w:rsidRPr="00D0180E" w:rsidRDefault="003A38FF" w:rsidP="003A38FF">
            <w:pPr>
              <w:pStyle w:val="Texto"/>
              <w:spacing w:line="237" w:lineRule="exact"/>
              <w:ind w:firstLine="0"/>
              <w:jc w:val="center"/>
              <w:rPr>
                <w:rFonts w:ascii="Verdana" w:hAnsi="Verdana"/>
                <w:b/>
                <w:sz w:val="16"/>
                <w:szCs w:val="16"/>
                <w:lang w:val="en-US"/>
              </w:rPr>
            </w:pPr>
            <w:r w:rsidRPr="00D0180E">
              <w:rPr>
                <w:rFonts w:ascii="Verdana" w:hAnsi="Verdana"/>
                <w:b/>
                <w:sz w:val="16"/>
                <w:szCs w:val="16"/>
              </w:rPr>
              <w:t>INTERVENTION AND SEARCH</w:t>
            </w:r>
          </w:p>
        </w:tc>
      </w:tr>
      <w:tr w:rsidR="003A38FF" w:rsidRPr="00D0180E" w14:paraId="660D7D56" w14:textId="087E0EEE" w:rsidTr="00FB5DAD">
        <w:tc>
          <w:tcPr>
            <w:tcW w:w="4706" w:type="dxa"/>
          </w:tcPr>
          <w:p w14:paraId="73498202" w14:textId="77777777" w:rsidR="003A38FF" w:rsidRPr="00D0180E" w:rsidRDefault="003A38FF" w:rsidP="003A38FF">
            <w:pPr>
              <w:pStyle w:val="Texto"/>
              <w:spacing w:line="237" w:lineRule="exact"/>
              <w:ind w:firstLine="0"/>
              <w:jc w:val="center"/>
              <w:rPr>
                <w:rFonts w:ascii="Verdana" w:hAnsi="Verdana"/>
                <w:b/>
                <w:sz w:val="16"/>
                <w:szCs w:val="16"/>
              </w:rPr>
            </w:pPr>
            <w:r w:rsidRPr="00D0180E">
              <w:rPr>
                <w:rFonts w:ascii="Verdana" w:hAnsi="Verdana"/>
                <w:b/>
                <w:sz w:val="16"/>
                <w:szCs w:val="16"/>
              </w:rPr>
              <w:lastRenderedPageBreak/>
              <w:t>Capítulo I</w:t>
            </w:r>
          </w:p>
        </w:tc>
        <w:tc>
          <w:tcPr>
            <w:tcW w:w="4644" w:type="dxa"/>
          </w:tcPr>
          <w:p w14:paraId="670F7AFA" w14:textId="182F1B6E" w:rsidR="003A38FF" w:rsidRPr="005732EA" w:rsidRDefault="003A38FF" w:rsidP="003A38FF">
            <w:pPr>
              <w:pStyle w:val="Texto"/>
              <w:spacing w:line="237" w:lineRule="exact"/>
              <w:ind w:firstLine="0"/>
              <w:jc w:val="center"/>
              <w:rPr>
                <w:rFonts w:ascii="Verdana" w:hAnsi="Verdana"/>
                <w:b/>
                <w:sz w:val="16"/>
                <w:szCs w:val="16"/>
                <w:lang w:val="en-US"/>
              </w:rPr>
            </w:pPr>
            <w:r w:rsidRPr="005732EA">
              <w:rPr>
                <w:rFonts w:ascii="Verdana" w:hAnsi="Verdana"/>
                <w:b/>
                <w:sz w:val="16"/>
                <w:szCs w:val="16"/>
                <w:lang w:val="en-US"/>
              </w:rPr>
              <w:t>Chapter I</w:t>
            </w:r>
          </w:p>
        </w:tc>
      </w:tr>
      <w:tr w:rsidR="003A38FF" w:rsidRPr="00D0180E" w14:paraId="2171219C" w14:textId="57EDC3B4" w:rsidTr="00FB5DAD">
        <w:tc>
          <w:tcPr>
            <w:tcW w:w="4706" w:type="dxa"/>
          </w:tcPr>
          <w:p w14:paraId="2E8E3AC3" w14:textId="77777777" w:rsidR="003A38FF" w:rsidRPr="00D0180E" w:rsidRDefault="003A38FF" w:rsidP="003A38FF">
            <w:pPr>
              <w:pStyle w:val="Texto"/>
              <w:spacing w:line="237" w:lineRule="exact"/>
              <w:ind w:firstLine="0"/>
              <w:jc w:val="center"/>
              <w:rPr>
                <w:rFonts w:ascii="Verdana" w:hAnsi="Verdana"/>
                <w:b/>
                <w:sz w:val="16"/>
                <w:szCs w:val="16"/>
              </w:rPr>
            </w:pPr>
            <w:r w:rsidRPr="00D0180E">
              <w:rPr>
                <w:rFonts w:ascii="Verdana" w:hAnsi="Verdana"/>
                <w:b/>
                <w:sz w:val="16"/>
                <w:szCs w:val="16"/>
              </w:rPr>
              <w:t>Disposiciones Generales</w:t>
            </w:r>
          </w:p>
        </w:tc>
        <w:tc>
          <w:tcPr>
            <w:tcW w:w="4644" w:type="dxa"/>
          </w:tcPr>
          <w:p w14:paraId="5779A608" w14:textId="623BF6DE" w:rsidR="003A38FF" w:rsidRPr="005732EA" w:rsidRDefault="003A38FF" w:rsidP="003A38FF">
            <w:pPr>
              <w:pStyle w:val="Texto"/>
              <w:spacing w:line="237" w:lineRule="exact"/>
              <w:ind w:firstLine="0"/>
              <w:jc w:val="center"/>
              <w:rPr>
                <w:rFonts w:ascii="Verdana" w:hAnsi="Verdana"/>
                <w:b/>
                <w:sz w:val="16"/>
                <w:szCs w:val="16"/>
                <w:lang w:val="en-US"/>
              </w:rPr>
            </w:pPr>
            <w:r w:rsidRPr="005732EA">
              <w:rPr>
                <w:rFonts w:ascii="Verdana" w:hAnsi="Verdana"/>
                <w:b/>
                <w:sz w:val="16"/>
                <w:szCs w:val="16"/>
                <w:lang w:val="en-US"/>
              </w:rPr>
              <w:t>General Provisions</w:t>
            </w:r>
          </w:p>
        </w:tc>
      </w:tr>
      <w:tr w:rsidR="003A38FF" w:rsidRPr="00D83DA2" w14:paraId="3A49D9F9" w14:textId="70E37258" w:rsidTr="00FB5DAD">
        <w:tc>
          <w:tcPr>
            <w:tcW w:w="4706" w:type="dxa"/>
          </w:tcPr>
          <w:p w14:paraId="0C231E30" w14:textId="77777777" w:rsidR="003A38FF" w:rsidRPr="00D0180E" w:rsidRDefault="003A38FF" w:rsidP="003A38FF">
            <w:pPr>
              <w:pStyle w:val="Texto"/>
              <w:spacing w:line="237" w:lineRule="exact"/>
              <w:ind w:firstLine="0"/>
              <w:rPr>
                <w:rFonts w:ascii="Verdana" w:hAnsi="Verdana"/>
                <w:sz w:val="16"/>
                <w:szCs w:val="16"/>
              </w:rPr>
            </w:pPr>
            <w:r w:rsidRPr="00D0180E">
              <w:rPr>
                <w:rFonts w:ascii="Verdana" w:hAnsi="Verdana"/>
                <w:b/>
                <w:sz w:val="16"/>
                <w:szCs w:val="16"/>
              </w:rPr>
              <w:t xml:space="preserve">Artículo 266. </w:t>
            </w:r>
            <w:bookmarkStart w:id="11" w:name="N_Hlk203410600"/>
            <w:r w:rsidRPr="00D0180E">
              <w:rPr>
                <w:rFonts w:ascii="Verdana" w:hAnsi="Verdana"/>
                <w:sz w:val="16"/>
                <w:szCs w:val="16"/>
              </w:rPr>
              <w:t>La intervención o la requisa no afectan derechos adquiridos por terceras personas de buena fe relacionados directamente con la ejecución de las actividades relacionadas con el permiso, los cuales, entre otros, pueden ser laborales, mercantiles y civiles, por lo que se debe procurar la continuidad de sus efectos jurídicos.</w:t>
            </w:r>
            <w:bookmarkEnd w:id="11"/>
          </w:p>
        </w:tc>
        <w:tc>
          <w:tcPr>
            <w:tcW w:w="4644" w:type="dxa"/>
          </w:tcPr>
          <w:p w14:paraId="60A69A52" w14:textId="317A8D6C" w:rsidR="003A38FF" w:rsidRPr="00D0180E" w:rsidRDefault="003A38FF" w:rsidP="003A38FF">
            <w:pPr>
              <w:pStyle w:val="Texto"/>
              <w:spacing w:line="237" w:lineRule="exact"/>
              <w:ind w:firstLine="0"/>
              <w:rPr>
                <w:rFonts w:ascii="Verdana" w:hAnsi="Verdana"/>
                <w:b/>
                <w:sz w:val="16"/>
                <w:szCs w:val="16"/>
                <w:lang w:val="en-US"/>
              </w:rPr>
            </w:pPr>
            <w:r w:rsidRPr="002A7BDA">
              <w:rPr>
                <w:rFonts w:ascii="Verdana" w:hAnsi="Verdana"/>
                <w:b/>
                <w:sz w:val="16"/>
                <w:szCs w:val="16"/>
                <w:lang w:val="en-US"/>
              </w:rPr>
              <w:t xml:space="preserve">Article 266. </w:t>
            </w:r>
            <w:r w:rsidRPr="002A7BDA">
              <w:rPr>
                <w:rFonts w:ascii="Verdana" w:hAnsi="Verdana"/>
                <w:sz w:val="16"/>
                <w:szCs w:val="16"/>
                <w:lang w:val="en-US"/>
              </w:rPr>
              <w:t>Intervention or requisition does not affect rights acquired by third parties in good faith directly related to the execution of the activities related to the permit, which, among others, may be labor, commercial, and civil, so the continuity of their legal effects must be ensured.</w:t>
            </w:r>
          </w:p>
        </w:tc>
      </w:tr>
      <w:tr w:rsidR="003A38FF" w:rsidRPr="00D83DA2" w14:paraId="2072C4A0" w14:textId="727B1B78" w:rsidTr="00FB5DAD">
        <w:tc>
          <w:tcPr>
            <w:tcW w:w="4706" w:type="dxa"/>
          </w:tcPr>
          <w:p w14:paraId="3E3C0AB0" w14:textId="77777777" w:rsidR="003A38FF" w:rsidRPr="00D0180E" w:rsidRDefault="003A38FF" w:rsidP="003A38FF">
            <w:pPr>
              <w:pStyle w:val="Texto"/>
              <w:spacing w:line="237" w:lineRule="exact"/>
              <w:ind w:firstLine="0"/>
              <w:rPr>
                <w:rFonts w:ascii="Verdana" w:hAnsi="Verdana"/>
                <w:sz w:val="16"/>
                <w:szCs w:val="16"/>
              </w:rPr>
            </w:pPr>
            <w:bookmarkStart w:id="12" w:name="N_Hlk203410668"/>
            <w:r w:rsidRPr="00D0180E">
              <w:rPr>
                <w:rFonts w:ascii="Verdana" w:hAnsi="Verdana"/>
                <w:b/>
                <w:sz w:val="16"/>
                <w:szCs w:val="16"/>
              </w:rPr>
              <w:t xml:space="preserve">Artículo 267. </w:t>
            </w:r>
            <w:r w:rsidRPr="00D0180E">
              <w:rPr>
                <w:rFonts w:ascii="Verdana" w:hAnsi="Verdana"/>
                <w:sz w:val="16"/>
                <w:szCs w:val="16"/>
              </w:rPr>
              <w:t xml:space="preserve">Para todos los actos relacionados con la intervención o la requisa, la Secretaría </w:t>
            </w:r>
            <w:bookmarkEnd w:id="12"/>
            <w:r w:rsidRPr="00D0180E">
              <w:rPr>
                <w:rFonts w:ascii="Verdana" w:hAnsi="Verdana"/>
                <w:sz w:val="16"/>
                <w:szCs w:val="16"/>
              </w:rPr>
              <w:t>puede coordinarse con la Empresa Pública del Estado o cualquier institución de la Administración Pública Federal, así como suscribir convenios de colaboración y coordinación con autoridades de cualquiera de los tres órdenes de gobierno que resulten necesarios.</w:t>
            </w:r>
          </w:p>
        </w:tc>
        <w:tc>
          <w:tcPr>
            <w:tcW w:w="4644" w:type="dxa"/>
          </w:tcPr>
          <w:p w14:paraId="77D9C912" w14:textId="5D198702" w:rsidR="003A38FF" w:rsidRPr="00D0180E" w:rsidRDefault="003A38FF" w:rsidP="003A38FF">
            <w:pPr>
              <w:pStyle w:val="Texto"/>
              <w:spacing w:line="237" w:lineRule="exact"/>
              <w:ind w:firstLine="0"/>
              <w:rPr>
                <w:rFonts w:ascii="Verdana" w:hAnsi="Verdana"/>
                <w:b/>
                <w:sz w:val="16"/>
                <w:szCs w:val="16"/>
                <w:lang w:val="en-US"/>
              </w:rPr>
            </w:pPr>
            <w:r w:rsidRPr="002A7BDA">
              <w:rPr>
                <w:rFonts w:ascii="Verdana" w:hAnsi="Verdana"/>
                <w:b/>
                <w:sz w:val="16"/>
                <w:szCs w:val="16"/>
                <w:lang w:val="en-US"/>
              </w:rPr>
              <w:t xml:space="preserve">Article 267. </w:t>
            </w:r>
            <w:r w:rsidRPr="002A7BDA">
              <w:rPr>
                <w:rFonts w:ascii="Verdana" w:hAnsi="Verdana"/>
                <w:sz w:val="16"/>
                <w:szCs w:val="16"/>
                <w:lang w:val="en-US"/>
              </w:rPr>
              <w:t xml:space="preserve">For all acts related to intervention or requisition, the Secretary may coordinate with the </w:t>
            </w:r>
            <w:r>
              <w:rPr>
                <w:rFonts w:ascii="Verdana" w:hAnsi="Verdana"/>
                <w:sz w:val="16"/>
                <w:szCs w:val="16"/>
                <w:lang w:val="en-US"/>
              </w:rPr>
              <w:t xml:space="preserve">State Public </w:t>
            </w:r>
            <w:proofErr w:type="gramStart"/>
            <w:r>
              <w:rPr>
                <w:rFonts w:ascii="Verdana" w:hAnsi="Verdana"/>
                <w:sz w:val="16"/>
                <w:szCs w:val="16"/>
                <w:lang w:val="en-US"/>
              </w:rPr>
              <w:t xml:space="preserve">Enterprise </w:t>
            </w:r>
            <w:r w:rsidRPr="002A7BDA">
              <w:rPr>
                <w:rFonts w:ascii="Verdana" w:hAnsi="Verdana"/>
                <w:sz w:val="16"/>
                <w:szCs w:val="16"/>
                <w:lang w:val="en-US"/>
              </w:rPr>
              <w:t xml:space="preserve"> or</w:t>
            </w:r>
            <w:proofErr w:type="gramEnd"/>
            <w:r w:rsidRPr="002A7BDA">
              <w:rPr>
                <w:rFonts w:ascii="Verdana" w:hAnsi="Verdana"/>
                <w:sz w:val="16"/>
                <w:szCs w:val="16"/>
                <w:lang w:val="en-US"/>
              </w:rPr>
              <w:t xml:space="preserve"> any institution of the Federal Public Administration, as well as sign collaboration and coordination agreements with authorities of any of the three levels of government that are necessary.</w:t>
            </w:r>
          </w:p>
        </w:tc>
      </w:tr>
      <w:tr w:rsidR="003A38FF" w:rsidRPr="00D83DA2" w14:paraId="5DC036E7" w14:textId="7903A8C1" w:rsidTr="00FB5DAD">
        <w:tc>
          <w:tcPr>
            <w:tcW w:w="4706" w:type="dxa"/>
          </w:tcPr>
          <w:p w14:paraId="6DEDFAED" w14:textId="77777777" w:rsidR="003A38FF" w:rsidRPr="00D0180E" w:rsidRDefault="003A38FF" w:rsidP="003A38FF">
            <w:pPr>
              <w:pStyle w:val="Texto"/>
              <w:spacing w:line="237" w:lineRule="exact"/>
              <w:ind w:firstLine="0"/>
              <w:rPr>
                <w:rFonts w:ascii="Verdana" w:hAnsi="Verdana"/>
                <w:sz w:val="16"/>
                <w:szCs w:val="16"/>
              </w:rPr>
            </w:pPr>
            <w:r w:rsidRPr="00D0180E">
              <w:rPr>
                <w:rFonts w:ascii="Verdana" w:hAnsi="Verdana"/>
                <w:b/>
                <w:sz w:val="16"/>
                <w:szCs w:val="16"/>
              </w:rPr>
              <w:t>Artículo 268.</w:t>
            </w:r>
            <w:r w:rsidRPr="00D0180E">
              <w:rPr>
                <w:rFonts w:ascii="Verdana" w:hAnsi="Verdana"/>
                <w:sz w:val="16"/>
                <w:szCs w:val="16"/>
              </w:rPr>
              <w:t xml:space="preserve"> Las personas respecto de las cuales se haya ejecutado un procedimiento de intervención o </w:t>
            </w:r>
            <w:proofErr w:type="gramStart"/>
            <w:r w:rsidRPr="00D0180E">
              <w:rPr>
                <w:rFonts w:ascii="Verdana" w:hAnsi="Verdana"/>
                <w:sz w:val="16"/>
                <w:szCs w:val="16"/>
              </w:rPr>
              <w:t>requisa,</w:t>
            </w:r>
            <w:proofErr w:type="gramEnd"/>
            <w:r w:rsidRPr="00D0180E">
              <w:rPr>
                <w:rFonts w:ascii="Verdana" w:hAnsi="Verdana"/>
                <w:sz w:val="16"/>
                <w:szCs w:val="16"/>
              </w:rPr>
              <w:t xml:space="preserve"> pueden solicitar su terminación cuando demuestren que las causas que la ocasionaron cesaron, fueron subsanadas o erradicadas.</w:t>
            </w:r>
          </w:p>
        </w:tc>
        <w:tc>
          <w:tcPr>
            <w:tcW w:w="4644" w:type="dxa"/>
          </w:tcPr>
          <w:p w14:paraId="1C6DDFA3" w14:textId="49550F4F" w:rsidR="003A38FF" w:rsidRPr="00D0180E" w:rsidRDefault="003A38FF" w:rsidP="003A38FF">
            <w:pPr>
              <w:pStyle w:val="Texto"/>
              <w:spacing w:line="237" w:lineRule="exact"/>
              <w:ind w:firstLine="0"/>
              <w:rPr>
                <w:rFonts w:ascii="Verdana" w:hAnsi="Verdana"/>
                <w:b/>
                <w:sz w:val="16"/>
                <w:szCs w:val="16"/>
                <w:lang w:val="en-US"/>
              </w:rPr>
            </w:pPr>
            <w:r w:rsidRPr="002A7BDA">
              <w:rPr>
                <w:rFonts w:ascii="Verdana" w:hAnsi="Verdana"/>
                <w:b/>
                <w:sz w:val="16"/>
                <w:szCs w:val="16"/>
                <w:lang w:val="en-US"/>
              </w:rPr>
              <w:t xml:space="preserve">Article 268. </w:t>
            </w:r>
            <w:r w:rsidRPr="002A7BDA">
              <w:rPr>
                <w:rFonts w:ascii="Verdana" w:hAnsi="Verdana"/>
                <w:sz w:val="16"/>
                <w:szCs w:val="16"/>
                <w:lang w:val="en-US"/>
              </w:rPr>
              <w:t>Persons against whom an intervention or requisition procedure has been carried out may request its termination when they demonstrate that the causes that led to it have ceased, been remedied or eradicated.</w:t>
            </w:r>
          </w:p>
        </w:tc>
      </w:tr>
      <w:tr w:rsidR="003A38FF" w:rsidRPr="00D83DA2" w14:paraId="58C2D824" w14:textId="3E293CDE" w:rsidTr="00FB5DAD">
        <w:tc>
          <w:tcPr>
            <w:tcW w:w="4706" w:type="dxa"/>
          </w:tcPr>
          <w:p w14:paraId="32072FD5" w14:textId="77777777" w:rsidR="003A38FF" w:rsidRPr="00D0180E" w:rsidRDefault="003A38FF" w:rsidP="003A38FF">
            <w:pPr>
              <w:pStyle w:val="Texto"/>
              <w:spacing w:line="237" w:lineRule="exact"/>
              <w:ind w:firstLine="0"/>
              <w:rPr>
                <w:rFonts w:ascii="Verdana" w:hAnsi="Verdana"/>
                <w:sz w:val="16"/>
                <w:szCs w:val="16"/>
              </w:rPr>
            </w:pPr>
            <w:r w:rsidRPr="00D0180E">
              <w:rPr>
                <w:rFonts w:ascii="Verdana" w:hAnsi="Verdana"/>
                <w:sz w:val="16"/>
                <w:szCs w:val="16"/>
              </w:rPr>
              <w:t>La Secretaría debe evaluar y resolver dicha solicitud en un plazo no mayor a veinte días hábiles contados a partir de su presentación.</w:t>
            </w:r>
          </w:p>
        </w:tc>
        <w:tc>
          <w:tcPr>
            <w:tcW w:w="4644" w:type="dxa"/>
          </w:tcPr>
          <w:p w14:paraId="4F10E385" w14:textId="58B0273D" w:rsidR="003A38FF" w:rsidRPr="00D0180E" w:rsidRDefault="003A38FF" w:rsidP="003A38FF">
            <w:pPr>
              <w:pStyle w:val="Texto"/>
              <w:spacing w:line="237" w:lineRule="exact"/>
              <w:ind w:firstLine="0"/>
              <w:rPr>
                <w:rFonts w:ascii="Verdana" w:hAnsi="Verdana"/>
                <w:sz w:val="16"/>
                <w:szCs w:val="16"/>
                <w:lang w:val="en-US"/>
              </w:rPr>
            </w:pPr>
            <w:r w:rsidRPr="002A7BDA">
              <w:rPr>
                <w:rFonts w:ascii="Verdana" w:hAnsi="Verdana"/>
                <w:sz w:val="16"/>
                <w:szCs w:val="16"/>
                <w:lang w:val="en-US"/>
              </w:rPr>
              <w:t>The Secretary must evaluate, and resolve said request within a period of no more than twenty business days from its submission.</w:t>
            </w:r>
          </w:p>
        </w:tc>
      </w:tr>
      <w:tr w:rsidR="003A38FF" w:rsidRPr="00D83DA2" w14:paraId="5BF33EF3" w14:textId="55F53B1C" w:rsidTr="00FB5DAD">
        <w:tc>
          <w:tcPr>
            <w:tcW w:w="4706" w:type="dxa"/>
          </w:tcPr>
          <w:p w14:paraId="45EACE25" w14:textId="77777777" w:rsidR="003A38FF" w:rsidRPr="00D0180E" w:rsidRDefault="003A38FF" w:rsidP="003A38FF">
            <w:pPr>
              <w:pStyle w:val="Texto"/>
              <w:spacing w:line="237" w:lineRule="exact"/>
              <w:ind w:firstLine="0"/>
              <w:rPr>
                <w:rFonts w:ascii="Verdana" w:hAnsi="Verdana"/>
                <w:sz w:val="16"/>
                <w:szCs w:val="16"/>
              </w:rPr>
            </w:pPr>
            <w:r w:rsidRPr="00D0180E">
              <w:rPr>
                <w:rFonts w:ascii="Verdana" w:hAnsi="Verdana"/>
                <w:sz w:val="16"/>
                <w:szCs w:val="16"/>
              </w:rPr>
              <w:t>En caso de que la resolución sea en sentido negativo, las personas interesadas mantienen el derecho para ingresar una nueva solicitud de terminación, siempre y cuando esta no se motive en los mismos términos que la que les fue negada.</w:t>
            </w:r>
          </w:p>
        </w:tc>
        <w:tc>
          <w:tcPr>
            <w:tcW w:w="4644" w:type="dxa"/>
          </w:tcPr>
          <w:p w14:paraId="3BE97A30" w14:textId="2D885D25" w:rsidR="003A38FF" w:rsidRPr="00D0180E" w:rsidRDefault="003A38FF" w:rsidP="003A38FF">
            <w:pPr>
              <w:pStyle w:val="Texto"/>
              <w:spacing w:line="237" w:lineRule="exact"/>
              <w:ind w:firstLine="0"/>
              <w:rPr>
                <w:rFonts w:ascii="Verdana" w:hAnsi="Verdana"/>
                <w:sz w:val="16"/>
                <w:szCs w:val="16"/>
                <w:lang w:val="en-US"/>
              </w:rPr>
            </w:pPr>
            <w:r w:rsidRPr="002A7BDA">
              <w:rPr>
                <w:rFonts w:ascii="Verdana" w:hAnsi="Verdana"/>
                <w:sz w:val="16"/>
                <w:szCs w:val="16"/>
                <w:lang w:val="en-US"/>
              </w:rPr>
              <w:t xml:space="preserve">In the event of a negative decision, the interested parties retain the right to submit a new termination request, </w:t>
            </w:r>
            <w:proofErr w:type="gramStart"/>
            <w:r w:rsidRPr="002A7BDA">
              <w:rPr>
                <w:rFonts w:ascii="Verdana" w:hAnsi="Verdana"/>
                <w:sz w:val="16"/>
                <w:szCs w:val="16"/>
                <w:lang w:val="en-US"/>
              </w:rPr>
              <w:t>provided that</w:t>
            </w:r>
            <w:proofErr w:type="gramEnd"/>
            <w:r w:rsidRPr="002A7BDA">
              <w:rPr>
                <w:rFonts w:ascii="Verdana" w:hAnsi="Verdana"/>
                <w:sz w:val="16"/>
                <w:szCs w:val="16"/>
                <w:lang w:val="en-US"/>
              </w:rPr>
              <w:t xml:space="preserve"> it is not justified in the same way as the one that was denied.</w:t>
            </w:r>
          </w:p>
        </w:tc>
      </w:tr>
      <w:tr w:rsidR="003A38FF" w:rsidRPr="00D83DA2" w14:paraId="58C4850C" w14:textId="07015530" w:rsidTr="00FB5DAD">
        <w:tc>
          <w:tcPr>
            <w:tcW w:w="4706" w:type="dxa"/>
          </w:tcPr>
          <w:p w14:paraId="1DC2E47E" w14:textId="77777777" w:rsidR="003A38FF" w:rsidRPr="00D0180E" w:rsidRDefault="003A38FF" w:rsidP="003A38FF">
            <w:pPr>
              <w:pStyle w:val="Texto"/>
              <w:spacing w:line="237" w:lineRule="exact"/>
              <w:ind w:firstLine="0"/>
              <w:rPr>
                <w:rFonts w:ascii="Verdana" w:hAnsi="Verdana"/>
                <w:sz w:val="16"/>
                <w:szCs w:val="16"/>
              </w:rPr>
            </w:pPr>
            <w:r w:rsidRPr="00D0180E">
              <w:rPr>
                <w:rFonts w:ascii="Verdana" w:hAnsi="Verdana"/>
                <w:b/>
                <w:sz w:val="16"/>
                <w:szCs w:val="16"/>
              </w:rPr>
              <w:t xml:space="preserve">Artículo 269. </w:t>
            </w:r>
            <w:r w:rsidRPr="00D0180E">
              <w:rPr>
                <w:rFonts w:ascii="Verdana" w:hAnsi="Verdana"/>
                <w:sz w:val="16"/>
                <w:szCs w:val="16"/>
              </w:rPr>
              <w:t>En contra de los actos administrativos relacionados con la intervención o la requisa no procede medio de defensa administrativo u ordinario alguno y solo pueden impugnarse a través del juicio de amparo.</w:t>
            </w:r>
          </w:p>
        </w:tc>
        <w:tc>
          <w:tcPr>
            <w:tcW w:w="4644" w:type="dxa"/>
          </w:tcPr>
          <w:p w14:paraId="592DCC6E" w14:textId="636A1195" w:rsidR="003A38FF" w:rsidRPr="00D0180E" w:rsidRDefault="003A38FF" w:rsidP="003A38FF">
            <w:pPr>
              <w:pStyle w:val="Texto"/>
              <w:spacing w:line="237" w:lineRule="exact"/>
              <w:ind w:firstLine="0"/>
              <w:rPr>
                <w:rFonts w:ascii="Verdana" w:hAnsi="Verdana"/>
                <w:b/>
                <w:sz w:val="16"/>
                <w:szCs w:val="16"/>
                <w:lang w:val="en-US"/>
              </w:rPr>
            </w:pPr>
            <w:r w:rsidRPr="002A7BDA">
              <w:rPr>
                <w:rFonts w:ascii="Verdana" w:hAnsi="Verdana"/>
                <w:b/>
                <w:sz w:val="16"/>
                <w:szCs w:val="16"/>
                <w:lang w:val="en-US"/>
              </w:rPr>
              <w:t xml:space="preserve">Article 269. </w:t>
            </w:r>
            <w:r w:rsidRPr="002A7BDA">
              <w:rPr>
                <w:rFonts w:ascii="Verdana" w:hAnsi="Verdana"/>
                <w:sz w:val="16"/>
                <w:szCs w:val="16"/>
                <w:lang w:val="en-US"/>
              </w:rPr>
              <w:t>No administrative or ordinary means of defense may be brought against administrative acts related to intervention or requisition, and they may only be challenged through an amparo trial.</w:t>
            </w:r>
          </w:p>
        </w:tc>
      </w:tr>
      <w:tr w:rsidR="003A38FF" w:rsidRPr="00D83DA2" w14:paraId="208AE590" w14:textId="4D08886E" w:rsidTr="00FB5DAD">
        <w:tc>
          <w:tcPr>
            <w:tcW w:w="4706" w:type="dxa"/>
          </w:tcPr>
          <w:p w14:paraId="0630FDF2" w14:textId="77777777" w:rsidR="003A38FF" w:rsidRPr="00D0180E" w:rsidRDefault="003A38FF" w:rsidP="003A38FF">
            <w:pPr>
              <w:pStyle w:val="Texto"/>
              <w:spacing w:line="237" w:lineRule="exact"/>
              <w:ind w:firstLine="0"/>
              <w:rPr>
                <w:rFonts w:ascii="Verdana" w:hAnsi="Verdana"/>
                <w:sz w:val="16"/>
                <w:szCs w:val="16"/>
              </w:rPr>
            </w:pPr>
            <w:r w:rsidRPr="00D0180E">
              <w:rPr>
                <w:rFonts w:ascii="Verdana" w:hAnsi="Verdana"/>
                <w:b/>
                <w:sz w:val="16"/>
                <w:szCs w:val="16"/>
              </w:rPr>
              <w:t xml:space="preserve">Artículo 270. </w:t>
            </w:r>
            <w:r w:rsidRPr="00D0180E">
              <w:rPr>
                <w:rFonts w:ascii="Verdana" w:hAnsi="Verdana"/>
                <w:sz w:val="16"/>
                <w:szCs w:val="16"/>
              </w:rPr>
              <w:t>Durante la tramitación del juicio de amparo que en su caso se instaure, no se puede suspender la ejecución de la intervención o la requisa.</w:t>
            </w:r>
          </w:p>
        </w:tc>
        <w:tc>
          <w:tcPr>
            <w:tcW w:w="4644" w:type="dxa"/>
          </w:tcPr>
          <w:p w14:paraId="5B66B016" w14:textId="2030D9BC" w:rsidR="003A38FF" w:rsidRPr="00D0180E" w:rsidRDefault="003A38FF" w:rsidP="003A38FF">
            <w:pPr>
              <w:pStyle w:val="Texto"/>
              <w:spacing w:line="237" w:lineRule="exact"/>
              <w:ind w:firstLine="0"/>
              <w:rPr>
                <w:rFonts w:ascii="Verdana" w:hAnsi="Verdana"/>
                <w:b/>
                <w:sz w:val="16"/>
                <w:szCs w:val="16"/>
                <w:lang w:val="en-US"/>
              </w:rPr>
            </w:pPr>
            <w:r w:rsidRPr="002A7BDA">
              <w:rPr>
                <w:rFonts w:ascii="Verdana" w:hAnsi="Verdana"/>
                <w:b/>
                <w:sz w:val="16"/>
                <w:szCs w:val="16"/>
                <w:lang w:val="en-US"/>
              </w:rPr>
              <w:t xml:space="preserve">Article 270. </w:t>
            </w:r>
            <w:r w:rsidRPr="002A7BDA">
              <w:rPr>
                <w:rFonts w:ascii="Verdana" w:hAnsi="Verdana"/>
                <w:sz w:val="16"/>
                <w:szCs w:val="16"/>
                <w:lang w:val="en-US"/>
              </w:rPr>
              <w:t xml:space="preserve">During the processing of the amparo </w:t>
            </w:r>
            <w:r>
              <w:rPr>
                <w:rFonts w:ascii="Verdana" w:hAnsi="Verdana"/>
                <w:sz w:val="16"/>
                <w:szCs w:val="16"/>
                <w:lang w:val="en-US"/>
              </w:rPr>
              <w:t>judgment</w:t>
            </w:r>
            <w:r w:rsidRPr="002A7BDA">
              <w:rPr>
                <w:rFonts w:ascii="Verdana" w:hAnsi="Verdana"/>
                <w:sz w:val="16"/>
                <w:szCs w:val="16"/>
                <w:lang w:val="en-US"/>
              </w:rPr>
              <w:t xml:space="preserve"> that may be instituted, the execution of the intervention or requisition may not be suspended.</w:t>
            </w:r>
          </w:p>
        </w:tc>
      </w:tr>
      <w:tr w:rsidR="003A38FF" w:rsidRPr="00D83DA2" w14:paraId="021F19D9" w14:textId="0D7E2AD1" w:rsidTr="00FB5DAD">
        <w:tc>
          <w:tcPr>
            <w:tcW w:w="4706" w:type="dxa"/>
          </w:tcPr>
          <w:p w14:paraId="0B958514" w14:textId="77777777" w:rsidR="003A38FF" w:rsidRPr="00D0180E" w:rsidRDefault="003A38FF" w:rsidP="003A38FF">
            <w:pPr>
              <w:pStyle w:val="Texto"/>
              <w:spacing w:line="237" w:lineRule="exact"/>
              <w:ind w:firstLine="0"/>
              <w:rPr>
                <w:rFonts w:ascii="Verdana" w:hAnsi="Verdana"/>
                <w:sz w:val="16"/>
                <w:szCs w:val="16"/>
              </w:rPr>
            </w:pPr>
            <w:r w:rsidRPr="00D0180E">
              <w:rPr>
                <w:rFonts w:ascii="Verdana" w:hAnsi="Verdana"/>
                <w:b/>
                <w:sz w:val="16"/>
                <w:szCs w:val="16"/>
              </w:rPr>
              <w:t>Artículo 271.</w:t>
            </w:r>
            <w:r w:rsidRPr="00D0180E">
              <w:rPr>
                <w:rFonts w:ascii="Verdana" w:hAnsi="Verdana"/>
                <w:sz w:val="16"/>
                <w:szCs w:val="16"/>
              </w:rPr>
              <w:t xml:space="preserve"> La Secretaría puede emitir disposiciones administrativas que regulen los procedimientos de intervención o requisa, así como su continuidad y, en su caso, la terminación de la operación de las actividades e instalaciones objeto de estas.</w:t>
            </w:r>
          </w:p>
        </w:tc>
        <w:tc>
          <w:tcPr>
            <w:tcW w:w="4644" w:type="dxa"/>
          </w:tcPr>
          <w:p w14:paraId="3C3D39D7" w14:textId="76A648A0" w:rsidR="003A38FF" w:rsidRPr="00D0180E" w:rsidRDefault="003A38FF" w:rsidP="003A38FF">
            <w:pPr>
              <w:pStyle w:val="Texto"/>
              <w:spacing w:line="237" w:lineRule="exact"/>
              <w:ind w:firstLine="0"/>
              <w:rPr>
                <w:rFonts w:ascii="Verdana" w:hAnsi="Verdana"/>
                <w:b/>
                <w:sz w:val="16"/>
                <w:szCs w:val="16"/>
                <w:lang w:val="en-US"/>
              </w:rPr>
            </w:pPr>
            <w:r w:rsidRPr="002A7BDA">
              <w:rPr>
                <w:rFonts w:ascii="Verdana" w:hAnsi="Verdana"/>
                <w:b/>
                <w:sz w:val="16"/>
                <w:szCs w:val="16"/>
                <w:lang w:val="en-US"/>
              </w:rPr>
              <w:t xml:space="preserve">Article 271. </w:t>
            </w:r>
            <w:r w:rsidRPr="002A7BDA">
              <w:rPr>
                <w:rFonts w:ascii="Verdana" w:hAnsi="Verdana"/>
                <w:sz w:val="16"/>
                <w:szCs w:val="16"/>
                <w:lang w:val="en-US"/>
              </w:rPr>
              <w:t>The Secretary may issue administrative provisions regulating the procedures for intervention or requisition, as well as their continuity and, where appropriate, the termination of the operation of the activities and facilities subject to these.</w:t>
            </w:r>
          </w:p>
        </w:tc>
      </w:tr>
      <w:tr w:rsidR="003A38FF" w:rsidRPr="00D0180E" w14:paraId="79D7C8CC" w14:textId="13E0C380" w:rsidTr="00FB5DAD">
        <w:tc>
          <w:tcPr>
            <w:tcW w:w="4706" w:type="dxa"/>
          </w:tcPr>
          <w:p w14:paraId="7E2F5B8A" w14:textId="77777777" w:rsidR="003A38FF" w:rsidRPr="00D0180E" w:rsidRDefault="003A38FF" w:rsidP="003A38FF">
            <w:pPr>
              <w:pStyle w:val="Texto"/>
              <w:spacing w:line="237" w:lineRule="exact"/>
              <w:ind w:firstLine="0"/>
              <w:jc w:val="center"/>
              <w:rPr>
                <w:rFonts w:ascii="Verdana" w:hAnsi="Verdana"/>
                <w:b/>
                <w:sz w:val="16"/>
                <w:szCs w:val="16"/>
              </w:rPr>
            </w:pPr>
            <w:r w:rsidRPr="00D0180E">
              <w:rPr>
                <w:rFonts w:ascii="Verdana" w:hAnsi="Verdana"/>
                <w:b/>
                <w:sz w:val="16"/>
                <w:szCs w:val="16"/>
              </w:rPr>
              <w:t>Capítulo II</w:t>
            </w:r>
          </w:p>
        </w:tc>
        <w:tc>
          <w:tcPr>
            <w:tcW w:w="4644" w:type="dxa"/>
          </w:tcPr>
          <w:p w14:paraId="30B8C989" w14:textId="5194657F" w:rsidR="003A38FF" w:rsidRPr="00005BD6" w:rsidRDefault="003A38FF" w:rsidP="003A38FF">
            <w:pPr>
              <w:pStyle w:val="Texto"/>
              <w:spacing w:line="237" w:lineRule="exact"/>
              <w:ind w:firstLine="0"/>
              <w:jc w:val="center"/>
              <w:rPr>
                <w:rFonts w:ascii="Verdana" w:hAnsi="Verdana"/>
                <w:b/>
                <w:sz w:val="16"/>
                <w:szCs w:val="16"/>
                <w:lang w:val="en-US"/>
              </w:rPr>
            </w:pPr>
            <w:r w:rsidRPr="00005BD6">
              <w:rPr>
                <w:rFonts w:ascii="Verdana" w:hAnsi="Verdana"/>
                <w:b/>
                <w:sz w:val="16"/>
                <w:szCs w:val="16"/>
                <w:lang w:val="en-US"/>
              </w:rPr>
              <w:t>Chapter II</w:t>
            </w:r>
          </w:p>
        </w:tc>
      </w:tr>
      <w:tr w:rsidR="003A38FF" w:rsidRPr="00D0180E" w14:paraId="23B554EA" w14:textId="3C1863E9" w:rsidTr="00FB5DAD">
        <w:tc>
          <w:tcPr>
            <w:tcW w:w="4706" w:type="dxa"/>
          </w:tcPr>
          <w:p w14:paraId="663F4134" w14:textId="77777777" w:rsidR="003A38FF" w:rsidRPr="00D0180E" w:rsidRDefault="003A38FF" w:rsidP="003A38FF">
            <w:pPr>
              <w:pStyle w:val="Texto"/>
              <w:spacing w:line="237" w:lineRule="exact"/>
              <w:ind w:firstLine="0"/>
              <w:jc w:val="center"/>
              <w:rPr>
                <w:rFonts w:ascii="Verdana" w:hAnsi="Verdana"/>
                <w:b/>
                <w:sz w:val="16"/>
                <w:szCs w:val="16"/>
              </w:rPr>
            </w:pPr>
            <w:r w:rsidRPr="00D0180E">
              <w:rPr>
                <w:rFonts w:ascii="Verdana" w:hAnsi="Verdana"/>
                <w:b/>
                <w:sz w:val="16"/>
                <w:szCs w:val="16"/>
              </w:rPr>
              <w:t>De la Intervención</w:t>
            </w:r>
          </w:p>
        </w:tc>
        <w:tc>
          <w:tcPr>
            <w:tcW w:w="4644" w:type="dxa"/>
          </w:tcPr>
          <w:p w14:paraId="0EBDC501" w14:textId="0D1DD479" w:rsidR="003A38FF" w:rsidRPr="00005BD6" w:rsidRDefault="003A38FF" w:rsidP="003A38FF">
            <w:pPr>
              <w:pStyle w:val="Texto"/>
              <w:spacing w:line="237" w:lineRule="exact"/>
              <w:ind w:firstLine="0"/>
              <w:jc w:val="center"/>
              <w:rPr>
                <w:rFonts w:ascii="Verdana" w:hAnsi="Verdana"/>
                <w:b/>
                <w:sz w:val="16"/>
                <w:szCs w:val="16"/>
                <w:lang w:val="en-US"/>
              </w:rPr>
            </w:pPr>
            <w:r w:rsidRPr="00005BD6">
              <w:rPr>
                <w:rFonts w:ascii="Verdana" w:hAnsi="Verdana"/>
                <w:b/>
                <w:sz w:val="16"/>
                <w:szCs w:val="16"/>
                <w:lang w:val="en-US"/>
              </w:rPr>
              <w:t>Intervention</w:t>
            </w:r>
          </w:p>
        </w:tc>
      </w:tr>
      <w:tr w:rsidR="003A38FF" w:rsidRPr="00D83DA2" w14:paraId="289B1BB6" w14:textId="213B654C" w:rsidTr="00FB5DAD">
        <w:tc>
          <w:tcPr>
            <w:tcW w:w="4706" w:type="dxa"/>
          </w:tcPr>
          <w:p w14:paraId="7E87537F" w14:textId="77777777" w:rsidR="003A38FF" w:rsidRPr="00D0180E" w:rsidRDefault="003A38FF" w:rsidP="003A38FF">
            <w:pPr>
              <w:pStyle w:val="Texto"/>
              <w:spacing w:line="237" w:lineRule="exact"/>
              <w:ind w:firstLine="0"/>
              <w:rPr>
                <w:rFonts w:ascii="Verdana" w:hAnsi="Verdana"/>
                <w:sz w:val="16"/>
                <w:szCs w:val="16"/>
              </w:rPr>
            </w:pPr>
            <w:r w:rsidRPr="00D0180E">
              <w:rPr>
                <w:rFonts w:ascii="Verdana" w:hAnsi="Verdana"/>
                <w:b/>
                <w:sz w:val="16"/>
                <w:szCs w:val="16"/>
              </w:rPr>
              <w:t xml:space="preserve">Artículo 272. </w:t>
            </w:r>
            <w:r w:rsidRPr="00D0180E">
              <w:rPr>
                <w:rFonts w:ascii="Verdana" w:hAnsi="Verdana"/>
                <w:sz w:val="16"/>
                <w:szCs w:val="16"/>
              </w:rPr>
              <w:t xml:space="preserve">Se entiende por intervención a la declaración mediante la cual, cuando existen irregularidades en la administración u operación de algún permisionario, que pongan en riesgo la Calidad, Confiabilidad, Continuidad y Seguridad del Suministro Eléctrico, la Secretaría determina la sustitución </w:t>
            </w:r>
            <w:r w:rsidRPr="00D0180E">
              <w:rPr>
                <w:rFonts w:ascii="Verdana" w:hAnsi="Verdana"/>
                <w:sz w:val="16"/>
                <w:szCs w:val="16"/>
              </w:rPr>
              <w:lastRenderedPageBreak/>
              <w:t>temporal de la persona permisionaria en la administración y operación de sus bienes, derechos e instalaciones, cuando se configuren los supuestos establecidos en la Ley, el presente reglamento y demás disposiciones que de estos emanen.</w:t>
            </w:r>
          </w:p>
        </w:tc>
        <w:tc>
          <w:tcPr>
            <w:tcW w:w="4644" w:type="dxa"/>
          </w:tcPr>
          <w:p w14:paraId="7EA9D558" w14:textId="04B0A217" w:rsidR="003A38FF" w:rsidRPr="00D0180E" w:rsidRDefault="003A38FF" w:rsidP="003A38FF">
            <w:pPr>
              <w:pStyle w:val="Texto"/>
              <w:spacing w:line="237" w:lineRule="exact"/>
              <w:ind w:firstLine="0"/>
              <w:rPr>
                <w:rFonts w:ascii="Verdana" w:hAnsi="Verdana"/>
                <w:b/>
                <w:sz w:val="16"/>
                <w:szCs w:val="16"/>
                <w:lang w:val="en-US"/>
              </w:rPr>
            </w:pPr>
            <w:r w:rsidRPr="002A7BDA">
              <w:rPr>
                <w:rFonts w:ascii="Verdana" w:hAnsi="Verdana"/>
                <w:b/>
                <w:sz w:val="16"/>
                <w:szCs w:val="16"/>
                <w:lang w:val="en-US"/>
              </w:rPr>
              <w:lastRenderedPageBreak/>
              <w:t xml:space="preserve">Article 272. </w:t>
            </w:r>
            <w:r w:rsidRPr="002A7BDA">
              <w:rPr>
                <w:rFonts w:ascii="Verdana" w:hAnsi="Verdana"/>
                <w:sz w:val="16"/>
                <w:szCs w:val="16"/>
                <w:lang w:val="en-US"/>
              </w:rPr>
              <w:t xml:space="preserve">Intervention is understood as the declaration by which, when there are irregularities in the administration or operation of a permit holder, which put at risk the quality, reliability, continuity and security of the electricity supply, the Secretary determines the temporary substitution of the permit </w:t>
            </w:r>
            <w:r w:rsidRPr="002A7BDA">
              <w:rPr>
                <w:rFonts w:ascii="Verdana" w:hAnsi="Verdana"/>
                <w:sz w:val="16"/>
                <w:szCs w:val="16"/>
                <w:lang w:val="en-US"/>
              </w:rPr>
              <w:lastRenderedPageBreak/>
              <w:t>holder in the administration and operation of its assets, rights and facilities, when the assumptions established in the Law, this regulation and other provisions emanating from them are configured.</w:t>
            </w:r>
          </w:p>
        </w:tc>
      </w:tr>
      <w:tr w:rsidR="003A38FF" w:rsidRPr="00D83DA2" w14:paraId="727B73B2" w14:textId="546A8EC6" w:rsidTr="00FB5DAD">
        <w:tc>
          <w:tcPr>
            <w:tcW w:w="4706" w:type="dxa"/>
          </w:tcPr>
          <w:p w14:paraId="6182D03C" w14:textId="77777777" w:rsidR="003A38FF" w:rsidRPr="00D0180E" w:rsidRDefault="003A38FF" w:rsidP="003A38FF">
            <w:pPr>
              <w:pStyle w:val="Texto"/>
              <w:spacing w:line="237" w:lineRule="exact"/>
              <w:ind w:firstLine="0"/>
              <w:rPr>
                <w:rFonts w:ascii="Verdana" w:hAnsi="Verdana"/>
                <w:sz w:val="16"/>
                <w:szCs w:val="16"/>
              </w:rPr>
            </w:pPr>
            <w:r w:rsidRPr="00D0180E">
              <w:rPr>
                <w:rFonts w:ascii="Verdana" w:hAnsi="Verdana"/>
                <w:sz w:val="16"/>
                <w:szCs w:val="16"/>
              </w:rPr>
              <w:lastRenderedPageBreak/>
              <w:t>En la declaratoria de intervención, la Secretaría debe precisar cuál es la información, documentación, hechos y circunstancias, que la sustentan.</w:t>
            </w:r>
          </w:p>
        </w:tc>
        <w:tc>
          <w:tcPr>
            <w:tcW w:w="4644" w:type="dxa"/>
          </w:tcPr>
          <w:p w14:paraId="16F41ADF" w14:textId="16DE9D0D" w:rsidR="003A38FF" w:rsidRPr="00D0180E" w:rsidRDefault="003A38FF" w:rsidP="003A38FF">
            <w:pPr>
              <w:pStyle w:val="Texto"/>
              <w:spacing w:line="237" w:lineRule="exact"/>
              <w:ind w:firstLine="0"/>
              <w:rPr>
                <w:rFonts w:ascii="Verdana" w:hAnsi="Verdana"/>
                <w:sz w:val="16"/>
                <w:szCs w:val="16"/>
                <w:lang w:val="en-US"/>
              </w:rPr>
            </w:pPr>
            <w:r w:rsidRPr="002A7BDA">
              <w:rPr>
                <w:rFonts w:ascii="Verdana" w:hAnsi="Verdana"/>
                <w:sz w:val="16"/>
                <w:szCs w:val="16"/>
                <w:lang w:val="en-US"/>
              </w:rPr>
              <w:t>In the declaration of intervention, the Secretary must specify the information, documentation, facts, and circumstances that support it.</w:t>
            </w:r>
          </w:p>
        </w:tc>
      </w:tr>
      <w:tr w:rsidR="003A38FF" w:rsidRPr="00D83DA2" w14:paraId="3021DB54" w14:textId="2DB7A7CB" w:rsidTr="00FB5DAD">
        <w:tc>
          <w:tcPr>
            <w:tcW w:w="4706" w:type="dxa"/>
          </w:tcPr>
          <w:p w14:paraId="05127512" w14:textId="77777777" w:rsidR="003A38FF" w:rsidRPr="00D0180E" w:rsidRDefault="003A38FF" w:rsidP="003A38FF">
            <w:pPr>
              <w:pStyle w:val="Texto"/>
              <w:spacing w:line="237" w:lineRule="exact"/>
              <w:ind w:firstLine="0"/>
              <w:rPr>
                <w:rFonts w:ascii="Verdana" w:hAnsi="Verdana"/>
                <w:sz w:val="16"/>
                <w:szCs w:val="16"/>
              </w:rPr>
            </w:pPr>
            <w:r w:rsidRPr="00D0180E">
              <w:rPr>
                <w:rFonts w:ascii="Verdana" w:hAnsi="Verdana"/>
                <w:b/>
                <w:sz w:val="16"/>
                <w:szCs w:val="16"/>
              </w:rPr>
              <w:t xml:space="preserve">Artículo 273. </w:t>
            </w:r>
            <w:r w:rsidRPr="00D0180E">
              <w:rPr>
                <w:rFonts w:ascii="Verdana" w:hAnsi="Verdana"/>
                <w:sz w:val="16"/>
                <w:szCs w:val="16"/>
              </w:rPr>
              <w:t>Para efectos de lo dispuesto en el artículo anterior, la Secretaría debe notificar a la persona permisionaria la declaración de intervención, dentro de los diez días hábiles siguientes a su emisión, en la que se señale el plazo para que la persona permisionaria subsane o desvirtúe el hecho causante de la declaratoria, o bien, manifieste lo que a su derecho convenga y, en su caso, ofrezca las pruebas que considere pertinentes respecto a las irregularidades detectadas, el cual no puede ser mayor a quince días hábiles.</w:t>
            </w:r>
          </w:p>
        </w:tc>
        <w:tc>
          <w:tcPr>
            <w:tcW w:w="4644" w:type="dxa"/>
          </w:tcPr>
          <w:p w14:paraId="79ACD4DC" w14:textId="47B1387B" w:rsidR="003A38FF" w:rsidRPr="00D0180E" w:rsidRDefault="003A38FF" w:rsidP="003A38FF">
            <w:pPr>
              <w:pStyle w:val="Texto"/>
              <w:spacing w:line="237" w:lineRule="exact"/>
              <w:ind w:firstLine="0"/>
              <w:rPr>
                <w:rFonts w:ascii="Verdana" w:hAnsi="Verdana"/>
                <w:b/>
                <w:sz w:val="16"/>
                <w:szCs w:val="16"/>
                <w:lang w:val="en-US"/>
              </w:rPr>
            </w:pPr>
            <w:r w:rsidRPr="002A7BDA">
              <w:rPr>
                <w:rFonts w:ascii="Verdana" w:hAnsi="Verdana"/>
                <w:b/>
                <w:sz w:val="16"/>
                <w:szCs w:val="16"/>
                <w:lang w:val="en-US"/>
              </w:rPr>
              <w:t xml:space="preserve">Article 273. </w:t>
            </w:r>
            <w:r w:rsidRPr="002A7BDA">
              <w:rPr>
                <w:rFonts w:ascii="Verdana" w:hAnsi="Verdana"/>
                <w:sz w:val="16"/>
                <w:szCs w:val="16"/>
                <w:lang w:val="en-US"/>
              </w:rPr>
              <w:t xml:space="preserve">For the purposes of the provisions of the </w:t>
            </w:r>
            <w:r>
              <w:rPr>
                <w:rFonts w:ascii="Verdana" w:hAnsi="Verdana"/>
                <w:sz w:val="16"/>
                <w:szCs w:val="16"/>
                <w:lang w:val="en-US"/>
              </w:rPr>
              <w:t>preceding article</w:t>
            </w:r>
            <w:r w:rsidRPr="002A7BDA">
              <w:rPr>
                <w:rFonts w:ascii="Verdana" w:hAnsi="Verdana"/>
                <w:sz w:val="16"/>
                <w:szCs w:val="16"/>
                <w:lang w:val="en-US"/>
              </w:rPr>
              <w:t>, the Secretary must notify the permit holder of the declaration of intervention within ten business days following its issuance, in which the deadline for the permit holder to correct or refute the fact that caused the declaration is set, or to state what is appropriate to its right and, where appropriate, offer the evidence it considers pertinent with respect to the irregularities detected, which may not exceed fifteen business days.</w:t>
            </w:r>
          </w:p>
        </w:tc>
      </w:tr>
      <w:tr w:rsidR="003A38FF" w:rsidRPr="00D83DA2" w14:paraId="65145C12" w14:textId="766EEC03" w:rsidTr="00FB5DAD">
        <w:tc>
          <w:tcPr>
            <w:tcW w:w="4706" w:type="dxa"/>
          </w:tcPr>
          <w:p w14:paraId="1DE7EA4D" w14:textId="77777777" w:rsidR="003A38FF" w:rsidRPr="00D0180E" w:rsidRDefault="003A38FF" w:rsidP="003A38FF">
            <w:pPr>
              <w:pStyle w:val="Texto"/>
              <w:spacing w:after="92" w:line="223" w:lineRule="exact"/>
              <w:ind w:firstLine="0"/>
              <w:rPr>
                <w:rFonts w:ascii="Verdana" w:hAnsi="Verdana"/>
                <w:sz w:val="16"/>
                <w:szCs w:val="16"/>
              </w:rPr>
            </w:pPr>
            <w:r w:rsidRPr="00D0180E">
              <w:rPr>
                <w:rFonts w:ascii="Verdana" w:hAnsi="Verdana"/>
                <w:sz w:val="16"/>
                <w:szCs w:val="16"/>
              </w:rPr>
              <w:t>Una vez oída a la persona permisionaria, desahogadas las pruebas ofrecidas y admitidas, la Secretaría, debe emitir su pronunciamiento en un término no mayor a treinta días hábiles y determinar si la persona permisionaria corrigió o desvirtuó las causas o motivos que dieron inicio al procedimiento de intervención. En caso de que corrija o desvirtúe las causas o motivos que dieron inicio al procedimiento de intervención, se debe archivar el asunto como totalmente concluido.</w:t>
            </w:r>
          </w:p>
        </w:tc>
        <w:tc>
          <w:tcPr>
            <w:tcW w:w="4644" w:type="dxa"/>
          </w:tcPr>
          <w:p w14:paraId="1861251B" w14:textId="67FBED3C" w:rsidR="003A38FF" w:rsidRPr="00D0180E" w:rsidRDefault="003A38FF" w:rsidP="003A38FF">
            <w:pPr>
              <w:pStyle w:val="Texto"/>
              <w:spacing w:after="92" w:line="223" w:lineRule="exact"/>
              <w:ind w:firstLine="0"/>
              <w:rPr>
                <w:rFonts w:ascii="Verdana" w:hAnsi="Verdana"/>
                <w:sz w:val="16"/>
                <w:szCs w:val="16"/>
                <w:lang w:val="en-US"/>
              </w:rPr>
            </w:pPr>
            <w:r w:rsidRPr="002A7BDA">
              <w:rPr>
                <w:rFonts w:ascii="Verdana" w:hAnsi="Verdana"/>
                <w:sz w:val="16"/>
                <w:szCs w:val="16"/>
                <w:lang w:val="en-US"/>
              </w:rPr>
              <w:t>Once the permit holder has been heard and the evidence offered and admitted has been reviewed, the Secretary must issue its ruling within no more than thirty business days and determine whether the permit holder has corrected or refuted the causes or reasons that initiated the intervention procedure. If the permit holder corrects or refuted the causes or reasons that initiated the intervention procedure, the matter must be filed as fully concluded.</w:t>
            </w:r>
          </w:p>
        </w:tc>
      </w:tr>
      <w:tr w:rsidR="003A38FF" w:rsidRPr="00D83DA2" w14:paraId="48714766" w14:textId="61D93394" w:rsidTr="00FB5DAD">
        <w:tc>
          <w:tcPr>
            <w:tcW w:w="4706" w:type="dxa"/>
          </w:tcPr>
          <w:p w14:paraId="591CFF0C" w14:textId="77777777" w:rsidR="003A38FF" w:rsidRPr="00D0180E" w:rsidRDefault="003A38FF" w:rsidP="003A38FF">
            <w:pPr>
              <w:pStyle w:val="Texto"/>
              <w:spacing w:after="92" w:line="223" w:lineRule="exact"/>
              <w:ind w:firstLine="0"/>
              <w:rPr>
                <w:rFonts w:ascii="Verdana" w:hAnsi="Verdana"/>
                <w:sz w:val="16"/>
                <w:szCs w:val="16"/>
              </w:rPr>
            </w:pPr>
            <w:r w:rsidRPr="00D0180E">
              <w:rPr>
                <w:rFonts w:ascii="Verdana" w:hAnsi="Verdana"/>
                <w:sz w:val="16"/>
                <w:szCs w:val="16"/>
              </w:rPr>
              <w:t>La resolución que confirme la causa o motivo de la intervención debe notificarse en un plazo no mayor a diez días hábiles contados a partir de su emisión, la cual debe señalar el alcance, duración de la intervención, así como, la fecha y hora para llevar a cabo la diligencia de intervención.</w:t>
            </w:r>
          </w:p>
        </w:tc>
        <w:tc>
          <w:tcPr>
            <w:tcW w:w="4644" w:type="dxa"/>
          </w:tcPr>
          <w:p w14:paraId="649CAC80" w14:textId="4FDF23EE" w:rsidR="003A38FF" w:rsidRPr="00D0180E" w:rsidRDefault="003A38FF" w:rsidP="003A38FF">
            <w:pPr>
              <w:pStyle w:val="Texto"/>
              <w:spacing w:after="92" w:line="223" w:lineRule="exact"/>
              <w:ind w:firstLine="0"/>
              <w:rPr>
                <w:rFonts w:ascii="Verdana" w:hAnsi="Verdana"/>
                <w:sz w:val="16"/>
                <w:szCs w:val="16"/>
                <w:lang w:val="en-US"/>
              </w:rPr>
            </w:pPr>
            <w:r w:rsidRPr="002A7BDA">
              <w:rPr>
                <w:rFonts w:ascii="Verdana" w:hAnsi="Verdana"/>
                <w:sz w:val="16"/>
                <w:szCs w:val="16"/>
                <w:lang w:val="en-US"/>
              </w:rPr>
              <w:t>The resolution confirming the cause or reason for the intervention must be notified within a period of no more than ten business days from its issuance. It must specify the scope and duration of the intervention, as well as the date and time for the intervention procedure.</w:t>
            </w:r>
          </w:p>
        </w:tc>
      </w:tr>
      <w:tr w:rsidR="003A38FF" w:rsidRPr="00D83DA2" w14:paraId="1F44BF8B" w14:textId="69928E61" w:rsidTr="00FB5DAD">
        <w:tc>
          <w:tcPr>
            <w:tcW w:w="4706" w:type="dxa"/>
          </w:tcPr>
          <w:p w14:paraId="3CCCFE4E" w14:textId="77777777" w:rsidR="003A38FF" w:rsidRPr="00D0180E" w:rsidRDefault="003A38FF" w:rsidP="003A38FF">
            <w:pPr>
              <w:pStyle w:val="Texto"/>
              <w:spacing w:after="92" w:line="223" w:lineRule="exact"/>
              <w:ind w:firstLine="0"/>
              <w:rPr>
                <w:rFonts w:ascii="Verdana" w:hAnsi="Verdana"/>
                <w:sz w:val="16"/>
                <w:szCs w:val="16"/>
              </w:rPr>
            </w:pPr>
            <w:r w:rsidRPr="00D0180E">
              <w:rPr>
                <w:rFonts w:ascii="Verdana" w:hAnsi="Verdana"/>
                <w:sz w:val="16"/>
                <w:szCs w:val="16"/>
              </w:rPr>
              <w:t>Lo anterior, sin perjuicio de las sanciones y responsabilidades en las que, en su caso, incurra la persona permisionaria.</w:t>
            </w:r>
          </w:p>
        </w:tc>
        <w:tc>
          <w:tcPr>
            <w:tcW w:w="4644" w:type="dxa"/>
          </w:tcPr>
          <w:p w14:paraId="366CFDF3" w14:textId="3E7238E7" w:rsidR="003A38FF" w:rsidRPr="00D0180E" w:rsidRDefault="003A38FF" w:rsidP="003A38FF">
            <w:pPr>
              <w:pStyle w:val="Texto"/>
              <w:spacing w:after="92" w:line="223" w:lineRule="exact"/>
              <w:ind w:firstLine="0"/>
              <w:rPr>
                <w:rFonts w:ascii="Verdana" w:hAnsi="Verdana"/>
                <w:sz w:val="16"/>
                <w:szCs w:val="16"/>
                <w:lang w:val="en-US"/>
              </w:rPr>
            </w:pPr>
            <w:r w:rsidRPr="002A7BDA">
              <w:rPr>
                <w:rFonts w:ascii="Verdana" w:hAnsi="Verdana"/>
                <w:sz w:val="16"/>
                <w:szCs w:val="16"/>
                <w:lang w:val="en-US"/>
              </w:rPr>
              <w:t>The foregoing, without prejudice to any sanctions and liabilities that the permit holder may incur, if applicable.</w:t>
            </w:r>
          </w:p>
        </w:tc>
      </w:tr>
      <w:tr w:rsidR="003A38FF" w:rsidRPr="00D83DA2" w14:paraId="4210657B" w14:textId="0E571D89" w:rsidTr="00FB5DAD">
        <w:tc>
          <w:tcPr>
            <w:tcW w:w="4706" w:type="dxa"/>
          </w:tcPr>
          <w:p w14:paraId="2B74FCBB" w14:textId="77777777" w:rsidR="003A38FF" w:rsidRPr="00D0180E" w:rsidRDefault="003A38FF" w:rsidP="003A38FF">
            <w:pPr>
              <w:pStyle w:val="Texto"/>
              <w:spacing w:after="92" w:line="223" w:lineRule="exact"/>
              <w:ind w:firstLine="0"/>
              <w:rPr>
                <w:rFonts w:ascii="Verdana" w:hAnsi="Verdana"/>
                <w:sz w:val="16"/>
                <w:szCs w:val="16"/>
              </w:rPr>
            </w:pPr>
            <w:r w:rsidRPr="00D0180E">
              <w:rPr>
                <w:rFonts w:ascii="Verdana" w:hAnsi="Verdana"/>
                <w:b/>
                <w:sz w:val="16"/>
                <w:szCs w:val="16"/>
              </w:rPr>
              <w:t xml:space="preserve">Artículo 274. </w:t>
            </w:r>
            <w:r w:rsidRPr="00D0180E">
              <w:rPr>
                <w:rFonts w:ascii="Verdana" w:hAnsi="Verdana"/>
                <w:sz w:val="16"/>
                <w:szCs w:val="16"/>
              </w:rPr>
              <w:t>En la resolución que confirme la causa o motivo de la intervención, se debe señalar a la persona interventora designada por la persona titular de la Secretaría, la cual puede ser elegida, de entre quienes laboran para la persona permisionaria.</w:t>
            </w:r>
          </w:p>
        </w:tc>
        <w:tc>
          <w:tcPr>
            <w:tcW w:w="4644" w:type="dxa"/>
          </w:tcPr>
          <w:p w14:paraId="3F14C478" w14:textId="28DDCB32" w:rsidR="003A38FF" w:rsidRPr="00D0180E" w:rsidRDefault="003A38FF" w:rsidP="003A38FF">
            <w:pPr>
              <w:pStyle w:val="Texto"/>
              <w:spacing w:after="92" w:line="223" w:lineRule="exact"/>
              <w:ind w:firstLine="0"/>
              <w:rPr>
                <w:rFonts w:ascii="Verdana" w:hAnsi="Verdana"/>
                <w:b/>
                <w:sz w:val="16"/>
                <w:szCs w:val="16"/>
                <w:lang w:val="en-US"/>
              </w:rPr>
            </w:pPr>
            <w:r w:rsidRPr="002A7BDA">
              <w:rPr>
                <w:rFonts w:ascii="Verdana" w:hAnsi="Verdana"/>
                <w:b/>
                <w:sz w:val="16"/>
                <w:szCs w:val="16"/>
                <w:lang w:val="en-US"/>
              </w:rPr>
              <w:t xml:space="preserve">Article 274. </w:t>
            </w:r>
            <w:r w:rsidRPr="002A7BDA">
              <w:rPr>
                <w:rFonts w:ascii="Verdana" w:hAnsi="Verdana"/>
                <w:sz w:val="16"/>
                <w:szCs w:val="16"/>
                <w:lang w:val="en-US"/>
              </w:rPr>
              <w:t>The resolution confirming the cause or reason for the intervention must specify the intervening person designated by the head of the Secretary, who may be chosen from among those working for the permit holder.</w:t>
            </w:r>
          </w:p>
        </w:tc>
      </w:tr>
      <w:tr w:rsidR="003A38FF" w:rsidRPr="00D83DA2" w14:paraId="6BE99A84" w14:textId="1AC2162C" w:rsidTr="00FB5DAD">
        <w:tc>
          <w:tcPr>
            <w:tcW w:w="4706" w:type="dxa"/>
          </w:tcPr>
          <w:p w14:paraId="0A11E778" w14:textId="77777777" w:rsidR="003A38FF" w:rsidRPr="00D0180E" w:rsidRDefault="003A38FF" w:rsidP="003A38FF">
            <w:pPr>
              <w:pStyle w:val="Texto"/>
              <w:spacing w:after="92" w:line="223" w:lineRule="exact"/>
              <w:ind w:firstLine="0"/>
              <w:rPr>
                <w:rFonts w:ascii="Verdana" w:hAnsi="Verdana"/>
                <w:sz w:val="16"/>
                <w:szCs w:val="16"/>
              </w:rPr>
            </w:pPr>
            <w:r w:rsidRPr="00D0180E">
              <w:rPr>
                <w:rFonts w:ascii="Verdana" w:hAnsi="Verdana"/>
                <w:sz w:val="16"/>
                <w:szCs w:val="16"/>
              </w:rPr>
              <w:t>La Secretaría tiene derecho a cobrar los gastos en que haya incurrido con motivo de la ejecución de la intervención.</w:t>
            </w:r>
          </w:p>
        </w:tc>
        <w:tc>
          <w:tcPr>
            <w:tcW w:w="4644" w:type="dxa"/>
          </w:tcPr>
          <w:p w14:paraId="22D96303" w14:textId="3CB8BEBF" w:rsidR="003A38FF" w:rsidRPr="00D0180E" w:rsidRDefault="003A38FF" w:rsidP="003A38FF">
            <w:pPr>
              <w:pStyle w:val="Texto"/>
              <w:spacing w:after="92" w:line="223" w:lineRule="exact"/>
              <w:ind w:firstLine="0"/>
              <w:rPr>
                <w:rFonts w:ascii="Verdana" w:hAnsi="Verdana"/>
                <w:sz w:val="16"/>
                <w:szCs w:val="16"/>
                <w:lang w:val="en-US"/>
              </w:rPr>
            </w:pPr>
            <w:r w:rsidRPr="002A7BDA">
              <w:rPr>
                <w:rFonts w:ascii="Verdana" w:hAnsi="Verdana"/>
                <w:sz w:val="16"/>
                <w:szCs w:val="16"/>
                <w:lang w:val="en-US"/>
              </w:rPr>
              <w:t>The Secretary has the right to collect the expenses incurred in carrying out the intervention.</w:t>
            </w:r>
          </w:p>
        </w:tc>
      </w:tr>
      <w:tr w:rsidR="003A38FF" w:rsidRPr="00D83DA2" w14:paraId="6A124A59" w14:textId="08B83971" w:rsidTr="00FB5DAD">
        <w:tc>
          <w:tcPr>
            <w:tcW w:w="4706" w:type="dxa"/>
          </w:tcPr>
          <w:p w14:paraId="7BD9B56E" w14:textId="77777777" w:rsidR="003A38FF" w:rsidRPr="00D0180E" w:rsidRDefault="003A38FF" w:rsidP="003A38FF">
            <w:pPr>
              <w:pStyle w:val="Texto"/>
              <w:spacing w:after="92" w:line="223" w:lineRule="exact"/>
              <w:ind w:firstLine="0"/>
              <w:rPr>
                <w:rFonts w:ascii="Verdana" w:hAnsi="Verdana"/>
                <w:sz w:val="16"/>
                <w:szCs w:val="16"/>
              </w:rPr>
            </w:pPr>
            <w:r w:rsidRPr="00D0180E">
              <w:rPr>
                <w:rFonts w:ascii="Verdana" w:hAnsi="Verdana"/>
                <w:b/>
                <w:sz w:val="16"/>
                <w:szCs w:val="16"/>
              </w:rPr>
              <w:t xml:space="preserve">Artículo 275. </w:t>
            </w:r>
            <w:r w:rsidRPr="00D0180E">
              <w:rPr>
                <w:rFonts w:ascii="Verdana" w:hAnsi="Verdana"/>
                <w:sz w:val="16"/>
                <w:szCs w:val="16"/>
              </w:rPr>
              <w:t>La persona designada como interventora puede provenir del sector público, privado o social, siempre y cuando cuente con capacidad técnica y experiencia relacionada con la administración y operación de las instalaciones intervenidas. La persona interventora tiene derecho a cobrar los honorarios correspondientes al periodo de intervención, con cargo a los ingresos de la persona permisionaria.</w:t>
            </w:r>
          </w:p>
        </w:tc>
        <w:tc>
          <w:tcPr>
            <w:tcW w:w="4644" w:type="dxa"/>
          </w:tcPr>
          <w:p w14:paraId="1E80653E" w14:textId="5FA9859D" w:rsidR="003A38FF" w:rsidRPr="00D0180E" w:rsidRDefault="003A38FF" w:rsidP="003A38FF">
            <w:pPr>
              <w:pStyle w:val="Texto"/>
              <w:spacing w:after="92" w:line="223" w:lineRule="exact"/>
              <w:ind w:firstLine="0"/>
              <w:rPr>
                <w:rFonts w:ascii="Verdana" w:hAnsi="Verdana"/>
                <w:b/>
                <w:sz w:val="16"/>
                <w:szCs w:val="16"/>
                <w:lang w:val="en-US"/>
              </w:rPr>
            </w:pPr>
            <w:r w:rsidRPr="002A7BDA">
              <w:rPr>
                <w:rFonts w:ascii="Verdana" w:hAnsi="Verdana"/>
                <w:b/>
                <w:sz w:val="16"/>
                <w:szCs w:val="16"/>
                <w:lang w:val="en-US"/>
              </w:rPr>
              <w:t xml:space="preserve">Article 275. </w:t>
            </w:r>
            <w:r w:rsidRPr="002A7BDA">
              <w:rPr>
                <w:rFonts w:ascii="Verdana" w:hAnsi="Verdana"/>
                <w:sz w:val="16"/>
                <w:szCs w:val="16"/>
                <w:lang w:val="en-US"/>
              </w:rPr>
              <w:t>The person appointed as an auditor may be from the public, private, or social sectors, provided they have the technical capacity and experience related to the administration and operation of the facilities under audit. The auditor is entitled to collect the fees corresponding to the audit period, charged to the permit holder's income.</w:t>
            </w:r>
          </w:p>
        </w:tc>
      </w:tr>
      <w:tr w:rsidR="003A38FF" w:rsidRPr="00D83DA2" w14:paraId="5A10417A" w14:textId="3EB8B00C" w:rsidTr="00FB5DAD">
        <w:tc>
          <w:tcPr>
            <w:tcW w:w="4706" w:type="dxa"/>
          </w:tcPr>
          <w:p w14:paraId="5ABB2F3E" w14:textId="77777777" w:rsidR="003A38FF" w:rsidRPr="00D0180E" w:rsidRDefault="003A38FF" w:rsidP="003A38FF">
            <w:pPr>
              <w:pStyle w:val="Texto"/>
              <w:spacing w:after="92" w:line="223" w:lineRule="exact"/>
              <w:ind w:firstLine="0"/>
              <w:rPr>
                <w:rFonts w:ascii="Verdana" w:hAnsi="Verdana"/>
                <w:sz w:val="16"/>
                <w:szCs w:val="16"/>
              </w:rPr>
            </w:pPr>
            <w:r w:rsidRPr="00D0180E">
              <w:rPr>
                <w:rFonts w:ascii="Verdana" w:hAnsi="Verdana"/>
                <w:sz w:val="16"/>
                <w:szCs w:val="16"/>
              </w:rPr>
              <w:lastRenderedPageBreak/>
              <w:t xml:space="preserve">Los requisitos para ser designado como persona interventora y los elementos mínimos que debe contener la contratación referida en el párrafo </w:t>
            </w:r>
            <w:proofErr w:type="gramStart"/>
            <w:r w:rsidRPr="00D0180E">
              <w:rPr>
                <w:rFonts w:ascii="Verdana" w:hAnsi="Verdana"/>
                <w:sz w:val="16"/>
                <w:szCs w:val="16"/>
              </w:rPr>
              <w:t>anterior,</w:t>
            </w:r>
            <w:proofErr w:type="gramEnd"/>
            <w:r w:rsidRPr="00D0180E">
              <w:rPr>
                <w:rFonts w:ascii="Verdana" w:hAnsi="Verdana"/>
                <w:sz w:val="16"/>
                <w:szCs w:val="16"/>
              </w:rPr>
              <w:t xml:space="preserve"> se deben establecer en las disposiciones aplicables que se emitan para tal efecto.</w:t>
            </w:r>
          </w:p>
        </w:tc>
        <w:tc>
          <w:tcPr>
            <w:tcW w:w="4644" w:type="dxa"/>
          </w:tcPr>
          <w:p w14:paraId="4E46A2DC" w14:textId="237892D5" w:rsidR="003A38FF" w:rsidRPr="00D0180E" w:rsidRDefault="003A38FF" w:rsidP="003A38FF">
            <w:pPr>
              <w:pStyle w:val="Texto"/>
              <w:spacing w:after="92" w:line="223" w:lineRule="exact"/>
              <w:ind w:firstLine="0"/>
              <w:rPr>
                <w:rFonts w:ascii="Verdana" w:hAnsi="Verdana"/>
                <w:sz w:val="16"/>
                <w:szCs w:val="16"/>
                <w:lang w:val="en-US"/>
              </w:rPr>
            </w:pPr>
            <w:r w:rsidRPr="002A7BDA">
              <w:rPr>
                <w:rFonts w:ascii="Verdana" w:hAnsi="Verdana"/>
                <w:sz w:val="16"/>
                <w:szCs w:val="16"/>
                <w:lang w:val="en-US"/>
              </w:rPr>
              <w:t xml:space="preserve">The requirements for being appointed as an auditor and the minimum elements that the contract referred to in the </w:t>
            </w:r>
            <w:r>
              <w:rPr>
                <w:rFonts w:ascii="Verdana" w:hAnsi="Verdana"/>
                <w:sz w:val="16"/>
                <w:szCs w:val="16"/>
                <w:lang w:val="en-US"/>
              </w:rPr>
              <w:t>preceding paragraph</w:t>
            </w:r>
            <w:r w:rsidRPr="002A7BDA">
              <w:rPr>
                <w:rFonts w:ascii="Verdana" w:hAnsi="Verdana"/>
                <w:sz w:val="16"/>
                <w:szCs w:val="16"/>
                <w:lang w:val="en-US"/>
              </w:rPr>
              <w:t xml:space="preserve"> must contain must be established in the applicable provisions issued for this purpose.</w:t>
            </w:r>
          </w:p>
        </w:tc>
      </w:tr>
      <w:tr w:rsidR="003A38FF" w:rsidRPr="00D83DA2" w14:paraId="4BF48522" w14:textId="06E2BE59" w:rsidTr="00FB5DAD">
        <w:tc>
          <w:tcPr>
            <w:tcW w:w="4706" w:type="dxa"/>
          </w:tcPr>
          <w:p w14:paraId="3CACCB00" w14:textId="77777777" w:rsidR="003A38FF" w:rsidRPr="00D0180E" w:rsidRDefault="003A38FF" w:rsidP="003A38FF">
            <w:pPr>
              <w:pStyle w:val="Texto"/>
              <w:spacing w:after="92" w:line="223" w:lineRule="exact"/>
              <w:ind w:firstLine="0"/>
              <w:rPr>
                <w:rFonts w:ascii="Verdana" w:hAnsi="Verdana"/>
                <w:sz w:val="16"/>
                <w:szCs w:val="16"/>
              </w:rPr>
            </w:pPr>
            <w:r w:rsidRPr="00D0180E">
              <w:rPr>
                <w:rFonts w:ascii="Verdana" w:hAnsi="Verdana"/>
                <w:b/>
                <w:sz w:val="16"/>
                <w:szCs w:val="16"/>
              </w:rPr>
              <w:t>Artículo 276.</w:t>
            </w:r>
            <w:r w:rsidRPr="00D0180E">
              <w:rPr>
                <w:rFonts w:ascii="Verdana" w:hAnsi="Verdana"/>
                <w:sz w:val="16"/>
                <w:szCs w:val="16"/>
              </w:rPr>
              <w:t xml:space="preserve"> La persona designada como interventora tiene al menos las siguientes obligaciones:</w:t>
            </w:r>
          </w:p>
        </w:tc>
        <w:tc>
          <w:tcPr>
            <w:tcW w:w="4644" w:type="dxa"/>
          </w:tcPr>
          <w:p w14:paraId="43AD0970" w14:textId="5F370A48" w:rsidR="003A38FF" w:rsidRPr="00D0180E" w:rsidRDefault="003A38FF" w:rsidP="003A38FF">
            <w:pPr>
              <w:pStyle w:val="Texto"/>
              <w:spacing w:after="92" w:line="223" w:lineRule="exact"/>
              <w:ind w:firstLine="0"/>
              <w:rPr>
                <w:rFonts w:ascii="Verdana" w:hAnsi="Verdana"/>
                <w:b/>
                <w:sz w:val="16"/>
                <w:szCs w:val="16"/>
                <w:lang w:val="en-US"/>
              </w:rPr>
            </w:pPr>
            <w:r w:rsidRPr="002A7BDA">
              <w:rPr>
                <w:rFonts w:ascii="Verdana" w:hAnsi="Verdana"/>
                <w:b/>
                <w:sz w:val="16"/>
                <w:szCs w:val="16"/>
                <w:lang w:val="en-US"/>
              </w:rPr>
              <w:t xml:space="preserve">Article 276. </w:t>
            </w:r>
            <w:r w:rsidRPr="002A7BDA">
              <w:rPr>
                <w:rFonts w:ascii="Verdana" w:hAnsi="Verdana"/>
                <w:sz w:val="16"/>
                <w:szCs w:val="16"/>
                <w:lang w:val="en-US"/>
              </w:rPr>
              <w:t>The person appointed as auditor has at least the following obligations:</w:t>
            </w:r>
          </w:p>
        </w:tc>
      </w:tr>
      <w:tr w:rsidR="003A38FF" w:rsidRPr="00D83DA2" w14:paraId="7EC97F6F" w14:textId="604FF4DD" w:rsidTr="00FB5DAD">
        <w:tc>
          <w:tcPr>
            <w:tcW w:w="4706" w:type="dxa"/>
          </w:tcPr>
          <w:p w14:paraId="7EA443C9" w14:textId="77777777" w:rsidR="003A38FF" w:rsidRPr="00D0180E" w:rsidRDefault="003A38FF" w:rsidP="003A38FF">
            <w:pPr>
              <w:pStyle w:val="Texto"/>
              <w:spacing w:after="92" w:line="223"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Administrar y operar temporalmente las actividades e instalaciones;</w:t>
            </w:r>
          </w:p>
        </w:tc>
        <w:tc>
          <w:tcPr>
            <w:tcW w:w="4644" w:type="dxa"/>
          </w:tcPr>
          <w:p w14:paraId="7671A0B1" w14:textId="5D925DD2" w:rsidR="003A38FF" w:rsidRPr="00D0180E" w:rsidRDefault="003A38FF" w:rsidP="003A38FF">
            <w:pPr>
              <w:pStyle w:val="Texto"/>
              <w:spacing w:after="92" w:line="223" w:lineRule="exact"/>
              <w:ind w:firstLine="0"/>
              <w:rPr>
                <w:rFonts w:ascii="Verdana" w:hAnsi="Verdana"/>
                <w:b/>
                <w:sz w:val="16"/>
                <w:szCs w:val="16"/>
                <w:lang w:val="en-US"/>
              </w:rPr>
            </w:pPr>
            <w:r w:rsidRPr="002A7BDA">
              <w:rPr>
                <w:rFonts w:ascii="Verdana" w:hAnsi="Verdana"/>
                <w:b/>
                <w:sz w:val="16"/>
                <w:szCs w:val="16"/>
                <w:lang w:val="en-US"/>
              </w:rPr>
              <w:t>I</w:t>
            </w:r>
            <w:proofErr w:type="gramStart"/>
            <w:r w:rsidRPr="002A7BDA">
              <w:rPr>
                <w:rFonts w:ascii="Verdana" w:hAnsi="Verdana"/>
                <w:b/>
                <w:sz w:val="16"/>
                <w:szCs w:val="16"/>
                <w:lang w:val="en-US"/>
              </w:rPr>
              <w:t xml:space="preserve">. </w:t>
            </w:r>
            <w:r w:rsidRPr="002A7BDA">
              <w:rPr>
                <w:rFonts w:ascii="Verdana" w:hAnsi="Verdana"/>
                <w:b/>
                <w:sz w:val="16"/>
                <w:szCs w:val="16"/>
                <w:lang w:val="en-US"/>
              </w:rPr>
              <w:tab/>
            </w:r>
            <w:r w:rsidRPr="002A7BDA">
              <w:rPr>
                <w:rFonts w:ascii="Verdana" w:hAnsi="Verdana"/>
                <w:sz w:val="16"/>
                <w:szCs w:val="16"/>
                <w:lang w:val="en-US"/>
              </w:rPr>
              <w:t>Temporarily</w:t>
            </w:r>
            <w:proofErr w:type="gramEnd"/>
            <w:r w:rsidRPr="002A7BDA">
              <w:rPr>
                <w:rFonts w:ascii="Verdana" w:hAnsi="Verdana"/>
                <w:sz w:val="16"/>
                <w:szCs w:val="16"/>
                <w:lang w:val="en-US"/>
              </w:rPr>
              <w:t xml:space="preserve"> manage and operate activities and facilities;</w:t>
            </w:r>
          </w:p>
        </w:tc>
      </w:tr>
      <w:tr w:rsidR="003A38FF" w:rsidRPr="00D83DA2" w14:paraId="6BAC14FE" w14:textId="002EA16A" w:rsidTr="00FB5DAD">
        <w:tc>
          <w:tcPr>
            <w:tcW w:w="4706" w:type="dxa"/>
          </w:tcPr>
          <w:p w14:paraId="132ACAA0" w14:textId="77777777" w:rsidR="003A38FF" w:rsidRPr="00D0180E" w:rsidRDefault="003A38FF" w:rsidP="003A38FF">
            <w:pPr>
              <w:pStyle w:val="Texto"/>
              <w:spacing w:after="92" w:line="223"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Levantar un inventario de los bienes de la persona permisionaria y remitirlo a la Secretaría, dentro de los treinta días naturales siguientes a aquel en que haya tomado posesión de su encargo, junto con un plan de trabajo en el que se expresen las acciones a desarrollar para el ejercicio de su función;</w:t>
            </w:r>
          </w:p>
        </w:tc>
        <w:tc>
          <w:tcPr>
            <w:tcW w:w="4644" w:type="dxa"/>
          </w:tcPr>
          <w:p w14:paraId="17F2FD68" w14:textId="76249215" w:rsidR="003A38FF" w:rsidRPr="00D0180E" w:rsidRDefault="003A38FF" w:rsidP="003A38FF">
            <w:pPr>
              <w:pStyle w:val="Texto"/>
              <w:spacing w:after="92" w:line="223" w:lineRule="exact"/>
              <w:ind w:firstLine="0"/>
              <w:rPr>
                <w:rFonts w:ascii="Verdana" w:hAnsi="Verdana"/>
                <w:b/>
                <w:sz w:val="16"/>
                <w:szCs w:val="16"/>
                <w:lang w:val="en-US"/>
              </w:rPr>
            </w:pPr>
            <w:r w:rsidRPr="002A7BDA">
              <w:rPr>
                <w:rFonts w:ascii="Verdana" w:hAnsi="Verdana"/>
                <w:b/>
                <w:sz w:val="16"/>
                <w:szCs w:val="16"/>
                <w:lang w:val="en-US"/>
              </w:rPr>
              <w:t xml:space="preserve">II. </w:t>
            </w:r>
            <w:r w:rsidRPr="002A7BDA">
              <w:rPr>
                <w:rFonts w:ascii="Verdana" w:hAnsi="Verdana"/>
                <w:b/>
                <w:sz w:val="16"/>
                <w:szCs w:val="16"/>
                <w:lang w:val="en-US"/>
              </w:rPr>
              <w:tab/>
            </w:r>
            <w:r w:rsidRPr="002A7BDA">
              <w:rPr>
                <w:rFonts w:ascii="Verdana" w:hAnsi="Verdana"/>
                <w:sz w:val="16"/>
                <w:szCs w:val="16"/>
                <w:lang w:val="en-US"/>
              </w:rPr>
              <w:t>Draw up an inventory of the permit holder's assets and submit it to the Secretary within thirty calendar days of taking office, together with a work plan outlining the actions to be carried out in the exercise of his or her function;</w:t>
            </w:r>
          </w:p>
        </w:tc>
      </w:tr>
      <w:tr w:rsidR="003A38FF" w:rsidRPr="00D83DA2" w14:paraId="11254712" w14:textId="5FF04477" w:rsidTr="00FB5DAD">
        <w:tc>
          <w:tcPr>
            <w:tcW w:w="4706" w:type="dxa"/>
          </w:tcPr>
          <w:p w14:paraId="43AE4F4E" w14:textId="77777777" w:rsidR="003A38FF" w:rsidRPr="00D0180E" w:rsidRDefault="003A38FF" w:rsidP="003A38FF">
            <w:pPr>
              <w:pStyle w:val="Texto"/>
              <w:spacing w:after="92" w:line="223"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Dar cuenta, a la Secretaría, de manera trimestral a partir de su designación, de los avances alcanzados conforme a su plan de trabajo;</w:t>
            </w:r>
          </w:p>
        </w:tc>
        <w:tc>
          <w:tcPr>
            <w:tcW w:w="4644" w:type="dxa"/>
          </w:tcPr>
          <w:p w14:paraId="1F7F6E98" w14:textId="6DD93CD8" w:rsidR="003A38FF" w:rsidRPr="00D0180E" w:rsidRDefault="003A38FF" w:rsidP="003A38FF">
            <w:pPr>
              <w:pStyle w:val="Texto"/>
              <w:spacing w:after="92" w:line="223" w:lineRule="exact"/>
              <w:ind w:firstLine="0"/>
              <w:rPr>
                <w:rFonts w:ascii="Verdana" w:hAnsi="Verdana"/>
                <w:b/>
                <w:sz w:val="16"/>
                <w:szCs w:val="16"/>
                <w:lang w:val="en-US"/>
              </w:rPr>
            </w:pPr>
            <w:r w:rsidRPr="002A7BDA">
              <w:rPr>
                <w:rFonts w:ascii="Verdana" w:hAnsi="Verdana"/>
                <w:b/>
                <w:sz w:val="16"/>
                <w:szCs w:val="16"/>
                <w:lang w:val="en-US"/>
              </w:rPr>
              <w:t>III</w:t>
            </w:r>
            <w:proofErr w:type="gramStart"/>
            <w:r w:rsidRPr="002A7BDA">
              <w:rPr>
                <w:rFonts w:ascii="Verdana" w:hAnsi="Verdana"/>
                <w:b/>
                <w:sz w:val="16"/>
                <w:szCs w:val="16"/>
                <w:lang w:val="en-US"/>
              </w:rPr>
              <w:t xml:space="preserve">. </w:t>
            </w:r>
            <w:r w:rsidRPr="002A7BDA">
              <w:rPr>
                <w:rFonts w:ascii="Verdana" w:hAnsi="Verdana"/>
                <w:b/>
                <w:sz w:val="16"/>
                <w:szCs w:val="16"/>
                <w:lang w:val="en-US"/>
              </w:rPr>
              <w:tab/>
            </w:r>
            <w:r w:rsidRPr="002A7BDA">
              <w:rPr>
                <w:rFonts w:ascii="Verdana" w:hAnsi="Verdana"/>
                <w:sz w:val="16"/>
                <w:szCs w:val="16"/>
                <w:lang w:val="en-US"/>
              </w:rPr>
              <w:t>Report</w:t>
            </w:r>
            <w:proofErr w:type="gramEnd"/>
            <w:r w:rsidRPr="002A7BDA">
              <w:rPr>
                <w:rFonts w:ascii="Verdana" w:hAnsi="Verdana"/>
                <w:sz w:val="16"/>
                <w:szCs w:val="16"/>
                <w:lang w:val="en-US"/>
              </w:rPr>
              <w:t xml:space="preserve"> to the Secretary, quarterly from the date of </w:t>
            </w:r>
            <w:r>
              <w:rPr>
                <w:rFonts w:ascii="Verdana" w:hAnsi="Verdana"/>
                <w:sz w:val="16"/>
                <w:szCs w:val="16"/>
                <w:lang w:val="en-US"/>
              </w:rPr>
              <w:t>his or her</w:t>
            </w:r>
            <w:r w:rsidRPr="002A7BDA">
              <w:rPr>
                <w:rFonts w:ascii="Verdana" w:hAnsi="Verdana"/>
                <w:sz w:val="16"/>
                <w:szCs w:val="16"/>
                <w:lang w:val="en-US"/>
              </w:rPr>
              <w:t xml:space="preserve"> appointment, on the progress achieved in accordance with </w:t>
            </w:r>
            <w:r>
              <w:rPr>
                <w:rFonts w:ascii="Verdana" w:hAnsi="Verdana"/>
                <w:sz w:val="16"/>
                <w:szCs w:val="16"/>
                <w:lang w:val="en-US"/>
              </w:rPr>
              <w:t>his or her</w:t>
            </w:r>
            <w:r w:rsidRPr="002A7BDA">
              <w:rPr>
                <w:rFonts w:ascii="Verdana" w:hAnsi="Verdana"/>
                <w:sz w:val="16"/>
                <w:szCs w:val="16"/>
                <w:lang w:val="en-US"/>
              </w:rPr>
              <w:t xml:space="preserve"> work plan;</w:t>
            </w:r>
          </w:p>
        </w:tc>
      </w:tr>
      <w:tr w:rsidR="003A38FF" w:rsidRPr="00D83DA2" w14:paraId="2C1D67C6" w14:textId="76C26F58" w:rsidTr="00FB5DAD">
        <w:tc>
          <w:tcPr>
            <w:tcW w:w="4706" w:type="dxa"/>
          </w:tcPr>
          <w:p w14:paraId="5E2427F2" w14:textId="77777777" w:rsidR="003A38FF" w:rsidRPr="00D0180E" w:rsidRDefault="003A38FF" w:rsidP="003A38FF">
            <w:pPr>
              <w:pStyle w:val="Texto"/>
              <w:spacing w:after="92" w:line="223"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Formular un informe final de su gestión, sobre la situación financiera, contable, legal, económica y administrativa, el cual debe incluir las acciones realizadas durante la intervención, y</w:t>
            </w:r>
          </w:p>
        </w:tc>
        <w:tc>
          <w:tcPr>
            <w:tcW w:w="4644" w:type="dxa"/>
          </w:tcPr>
          <w:p w14:paraId="1C3670AB" w14:textId="2EB07210" w:rsidR="003A38FF" w:rsidRPr="00D0180E" w:rsidRDefault="003A38FF" w:rsidP="003A38FF">
            <w:pPr>
              <w:pStyle w:val="Texto"/>
              <w:spacing w:after="92" w:line="223" w:lineRule="exact"/>
              <w:ind w:firstLine="0"/>
              <w:rPr>
                <w:rFonts w:ascii="Verdana" w:hAnsi="Verdana"/>
                <w:b/>
                <w:sz w:val="16"/>
                <w:szCs w:val="16"/>
                <w:lang w:val="en-US"/>
              </w:rPr>
            </w:pPr>
            <w:r w:rsidRPr="002A7BDA">
              <w:rPr>
                <w:rFonts w:ascii="Verdana" w:hAnsi="Verdana"/>
                <w:b/>
                <w:sz w:val="16"/>
                <w:szCs w:val="16"/>
                <w:lang w:val="en-US"/>
              </w:rPr>
              <w:t>IV</w:t>
            </w:r>
            <w:proofErr w:type="gramStart"/>
            <w:r w:rsidRPr="002A7BDA">
              <w:rPr>
                <w:rFonts w:ascii="Verdana" w:hAnsi="Verdana"/>
                <w:b/>
                <w:sz w:val="16"/>
                <w:szCs w:val="16"/>
                <w:lang w:val="en-US"/>
              </w:rPr>
              <w:t xml:space="preserve">. </w:t>
            </w:r>
            <w:r w:rsidRPr="002A7BDA">
              <w:rPr>
                <w:rFonts w:ascii="Verdana" w:hAnsi="Verdana"/>
                <w:b/>
                <w:sz w:val="16"/>
                <w:szCs w:val="16"/>
                <w:lang w:val="en-US"/>
              </w:rPr>
              <w:tab/>
            </w:r>
            <w:r w:rsidRPr="002A7BDA">
              <w:rPr>
                <w:rFonts w:ascii="Verdana" w:hAnsi="Verdana"/>
                <w:sz w:val="16"/>
                <w:szCs w:val="16"/>
                <w:lang w:val="en-US"/>
              </w:rPr>
              <w:t>Formulate</w:t>
            </w:r>
            <w:proofErr w:type="gramEnd"/>
            <w:r w:rsidRPr="002A7BDA">
              <w:rPr>
                <w:rFonts w:ascii="Verdana" w:hAnsi="Verdana"/>
                <w:sz w:val="16"/>
                <w:szCs w:val="16"/>
                <w:lang w:val="en-US"/>
              </w:rPr>
              <w:t xml:space="preserve"> a final report on its management, on the financial, accounting, legal, economic and administrative situation, which must include the actions carried out during the intervention, and</w:t>
            </w:r>
          </w:p>
        </w:tc>
      </w:tr>
      <w:tr w:rsidR="003A38FF" w:rsidRPr="00D83DA2" w14:paraId="7A676824" w14:textId="6F8D0099" w:rsidTr="00FB5DAD">
        <w:tc>
          <w:tcPr>
            <w:tcW w:w="4706" w:type="dxa"/>
          </w:tcPr>
          <w:p w14:paraId="7F22F03E" w14:textId="77777777" w:rsidR="003A38FF" w:rsidRPr="00D0180E" w:rsidRDefault="003A38FF" w:rsidP="003A38FF">
            <w:pPr>
              <w:pStyle w:val="Texto"/>
              <w:spacing w:after="92" w:line="223"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Las demás que se establezcan en las disposiciones aplicables.</w:t>
            </w:r>
          </w:p>
        </w:tc>
        <w:tc>
          <w:tcPr>
            <w:tcW w:w="4644" w:type="dxa"/>
          </w:tcPr>
          <w:p w14:paraId="0F5CDB6E" w14:textId="4214945F" w:rsidR="003A38FF" w:rsidRPr="00D0180E" w:rsidRDefault="003A38FF" w:rsidP="003A38FF">
            <w:pPr>
              <w:pStyle w:val="Texto"/>
              <w:spacing w:after="92" w:line="223" w:lineRule="exact"/>
              <w:ind w:firstLine="0"/>
              <w:rPr>
                <w:rFonts w:ascii="Verdana" w:hAnsi="Verdana"/>
                <w:b/>
                <w:sz w:val="16"/>
                <w:szCs w:val="16"/>
                <w:lang w:val="en-US"/>
              </w:rPr>
            </w:pPr>
            <w:r w:rsidRPr="002A7BDA">
              <w:rPr>
                <w:rFonts w:ascii="Verdana" w:hAnsi="Verdana"/>
                <w:b/>
                <w:sz w:val="16"/>
                <w:szCs w:val="16"/>
                <w:lang w:val="en-US"/>
              </w:rPr>
              <w:t>V</w:t>
            </w:r>
            <w:proofErr w:type="gramStart"/>
            <w:r w:rsidRPr="002A7BDA">
              <w:rPr>
                <w:rFonts w:ascii="Verdana" w:hAnsi="Verdana"/>
                <w:b/>
                <w:sz w:val="16"/>
                <w:szCs w:val="16"/>
                <w:lang w:val="en-US"/>
              </w:rPr>
              <w:t xml:space="preserve">. </w:t>
            </w:r>
            <w:r w:rsidRPr="002A7BDA">
              <w:rPr>
                <w:rFonts w:ascii="Verdana" w:hAnsi="Verdana"/>
                <w:b/>
                <w:sz w:val="16"/>
                <w:szCs w:val="16"/>
                <w:lang w:val="en-US"/>
              </w:rPr>
              <w:tab/>
            </w:r>
            <w:r w:rsidRPr="002A7BDA">
              <w:rPr>
                <w:rFonts w:ascii="Verdana" w:hAnsi="Verdana"/>
                <w:sz w:val="16"/>
                <w:szCs w:val="16"/>
                <w:lang w:val="en-US"/>
              </w:rPr>
              <w:t>Others</w:t>
            </w:r>
            <w:proofErr w:type="gramEnd"/>
            <w:r w:rsidRPr="002A7BDA">
              <w:rPr>
                <w:rFonts w:ascii="Verdana" w:hAnsi="Verdana"/>
                <w:sz w:val="16"/>
                <w:szCs w:val="16"/>
                <w:lang w:val="en-US"/>
              </w:rPr>
              <w:t xml:space="preserve"> established in the applicable provisions.</w:t>
            </w:r>
          </w:p>
        </w:tc>
      </w:tr>
      <w:tr w:rsidR="003A38FF" w:rsidRPr="00D83DA2" w14:paraId="354185FA" w14:textId="785AC986" w:rsidTr="00FB5DAD">
        <w:tc>
          <w:tcPr>
            <w:tcW w:w="4706" w:type="dxa"/>
          </w:tcPr>
          <w:p w14:paraId="6C132363" w14:textId="77777777" w:rsidR="003A38FF" w:rsidRPr="00D0180E" w:rsidRDefault="003A38FF" w:rsidP="003A38FF">
            <w:pPr>
              <w:pStyle w:val="Texto"/>
              <w:spacing w:after="92" w:line="223" w:lineRule="exact"/>
              <w:ind w:firstLine="0"/>
              <w:rPr>
                <w:rFonts w:ascii="Verdana" w:hAnsi="Verdana"/>
                <w:sz w:val="16"/>
                <w:szCs w:val="16"/>
              </w:rPr>
            </w:pPr>
            <w:r w:rsidRPr="00D0180E">
              <w:rPr>
                <w:rFonts w:ascii="Verdana" w:hAnsi="Verdana"/>
                <w:sz w:val="16"/>
                <w:szCs w:val="16"/>
              </w:rPr>
              <w:t>En caso de incumplimiento, la Secretaría puede revocar libremente su designación y, en consecuencia, debe sustituir inmediatamente a la persona interventora.</w:t>
            </w:r>
          </w:p>
        </w:tc>
        <w:tc>
          <w:tcPr>
            <w:tcW w:w="4644" w:type="dxa"/>
          </w:tcPr>
          <w:p w14:paraId="4DF20D38" w14:textId="409F593E" w:rsidR="003A38FF" w:rsidRPr="00D0180E" w:rsidRDefault="003A38FF" w:rsidP="003A38FF">
            <w:pPr>
              <w:pStyle w:val="Texto"/>
              <w:spacing w:after="92" w:line="223" w:lineRule="exact"/>
              <w:ind w:firstLine="0"/>
              <w:rPr>
                <w:rFonts w:ascii="Verdana" w:hAnsi="Verdana"/>
                <w:sz w:val="16"/>
                <w:szCs w:val="16"/>
                <w:lang w:val="en-US"/>
              </w:rPr>
            </w:pPr>
            <w:r w:rsidRPr="002A7BDA">
              <w:rPr>
                <w:rFonts w:ascii="Verdana" w:hAnsi="Verdana"/>
                <w:sz w:val="16"/>
                <w:szCs w:val="16"/>
                <w:lang w:val="en-US"/>
              </w:rPr>
              <w:t xml:space="preserve">In the event of non-compliance, the Secretary may freely revoke </w:t>
            </w:r>
            <w:proofErr w:type="gramStart"/>
            <w:r w:rsidRPr="002A7BDA">
              <w:rPr>
                <w:rFonts w:ascii="Verdana" w:hAnsi="Verdana"/>
                <w:sz w:val="16"/>
                <w:szCs w:val="16"/>
                <w:lang w:val="en-US"/>
              </w:rPr>
              <w:t>its</w:t>
            </w:r>
            <w:proofErr w:type="gramEnd"/>
            <w:r w:rsidRPr="002A7BDA">
              <w:rPr>
                <w:rFonts w:ascii="Verdana" w:hAnsi="Verdana"/>
                <w:sz w:val="16"/>
                <w:szCs w:val="16"/>
                <w:lang w:val="en-US"/>
              </w:rPr>
              <w:t xml:space="preserve"> appointment and, consequently, must immediately replace the auditor.</w:t>
            </w:r>
          </w:p>
        </w:tc>
      </w:tr>
      <w:tr w:rsidR="003A38FF" w:rsidRPr="00D83DA2" w14:paraId="5B354D00" w14:textId="59F1FAC7" w:rsidTr="00FB5DAD">
        <w:tc>
          <w:tcPr>
            <w:tcW w:w="4706" w:type="dxa"/>
          </w:tcPr>
          <w:p w14:paraId="2DBD88C9" w14:textId="77777777" w:rsidR="003A38FF" w:rsidRPr="00D0180E" w:rsidRDefault="003A38FF" w:rsidP="003A38FF">
            <w:pPr>
              <w:pStyle w:val="Texto"/>
              <w:spacing w:after="92" w:line="223" w:lineRule="exact"/>
              <w:ind w:firstLine="0"/>
              <w:rPr>
                <w:rFonts w:ascii="Verdana" w:hAnsi="Verdana"/>
                <w:sz w:val="16"/>
                <w:szCs w:val="16"/>
              </w:rPr>
            </w:pPr>
            <w:r w:rsidRPr="00D0180E">
              <w:rPr>
                <w:rFonts w:ascii="Verdana" w:hAnsi="Verdana"/>
                <w:b/>
                <w:sz w:val="16"/>
                <w:szCs w:val="16"/>
              </w:rPr>
              <w:t>Artículo 277.</w:t>
            </w:r>
            <w:r w:rsidRPr="00D0180E">
              <w:rPr>
                <w:rFonts w:ascii="Verdana" w:hAnsi="Verdana"/>
                <w:sz w:val="16"/>
                <w:szCs w:val="16"/>
              </w:rPr>
              <w:t xml:space="preserve"> La persona designada como interventora puede llevar a cabo al menos, lo siguiente:</w:t>
            </w:r>
          </w:p>
        </w:tc>
        <w:tc>
          <w:tcPr>
            <w:tcW w:w="4644" w:type="dxa"/>
          </w:tcPr>
          <w:p w14:paraId="332E918A" w14:textId="79C9930B" w:rsidR="003A38FF" w:rsidRPr="00D0180E" w:rsidRDefault="003A38FF" w:rsidP="003A38FF">
            <w:pPr>
              <w:pStyle w:val="Texto"/>
              <w:spacing w:after="92" w:line="223" w:lineRule="exact"/>
              <w:ind w:firstLine="0"/>
              <w:rPr>
                <w:rFonts w:ascii="Verdana" w:hAnsi="Verdana"/>
                <w:b/>
                <w:sz w:val="16"/>
                <w:szCs w:val="16"/>
                <w:lang w:val="en-US"/>
              </w:rPr>
            </w:pPr>
            <w:r w:rsidRPr="002A7BDA">
              <w:rPr>
                <w:rFonts w:ascii="Verdana" w:hAnsi="Verdana"/>
                <w:b/>
                <w:sz w:val="16"/>
                <w:szCs w:val="16"/>
                <w:lang w:val="en-US"/>
              </w:rPr>
              <w:t xml:space="preserve">Article 277. </w:t>
            </w:r>
            <w:r w:rsidRPr="002A7BDA">
              <w:rPr>
                <w:rFonts w:ascii="Verdana" w:hAnsi="Verdana"/>
                <w:sz w:val="16"/>
                <w:szCs w:val="16"/>
                <w:lang w:val="en-US"/>
              </w:rPr>
              <w:t>The person appointed as auditor may carry out at least the following:</w:t>
            </w:r>
          </w:p>
        </w:tc>
      </w:tr>
      <w:tr w:rsidR="003A38FF" w:rsidRPr="00D83DA2" w14:paraId="44806895" w14:textId="1C922E88" w:rsidTr="00FB5DAD">
        <w:tc>
          <w:tcPr>
            <w:tcW w:w="4706" w:type="dxa"/>
          </w:tcPr>
          <w:p w14:paraId="26D7EBDE" w14:textId="77777777" w:rsidR="003A38FF" w:rsidRPr="00D0180E" w:rsidRDefault="003A38FF" w:rsidP="003A38FF">
            <w:pPr>
              <w:pStyle w:val="Texto"/>
              <w:spacing w:after="92" w:line="223"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Contratar nuevos trabajadores u operadores, previa autorización de la Secretaría;</w:t>
            </w:r>
          </w:p>
        </w:tc>
        <w:tc>
          <w:tcPr>
            <w:tcW w:w="4644" w:type="dxa"/>
          </w:tcPr>
          <w:p w14:paraId="2F0FD141" w14:textId="017B570D" w:rsidR="003A38FF" w:rsidRPr="00D0180E" w:rsidRDefault="003A38FF" w:rsidP="003A38FF">
            <w:pPr>
              <w:pStyle w:val="Texto"/>
              <w:spacing w:after="92" w:line="223" w:lineRule="exact"/>
              <w:ind w:firstLine="0"/>
              <w:rPr>
                <w:rFonts w:ascii="Verdana" w:hAnsi="Verdana"/>
                <w:b/>
                <w:sz w:val="16"/>
                <w:szCs w:val="16"/>
                <w:lang w:val="en-US"/>
              </w:rPr>
            </w:pPr>
            <w:proofErr w:type="gramStart"/>
            <w:r w:rsidRPr="002A7BDA">
              <w:rPr>
                <w:rFonts w:ascii="Verdana" w:hAnsi="Verdana"/>
                <w:b/>
                <w:sz w:val="16"/>
                <w:szCs w:val="16"/>
                <w:lang w:val="en-US"/>
              </w:rPr>
              <w:t xml:space="preserve">I. </w:t>
            </w:r>
            <w:r w:rsidRPr="002A7BDA">
              <w:rPr>
                <w:rFonts w:ascii="Verdana" w:hAnsi="Verdana"/>
                <w:b/>
                <w:sz w:val="16"/>
                <w:szCs w:val="16"/>
                <w:lang w:val="en-US"/>
              </w:rPr>
              <w:tab/>
            </w:r>
            <w:r w:rsidRPr="002A7BDA">
              <w:rPr>
                <w:rFonts w:ascii="Verdana" w:hAnsi="Verdana"/>
                <w:sz w:val="16"/>
                <w:szCs w:val="16"/>
                <w:lang w:val="en-US"/>
              </w:rPr>
              <w:t>Hire</w:t>
            </w:r>
            <w:proofErr w:type="gramEnd"/>
            <w:r w:rsidRPr="002A7BDA">
              <w:rPr>
                <w:rFonts w:ascii="Verdana" w:hAnsi="Verdana"/>
                <w:sz w:val="16"/>
                <w:szCs w:val="16"/>
                <w:lang w:val="en-US"/>
              </w:rPr>
              <w:t xml:space="preserve"> new workers or operators, with prior authorization from the Secretary;</w:t>
            </w:r>
          </w:p>
        </w:tc>
      </w:tr>
      <w:tr w:rsidR="003A38FF" w:rsidRPr="00D83DA2" w14:paraId="5DE1F586" w14:textId="0CDB66C9" w:rsidTr="00FB5DAD">
        <w:tc>
          <w:tcPr>
            <w:tcW w:w="4706" w:type="dxa"/>
          </w:tcPr>
          <w:p w14:paraId="0D38FA2B" w14:textId="77777777" w:rsidR="003A38FF" w:rsidRPr="00D0180E" w:rsidRDefault="003A38FF" w:rsidP="003A38FF">
            <w:pPr>
              <w:pStyle w:val="Texto"/>
              <w:spacing w:after="92" w:line="223"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Disponer de los recursos humanos, materiales y tecnológicos de la persona permisionaria, y</w:t>
            </w:r>
          </w:p>
        </w:tc>
        <w:tc>
          <w:tcPr>
            <w:tcW w:w="4644" w:type="dxa"/>
          </w:tcPr>
          <w:p w14:paraId="5802DB06" w14:textId="3966143E" w:rsidR="003A38FF" w:rsidRPr="00D0180E" w:rsidRDefault="003A38FF" w:rsidP="003A38FF">
            <w:pPr>
              <w:pStyle w:val="Texto"/>
              <w:spacing w:after="92" w:line="223" w:lineRule="exact"/>
              <w:ind w:firstLine="0"/>
              <w:rPr>
                <w:rFonts w:ascii="Verdana" w:hAnsi="Verdana"/>
                <w:b/>
                <w:sz w:val="16"/>
                <w:szCs w:val="16"/>
                <w:lang w:val="en-US"/>
              </w:rPr>
            </w:pPr>
            <w:r w:rsidRPr="002A7BDA">
              <w:rPr>
                <w:rFonts w:ascii="Verdana" w:hAnsi="Verdana"/>
                <w:b/>
                <w:sz w:val="16"/>
                <w:szCs w:val="16"/>
                <w:lang w:val="en-US"/>
              </w:rPr>
              <w:t>II</w:t>
            </w:r>
            <w:proofErr w:type="gramStart"/>
            <w:r w:rsidRPr="002A7BDA">
              <w:rPr>
                <w:rFonts w:ascii="Verdana" w:hAnsi="Verdana"/>
                <w:b/>
                <w:sz w:val="16"/>
                <w:szCs w:val="16"/>
                <w:lang w:val="en-US"/>
              </w:rPr>
              <w:t xml:space="preserve">. </w:t>
            </w:r>
            <w:r w:rsidRPr="002A7BDA">
              <w:rPr>
                <w:rFonts w:ascii="Verdana" w:hAnsi="Verdana"/>
                <w:b/>
                <w:sz w:val="16"/>
                <w:szCs w:val="16"/>
                <w:lang w:val="en-US"/>
              </w:rPr>
              <w:tab/>
            </w:r>
            <w:r w:rsidRPr="002A7BDA">
              <w:rPr>
                <w:rFonts w:ascii="Verdana" w:hAnsi="Verdana"/>
                <w:sz w:val="16"/>
                <w:szCs w:val="16"/>
                <w:lang w:val="en-US"/>
              </w:rPr>
              <w:t>Have</w:t>
            </w:r>
            <w:proofErr w:type="gramEnd"/>
            <w:r w:rsidRPr="002A7BDA">
              <w:rPr>
                <w:rFonts w:ascii="Verdana" w:hAnsi="Verdana"/>
                <w:sz w:val="16"/>
                <w:szCs w:val="16"/>
                <w:lang w:val="en-US"/>
              </w:rPr>
              <w:t xml:space="preserve"> the human, material and technological resources of the permit holder, and</w:t>
            </w:r>
          </w:p>
        </w:tc>
      </w:tr>
      <w:tr w:rsidR="003A38FF" w:rsidRPr="00D83DA2" w14:paraId="2C8D54CD" w14:textId="00996341" w:rsidTr="00FB5DAD">
        <w:tc>
          <w:tcPr>
            <w:tcW w:w="4706" w:type="dxa"/>
          </w:tcPr>
          <w:p w14:paraId="4094EE78" w14:textId="77777777" w:rsidR="003A38FF" w:rsidRPr="00D0180E" w:rsidRDefault="003A38FF" w:rsidP="003A38FF">
            <w:pPr>
              <w:pStyle w:val="Texto"/>
              <w:spacing w:after="92" w:line="223"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Las demás que se establezcan en las disposiciones aplicables.</w:t>
            </w:r>
          </w:p>
        </w:tc>
        <w:tc>
          <w:tcPr>
            <w:tcW w:w="4644" w:type="dxa"/>
          </w:tcPr>
          <w:p w14:paraId="17816193" w14:textId="1C236F2F" w:rsidR="003A38FF" w:rsidRPr="00D0180E" w:rsidRDefault="003A38FF" w:rsidP="003A38FF">
            <w:pPr>
              <w:pStyle w:val="Texto"/>
              <w:spacing w:after="92" w:line="223" w:lineRule="exact"/>
              <w:ind w:firstLine="0"/>
              <w:rPr>
                <w:rFonts w:ascii="Verdana" w:hAnsi="Verdana"/>
                <w:b/>
                <w:sz w:val="16"/>
                <w:szCs w:val="16"/>
                <w:lang w:val="en-US"/>
              </w:rPr>
            </w:pPr>
            <w:r w:rsidRPr="002A7BDA">
              <w:rPr>
                <w:rFonts w:ascii="Verdana" w:hAnsi="Verdana"/>
                <w:b/>
                <w:sz w:val="16"/>
                <w:szCs w:val="16"/>
                <w:lang w:val="en-US"/>
              </w:rPr>
              <w:t>III</w:t>
            </w:r>
            <w:proofErr w:type="gramStart"/>
            <w:r w:rsidRPr="002A7BDA">
              <w:rPr>
                <w:rFonts w:ascii="Verdana" w:hAnsi="Verdana"/>
                <w:b/>
                <w:sz w:val="16"/>
                <w:szCs w:val="16"/>
                <w:lang w:val="en-US"/>
              </w:rPr>
              <w:t xml:space="preserve">. </w:t>
            </w:r>
            <w:r w:rsidRPr="002A7BDA">
              <w:rPr>
                <w:rFonts w:ascii="Verdana" w:hAnsi="Verdana"/>
                <w:b/>
                <w:sz w:val="16"/>
                <w:szCs w:val="16"/>
                <w:lang w:val="en-US"/>
              </w:rPr>
              <w:tab/>
            </w:r>
            <w:r w:rsidRPr="002A7BDA">
              <w:rPr>
                <w:rFonts w:ascii="Verdana" w:hAnsi="Verdana"/>
                <w:sz w:val="16"/>
                <w:szCs w:val="16"/>
                <w:lang w:val="en-US"/>
              </w:rPr>
              <w:t>Others</w:t>
            </w:r>
            <w:proofErr w:type="gramEnd"/>
            <w:r w:rsidRPr="002A7BDA">
              <w:rPr>
                <w:rFonts w:ascii="Verdana" w:hAnsi="Verdana"/>
                <w:sz w:val="16"/>
                <w:szCs w:val="16"/>
                <w:lang w:val="en-US"/>
              </w:rPr>
              <w:t xml:space="preserve"> established in the applicable provisions.</w:t>
            </w:r>
          </w:p>
        </w:tc>
      </w:tr>
      <w:tr w:rsidR="003A38FF" w:rsidRPr="00D83DA2" w14:paraId="6CA86E5B" w14:textId="5988F747" w:rsidTr="00FB5DAD">
        <w:tc>
          <w:tcPr>
            <w:tcW w:w="4706" w:type="dxa"/>
          </w:tcPr>
          <w:p w14:paraId="44FB02D5" w14:textId="77777777" w:rsidR="003A38FF" w:rsidRPr="00D0180E" w:rsidRDefault="003A38FF" w:rsidP="003A38FF">
            <w:pPr>
              <w:pStyle w:val="Texto"/>
              <w:spacing w:after="92" w:line="223" w:lineRule="exact"/>
              <w:ind w:firstLine="0"/>
              <w:rPr>
                <w:rFonts w:ascii="Verdana" w:hAnsi="Verdana"/>
                <w:sz w:val="16"/>
                <w:szCs w:val="16"/>
              </w:rPr>
            </w:pPr>
            <w:r w:rsidRPr="00D0180E">
              <w:rPr>
                <w:rFonts w:ascii="Verdana" w:hAnsi="Verdana"/>
                <w:sz w:val="16"/>
                <w:szCs w:val="16"/>
              </w:rPr>
              <w:t>En caso de que la Secretaría no dé respuesta a la solicitud de autorización para contratar nuevos trabajadores u operadores en un plazo de quince días hábiles, esta se entiende en sentido negativo.</w:t>
            </w:r>
          </w:p>
        </w:tc>
        <w:tc>
          <w:tcPr>
            <w:tcW w:w="4644" w:type="dxa"/>
          </w:tcPr>
          <w:p w14:paraId="768350F1" w14:textId="3E734F52" w:rsidR="003A38FF" w:rsidRPr="00D0180E" w:rsidRDefault="003A38FF" w:rsidP="003A38FF">
            <w:pPr>
              <w:pStyle w:val="Texto"/>
              <w:spacing w:after="92" w:line="223" w:lineRule="exact"/>
              <w:ind w:firstLine="0"/>
              <w:rPr>
                <w:rFonts w:ascii="Verdana" w:hAnsi="Verdana"/>
                <w:sz w:val="16"/>
                <w:szCs w:val="16"/>
                <w:lang w:val="en-US"/>
              </w:rPr>
            </w:pPr>
            <w:r w:rsidRPr="002A7BDA">
              <w:rPr>
                <w:rFonts w:ascii="Verdana" w:hAnsi="Verdana"/>
                <w:sz w:val="16"/>
                <w:szCs w:val="16"/>
                <w:lang w:val="en-US"/>
              </w:rPr>
              <w:t>If the Secretary does not respond to the request for authorization to hire new workers or operators within fifteen business days, this will be deemed negative.</w:t>
            </w:r>
          </w:p>
        </w:tc>
      </w:tr>
      <w:tr w:rsidR="003A38FF" w:rsidRPr="00D0180E" w14:paraId="22F1B685" w14:textId="26C53686" w:rsidTr="00FB5DAD">
        <w:tc>
          <w:tcPr>
            <w:tcW w:w="4706" w:type="dxa"/>
          </w:tcPr>
          <w:p w14:paraId="149E961E" w14:textId="77777777" w:rsidR="003A38FF" w:rsidRPr="00D0180E" w:rsidRDefault="003A38FF" w:rsidP="003A38FF">
            <w:pPr>
              <w:pStyle w:val="Texto"/>
              <w:spacing w:after="92" w:line="223" w:lineRule="exact"/>
              <w:ind w:firstLine="0"/>
              <w:jc w:val="center"/>
              <w:rPr>
                <w:rFonts w:ascii="Verdana" w:hAnsi="Verdana"/>
                <w:b/>
                <w:sz w:val="16"/>
                <w:szCs w:val="16"/>
              </w:rPr>
            </w:pPr>
            <w:r w:rsidRPr="00D0180E">
              <w:rPr>
                <w:rFonts w:ascii="Verdana" w:hAnsi="Verdana"/>
                <w:b/>
                <w:sz w:val="16"/>
                <w:szCs w:val="16"/>
              </w:rPr>
              <w:t>Capítulo III</w:t>
            </w:r>
          </w:p>
        </w:tc>
        <w:tc>
          <w:tcPr>
            <w:tcW w:w="4644" w:type="dxa"/>
          </w:tcPr>
          <w:p w14:paraId="76C967A7" w14:textId="7318CAF1" w:rsidR="003A38FF" w:rsidRPr="00426B03" w:rsidRDefault="003A38FF" w:rsidP="003A38FF">
            <w:pPr>
              <w:pStyle w:val="Texto"/>
              <w:spacing w:after="92" w:line="223" w:lineRule="exact"/>
              <w:ind w:firstLine="0"/>
              <w:jc w:val="center"/>
              <w:rPr>
                <w:rFonts w:ascii="Verdana" w:hAnsi="Verdana"/>
                <w:b/>
                <w:sz w:val="16"/>
                <w:szCs w:val="16"/>
                <w:lang w:val="en-US"/>
              </w:rPr>
            </w:pPr>
            <w:r w:rsidRPr="00426B03">
              <w:rPr>
                <w:rFonts w:ascii="Verdana" w:hAnsi="Verdana"/>
                <w:b/>
                <w:sz w:val="16"/>
                <w:szCs w:val="16"/>
                <w:lang w:val="en-US"/>
              </w:rPr>
              <w:t>Chapter III</w:t>
            </w:r>
          </w:p>
        </w:tc>
      </w:tr>
      <w:tr w:rsidR="003A38FF" w:rsidRPr="00D0180E" w14:paraId="7EFCD348" w14:textId="279A5B9E" w:rsidTr="00FB5DAD">
        <w:tc>
          <w:tcPr>
            <w:tcW w:w="4706" w:type="dxa"/>
          </w:tcPr>
          <w:p w14:paraId="2DF3D9F2" w14:textId="77777777" w:rsidR="003A38FF" w:rsidRPr="00D0180E" w:rsidRDefault="003A38FF" w:rsidP="003A38FF">
            <w:pPr>
              <w:pStyle w:val="Texto"/>
              <w:spacing w:after="92" w:line="223" w:lineRule="exact"/>
              <w:ind w:firstLine="0"/>
              <w:jc w:val="center"/>
              <w:rPr>
                <w:rFonts w:ascii="Verdana" w:hAnsi="Verdana"/>
                <w:b/>
                <w:sz w:val="16"/>
                <w:szCs w:val="16"/>
              </w:rPr>
            </w:pPr>
            <w:r w:rsidRPr="00D0180E">
              <w:rPr>
                <w:rFonts w:ascii="Verdana" w:hAnsi="Verdana"/>
                <w:b/>
                <w:sz w:val="16"/>
                <w:szCs w:val="16"/>
              </w:rPr>
              <w:t>De la Requisa</w:t>
            </w:r>
          </w:p>
        </w:tc>
        <w:tc>
          <w:tcPr>
            <w:tcW w:w="4644" w:type="dxa"/>
          </w:tcPr>
          <w:p w14:paraId="67B9903E" w14:textId="0EC32BBA" w:rsidR="003A38FF" w:rsidRPr="00426B03" w:rsidRDefault="003A38FF" w:rsidP="003A38FF">
            <w:pPr>
              <w:pStyle w:val="Texto"/>
              <w:spacing w:after="92" w:line="223" w:lineRule="exact"/>
              <w:ind w:firstLine="0"/>
              <w:jc w:val="center"/>
              <w:rPr>
                <w:rFonts w:ascii="Verdana" w:hAnsi="Verdana"/>
                <w:b/>
                <w:sz w:val="16"/>
                <w:szCs w:val="16"/>
                <w:lang w:val="en-US"/>
              </w:rPr>
            </w:pPr>
            <w:r w:rsidRPr="00426B03">
              <w:rPr>
                <w:rFonts w:ascii="Verdana" w:hAnsi="Verdana"/>
                <w:b/>
                <w:sz w:val="16"/>
                <w:szCs w:val="16"/>
                <w:lang w:val="en-US"/>
              </w:rPr>
              <w:t>Requisition</w:t>
            </w:r>
          </w:p>
        </w:tc>
      </w:tr>
      <w:tr w:rsidR="003A38FF" w:rsidRPr="00D83DA2" w14:paraId="4120E97B" w14:textId="54DF7E2D" w:rsidTr="00FB5DAD">
        <w:tc>
          <w:tcPr>
            <w:tcW w:w="4706" w:type="dxa"/>
          </w:tcPr>
          <w:p w14:paraId="44425E1A" w14:textId="77777777" w:rsidR="003A38FF" w:rsidRPr="00D0180E" w:rsidRDefault="003A38FF" w:rsidP="003A38FF">
            <w:pPr>
              <w:pStyle w:val="Texto"/>
              <w:spacing w:after="92" w:line="223" w:lineRule="exact"/>
              <w:ind w:firstLine="0"/>
              <w:rPr>
                <w:rFonts w:ascii="Verdana" w:hAnsi="Verdana"/>
                <w:sz w:val="16"/>
                <w:szCs w:val="16"/>
              </w:rPr>
            </w:pPr>
            <w:r w:rsidRPr="00D0180E">
              <w:rPr>
                <w:rFonts w:ascii="Verdana" w:hAnsi="Verdana"/>
                <w:b/>
                <w:sz w:val="16"/>
                <w:szCs w:val="16"/>
              </w:rPr>
              <w:t xml:space="preserve">Artículo 278. </w:t>
            </w:r>
            <w:r w:rsidRPr="00D0180E">
              <w:rPr>
                <w:rFonts w:ascii="Verdana" w:hAnsi="Verdana"/>
                <w:sz w:val="16"/>
                <w:szCs w:val="16"/>
              </w:rPr>
              <w:t>La Secretaría debe integrar y tramitar el expediente administrativo relacionado con la requisa de los bienes muebles e inmuebles necesarios para el Suministro Eléctrico, a fin de garantizar el orden público e interés general.</w:t>
            </w:r>
          </w:p>
        </w:tc>
        <w:tc>
          <w:tcPr>
            <w:tcW w:w="4644" w:type="dxa"/>
          </w:tcPr>
          <w:p w14:paraId="1CF87485" w14:textId="431B2104" w:rsidR="003A38FF" w:rsidRPr="00D0180E" w:rsidRDefault="003A38FF" w:rsidP="003A38FF">
            <w:pPr>
              <w:pStyle w:val="Texto"/>
              <w:spacing w:after="92" w:line="223" w:lineRule="exact"/>
              <w:ind w:firstLine="0"/>
              <w:rPr>
                <w:rFonts w:ascii="Verdana" w:hAnsi="Verdana"/>
                <w:b/>
                <w:sz w:val="16"/>
                <w:szCs w:val="16"/>
                <w:lang w:val="en-US"/>
              </w:rPr>
            </w:pPr>
            <w:r w:rsidRPr="002A7BDA">
              <w:rPr>
                <w:rFonts w:ascii="Verdana" w:hAnsi="Verdana"/>
                <w:b/>
                <w:sz w:val="16"/>
                <w:szCs w:val="16"/>
                <w:lang w:val="en-US"/>
              </w:rPr>
              <w:t xml:space="preserve">Article 278. </w:t>
            </w:r>
            <w:r w:rsidRPr="002A7BDA">
              <w:rPr>
                <w:rFonts w:ascii="Verdana" w:hAnsi="Verdana"/>
                <w:sz w:val="16"/>
                <w:szCs w:val="16"/>
                <w:lang w:val="en-US"/>
              </w:rPr>
              <w:t xml:space="preserve">The Secretary must integrate and process the administrative file related to the requisition of </w:t>
            </w:r>
            <w:r>
              <w:rPr>
                <w:rFonts w:ascii="Verdana" w:hAnsi="Verdana"/>
                <w:sz w:val="16"/>
                <w:szCs w:val="16"/>
                <w:lang w:val="en-US"/>
              </w:rPr>
              <w:t>property</w:t>
            </w:r>
            <w:r w:rsidRPr="002A7BDA">
              <w:rPr>
                <w:rFonts w:ascii="Verdana" w:hAnsi="Verdana"/>
                <w:sz w:val="16"/>
                <w:szCs w:val="16"/>
                <w:lang w:val="en-US"/>
              </w:rPr>
              <w:t xml:space="preserve"> and </w:t>
            </w:r>
            <w:r>
              <w:rPr>
                <w:rFonts w:ascii="Verdana" w:hAnsi="Verdana"/>
                <w:sz w:val="16"/>
                <w:szCs w:val="16"/>
                <w:lang w:val="en-US"/>
              </w:rPr>
              <w:t>real estate</w:t>
            </w:r>
            <w:r w:rsidRPr="002A7BDA">
              <w:rPr>
                <w:rFonts w:ascii="Verdana" w:hAnsi="Verdana"/>
                <w:sz w:val="16"/>
                <w:szCs w:val="16"/>
                <w:lang w:val="en-US"/>
              </w:rPr>
              <w:t xml:space="preserve"> necessary for the electricity supply, </w:t>
            </w:r>
            <w:proofErr w:type="gramStart"/>
            <w:r w:rsidRPr="002A7BDA">
              <w:rPr>
                <w:rFonts w:ascii="Verdana" w:hAnsi="Verdana"/>
                <w:sz w:val="16"/>
                <w:szCs w:val="16"/>
                <w:lang w:val="en-US"/>
              </w:rPr>
              <w:t>in order to</w:t>
            </w:r>
            <w:proofErr w:type="gramEnd"/>
            <w:r w:rsidRPr="002A7BDA">
              <w:rPr>
                <w:rFonts w:ascii="Verdana" w:hAnsi="Verdana"/>
                <w:sz w:val="16"/>
                <w:szCs w:val="16"/>
                <w:lang w:val="en-US"/>
              </w:rPr>
              <w:t xml:space="preserve"> guarantee public order and general interest.</w:t>
            </w:r>
          </w:p>
        </w:tc>
      </w:tr>
      <w:tr w:rsidR="003A38FF" w:rsidRPr="00D83DA2" w14:paraId="5FCDA211" w14:textId="029AC293" w:rsidTr="00FB5DAD">
        <w:tc>
          <w:tcPr>
            <w:tcW w:w="4706" w:type="dxa"/>
          </w:tcPr>
          <w:p w14:paraId="26A9EBF3" w14:textId="77777777" w:rsidR="003A38FF" w:rsidRPr="00D0180E" w:rsidRDefault="003A38FF" w:rsidP="003A38FF">
            <w:pPr>
              <w:pStyle w:val="Texto"/>
              <w:spacing w:after="92" w:line="223" w:lineRule="exact"/>
              <w:ind w:firstLine="0"/>
              <w:rPr>
                <w:rFonts w:ascii="Verdana" w:hAnsi="Verdana"/>
                <w:sz w:val="16"/>
                <w:szCs w:val="16"/>
              </w:rPr>
            </w:pPr>
            <w:r w:rsidRPr="00D0180E">
              <w:rPr>
                <w:rFonts w:ascii="Verdana" w:hAnsi="Verdana"/>
                <w:b/>
                <w:sz w:val="16"/>
                <w:szCs w:val="16"/>
              </w:rPr>
              <w:t>Artículo 279.</w:t>
            </w:r>
            <w:r w:rsidRPr="00D0180E">
              <w:rPr>
                <w:rFonts w:ascii="Verdana" w:hAnsi="Verdana"/>
                <w:sz w:val="16"/>
                <w:szCs w:val="16"/>
              </w:rPr>
              <w:t xml:space="preserve"> La Secretaría debe integrar el expediente a que se refiere el artículo anterior con al menos los siguientes elementos:</w:t>
            </w:r>
          </w:p>
        </w:tc>
        <w:tc>
          <w:tcPr>
            <w:tcW w:w="4644" w:type="dxa"/>
          </w:tcPr>
          <w:p w14:paraId="062733FC" w14:textId="044613DD" w:rsidR="003A38FF" w:rsidRPr="00D0180E" w:rsidRDefault="003A38FF" w:rsidP="003A38FF">
            <w:pPr>
              <w:pStyle w:val="Texto"/>
              <w:spacing w:after="92" w:line="223" w:lineRule="exact"/>
              <w:ind w:firstLine="0"/>
              <w:rPr>
                <w:rFonts w:ascii="Verdana" w:hAnsi="Verdana"/>
                <w:b/>
                <w:sz w:val="16"/>
                <w:szCs w:val="16"/>
                <w:lang w:val="en-US"/>
              </w:rPr>
            </w:pPr>
            <w:r w:rsidRPr="002A7BDA">
              <w:rPr>
                <w:rFonts w:ascii="Verdana" w:hAnsi="Verdana"/>
                <w:b/>
                <w:sz w:val="16"/>
                <w:szCs w:val="16"/>
                <w:lang w:val="en-US"/>
              </w:rPr>
              <w:t xml:space="preserve">Article 279. </w:t>
            </w:r>
            <w:r w:rsidRPr="002A7BDA">
              <w:rPr>
                <w:rFonts w:ascii="Verdana" w:hAnsi="Verdana"/>
                <w:sz w:val="16"/>
                <w:szCs w:val="16"/>
                <w:lang w:val="en-US"/>
              </w:rPr>
              <w:t xml:space="preserve">The Secretary must compile the file referred to in the </w:t>
            </w:r>
            <w:r>
              <w:rPr>
                <w:rFonts w:ascii="Verdana" w:hAnsi="Verdana"/>
                <w:sz w:val="16"/>
                <w:szCs w:val="16"/>
                <w:lang w:val="en-US"/>
              </w:rPr>
              <w:t>preceding article</w:t>
            </w:r>
            <w:r w:rsidRPr="002A7BDA">
              <w:rPr>
                <w:rFonts w:ascii="Verdana" w:hAnsi="Verdana"/>
                <w:sz w:val="16"/>
                <w:szCs w:val="16"/>
                <w:lang w:val="en-US"/>
              </w:rPr>
              <w:t xml:space="preserve"> with at least the following elements:</w:t>
            </w:r>
          </w:p>
        </w:tc>
      </w:tr>
      <w:tr w:rsidR="003A38FF" w:rsidRPr="00D83DA2" w14:paraId="213EFAF6" w14:textId="2901EEF7" w:rsidTr="00FB5DAD">
        <w:tc>
          <w:tcPr>
            <w:tcW w:w="4706" w:type="dxa"/>
          </w:tcPr>
          <w:p w14:paraId="6ECF4961" w14:textId="77777777" w:rsidR="003A38FF" w:rsidRPr="00D0180E" w:rsidRDefault="003A38FF" w:rsidP="003A38FF">
            <w:pPr>
              <w:pStyle w:val="Texto"/>
              <w:spacing w:after="92" w:line="223" w:lineRule="exact"/>
              <w:ind w:firstLine="0"/>
              <w:rPr>
                <w:rFonts w:ascii="Verdana" w:hAnsi="Verdana"/>
                <w:sz w:val="16"/>
                <w:szCs w:val="16"/>
              </w:rPr>
            </w:pPr>
            <w:r w:rsidRPr="00D0180E">
              <w:rPr>
                <w:rFonts w:ascii="Verdana" w:hAnsi="Verdana"/>
                <w:b/>
                <w:sz w:val="16"/>
                <w:szCs w:val="16"/>
              </w:rPr>
              <w:lastRenderedPageBreak/>
              <w:t>I.</w:t>
            </w:r>
            <w:r w:rsidRPr="00D0180E">
              <w:rPr>
                <w:rFonts w:ascii="Verdana" w:hAnsi="Verdana"/>
                <w:b/>
                <w:sz w:val="16"/>
                <w:szCs w:val="16"/>
              </w:rPr>
              <w:tab/>
            </w:r>
            <w:r w:rsidRPr="00D0180E">
              <w:rPr>
                <w:rFonts w:ascii="Verdana" w:hAnsi="Verdana"/>
                <w:sz w:val="16"/>
                <w:szCs w:val="16"/>
              </w:rPr>
              <w:t>La descripción de los hechos y causas que motivan la requisa;</w:t>
            </w:r>
          </w:p>
        </w:tc>
        <w:tc>
          <w:tcPr>
            <w:tcW w:w="4644" w:type="dxa"/>
          </w:tcPr>
          <w:p w14:paraId="4A394ED7" w14:textId="330B8146" w:rsidR="003A38FF" w:rsidRPr="00D0180E" w:rsidRDefault="003A38FF" w:rsidP="003A38FF">
            <w:pPr>
              <w:pStyle w:val="Texto"/>
              <w:spacing w:after="92" w:line="223" w:lineRule="exact"/>
              <w:ind w:firstLine="0"/>
              <w:rPr>
                <w:rFonts w:ascii="Verdana" w:hAnsi="Verdana"/>
                <w:b/>
                <w:sz w:val="16"/>
                <w:szCs w:val="16"/>
                <w:lang w:val="en-US"/>
              </w:rPr>
            </w:pPr>
            <w:r w:rsidRPr="002A7BDA">
              <w:rPr>
                <w:rFonts w:ascii="Verdana" w:hAnsi="Verdana"/>
                <w:b/>
                <w:sz w:val="16"/>
                <w:szCs w:val="16"/>
                <w:lang w:val="en-US"/>
              </w:rPr>
              <w:t>I</w:t>
            </w:r>
            <w:proofErr w:type="gramStart"/>
            <w:r w:rsidRPr="002A7BDA">
              <w:rPr>
                <w:rFonts w:ascii="Verdana" w:hAnsi="Verdana"/>
                <w:b/>
                <w:sz w:val="16"/>
                <w:szCs w:val="16"/>
                <w:lang w:val="en-US"/>
              </w:rPr>
              <w:t xml:space="preserve">. </w:t>
            </w:r>
            <w:r w:rsidRPr="002A7BDA">
              <w:rPr>
                <w:rFonts w:ascii="Verdana" w:hAnsi="Verdana"/>
                <w:b/>
                <w:sz w:val="16"/>
                <w:szCs w:val="16"/>
                <w:lang w:val="en-US"/>
              </w:rPr>
              <w:tab/>
            </w:r>
            <w:r w:rsidRPr="002A7BDA">
              <w:rPr>
                <w:rFonts w:ascii="Verdana" w:hAnsi="Verdana"/>
                <w:sz w:val="16"/>
                <w:szCs w:val="16"/>
                <w:lang w:val="en-US"/>
              </w:rPr>
              <w:t>The</w:t>
            </w:r>
            <w:proofErr w:type="gramEnd"/>
            <w:r w:rsidRPr="002A7BDA">
              <w:rPr>
                <w:rFonts w:ascii="Verdana" w:hAnsi="Verdana"/>
                <w:sz w:val="16"/>
                <w:szCs w:val="16"/>
                <w:lang w:val="en-US"/>
              </w:rPr>
              <w:t xml:space="preserve"> description of the facts and causes that motivate the search;</w:t>
            </w:r>
          </w:p>
        </w:tc>
      </w:tr>
      <w:tr w:rsidR="003A38FF" w:rsidRPr="00D83DA2" w14:paraId="79CEA4E4" w14:textId="139265E3" w:rsidTr="00FB5DAD">
        <w:tc>
          <w:tcPr>
            <w:tcW w:w="4706" w:type="dxa"/>
          </w:tcPr>
          <w:p w14:paraId="082E786D" w14:textId="77777777" w:rsidR="003A38FF" w:rsidRPr="00D0180E" w:rsidRDefault="003A38FF" w:rsidP="003A38FF">
            <w:pPr>
              <w:pStyle w:val="Texto"/>
              <w:spacing w:after="92" w:line="224"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La opinión técnica y análisis jurídico que justifique la determinación;</w:t>
            </w:r>
          </w:p>
        </w:tc>
        <w:tc>
          <w:tcPr>
            <w:tcW w:w="4644" w:type="dxa"/>
          </w:tcPr>
          <w:p w14:paraId="725B741A" w14:textId="5B6B383D" w:rsidR="003A38FF" w:rsidRPr="00D0180E" w:rsidRDefault="003A38FF" w:rsidP="003A38FF">
            <w:pPr>
              <w:pStyle w:val="Texto"/>
              <w:spacing w:after="92" w:line="224" w:lineRule="exact"/>
              <w:ind w:firstLine="0"/>
              <w:rPr>
                <w:rFonts w:ascii="Verdana" w:hAnsi="Verdana"/>
                <w:b/>
                <w:sz w:val="16"/>
                <w:szCs w:val="16"/>
                <w:lang w:val="en-US"/>
              </w:rPr>
            </w:pPr>
            <w:r w:rsidRPr="002A7BDA">
              <w:rPr>
                <w:rFonts w:ascii="Verdana" w:hAnsi="Verdana"/>
                <w:b/>
                <w:sz w:val="16"/>
                <w:szCs w:val="16"/>
                <w:lang w:val="en-US"/>
              </w:rPr>
              <w:t>II</w:t>
            </w:r>
            <w:proofErr w:type="gramStart"/>
            <w:r w:rsidRPr="002A7BDA">
              <w:rPr>
                <w:rFonts w:ascii="Verdana" w:hAnsi="Verdana"/>
                <w:b/>
                <w:sz w:val="16"/>
                <w:szCs w:val="16"/>
                <w:lang w:val="en-US"/>
              </w:rPr>
              <w:t xml:space="preserve">. </w:t>
            </w:r>
            <w:r w:rsidRPr="002A7BDA">
              <w:rPr>
                <w:rFonts w:ascii="Verdana" w:hAnsi="Verdana"/>
                <w:b/>
                <w:sz w:val="16"/>
                <w:szCs w:val="16"/>
                <w:lang w:val="en-US"/>
              </w:rPr>
              <w:tab/>
            </w:r>
            <w:r w:rsidRPr="002A7BDA">
              <w:rPr>
                <w:rFonts w:ascii="Verdana" w:hAnsi="Verdana"/>
                <w:sz w:val="16"/>
                <w:szCs w:val="16"/>
                <w:lang w:val="en-US"/>
              </w:rPr>
              <w:t>The</w:t>
            </w:r>
            <w:proofErr w:type="gramEnd"/>
            <w:r w:rsidRPr="002A7BDA">
              <w:rPr>
                <w:rFonts w:ascii="Verdana" w:hAnsi="Verdana"/>
                <w:sz w:val="16"/>
                <w:szCs w:val="16"/>
                <w:lang w:val="en-US"/>
              </w:rPr>
              <w:t xml:space="preserve"> technical opinion and legal analysis that </w:t>
            </w:r>
            <w:proofErr w:type="gramStart"/>
            <w:r w:rsidRPr="002A7BDA">
              <w:rPr>
                <w:rFonts w:ascii="Verdana" w:hAnsi="Verdana"/>
                <w:sz w:val="16"/>
                <w:szCs w:val="16"/>
                <w:lang w:val="en-US"/>
              </w:rPr>
              <w:t>justifies</w:t>
            </w:r>
            <w:proofErr w:type="gramEnd"/>
            <w:r w:rsidRPr="002A7BDA">
              <w:rPr>
                <w:rFonts w:ascii="Verdana" w:hAnsi="Verdana"/>
                <w:sz w:val="16"/>
                <w:szCs w:val="16"/>
                <w:lang w:val="en-US"/>
              </w:rPr>
              <w:t xml:space="preserve"> the determination;</w:t>
            </w:r>
          </w:p>
        </w:tc>
      </w:tr>
      <w:tr w:rsidR="003A38FF" w:rsidRPr="00D83DA2" w14:paraId="0A30244B" w14:textId="398203F4" w:rsidTr="00FB5DAD">
        <w:tc>
          <w:tcPr>
            <w:tcW w:w="4706" w:type="dxa"/>
          </w:tcPr>
          <w:p w14:paraId="0798C0FB" w14:textId="77777777" w:rsidR="003A38FF" w:rsidRPr="00D0180E" w:rsidRDefault="003A38FF" w:rsidP="003A38FF">
            <w:pPr>
              <w:pStyle w:val="Texto"/>
              <w:spacing w:line="243"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La identificación de los bienes, derechos e instalaciones a requisar;</w:t>
            </w:r>
          </w:p>
        </w:tc>
        <w:tc>
          <w:tcPr>
            <w:tcW w:w="4644" w:type="dxa"/>
          </w:tcPr>
          <w:p w14:paraId="4BDE80E1" w14:textId="3B5965E2" w:rsidR="003A38FF" w:rsidRPr="00D0180E" w:rsidRDefault="003A38FF" w:rsidP="003A38FF">
            <w:pPr>
              <w:pStyle w:val="Texto"/>
              <w:spacing w:line="243" w:lineRule="exact"/>
              <w:ind w:firstLine="0"/>
              <w:rPr>
                <w:rFonts w:ascii="Verdana" w:hAnsi="Verdana"/>
                <w:b/>
                <w:sz w:val="16"/>
                <w:szCs w:val="16"/>
                <w:lang w:val="en-US"/>
              </w:rPr>
            </w:pPr>
            <w:r w:rsidRPr="002A7BDA">
              <w:rPr>
                <w:rFonts w:ascii="Verdana" w:hAnsi="Verdana"/>
                <w:b/>
                <w:sz w:val="16"/>
                <w:szCs w:val="16"/>
                <w:lang w:val="en-US"/>
              </w:rPr>
              <w:t>III</w:t>
            </w:r>
            <w:proofErr w:type="gramStart"/>
            <w:r w:rsidRPr="002A7BDA">
              <w:rPr>
                <w:rFonts w:ascii="Verdana" w:hAnsi="Verdana"/>
                <w:b/>
                <w:sz w:val="16"/>
                <w:szCs w:val="16"/>
                <w:lang w:val="en-US"/>
              </w:rPr>
              <w:t xml:space="preserve">. </w:t>
            </w:r>
            <w:r w:rsidRPr="002A7BDA">
              <w:rPr>
                <w:rFonts w:ascii="Verdana" w:hAnsi="Verdana"/>
                <w:b/>
                <w:sz w:val="16"/>
                <w:szCs w:val="16"/>
                <w:lang w:val="en-US"/>
              </w:rPr>
              <w:tab/>
            </w:r>
            <w:r w:rsidRPr="002A7BDA">
              <w:rPr>
                <w:rFonts w:ascii="Verdana" w:hAnsi="Verdana"/>
                <w:sz w:val="16"/>
                <w:szCs w:val="16"/>
                <w:lang w:val="en-US"/>
              </w:rPr>
              <w:t>The</w:t>
            </w:r>
            <w:proofErr w:type="gramEnd"/>
            <w:r w:rsidRPr="002A7BDA">
              <w:rPr>
                <w:rFonts w:ascii="Verdana" w:hAnsi="Verdana"/>
                <w:sz w:val="16"/>
                <w:szCs w:val="16"/>
                <w:lang w:val="en-US"/>
              </w:rPr>
              <w:t xml:space="preserve"> identification of the assets, rights and facilities to be seized;</w:t>
            </w:r>
          </w:p>
        </w:tc>
      </w:tr>
      <w:tr w:rsidR="003A38FF" w:rsidRPr="00D83DA2" w14:paraId="6905C5EB" w14:textId="32031E64" w:rsidTr="00FB5DAD">
        <w:tc>
          <w:tcPr>
            <w:tcW w:w="4706" w:type="dxa"/>
          </w:tcPr>
          <w:p w14:paraId="73ED132E" w14:textId="77777777" w:rsidR="003A38FF" w:rsidRPr="00D0180E" w:rsidRDefault="003A38FF" w:rsidP="003A38FF">
            <w:pPr>
              <w:pStyle w:val="Texto"/>
              <w:spacing w:line="243"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La evaluación de impacto a personas usuarias y terceras personas;</w:t>
            </w:r>
          </w:p>
        </w:tc>
        <w:tc>
          <w:tcPr>
            <w:tcW w:w="4644" w:type="dxa"/>
          </w:tcPr>
          <w:p w14:paraId="3CB1B653" w14:textId="6FA67441" w:rsidR="003A38FF" w:rsidRPr="00D0180E" w:rsidRDefault="003A38FF" w:rsidP="003A38FF">
            <w:pPr>
              <w:pStyle w:val="Texto"/>
              <w:spacing w:line="243" w:lineRule="exact"/>
              <w:ind w:firstLine="0"/>
              <w:rPr>
                <w:rFonts w:ascii="Verdana" w:hAnsi="Verdana"/>
                <w:b/>
                <w:sz w:val="16"/>
                <w:szCs w:val="16"/>
                <w:lang w:val="en-US"/>
              </w:rPr>
            </w:pPr>
            <w:r w:rsidRPr="002A7BDA">
              <w:rPr>
                <w:rFonts w:ascii="Verdana" w:hAnsi="Verdana"/>
                <w:b/>
                <w:sz w:val="16"/>
                <w:szCs w:val="16"/>
                <w:lang w:val="en-US"/>
              </w:rPr>
              <w:t>IV</w:t>
            </w:r>
            <w:proofErr w:type="gramStart"/>
            <w:r w:rsidRPr="002A7BDA">
              <w:rPr>
                <w:rFonts w:ascii="Verdana" w:hAnsi="Verdana"/>
                <w:b/>
                <w:sz w:val="16"/>
                <w:szCs w:val="16"/>
                <w:lang w:val="en-US"/>
              </w:rPr>
              <w:t xml:space="preserve">. </w:t>
            </w:r>
            <w:r w:rsidRPr="002A7BDA">
              <w:rPr>
                <w:rFonts w:ascii="Verdana" w:hAnsi="Verdana"/>
                <w:b/>
                <w:sz w:val="16"/>
                <w:szCs w:val="16"/>
                <w:lang w:val="en-US"/>
              </w:rPr>
              <w:tab/>
            </w:r>
            <w:r w:rsidRPr="002A7BDA">
              <w:rPr>
                <w:rFonts w:ascii="Verdana" w:hAnsi="Verdana"/>
                <w:sz w:val="16"/>
                <w:szCs w:val="16"/>
                <w:lang w:val="en-US"/>
              </w:rPr>
              <w:t>The</w:t>
            </w:r>
            <w:proofErr w:type="gramEnd"/>
            <w:r w:rsidRPr="002A7BDA">
              <w:rPr>
                <w:rFonts w:ascii="Verdana" w:hAnsi="Verdana"/>
                <w:sz w:val="16"/>
                <w:szCs w:val="16"/>
                <w:lang w:val="en-US"/>
              </w:rPr>
              <w:t xml:space="preserve"> evaluation of impact on users and third parties;</w:t>
            </w:r>
          </w:p>
        </w:tc>
      </w:tr>
      <w:tr w:rsidR="003A38FF" w:rsidRPr="00D83DA2" w14:paraId="52853238" w14:textId="08AC5962" w:rsidTr="00FB5DAD">
        <w:tc>
          <w:tcPr>
            <w:tcW w:w="4706" w:type="dxa"/>
          </w:tcPr>
          <w:p w14:paraId="1D86AC1A" w14:textId="77777777" w:rsidR="003A38FF" w:rsidRPr="00D0180E" w:rsidRDefault="003A38FF" w:rsidP="003A38FF">
            <w:pPr>
              <w:pStyle w:val="Texto"/>
              <w:spacing w:line="243"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La propuesta de duración de la requisa;</w:t>
            </w:r>
          </w:p>
        </w:tc>
        <w:tc>
          <w:tcPr>
            <w:tcW w:w="4644" w:type="dxa"/>
          </w:tcPr>
          <w:p w14:paraId="56EDC62A" w14:textId="5FC6C3B1" w:rsidR="003A38FF" w:rsidRPr="00D0180E" w:rsidRDefault="003A38FF" w:rsidP="003A38FF">
            <w:pPr>
              <w:pStyle w:val="Texto"/>
              <w:spacing w:line="243" w:lineRule="exact"/>
              <w:ind w:firstLine="0"/>
              <w:rPr>
                <w:rFonts w:ascii="Verdana" w:hAnsi="Verdana"/>
                <w:b/>
                <w:sz w:val="16"/>
                <w:szCs w:val="16"/>
                <w:lang w:val="en-US"/>
              </w:rPr>
            </w:pPr>
            <w:r w:rsidRPr="002A7BDA">
              <w:rPr>
                <w:rFonts w:ascii="Verdana" w:hAnsi="Verdana"/>
                <w:b/>
                <w:sz w:val="16"/>
                <w:szCs w:val="16"/>
                <w:lang w:val="en-US"/>
              </w:rPr>
              <w:t>V</w:t>
            </w:r>
            <w:proofErr w:type="gramStart"/>
            <w:r w:rsidRPr="002A7BDA">
              <w:rPr>
                <w:rFonts w:ascii="Verdana" w:hAnsi="Verdana"/>
                <w:b/>
                <w:sz w:val="16"/>
                <w:szCs w:val="16"/>
                <w:lang w:val="en-US"/>
              </w:rPr>
              <w:t xml:space="preserve">. </w:t>
            </w:r>
            <w:r w:rsidRPr="002A7BDA">
              <w:rPr>
                <w:rFonts w:ascii="Verdana" w:hAnsi="Verdana"/>
                <w:b/>
                <w:sz w:val="16"/>
                <w:szCs w:val="16"/>
                <w:lang w:val="en-US"/>
              </w:rPr>
              <w:tab/>
            </w:r>
            <w:r w:rsidRPr="002A7BDA">
              <w:rPr>
                <w:rFonts w:ascii="Verdana" w:hAnsi="Verdana"/>
                <w:sz w:val="16"/>
                <w:szCs w:val="16"/>
                <w:lang w:val="en-US"/>
              </w:rPr>
              <w:t>The</w:t>
            </w:r>
            <w:proofErr w:type="gramEnd"/>
            <w:r w:rsidRPr="002A7BDA">
              <w:rPr>
                <w:rFonts w:ascii="Verdana" w:hAnsi="Verdana"/>
                <w:sz w:val="16"/>
                <w:szCs w:val="16"/>
                <w:lang w:val="en-US"/>
              </w:rPr>
              <w:t xml:space="preserve"> proposed duration of the search;</w:t>
            </w:r>
          </w:p>
        </w:tc>
      </w:tr>
      <w:tr w:rsidR="003A38FF" w:rsidRPr="00D83DA2" w14:paraId="0663F16D" w14:textId="7AD8109F" w:rsidTr="00FB5DAD">
        <w:tc>
          <w:tcPr>
            <w:tcW w:w="4706" w:type="dxa"/>
          </w:tcPr>
          <w:p w14:paraId="5AE460D7" w14:textId="77777777" w:rsidR="003A38FF" w:rsidRPr="00D0180E" w:rsidRDefault="003A38FF" w:rsidP="003A38FF">
            <w:pPr>
              <w:pStyle w:val="Texto"/>
              <w:spacing w:line="243" w:lineRule="exact"/>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El programa de continuidad de las actividades;</w:t>
            </w:r>
          </w:p>
        </w:tc>
        <w:tc>
          <w:tcPr>
            <w:tcW w:w="4644" w:type="dxa"/>
          </w:tcPr>
          <w:p w14:paraId="4E029C05" w14:textId="674E54A9" w:rsidR="003A38FF" w:rsidRPr="00D0180E" w:rsidRDefault="003A38FF" w:rsidP="003A38FF">
            <w:pPr>
              <w:pStyle w:val="Texto"/>
              <w:spacing w:line="243" w:lineRule="exact"/>
              <w:ind w:firstLine="0"/>
              <w:rPr>
                <w:rFonts w:ascii="Verdana" w:hAnsi="Verdana"/>
                <w:b/>
                <w:sz w:val="16"/>
                <w:szCs w:val="16"/>
                <w:lang w:val="en-US"/>
              </w:rPr>
            </w:pPr>
            <w:r w:rsidRPr="002A7BDA">
              <w:rPr>
                <w:rFonts w:ascii="Verdana" w:hAnsi="Verdana"/>
                <w:b/>
                <w:sz w:val="16"/>
                <w:szCs w:val="16"/>
                <w:lang w:val="en-US"/>
              </w:rPr>
              <w:t xml:space="preserve">VI. </w:t>
            </w:r>
            <w:r w:rsidRPr="002A7BDA">
              <w:rPr>
                <w:rFonts w:ascii="Verdana" w:hAnsi="Verdana"/>
                <w:b/>
                <w:sz w:val="16"/>
                <w:szCs w:val="16"/>
                <w:lang w:val="en-US"/>
              </w:rPr>
              <w:tab/>
            </w:r>
            <w:r w:rsidRPr="002A7BDA">
              <w:rPr>
                <w:rFonts w:ascii="Verdana" w:hAnsi="Verdana"/>
                <w:sz w:val="16"/>
                <w:szCs w:val="16"/>
                <w:lang w:val="en-US"/>
              </w:rPr>
              <w:t>The business continuity program;</w:t>
            </w:r>
          </w:p>
        </w:tc>
      </w:tr>
      <w:tr w:rsidR="003A38FF" w:rsidRPr="00D83DA2" w14:paraId="5D8E48A5" w14:textId="55285A2F" w:rsidTr="00FB5DAD">
        <w:tc>
          <w:tcPr>
            <w:tcW w:w="4706" w:type="dxa"/>
          </w:tcPr>
          <w:p w14:paraId="4331837E" w14:textId="77777777" w:rsidR="003A38FF" w:rsidRPr="00D0180E" w:rsidRDefault="003A38FF" w:rsidP="003A38FF">
            <w:pPr>
              <w:pStyle w:val="Texto"/>
              <w:spacing w:line="243" w:lineRule="exact"/>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El dictamen valuatorio respecto del monto de indemnización;</w:t>
            </w:r>
          </w:p>
        </w:tc>
        <w:tc>
          <w:tcPr>
            <w:tcW w:w="4644" w:type="dxa"/>
          </w:tcPr>
          <w:p w14:paraId="0818AC46" w14:textId="4312BECC" w:rsidR="003A38FF" w:rsidRPr="00D0180E" w:rsidRDefault="003A38FF" w:rsidP="003A38FF">
            <w:pPr>
              <w:pStyle w:val="Texto"/>
              <w:spacing w:line="243" w:lineRule="exact"/>
              <w:ind w:firstLine="0"/>
              <w:rPr>
                <w:rFonts w:ascii="Verdana" w:hAnsi="Verdana"/>
                <w:b/>
                <w:sz w:val="16"/>
                <w:szCs w:val="16"/>
                <w:lang w:val="en-US"/>
              </w:rPr>
            </w:pPr>
            <w:r w:rsidRPr="002A7BDA">
              <w:rPr>
                <w:rFonts w:ascii="Verdana" w:hAnsi="Verdana"/>
                <w:b/>
                <w:sz w:val="16"/>
                <w:szCs w:val="16"/>
                <w:lang w:val="en-US"/>
              </w:rPr>
              <w:t>VII</w:t>
            </w:r>
            <w:proofErr w:type="gramStart"/>
            <w:r w:rsidRPr="002A7BDA">
              <w:rPr>
                <w:rFonts w:ascii="Verdana" w:hAnsi="Verdana"/>
                <w:b/>
                <w:sz w:val="16"/>
                <w:szCs w:val="16"/>
                <w:lang w:val="en-US"/>
              </w:rPr>
              <w:t xml:space="preserve">. </w:t>
            </w:r>
            <w:r w:rsidRPr="002A7BDA">
              <w:rPr>
                <w:rFonts w:ascii="Verdana" w:hAnsi="Verdana"/>
                <w:b/>
                <w:sz w:val="16"/>
                <w:szCs w:val="16"/>
                <w:lang w:val="en-US"/>
              </w:rPr>
              <w:tab/>
            </w:r>
            <w:r w:rsidRPr="002A7BDA">
              <w:rPr>
                <w:rFonts w:ascii="Verdana" w:hAnsi="Verdana"/>
                <w:sz w:val="16"/>
                <w:szCs w:val="16"/>
                <w:lang w:val="en-US"/>
              </w:rPr>
              <w:t>The</w:t>
            </w:r>
            <w:proofErr w:type="gramEnd"/>
            <w:r w:rsidRPr="002A7BDA">
              <w:rPr>
                <w:rFonts w:ascii="Verdana" w:hAnsi="Verdana"/>
                <w:sz w:val="16"/>
                <w:szCs w:val="16"/>
                <w:lang w:val="en-US"/>
              </w:rPr>
              <w:t xml:space="preserve"> appraisal opinion regarding the amount of compensation;</w:t>
            </w:r>
          </w:p>
        </w:tc>
      </w:tr>
      <w:tr w:rsidR="003A38FF" w:rsidRPr="00D0180E" w14:paraId="471F4FAF" w14:textId="35959BD3" w:rsidTr="00FB5DAD">
        <w:tc>
          <w:tcPr>
            <w:tcW w:w="4706" w:type="dxa"/>
          </w:tcPr>
          <w:p w14:paraId="3685D3E9" w14:textId="77777777" w:rsidR="003A38FF" w:rsidRPr="00D0180E" w:rsidRDefault="003A38FF" w:rsidP="003A38FF">
            <w:pPr>
              <w:pStyle w:val="Texto"/>
              <w:spacing w:line="243" w:lineRule="exact"/>
              <w:ind w:firstLine="0"/>
              <w:rPr>
                <w:rFonts w:ascii="Verdana" w:hAnsi="Verdana"/>
                <w:sz w:val="16"/>
                <w:szCs w:val="16"/>
              </w:rPr>
            </w:pPr>
            <w:r w:rsidRPr="00D0180E">
              <w:rPr>
                <w:rFonts w:ascii="Verdana" w:hAnsi="Verdana"/>
                <w:b/>
                <w:sz w:val="16"/>
                <w:szCs w:val="16"/>
              </w:rPr>
              <w:t>VIII.</w:t>
            </w:r>
            <w:r w:rsidRPr="00D0180E">
              <w:rPr>
                <w:rFonts w:ascii="Verdana" w:hAnsi="Verdana"/>
                <w:b/>
                <w:sz w:val="16"/>
                <w:szCs w:val="16"/>
              </w:rPr>
              <w:tab/>
            </w:r>
            <w:r w:rsidRPr="00D0180E">
              <w:rPr>
                <w:rFonts w:ascii="Verdana" w:hAnsi="Verdana"/>
                <w:sz w:val="16"/>
                <w:szCs w:val="16"/>
              </w:rPr>
              <w:t>El pago indemnizatorio, y</w:t>
            </w:r>
          </w:p>
        </w:tc>
        <w:tc>
          <w:tcPr>
            <w:tcW w:w="4644" w:type="dxa"/>
          </w:tcPr>
          <w:p w14:paraId="4787AF70" w14:textId="412E6510" w:rsidR="003A38FF" w:rsidRPr="00D0180E" w:rsidRDefault="003A38FF" w:rsidP="003A38FF">
            <w:pPr>
              <w:pStyle w:val="Texto"/>
              <w:spacing w:line="243" w:lineRule="exact"/>
              <w:ind w:firstLine="0"/>
              <w:rPr>
                <w:rFonts w:ascii="Verdana" w:hAnsi="Verdana"/>
                <w:b/>
                <w:sz w:val="16"/>
                <w:szCs w:val="16"/>
                <w:lang w:val="en-US"/>
              </w:rPr>
            </w:pPr>
            <w:r w:rsidRPr="00D0180E">
              <w:rPr>
                <w:rFonts w:ascii="Verdana" w:hAnsi="Verdana"/>
                <w:b/>
                <w:sz w:val="16"/>
                <w:szCs w:val="16"/>
              </w:rPr>
              <w:t xml:space="preserve">VIII. </w:t>
            </w:r>
            <w:r w:rsidRPr="00D0180E">
              <w:rPr>
                <w:rFonts w:ascii="Verdana" w:hAnsi="Verdana"/>
                <w:b/>
                <w:sz w:val="16"/>
                <w:szCs w:val="16"/>
              </w:rPr>
              <w:tab/>
            </w:r>
            <w:r w:rsidRPr="008F7F4C">
              <w:rPr>
                <w:rFonts w:ascii="Verdana" w:hAnsi="Verdana"/>
                <w:sz w:val="16"/>
                <w:szCs w:val="16"/>
                <w:lang w:val="en-US"/>
              </w:rPr>
              <w:t>Compensatory payment, and</w:t>
            </w:r>
          </w:p>
        </w:tc>
      </w:tr>
      <w:tr w:rsidR="003A38FF" w:rsidRPr="00D83DA2" w14:paraId="2D5307CC" w14:textId="3B6247F6" w:rsidTr="00FB5DAD">
        <w:tc>
          <w:tcPr>
            <w:tcW w:w="4706" w:type="dxa"/>
          </w:tcPr>
          <w:p w14:paraId="1740D5B4" w14:textId="77777777" w:rsidR="003A38FF" w:rsidRPr="00D0180E" w:rsidRDefault="003A38FF" w:rsidP="003A38FF">
            <w:pPr>
              <w:pStyle w:val="Texto"/>
              <w:spacing w:line="243" w:lineRule="exact"/>
              <w:ind w:firstLine="0"/>
              <w:rPr>
                <w:rFonts w:ascii="Verdana" w:hAnsi="Verdana"/>
                <w:sz w:val="16"/>
                <w:szCs w:val="16"/>
              </w:rPr>
            </w:pPr>
            <w:r w:rsidRPr="00D0180E">
              <w:rPr>
                <w:rFonts w:ascii="Verdana" w:hAnsi="Verdana"/>
                <w:b/>
                <w:sz w:val="16"/>
                <w:szCs w:val="16"/>
              </w:rPr>
              <w:t>IX.</w:t>
            </w:r>
            <w:r w:rsidRPr="00D0180E">
              <w:rPr>
                <w:rFonts w:ascii="Verdana" w:hAnsi="Verdana"/>
                <w:b/>
                <w:sz w:val="16"/>
                <w:szCs w:val="16"/>
              </w:rPr>
              <w:tab/>
            </w:r>
            <w:r w:rsidRPr="00D0180E">
              <w:rPr>
                <w:rFonts w:ascii="Verdana" w:hAnsi="Verdana"/>
                <w:sz w:val="16"/>
                <w:szCs w:val="16"/>
              </w:rPr>
              <w:t>Los demás previstos en las disposiciones aplicables.</w:t>
            </w:r>
          </w:p>
        </w:tc>
        <w:tc>
          <w:tcPr>
            <w:tcW w:w="4644" w:type="dxa"/>
          </w:tcPr>
          <w:p w14:paraId="446F6DE7" w14:textId="2BE7DF32" w:rsidR="003A38FF" w:rsidRPr="00D0180E" w:rsidRDefault="003A38FF" w:rsidP="003A38FF">
            <w:pPr>
              <w:pStyle w:val="Texto"/>
              <w:spacing w:line="243" w:lineRule="exact"/>
              <w:ind w:firstLine="0"/>
              <w:rPr>
                <w:rFonts w:ascii="Verdana" w:hAnsi="Verdana"/>
                <w:b/>
                <w:sz w:val="16"/>
                <w:szCs w:val="16"/>
                <w:lang w:val="en-US"/>
              </w:rPr>
            </w:pPr>
            <w:r w:rsidRPr="002A7BDA">
              <w:rPr>
                <w:rFonts w:ascii="Verdana" w:hAnsi="Verdana"/>
                <w:b/>
                <w:sz w:val="16"/>
                <w:szCs w:val="16"/>
                <w:lang w:val="en-US"/>
              </w:rPr>
              <w:t>IX</w:t>
            </w:r>
            <w:proofErr w:type="gramStart"/>
            <w:r w:rsidRPr="002A7BDA">
              <w:rPr>
                <w:rFonts w:ascii="Verdana" w:hAnsi="Verdana"/>
                <w:b/>
                <w:sz w:val="16"/>
                <w:szCs w:val="16"/>
                <w:lang w:val="en-US"/>
              </w:rPr>
              <w:t xml:space="preserve">. </w:t>
            </w:r>
            <w:r w:rsidRPr="002A7BDA">
              <w:rPr>
                <w:rFonts w:ascii="Verdana" w:hAnsi="Verdana"/>
                <w:b/>
                <w:sz w:val="16"/>
                <w:szCs w:val="16"/>
                <w:lang w:val="en-US"/>
              </w:rPr>
              <w:tab/>
            </w:r>
            <w:r w:rsidRPr="002A7BDA">
              <w:rPr>
                <w:rFonts w:ascii="Verdana" w:hAnsi="Verdana"/>
                <w:sz w:val="16"/>
                <w:szCs w:val="16"/>
                <w:lang w:val="en-US"/>
              </w:rPr>
              <w:t>Others</w:t>
            </w:r>
            <w:proofErr w:type="gramEnd"/>
            <w:r w:rsidRPr="002A7BDA">
              <w:rPr>
                <w:rFonts w:ascii="Verdana" w:hAnsi="Verdana"/>
                <w:sz w:val="16"/>
                <w:szCs w:val="16"/>
                <w:lang w:val="en-US"/>
              </w:rPr>
              <w:t xml:space="preserve"> provided for in the applicable provisions.</w:t>
            </w:r>
          </w:p>
        </w:tc>
      </w:tr>
      <w:tr w:rsidR="003A38FF" w:rsidRPr="00D83DA2" w14:paraId="07A1D50A" w14:textId="01D7FFFA" w:rsidTr="00FB5DAD">
        <w:tc>
          <w:tcPr>
            <w:tcW w:w="4706" w:type="dxa"/>
          </w:tcPr>
          <w:p w14:paraId="655EF9CB" w14:textId="77777777" w:rsidR="003A38FF" w:rsidRPr="00D0180E" w:rsidRDefault="003A38FF" w:rsidP="003A38FF">
            <w:pPr>
              <w:pStyle w:val="Texto"/>
              <w:spacing w:line="243" w:lineRule="exact"/>
              <w:ind w:firstLine="0"/>
              <w:rPr>
                <w:rFonts w:ascii="Verdana" w:hAnsi="Verdana"/>
                <w:sz w:val="16"/>
                <w:szCs w:val="16"/>
              </w:rPr>
            </w:pPr>
            <w:bookmarkStart w:id="13" w:name="N_Hlk203405524"/>
            <w:r w:rsidRPr="00D0180E">
              <w:rPr>
                <w:rFonts w:ascii="Verdana" w:hAnsi="Verdana"/>
                <w:b/>
                <w:sz w:val="16"/>
                <w:szCs w:val="16"/>
              </w:rPr>
              <w:t xml:space="preserve">Artículo 280. </w:t>
            </w:r>
            <w:r w:rsidRPr="00D0180E">
              <w:rPr>
                <w:rFonts w:ascii="Verdana" w:hAnsi="Verdana"/>
                <w:sz w:val="16"/>
                <w:szCs w:val="16"/>
              </w:rPr>
              <w:t>Adicionalmente a lo dispuesto en la Ley y demás disposiciones aplicables, la indemnización que en su caso proceda por la requisa, consiste en una compensación en moneda nacional a valor de mercado, así como en el pago de daños y perjuicios, que se encuentren debidamente acreditados, por la persona titular de los bienes objeto de la requisa.</w:t>
            </w:r>
          </w:p>
        </w:tc>
        <w:tc>
          <w:tcPr>
            <w:tcW w:w="4644" w:type="dxa"/>
          </w:tcPr>
          <w:p w14:paraId="5683D11E" w14:textId="5CEA87A6" w:rsidR="003A38FF" w:rsidRPr="00D0180E" w:rsidRDefault="003A38FF" w:rsidP="003A38FF">
            <w:pPr>
              <w:pStyle w:val="Texto"/>
              <w:spacing w:line="243" w:lineRule="exact"/>
              <w:ind w:firstLine="0"/>
              <w:rPr>
                <w:rFonts w:ascii="Verdana" w:hAnsi="Verdana"/>
                <w:b/>
                <w:sz w:val="16"/>
                <w:szCs w:val="16"/>
                <w:lang w:val="en-US"/>
              </w:rPr>
            </w:pPr>
            <w:r w:rsidRPr="002A7BDA">
              <w:rPr>
                <w:rFonts w:ascii="Verdana" w:hAnsi="Verdana"/>
                <w:b/>
                <w:sz w:val="16"/>
                <w:szCs w:val="16"/>
                <w:lang w:val="en-US"/>
              </w:rPr>
              <w:t xml:space="preserve">Article 280. </w:t>
            </w:r>
            <w:r w:rsidRPr="002A7BDA">
              <w:rPr>
                <w:rFonts w:ascii="Verdana" w:hAnsi="Verdana"/>
                <w:sz w:val="16"/>
                <w:szCs w:val="16"/>
                <w:lang w:val="en-US"/>
              </w:rPr>
              <w:t>In addition to the provisions of the Law and other applicable legislation, any compensation that may be due to the requisition consists of compensation in national currency at market value, as well as the payment of damages, which are duly accredited, by the owner of the goods subject to the requisition.</w:t>
            </w:r>
          </w:p>
        </w:tc>
      </w:tr>
      <w:tr w:rsidR="003A38FF" w:rsidRPr="00D83DA2" w14:paraId="6D92CE0D" w14:textId="19FA47B1" w:rsidTr="00FB5DAD">
        <w:tc>
          <w:tcPr>
            <w:tcW w:w="4706" w:type="dxa"/>
          </w:tcPr>
          <w:p w14:paraId="66769083" w14:textId="77777777" w:rsidR="003A38FF" w:rsidRPr="00D0180E" w:rsidRDefault="003A38FF" w:rsidP="003A38FF">
            <w:pPr>
              <w:pStyle w:val="Texto"/>
              <w:spacing w:line="243" w:lineRule="exact"/>
              <w:ind w:firstLine="0"/>
              <w:rPr>
                <w:rFonts w:ascii="Verdana" w:hAnsi="Verdana"/>
                <w:sz w:val="16"/>
                <w:szCs w:val="16"/>
              </w:rPr>
            </w:pPr>
            <w:r w:rsidRPr="00D0180E">
              <w:rPr>
                <w:rFonts w:ascii="Verdana" w:hAnsi="Verdana"/>
                <w:b/>
                <w:sz w:val="16"/>
                <w:szCs w:val="16"/>
              </w:rPr>
              <w:t xml:space="preserve">Artículo 281. </w:t>
            </w:r>
            <w:r w:rsidRPr="00D0180E">
              <w:rPr>
                <w:rFonts w:ascii="Verdana" w:hAnsi="Verdana"/>
                <w:sz w:val="16"/>
                <w:szCs w:val="16"/>
              </w:rPr>
              <w:t>El precio que se fije como indemnización por los bienes, debe ser equivalente al valor comercial que se establezca, sin que pueda ser inferior, en el caso de bienes inmuebles, al valor fiscal que figure en las oficinas catastrales o recaudadoras correspondientes.</w:t>
            </w:r>
          </w:p>
        </w:tc>
        <w:tc>
          <w:tcPr>
            <w:tcW w:w="4644" w:type="dxa"/>
          </w:tcPr>
          <w:p w14:paraId="319D08F9" w14:textId="275C169B" w:rsidR="003A38FF" w:rsidRPr="00D0180E" w:rsidRDefault="003A38FF" w:rsidP="003A38FF">
            <w:pPr>
              <w:pStyle w:val="Texto"/>
              <w:spacing w:line="243" w:lineRule="exact"/>
              <w:ind w:firstLine="0"/>
              <w:rPr>
                <w:rFonts w:ascii="Verdana" w:hAnsi="Verdana"/>
                <w:b/>
                <w:sz w:val="16"/>
                <w:szCs w:val="16"/>
                <w:lang w:val="en-US"/>
              </w:rPr>
            </w:pPr>
            <w:r w:rsidRPr="002A7BDA">
              <w:rPr>
                <w:rFonts w:ascii="Verdana" w:hAnsi="Verdana"/>
                <w:b/>
                <w:sz w:val="16"/>
                <w:szCs w:val="16"/>
                <w:lang w:val="en-US"/>
              </w:rPr>
              <w:t xml:space="preserve">Article 281. </w:t>
            </w:r>
            <w:r w:rsidRPr="002A7BDA">
              <w:rPr>
                <w:rFonts w:ascii="Verdana" w:hAnsi="Verdana"/>
                <w:sz w:val="16"/>
                <w:szCs w:val="16"/>
                <w:lang w:val="en-US"/>
              </w:rPr>
              <w:t xml:space="preserve">The price set as compensation for the assets must be equivalent to the established commercial value, and in the case of real estate, it may not be lower than the tax value shown in the corresponding </w:t>
            </w:r>
            <w:r>
              <w:rPr>
                <w:rFonts w:ascii="Verdana" w:hAnsi="Verdana"/>
                <w:sz w:val="16"/>
                <w:szCs w:val="16"/>
                <w:lang w:val="en-US"/>
              </w:rPr>
              <w:t>property tax offices</w:t>
            </w:r>
            <w:r w:rsidRPr="002A7BDA">
              <w:rPr>
                <w:rFonts w:ascii="Verdana" w:hAnsi="Verdana"/>
                <w:sz w:val="16"/>
                <w:szCs w:val="16"/>
                <w:lang w:val="en-US"/>
              </w:rPr>
              <w:t xml:space="preserve"> or tax collection offices.</w:t>
            </w:r>
          </w:p>
        </w:tc>
      </w:tr>
      <w:tr w:rsidR="003A38FF" w:rsidRPr="00D83DA2" w14:paraId="3EF8F67D" w14:textId="706E10B8" w:rsidTr="00FB5DAD">
        <w:tc>
          <w:tcPr>
            <w:tcW w:w="4706" w:type="dxa"/>
          </w:tcPr>
          <w:p w14:paraId="33F7A81C" w14:textId="77777777" w:rsidR="003A38FF" w:rsidRPr="00D0180E" w:rsidRDefault="003A38FF" w:rsidP="003A38FF">
            <w:pPr>
              <w:pStyle w:val="Texto"/>
              <w:spacing w:line="243" w:lineRule="exact"/>
              <w:ind w:firstLine="0"/>
              <w:rPr>
                <w:rFonts w:ascii="Verdana" w:hAnsi="Verdana"/>
                <w:sz w:val="16"/>
                <w:szCs w:val="16"/>
              </w:rPr>
            </w:pPr>
            <w:r w:rsidRPr="00D0180E">
              <w:rPr>
                <w:rFonts w:ascii="Verdana" w:hAnsi="Verdana"/>
                <w:b/>
                <w:sz w:val="16"/>
                <w:szCs w:val="16"/>
              </w:rPr>
              <w:t xml:space="preserve">Artículo 282. </w:t>
            </w:r>
            <w:r w:rsidRPr="00D0180E">
              <w:rPr>
                <w:rFonts w:ascii="Verdana" w:hAnsi="Verdana"/>
                <w:sz w:val="16"/>
                <w:szCs w:val="16"/>
              </w:rPr>
              <w:t>El monto de la indemnización por la requisa, según corresponda se debe fijar por el Instituto de Administración y Avalúos de Bienes Nacionales o Instituciones de crédito o corredores públicos o profesionistas con posgrado en valuación, que se encuentren autorizados.</w:t>
            </w:r>
          </w:p>
        </w:tc>
        <w:tc>
          <w:tcPr>
            <w:tcW w:w="4644" w:type="dxa"/>
          </w:tcPr>
          <w:p w14:paraId="498461FF" w14:textId="12E7679F" w:rsidR="003A38FF" w:rsidRPr="00D0180E" w:rsidRDefault="003A38FF" w:rsidP="003A38FF">
            <w:pPr>
              <w:pStyle w:val="Texto"/>
              <w:spacing w:line="243" w:lineRule="exact"/>
              <w:ind w:firstLine="0"/>
              <w:rPr>
                <w:rFonts w:ascii="Verdana" w:hAnsi="Verdana"/>
                <w:b/>
                <w:sz w:val="16"/>
                <w:szCs w:val="16"/>
                <w:lang w:val="en-US"/>
              </w:rPr>
            </w:pPr>
            <w:r w:rsidRPr="002A7BDA">
              <w:rPr>
                <w:rFonts w:ascii="Verdana" w:hAnsi="Verdana"/>
                <w:b/>
                <w:sz w:val="16"/>
                <w:szCs w:val="16"/>
                <w:lang w:val="en-US"/>
              </w:rPr>
              <w:t xml:space="preserve">Article 282. </w:t>
            </w:r>
            <w:r w:rsidRPr="002A7BDA">
              <w:rPr>
                <w:rFonts w:ascii="Verdana" w:hAnsi="Verdana"/>
                <w:sz w:val="16"/>
                <w:szCs w:val="16"/>
                <w:lang w:val="en-US"/>
              </w:rPr>
              <w:t>The amount of compensation for requisition, as appropriate, must be set by the Institute of Administration and Appraisal of National Assets or credit institutions or public brokers or professionals with postgraduate degrees in appraisal, who are authorized.</w:t>
            </w:r>
          </w:p>
        </w:tc>
      </w:tr>
      <w:tr w:rsidR="003A38FF" w:rsidRPr="00D83DA2" w14:paraId="7009814E" w14:textId="76B056EA" w:rsidTr="00FB5DAD">
        <w:tc>
          <w:tcPr>
            <w:tcW w:w="4706" w:type="dxa"/>
          </w:tcPr>
          <w:p w14:paraId="7014FBB7" w14:textId="77777777" w:rsidR="003A38FF" w:rsidRPr="00D0180E" w:rsidRDefault="003A38FF" w:rsidP="003A38FF">
            <w:pPr>
              <w:pStyle w:val="Texto"/>
              <w:spacing w:line="243" w:lineRule="exact"/>
              <w:ind w:firstLine="0"/>
              <w:rPr>
                <w:rFonts w:ascii="Verdana" w:hAnsi="Verdana"/>
                <w:sz w:val="16"/>
                <w:szCs w:val="16"/>
              </w:rPr>
            </w:pPr>
            <w:r w:rsidRPr="00D0180E">
              <w:rPr>
                <w:rFonts w:ascii="Verdana" w:hAnsi="Verdana"/>
                <w:b/>
                <w:sz w:val="16"/>
                <w:szCs w:val="16"/>
              </w:rPr>
              <w:t xml:space="preserve">Artículo 283. </w:t>
            </w:r>
            <w:r w:rsidRPr="00D0180E">
              <w:rPr>
                <w:rFonts w:ascii="Verdana" w:hAnsi="Verdana"/>
                <w:sz w:val="16"/>
                <w:szCs w:val="16"/>
              </w:rPr>
              <w:t>Si los bienes objeto de la requisa tienen algún gravamen de naturaleza real, la indemnización se debe consignar ante la autoridad competente, a fin de que esta determine la parte que corresponda a cada uno de los titulares de los derechos que resulten afectados.</w:t>
            </w:r>
          </w:p>
        </w:tc>
        <w:tc>
          <w:tcPr>
            <w:tcW w:w="4644" w:type="dxa"/>
          </w:tcPr>
          <w:p w14:paraId="660342B2" w14:textId="2B2843ED" w:rsidR="003A38FF" w:rsidRPr="00D0180E" w:rsidRDefault="003A38FF" w:rsidP="003A38FF">
            <w:pPr>
              <w:pStyle w:val="Texto"/>
              <w:spacing w:line="243" w:lineRule="exact"/>
              <w:ind w:firstLine="0"/>
              <w:rPr>
                <w:rFonts w:ascii="Verdana" w:hAnsi="Verdana"/>
                <w:b/>
                <w:sz w:val="16"/>
                <w:szCs w:val="16"/>
                <w:lang w:val="en-US"/>
              </w:rPr>
            </w:pPr>
            <w:r w:rsidRPr="002A7BDA">
              <w:rPr>
                <w:rFonts w:ascii="Verdana" w:hAnsi="Verdana"/>
                <w:b/>
                <w:sz w:val="16"/>
                <w:szCs w:val="16"/>
                <w:lang w:val="en-US"/>
              </w:rPr>
              <w:t xml:space="preserve">Article 283. </w:t>
            </w:r>
            <w:r w:rsidRPr="002A7BDA">
              <w:rPr>
                <w:rFonts w:ascii="Verdana" w:hAnsi="Verdana"/>
                <w:sz w:val="16"/>
                <w:szCs w:val="16"/>
                <w:lang w:val="en-US"/>
              </w:rPr>
              <w:t xml:space="preserve">If the assets subject to requisition have any real encumbrance, </w:t>
            </w:r>
            <w:proofErr w:type="gramStart"/>
            <w:r w:rsidRPr="002A7BDA">
              <w:rPr>
                <w:rFonts w:ascii="Verdana" w:hAnsi="Verdana"/>
                <w:sz w:val="16"/>
                <w:szCs w:val="16"/>
                <w:lang w:val="en-US"/>
              </w:rPr>
              <w:t>the compensation</w:t>
            </w:r>
            <w:proofErr w:type="gramEnd"/>
            <w:r w:rsidRPr="002A7BDA">
              <w:rPr>
                <w:rFonts w:ascii="Verdana" w:hAnsi="Verdana"/>
                <w:sz w:val="16"/>
                <w:szCs w:val="16"/>
                <w:lang w:val="en-US"/>
              </w:rPr>
              <w:t xml:space="preserve"> must be filed with the appropriate authority, so that it may determine the share corresponding to each of the holders of the rights affected.</w:t>
            </w:r>
          </w:p>
        </w:tc>
      </w:tr>
      <w:tr w:rsidR="003A38FF" w:rsidRPr="00D83DA2" w14:paraId="571242B5" w14:textId="262291E3" w:rsidTr="00FB5DAD">
        <w:tc>
          <w:tcPr>
            <w:tcW w:w="4706" w:type="dxa"/>
          </w:tcPr>
          <w:p w14:paraId="37B287D8" w14:textId="77777777" w:rsidR="003A38FF" w:rsidRPr="00D0180E" w:rsidRDefault="003A38FF" w:rsidP="003A38FF">
            <w:pPr>
              <w:pStyle w:val="Texto"/>
              <w:spacing w:line="243" w:lineRule="exact"/>
              <w:ind w:firstLine="0"/>
              <w:rPr>
                <w:rFonts w:ascii="Verdana" w:hAnsi="Verdana"/>
                <w:sz w:val="16"/>
                <w:szCs w:val="16"/>
              </w:rPr>
            </w:pPr>
            <w:r w:rsidRPr="00D0180E">
              <w:rPr>
                <w:rFonts w:ascii="Verdana" w:hAnsi="Verdana"/>
                <w:sz w:val="16"/>
                <w:szCs w:val="16"/>
              </w:rPr>
              <w:t>En estos casos, de la indemnización a la persona titular de los bienes, se disminuye la que corresponda al gravamen de que se trate, de manera que el importe de ambas no exceda del valor que los bienes hubieren tenido libres de gravamen.</w:t>
            </w:r>
            <w:bookmarkEnd w:id="13"/>
          </w:p>
        </w:tc>
        <w:tc>
          <w:tcPr>
            <w:tcW w:w="4644" w:type="dxa"/>
          </w:tcPr>
          <w:p w14:paraId="17438889" w14:textId="6B425E47" w:rsidR="003A38FF" w:rsidRPr="00D0180E" w:rsidRDefault="003A38FF" w:rsidP="003A38FF">
            <w:pPr>
              <w:pStyle w:val="Texto"/>
              <w:spacing w:line="243" w:lineRule="exact"/>
              <w:ind w:firstLine="0"/>
              <w:rPr>
                <w:rFonts w:ascii="Verdana" w:hAnsi="Verdana"/>
                <w:sz w:val="16"/>
                <w:szCs w:val="16"/>
                <w:lang w:val="en-US"/>
              </w:rPr>
            </w:pPr>
            <w:r w:rsidRPr="002A7BDA">
              <w:rPr>
                <w:rFonts w:ascii="Verdana" w:hAnsi="Verdana"/>
                <w:sz w:val="16"/>
                <w:szCs w:val="16"/>
                <w:lang w:val="en-US"/>
              </w:rPr>
              <w:t>In these cases, the compensation to the owner of the assets is reduced by the amount corresponding to the encumbrance in question, so that the amount of both does not exceed the value that the assets would have had free of encumbrance.</w:t>
            </w:r>
          </w:p>
        </w:tc>
      </w:tr>
      <w:tr w:rsidR="003A38FF" w:rsidRPr="00D83DA2" w14:paraId="7F9A69C6" w14:textId="14D9A5CC" w:rsidTr="00FB5DAD">
        <w:tc>
          <w:tcPr>
            <w:tcW w:w="4706" w:type="dxa"/>
          </w:tcPr>
          <w:p w14:paraId="72960067" w14:textId="77777777" w:rsidR="003A38FF" w:rsidRPr="00D0180E" w:rsidRDefault="003A38FF" w:rsidP="003A38FF">
            <w:pPr>
              <w:pStyle w:val="Texto"/>
              <w:spacing w:line="243" w:lineRule="exact"/>
              <w:ind w:firstLine="0"/>
              <w:rPr>
                <w:rFonts w:ascii="Verdana" w:hAnsi="Verdana"/>
                <w:sz w:val="16"/>
                <w:szCs w:val="16"/>
              </w:rPr>
            </w:pPr>
            <w:r w:rsidRPr="00D0180E">
              <w:rPr>
                <w:rFonts w:ascii="Verdana" w:hAnsi="Verdana"/>
                <w:b/>
                <w:sz w:val="16"/>
                <w:szCs w:val="16"/>
              </w:rPr>
              <w:t>Artículo 284.</w:t>
            </w:r>
            <w:r w:rsidRPr="00D0180E">
              <w:rPr>
                <w:rFonts w:ascii="Verdana" w:hAnsi="Verdana"/>
                <w:sz w:val="16"/>
                <w:szCs w:val="16"/>
              </w:rPr>
              <w:t xml:space="preserve"> El importe de la indemnización debe ser cubierto por el Estado cuando los bienes objeto de la requisa pasen a su patrimonio.</w:t>
            </w:r>
          </w:p>
        </w:tc>
        <w:tc>
          <w:tcPr>
            <w:tcW w:w="4644" w:type="dxa"/>
          </w:tcPr>
          <w:p w14:paraId="7CBA3528" w14:textId="6C27BE74" w:rsidR="003A38FF" w:rsidRPr="00D0180E" w:rsidRDefault="003A38FF" w:rsidP="003A38FF">
            <w:pPr>
              <w:pStyle w:val="Texto"/>
              <w:spacing w:line="243" w:lineRule="exact"/>
              <w:ind w:firstLine="0"/>
              <w:rPr>
                <w:rFonts w:ascii="Verdana" w:hAnsi="Verdana"/>
                <w:b/>
                <w:sz w:val="16"/>
                <w:szCs w:val="16"/>
                <w:lang w:val="en-US"/>
              </w:rPr>
            </w:pPr>
            <w:r w:rsidRPr="00347248">
              <w:rPr>
                <w:rFonts w:ascii="Verdana" w:hAnsi="Verdana"/>
                <w:b/>
                <w:sz w:val="16"/>
                <w:szCs w:val="16"/>
                <w:lang w:val="en-US"/>
              </w:rPr>
              <w:t xml:space="preserve">Article 284. </w:t>
            </w:r>
            <w:r w:rsidRPr="00347248">
              <w:rPr>
                <w:rFonts w:ascii="Verdana" w:hAnsi="Verdana"/>
                <w:sz w:val="16"/>
                <w:szCs w:val="16"/>
                <w:lang w:val="en-US"/>
              </w:rPr>
              <w:t>The amount of compensation must be covered by the State when the assets subject to requisition become part of its patrimony.</w:t>
            </w:r>
          </w:p>
        </w:tc>
      </w:tr>
      <w:tr w:rsidR="003A38FF" w:rsidRPr="00D83DA2" w14:paraId="53AE3030" w14:textId="0E964CA0" w:rsidTr="00FB5DAD">
        <w:tc>
          <w:tcPr>
            <w:tcW w:w="4706" w:type="dxa"/>
          </w:tcPr>
          <w:p w14:paraId="61D8C298" w14:textId="77777777" w:rsidR="003A38FF" w:rsidRPr="00D0180E" w:rsidRDefault="003A38FF" w:rsidP="003A38FF">
            <w:pPr>
              <w:pStyle w:val="Texto"/>
              <w:spacing w:line="243" w:lineRule="exact"/>
              <w:ind w:firstLine="0"/>
              <w:rPr>
                <w:rFonts w:ascii="Verdana" w:hAnsi="Verdana"/>
                <w:sz w:val="16"/>
                <w:szCs w:val="16"/>
              </w:rPr>
            </w:pPr>
            <w:r w:rsidRPr="00D0180E">
              <w:rPr>
                <w:rFonts w:ascii="Verdana" w:hAnsi="Verdana"/>
                <w:b/>
                <w:sz w:val="16"/>
                <w:szCs w:val="16"/>
              </w:rPr>
              <w:lastRenderedPageBreak/>
              <w:t xml:space="preserve">Artículo 285. </w:t>
            </w:r>
            <w:r w:rsidRPr="00D0180E">
              <w:rPr>
                <w:rFonts w:ascii="Verdana" w:hAnsi="Verdana"/>
                <w:sz w:val="16"/>
                <w:szCs w:val="16"/>
              </w:rPr>
              <w:t>Si la requisa fuere temporal, solo se debe cubrir el pago de los daños y perjuicios que se hayan causado, en los términos del presente reglamento y demás disposiciones que correspondan.</w:t>
            </w:r>
          </w:p>
        </w:tc>
        <w:tc>
          <w:tcPr>
            <w:tcW w:w="4644" w:type="dxa"/>
          </w:tcPr>
          <w:p w14:paraId="37064ACD" w14:textId="4BC2614D" w:rsidR="003A38FF" w:rsidRPr="00D0180E" w:rsidRDefault="003A38FF" w:rsidP="003A38FF">
            <w:pPr>
              <w:pStyle w:val="Texto"/>
              <w:spacing w:line="243" w:lineRule="exact"/>
              <w:ind w:firstLine="0"/>
              <w:rPr>
                <w:rFonts w:ascii="Verdana" w:hAnsi="Verdana"/>
                <w:b/>
                <w:sz w:val="16"/>
                <w:szCs w:val="16"/>
                <w:lang w:val="en-US"/>
              </w:rPr>
            </w:pPr>
            <w:r w:rsidRPr="00347248">
              <w:rPr>
                <w:rFonts w:ascii="Verdana" w:hAnsi="Verdana"/>
                <w:b/>
                <w:sz w:val="16"/>
                <w:szCs w:val="16"/>
                <w:lang w:val="en-US"/>
              </w:rPr>
              <w:t xml:space="preserve">Article 285. </w:t>
            </w:r>
            <w:r w:rsidRPr="00347248">
              <w:rPr>
                <w:rFonts w:ascii="Verdana" w:hAnsi="Verdana"/>
                <w:sz w:val="16"/>
                <w:szCs w:val="16"/>
                <w:lang w:val="en-US"/>
              </w:rPr>
              <w:t xml:space="preserve">If the requisition is temporary, only the payment of </w:t>
            </w:r>
            <w:proofErr w:type="gramStart"/>
            <w:r w:rsidRPr="00347248">
              <w:rPr>
                <w:rFonts w:ascii="Verdana" w:hAnsi="Verdana"/>
                <w:sz w:val="16"/>
                <w:szCs w:val="16"/>
                <w:lang w:val="en-US"/>
              </w:rPr>
              <w:t>damages</w:t>
            </w:r>
            <w:proofErr w:type="gramEnd"/>
            <w:r w:rsidRPr="00347248">
              <w:rPr>
                <w:rFonts w:ascii="Verdana" w:hAnsi="Verdana"/>
                <w:sz w:val="16"/>
                <w:szCs w:val="16"/>
                <w:lang w:val="en-US"/>
              </w:rPr>
              <w:t xml:space="preserve"> caused must be covered, in accordance with the terms of this regulation and other applicable provisions.</w:t>
            </w:r>
          </w:p>
        </w:tc>
      </w:tr>
      <w:tr w:rsidR="003A38FF" w:rsidRPr="00D83DA2" w14:paraId="084383D2" w14:textId="0770688D" w:rsidTr="00FB5DAD">
        <w:tc>
          <w:tcPr>
            <w:tcW w:w="4706" w:type="dxa"/>
          </w:tcPr>
          <w:p w14:paraId="5C7B7BA6" w14:textId="77777777" w:rsidR="003A38FF" w:rsidRPr="00D0180E" w:rsidRDefault="003A38FF" w:rsidP="003A38FF">
            <w:pPr>
              <w:pStyle w:val="Texto"/>
              <w:spacing w:line="243" w:lineRule="exact"/>
              <w:ind w:firstLine="0"/>
              <w:rPr>
                <w:rFonts w:ascii="Verdana" w:hAnsi="Verdana"/>
                <w:sz w:val="16"/>
                <w:szCs w:val="16"/>
              </w:rPr>
            </w:pPr>
            <w:r w:rsidRPr="00D0180E">
              <w:rPr>
                <w:rFonts w:ascii="Verdana" w:hAnsi="Verdana"/>
                <w:b/>
                <w:sz w:val="16"/>
                <w:szCs w:val="16"/>
              </w:rPr>
              <w:t>Artículo 286.</w:t>
            </w:r>
            <w:r w:rsidRPr="00D0180E">
              <w:rPr>
                <w:rFonts w:ascii="Verdana" w:hAnsi="Verdana"/>
                <w:sz w:val="16"/>
                <w:szCs w:val="16"/>
              </w:rPr>
              <w:t xml:space="preserve"> En caso de que una vez cubierto el valor de la indemnización, se resuelva la reversión total o parcial de los bienes, la persona titular de estos debe devolver la totalidad o la parte correspondiente de la indemnización que le hubiere sido cubierta.</w:t>
            </w:r>
          </w:p>
        </w:tc>
        <w:tc>
          <w:tcPr>
            <w:tcW w:w="4644" w:type="dxa"/>
          </w:tcPr>
          <w:p w14:paraId="7E67A709" w14:textId="7B1B95DE" w:rsidR="003A38FF" w:rsidRPr="00D0180E" w:rsidRDefault="003A38FF" w:rsidP="003A38FF">
            <w:pPr>
              <w:pStyle w:val="Texto"/>
              <w:spacing w:line="243" w:lineRule="exact"/>
              <w:ind w:firstLine="0"/>
              <w:rPr>
                <w:rFonts w:ascii="Verdana" w:hAnsi="Verdana"/>
                <w:b/>
                <w:sz w:val="16"/>
                <w:szCs w:val="16"/>
                <w:lang w:val="en-US"/>
              </w:rPr>
            </w:pPr>
            <w:r w:rsidRPr="00347248">
              <w:rPr>
                <w:rFonts w:ascii="Verdana" w:hAnsi="Verdana"/>
                <w:b/>
                <w:sz w:val="16"/>
                <w:szCs w:val="16"/>
                <w:lang w:val="en-US"/>
              </w:rPr>
              <w:t xml:space="preserve">Article 286. </w:t>
            </w:r>
            <w:proofErr w:type="gramStart"/>
            <w:r w:rsidRPr="00347248">
              <w:rPr>
                <w:rFonts w:ascii="Verdana" w:hAnsi="Verdana"/>
                <w:sz w:val="16"/>
                <w:szCs w:val="16"/>
                <w:lang w:val="en-US"/>
              </w:rPr>
              <w:t>In the event that</w:t>
            </w:r>
            <w:proofErr w:type="gramEnd"/>
            <w:r w:rsidRPr="00347248">
              <w:rPr>
                <w:rFonts w:ascii="Verdana" w:hAnsi="Verdana"/>
                <w:sz w:val="16"/>
                <w:szCs w:val="16"/>
                <w:lang w:val="en-US"/>
              </w:rPr>
              <w:t>, once the value of the compensation has been covered, the total or partial reversion of the assets is decided, the person holding the assets must return all or the corresponding part of the compensation that has been covered.</w:t>
            </w:r>
          </w:p>
        </w:tc>
      </w:tr>
      <w:tr w:rsidR="003A38FF" w:rsidRPr="00D83DA2" w14:paraId="1CE8AD01" w14:textId="697FFEDA" w:rsidTr="00FB5DAD">
        <w:tc>
          <w:tcPr>
            <w:tcW w:w="4706" w:type="dxa"/>
          </w:tcPr>
          <w:p w14:paraId="2124D413" w14:textId="77777777" w:rsidR="003A38FF" w:rsidRPr="00D0180E" w:rsidRDefault="003A38FF" w:rsidP="003A38FF">
            <w:pPr>
              <w:pStyle w:val="Texto"/>
              <w:spacing w:line="243" w:lineRule="exact"/>
              <w:ind w:firstLine="0"/>
              <w:rPr>
                <w:rFonts w:ascii="Verdana" w:hAnsi="Verdana"/>
                <w:sz w:val="16"/>
                <w:szCs w:val="16"/>
              </w:rPr>
            </w:pPr>
            <w:r w:rsidRPr="00D0180E">
              <w:rPr>
                <w:rFonts w:ascii="Verdana" w:hAnsi="Verdana"/>
                <w:b/>
                <w:sz w:val="16"/>
                <w:szCs w:val="16"/>
              </w:rPr>
              <w:t xml:space="preserve">Artículo 287. </w:t>
            </w:r>
            <w:r w:rsidRPr="00D0180E">
              <w:rPr>
                <w:rFonts w:ascii="Verdana" w:hAnsi="Verdana"/>
                <w:sz w:val="16"/>
                <w:szCs w:val="16"/>
              </w:rPr>
              <w:t>En el supuesto de que, por así convenir al orden público e interés general, los bienes objeto de la requisa, pasen al patrimonio de persona distinta del Estado, aquella debe cubrir el importe de la indemnización.</w:t>
            </w:r>
          </w:p>
        </w:tc>
        <w:tc>
          <w:tcPr>
            <w:tcW w:w="4644" w:type="dxa"/>
          </w:tcPr>
          <w:p w14:paraId="6E60D153" w14:textId="6C51701D" w:rsidR="003A38FF" w:rsidRPr="00D0180E" w:rsidRDefault="003A38FF" w:rsidP="003A38FF">
            <w:pPr>
              <w:pStyle w:val="Texto"/>
              <w:spacing w:line="243" w:lineRule="exact"/>
              <w:ind w:firstLine="0"/>
              <w:rPr>
                <w:rFonts w:ascii="Verdana" w:hAnsi="Verdana"/>
                <w:b/>
                <w:sz w:val="16"/>
                <w:szCs w:val="16"/>
                <w:lang w:val="en-US"/>
              </w:rPr>
            </w:pPr>
            <w:r w:rsidRPr="00347248">
              <w:rPr>
                <w:rFonts w:ascii="Verdana" w:hAnsi="Verdana"/>
                <w:b/>
                <w:sz w:val="16"/>
                <w:szCs w:val="16"/>
                <w:lang w:val="en-US"/>
              </w:rPr>
              <w:t xml:space="preserve">Article 287. </w:t>
            </w:r>
            <w:proofErr w:type="gramStart"/>
            <w:r w:rsidRPr="00347248">
              <w:rPr>
                <w:rFonts w:ascii="Verdana" w:hAnsi="Verdana"/>
                <w:sz w:val="16"/>
                <w:szCs w:val="16"/>
                <w:lang w:val="en-US"/>
              </w:rPr>
              <w:t>In the event that</w:t>
            </w:r>
            <w:proofErr w:type="gramEnd"/>
            <w:r w:rsidRPr="00347248">
              <w:rPr>
                <w:rFonts w:ascii="Verdana" w:hAnsi="Verdana"/>
                <w:sz w:val="16"/>
                <w:szCs w:val="16"/>
                <w:lang w:val="en-US"/>
              </w:rPr>
              <w:t xml:space="preserve">, </w:t>
            </w:r>
            <w:proofErr w:type="gramStart"/>
            <w:r w:rsidRPr="00347248">
              <w:rPr>
                <w:rFonts w:ascii="Verdana" w:hAnsi="Verdana"/>
                <w:sz w:val="16"/>
                <w:szCs w:val="16"/>
                <w:lang w:val="en-US"/>
              </w:rPr>
              <w:t>as a result of</w:t>
            </w:r>
            <w:proofErr w:type="gramEnd"/>
            <w:r w:rsidRPr="00347248">
              <w:rPr>
                <w:rFonts w:ascii="Verdana" w:hAnsi="Verdana"/>
                <w:sz w:val="16"/>
                <w:szCs w:val="16"/>
                <w:lang w:val="en-US"/>
              </w:rPr>
              <w:t xml:space="preserve"> public order and </w:t>
            </w:r>
            <w:proofErr w:type="gramStart"/>
            <w:r w:rsidRPr="00347248">
              <w:rPr>
                <w:rFonts w:ascii="Verdana" w:hAnsi="Verdana"/>
                <w:sz w:val="16"/>
                <w:szCs w:val="16"/>
                <w:lang w:val="en-US"/>
              </w:rPr>
              <w:t>the general</w:t>
            </w:r>
            <w:proofErr w:type="gramEnd"/>
            <w:r w:rsidRPr="00347248">
              <w:rPr>
                <w:rFonts w:ascii="Verdana" w:hAnsi="Verdana"/>
                <w:sz w:val="16"/>
                <w:szCs w:val="16"/>
                <w:lang w:val="en-US"/>
              </w:rPr>
              <w:t xml:space="preserve"> interest, the assets subject to requisition pass into the patrimony of a person other than the State, the State must cover the amount of compensation.</w:t>
            </w:r>
          </w:p>
        </w:tc>
      </w:tr>
      <w:tr w:rsidR="003A38FF" w:rsidRPr="00D0180E" w14:paraId="65768844" w14:textId="134B5F15" w:rsidTr="00FB5DAD">
        <w:tc>
          <w:tcPr>
            <w:tcW w:w="4706" w:type="dxa"/>
          </w:tcPr>
          <w:p w14:paraId="2541B982" w14:textId="77777777" w:rsidR="003A38FF" w:rsidRPr="00D0180E" w:rsidRDefault="003A38FF" w:rsidP="003A38FF">
            <w:pPr>
              <w:pStyle w:val="Texto"/>
              <w:spacing w:line="243" w:lineRule="exact"/>
              <w:ind w:firstLine="0"/>
              <w:jc w:val="center"/>
              <w:rPr>
                <w:rFonts w:ascii="Verdana" w:hAnsi="Verdana"/>
                <w:b/>
                <w:sz w:val="16"/>
                <w:szCs w:val="16"/>
              </w:rPr>
            </w:pPr>
            <w:r w:rsidRPr="00D0180E">
              <w:rPr>
                <w:rFonts w:ascii="Verdana" w:hAnsi="Verdana"/>
                <w:b/>
                <w:sz w:val="16"/>
                <w:szCs w:val="16"/>
              </w:rPr>
              <w:t>TÍTULO DÉCIMO</w:t>
            </w:r>
          </w:p>
        </w:tc>
        <w:tc>
          <w:tcPr>
            <w:tcW w:w="4644" w:type="dxa"/>
          </w:tcPr>
          <w:p w14:paraId="4D8B5AE8" w14:textId="643C750B" w:rsidR="003A38FF" w:rsidRPr="00D0180E" w:rsidRDefault="003A38FF" w:rsidP="003A38FF">
            <w:pPr>
              <w:pStyle w:val="Texto"/>
              <w:spacing w:line="243" w:lineRule="exact"/>
              <w:ind w:firstLine="0"/>
              <w:jc w:val="center"/>
              <w:rPr>
                <w:rFonts w:ascii="Verdana" w:hAnsi="Verdana"/>
                <w:b/>
                <w:sz w:val="16"/>
                <w:szCs w:val="16"/>
                <w:lang w:val="en-US"/>
              </w:rPr>
            </w:pPr>
            <w:r>
              <w:rPr>
                <w:rFonts w:ascii="Verdana" w:hAnsi="Verdana"/>
                <w:b/>
                <w:sz w:val="16"/>
                <w:szCs w:val="16"/>
              </w:rPr>
              <w:t>TENTH TITLE</w:t>
            </w:r>
          </w:p>
        </w:tc>
      </w:tr>
      <w:tr w:rsidR="003A38FF" w:rsidRPr="00D83DA2" w14:paraId="04EA93D9" w14:textId="762B4B8C" w:rsidTr="00FB5DAD">
        <w:tc>
          <w:tcPr>
            <w:tcW w:w="4706" w:type="dxa"/>
          </w:tcPr>
          <w:p w14:paraId="0F5682F4" w14:textId="77777777" w:rsidR="003A38FF" w:rsidRPr="00D0180E" w:rsidRDefault="003A38FF" w:rsidP="003A38FF">
            <w:pPr>
              <w:pStyle w:val="Texto"/>
              <w:spacing w:line="243" w:lineRule="exact"/>
              <w:ind w:firstLine="0"/>
              <w:jc w:val="center"/>
              <w:rPr>
                <w:rFonts w:ascii="Verdana" w:hAnsi="Verdana"/>
                <w:b/>
                <w:sz w:val="16"/>
                <w:szCs w:val="16"/>
              </w:rPr>
            </w:pPr>
            <w:r w:rsidRPr="00D0180E">
              <w:rPr>
                <w:rFonts w:ascii="Verdana" w:hAnsi="Verdana"/>
                <w:b/>
                <w:sz w:val="16"/>
                <w:szCs w:val="16"/>
              </w:rPr>
              <w:t>DEL CONSEJO CONSULTIVO PARA EL FOMENTO DEL SECTOR ELÉCTRICO</w:t>
            </w:r>
          </w:p>
        </w:tc>
        <w:tc>
          <w:tcPr>
            <w:tcW w:w="4644" w:type="dxa"/>
          </w:tcPr>
          <w:p w14:paraId="75FE2ED2" w14:textId="6F6E8290" w:rsidR="003A38FF" w:rsidRPr="00D0180E" w:rsidRDefault="003A38FF" w:rsidP="003A38FF">
            <w:pPr>
              <w:pStyle w:val="Texto"/>
              <w:spacing w:line="243" w:lineRule="exact"/>
              <w:ind w:firstLine="0"/>
              <w:jc w:val="center"/>
              <w:rPr>
                <w:rFonts w:ascii="Verdana" w:hAnsi="Verdana"/>
                <w:b/>
                <w:sz w:val="16"/>
                <w:szCs w:val="16"/>
                <w:lang w:val="en-US"/>
              </w:rPr>
            </w:pPr>
            <w:r>
              <w:rPr>
                <w:rFonts w:ascii="Verdana" w:hAnsi="Verdana"/>
                <w:b/>
                <w:sz w:val="16"/>
                <w:szCs w:val="16"/>
                <w:lang w:val="en-US"/>
              </w:rPr>
              <w:t>ADVISORY</w:t>
            </w:r>
            <w:r w:rsidRPr="00347248">
              <w:rPr>
                <w:rFonts w:ascii="Verdana" w:hAnsi="Verdana"/>
                <w:b/>
                <w:sz w:val="16"/>
                <w:szCs w:val="16"/>
                <w:lang w:val="en-US"/>
              </w:rPr>
              <w:t xml:space="preserve"> COUNCIL FOR THE PROMOTION OF THE ELECTRICITY SECTOR</w:t>
            </w:r>
          </w:p>
        </w:tc>
      </w:tr>
      <w:tr w:rsidR="003A38FF" w:rsidRPr="00D0180E" w14:paraId="6B33ACB8" w14:textId="33571CF6" w:rsidTr="00FB5DAD">
        <w:tc>
          <w:tcPr>
            <w:tcW w:w="4706" w:type="dxa"/>
          </w:tcPr>
          <w:p w14:paraId="3636B111" w14:textId="77777777" w:rsidR="003A38FF" w:rsidRPr="00D0180E" w:rsidRDefault="003A38FF" w:rsidP="003A38FF">
            <w:pPr>
              <w:pStyle w:val="Texto"/>
              <w:spacing w:line="243" w:lineRule="exact"/>
              <w:ind w:firstLine="0"/>
              <w:jc w:val="center"/>
              <w:rPr>
                <w:rFonts w:ascii="Verdana" w:hAnsi="Verdana"/>
                <w:b/>
                <w:sz w:val="16"/>
                <w:szCs w:val="16"/>
              </w:rPr>
            </w:pPr>
            <w:r w:rsidRPr="00D0180E">
              <w:rPr>
                <w:rFonts w:ascii="Verdana" w:hAnsi="Verdana"/>
                <w:b/>
                <w:sz w:val="16"/>
                <w:szCs w:val="16"/>
              </w:rPr>
              <w:t>Capítulo I</w:t>
            </w:r>
          </w:p>
        </w:tc>
        <w:tc>
          <w:tcPr>
            <w:tcW w:w="4644" w:type="dxa"/>
          </w:tcPr>
          <w:p w14:paraId="2FFEC7C9" w14:textId="79DE5481" w:rsidR="003A38FF" w:rsidRPr="00B571A6" w:rsidRDefault="003A38FF" w:rsidP="003A38FF">
            <w:pPr>
              <w:pStyle w:val="Texto"/>
              <w:spacing w:line="243" w:lineRule="exact"/>
              <w:ind w:firstLine="0"/>
              <w:jc w:val="center"/>
              <w:rPr>
                <w:rFonts w:ascii="Verdana" w:hAnsi="Verdana"/>
                <w:b/>
                <w:sz w:val="16"/>
                <w:szCs w:val="16"/>
                <w:lang w:val="en-US"/>
              </w:rPr>
            </w:pPr>
            <w:r w:rsidRPr="00B571A6">
              <w:rPr>
                <w:rFonts w:ascii="Verdana" w:hAnsi="Verdana"/>
                <w:b/>
                <w:sz w:val="16"/>
                <w:szCs w:val="16"/>
                <w:lang w:val="en-US"/>
              </w:rPr>
              <w:t>Chapter I</w:t>
            </w:r>
          </w:p>
        </w:tc>
      </w:tr>
      <w:tr w:rsidR="003A38FF" w:rsidRPr="00D83DA2" w14:paraId="2177505A" w14:textId="5C432942" w:rsidTr="00FB5DAD">
        <w:tc>
          <w:tcPr>
            <w:tcW w:w="4706" w:type="dxa"/>
          </w:tcPr>
          <w:p w14:paraId="3875FCFD" w14:textId="77777777" w:rsidR="003A38FF" w:rsidRPr="00D0180E" w:rsidRDefault="003A38FF" w:rsidP="003A38FF">
            <w:pPr>
              <w:pStyle w:val="Texto"/>
              <w:spacing w:line="243" w:lineRule="exact"/>
              <w:ind w:firstLine="0"/>
              <w:jc w:val="center"/>
              <w:rPr>
                <w:rFonts w:ascii="Verdana" w:hAnsi="Verdana"/>
                <w:b/>
                <w:sz w:val="16"/>
                <w:szCs w:val="16"/>
              </w:rPr>
            </w:pPr>
            <w:r w:rsidRPr="00D0180E">
              <w:rPr>
                <w:rFonts w:ascii="Verdana" w:hAnsi="Verdana"/>
                <w:b/>
                <w:sz w:val="16"/>
                <w:szCs w:val="16"/>
              </w:rPr>
              <w:t>Integración del Consejo Consultivo</w:t>
            </w:r>
          </w:p>
        </w:tc>
        <w:tc>
          <w:tcPr>
            <w:tcW w:w="4644" w:type="dxa"/>
          </w:tcPr>
          <w:p w14:paraId="1792AE82" w14:textId="615CD71E" w:rsidR="003A38FF" w:rsidRPr="00D0180E" w:rsidRDefault="003A38FF" w:rsidP="003A38FF">
            <w:pPr>
              <w:pStyle w:val="Texto"/>
              <w:spacing w:line="243" w:lineRule="exact"/>
              <w:ind w:firstLine="0"/>
              <w:jc w:val="center"/>
              <w:rPr>
                <w:rFonts w:ascii="Verdana" w:hAnsi="Verdana"/>
                <w:b/>
                <w:sz w:val="16"/>
                <w:szCs w:val="16"/>
                <w:lang w:val="en-US"/>
              </w:rPr>
            </w:pPr>
            <w:r w:rsidRPr="00347248">
              <w:rPr>
                <w:rFonts w:ascii="Verdana" w:hAnsi="Verdana"/>
                <w:b/>
                <w:sz w:val="16"/>
                <w:szCs w:val="16"/>
                <w:lang w:val="en-US"/>
              </w:rPr>
              <w:t>Integration of the Advisory Council</w:t>
            </w:r>
          </w:p>
        </w:tc>
      </w:tr>
      <w:tr w:rsidR="003A38FF" w:rsidRPr="00D83DA2" w14:paraId="64D639BF" w14:textId="713D696C" w:rsidTr="00FB5DAD">
        <w:tc>
          <w:tcPr>
            <w:tcW w:w="4706" w:type="dxa"/>
          </w:tcPr>
          <w:p w14:paraId="79524962" w14:textId="77777777" w:rsidR="003A38FF" w:rsidRPr="00D0180E" w:rsidRDefault="003A38FF" w:rsidP="003A38FF">
            <w:pPr>
              <w:pStyle w:val="Texto"/>
              <w:spacing w:line="243" w:lineRule="exact"/>
              <w:ind w:firstLine="0"/>
              <w:rPr>
                <w:rFonts w:ascii="Verdana" w:hAnsi="Verdana"/>
                <w:sz w:val="16"/>
                <w:szCs w:val="16"/>
              </w:rPr>
            </w:pPr>
            <w:r w:rsidRPr="00D0180E">
              <w:rPr>
                <w:rFonts w:ascii="Verdana" w:hAnsi="Verdana"/>
                <w:b/>
                <w:sz w:val="16"/>
                <w:szCs w:val="16"/>
              </w:rPr>
              <w:t>Artículo 288.</w:t>
            </w:r>
            <w:r w:rsidRPr="00D0180E">
              <w:rPr>
                <w:rFonts w:ascii="Verdana" w:hAnsi="Verdana"/>
                <w:sz w:val="16"/>
                <w:szCs w:val="16"/>
              </w:rPr>
              <w:t xml:space="preserve"> El consejo consultivo es un órgano colegiado que tiene por objeto apoyar el fomento industrial de cadenas productivas locales del sector eléctrico, el cual debe estar integrado por:</w:t>
            </w:r>
          </w:p>
        </w:tc>
        <w:tc>
          <w:tcPr>
            <w:tcW w:w="4644" w:type="dxa"/>
          </w:tcPr>
          <w:p w14:paraId="5C0236EA" w14:textId="41B57649" w:rsidR="003A38FF" w:rsidRPr="00D0180E" w:rsidRDefault="003A38FF" w:rsidP="003A38FF">
            <w:pPr>
              <w:pStyle w:val="Texto"/>
              <w:spacing w:line="243" w:lineRule="exact"/>
              <w:ind w:firstLine="0"/>
              <w:rPr>
                <w:rFonts w:ascii="Verdana" w:hAnsi="Verdana"/>
                <w:b/>
                <w:sz w:val="16"/>
                <w:szCs w:val="16"/>
                <w:lang w:val="en-US"/>
              </w:rPr>
            </w:pPr>
            <w:r w:rsidRPr="00347248">
              <w:rPr>
                <w:rFonts w:ascii="Verdana" w:hAnsi="Verdana"/>
                <w:b/>
                <w:sz w:val="16"/>
                <w:szCs w:val="16"/>
                <w:lang w:val="en-US"/>
              </w:rPr>
              <w:t xml:space="preserve">Article 288. </w:t>
            </w:r>
            <w:r w:rsidRPr="00347248">
              <w:rPr>
                <w:rFonts w:ascii="Verdana" w:hAnsi="Verdana"/>
                <w:sz w:val="16"/>
                <w:szCs w:val="16"/>
                <w:lang w:val="en-US"/>
              </w:rPr>
              <w:t>The advisory council is a collegiate body whose purpose is to support the industrial development of local production chains in the electricity sector, which must be composed of:</w:t>
            </w:r>
          </w:p>
        </w:tc>
      </w:tr>
      <w:tr w:rsidR="003A38FF" w:rsidRPr="00D83DA2" w14:paraId="00DC4546" w14:textId="5C019163" w:rsidTr="00FB5DAD">
        <w:tc>
          <w:tcPr>
            <w:tcW w:w="4706" w:type="dxa"/>
          </w:tcPr>
          <w:p w14:paraId="09724C0D" w14:textId="77777777" w:rsidR="003A38FF" w:rsidRPr="00D0180E" w:rsidRDefault="003A38FF" w:rsidP="003A38FF">
            <w:pPr>
              <w:pStyle w:val="Texto"/>
              <w:spacing w:line="243"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Una persona representante de la Secretaría de Economía, quien lo preside;</w:t>
            </w:r>
          </w:p>
        </w:tc>
        <w:tc>
          <w:tcPr>
            <w:tcW w:w="4644" w:type="dxa"/>
          </w:tcPr>
          <w:p w14:paraId="43336FC3" w14:textId="098E3D8C" w:rsidR="003A38FF" w:rsidRPr="00D0180E" w:rsidRDefault="003A38FF" w:rsidP="003A38FF">
            <w:pPr>
              <w:pStyle w:val="Texto"/>
              <w:spacing w:line="243" w:lineRule="exact"/>
              <w:ind w:firstLine="0"/>
              <w:rPr>
                <w:rFonts w:ascii="Verdana" w:hAnsi="Verdana"/>
                <w:b/>
                <w:sz w:val="16"/>
                <w:szCs w:val="16"/>
                <w:lang w:val="en-US"/>
              </w:rPr>
            </w:pPr>
            <w:r w:rsidRPr="00347248">
              <w:rPr>
                <w:rFonts w:ascii="Verdana" w:hAnsi="Verdana"/>
                <w:b/>
                <w:sz w:val="16"/>
                <w:szCs w:val="16"/>
                <w:lang w:val="en-US"/>
              </w:rPr>
              <w:t>I</w:t>
            </w:r>
            <w:proofErr w:type="gramStart"/>
            <w:r w:rsidRPr="00347248">
              <w:rPr>
                <w:rFonts w:ascii="Verdana" w:hAnsi="Verdana"/>
                <w:b/>
                <w:sz w:val="16"/>
                <w:szCs w:val="16"/>
                <w:lang w:val="en-US"/>
              </w:rPr>
              <w:t xml:space="preserve">. </w:t>
            </w:r>
            <w:r w:rsidRPr="00347248">
              <w:rPr>
                <w:rFonts w:ascii="Verdana" w:hAnsi="Verdana"/>
                <w:b/>
                <w:sz w:val="16"/>
                <w:szCs w:val="16"/>
                <w:lang w:val="en-US"/>
              </w:rPr>
              <w:tab/>
            </w:r>
            <w:r w:rsidRPr="00347248">
              <w:rPr>
                <w:rFonts w:ascii="Verdana" w:hAnsi="Verdana"/>
                <w:sz w:val="16"/>
                <w:szCs w:val="16"/>
                <w:lang w:val="en-US"/>
              </w:rPr>
              <w:t>A</w:t>
            </w:r>
            <w:proofErr w:type="gramEnd"/>
            <w:r w:rsidRPr="00347248">
              <w:rPr>
                <w:rFonts w:ascii="Verdana" w:hAnsi="Verdana"/>
                <w:sz w:val="16"/>
                <w:szCs w:val="16"/>
                <w:lang w:val="en-US"/>
              </w:rPr>
              <w:t xml:space="preserve"> representative of the Secretary of Economy, who presides over it;</w:t>
            </w:r>
          </w:p>
        </w:tc>
      </w:tr>
      <w:tr w:rsidR="003A38FF" w:rsidRPr="00D83DA2" w14:paraId="2BF82370" w14:textId="27535BCA" w:rsidTr="00FB5DAD">
        <w:tc>
          <w:tcPr>
            <w:tcW w:w="4706" w:type="dxa"/>
          </w:tcPr>
          <w:p w14:paraId="1D5A4AE6" w14:textId="77777777" w:rsidR="003A38FF" w:rsidRPr="00D0180E" w:rsidRDefault="003A38FF" w:rsidP="003A38FF">
            <w:pPr>
              <w:pStyle w:val="Texto"/>
              <w:spacing w:line="243"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Una persona representante de la Secretaría, y</w:t>
            </w:r>
          </w:p>
        </w:tc>
        <w:tc>
          <w:tcPr>
            <w:tcW w:w="4644" w:type="dxa"/>
          </w:tcPr>
          <w:p w14:paraId="43F526F4" w14:textId="7447869D" w:rsidR="003A38FF" w:rsidRPr="00D0180E" w:rsidRDefault="003A38FF" w:rsidP="003A38FF">
            <w:pPr>
              <w:pStyle w:val="Texto"/>
              <w:spacing w:line="243" w:lineRule="exact"/>
              <w:ind w:firstLine="0"/>
              <w:rPr>
                <w:rFonts w:ascii="Verdana" w:hAnsi="Verdana"/>
                <w:b/>
                <w:sz w:val="16"/>
                <w:szCs w:val="16"/>
                <w:lang w:val="en-US"/>
              </w:rPr>
            </w:pPr>
            <w:r w:rsidRPr="00347248">
              <w:rPr>
                <w:rFonts w:ascii="Verdana" w:hAnsi="Verdana"/>
                <w:b/>
                <w:sz w:val="16"/>
                <w:szCs w:val="16"/>
                <w:lang w:val="en-US"/>
              </w:rPr>
              <w:t>II</w:t>
            </w:r>
            <w:proofErr w:type="gramStart"/>
            <w:r w:rsidRPr="00347248">
              <w:rPr>
                <w:rFonts w:ascii="Verdana" w:hAnsi="Verdana"/>
                <w:b/>
                <w:sz w:val="16"/>
                <w:szCs w:val="16"/>
                <w:lang w:val="en-US"/>
              </w:rPr>
              <w:t xml:space="preserve">. </w:t>
            </w:r>
            <w:r w:rsidRPr="00347248">
              <w:rPr>
                <w:rFonts w:ascii="Verdana" w:hAnsi="Verdana"/>
                <w:b/>
                <w:sz w:val="16"/>
                <w:szCs w:val="16"/>
                <w:lang w:val="en-US"/>
              </w:rPr>
              <w:tab/>
            </w:r>
            <w:r w:rsidRPr="00347248">
              <w:rPr>
                <w:rFonts w:ascii="Verdana" w:hAnsi="Verdana"/>
                <w:sz w:val="16"/>
                <w:szCs w:val="16"/>
                <w:lang w:val="en-US"/>
              </w:rPr>
              <w:t>A</w:t>
            </w:r>
            <w:proofErr w:type="gramEnd"/>
            <w:r w:rsidRPr="00347248">
              <w:rPr>
                <w:rFonts w:ascii="Verdana" w:hAnsi="Verdana"/>
                <w:sz w:val="16"/>
                <w:szCs w:val="16"/>
                <w:lang w:val="en-US"/>
              </w:rPr>
              <w:t xml:space="preserve"> representative of the Secretary, and</w:t>
            </w:r>
          </w:p>
        </w:tc>
      </w:tr>
      <w:tr w:rsidR="003A38FF" w:rsidRPr="00D83DA2" w14:paraId="2C24999D" w14:textId="2EE43EED" w:rsidTr="00FB5DAD">
        <w:tc>
          <w:tcPr>
            <w:tcW w:w="4706" w:type="dxa"/>
          </w:tcPr>
          <w:p w14:paraId="69744269" w14:textId="77777777" w:rsidR="003A38FF" w:rsidRPr="00D0180E" w:rsidRDefault="003A38FF" w:rsidP="003A38FF">
            <w:pPr>
              <w:pStyle w:val="Texto"/>
              <w:spacing w:line="243"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Una persona representante de la CNE.</w:t>
            </w:r>
          </w:p>
        </w:tc>
        <w:tc>
          <w:tcPr>
            <w:tcW w:w="4644" w:type="dxa"/>
          </w:tcPr>
          <w:p w14:paraId="054ECD3D" w14:textId="120DCD30" w:rsidR="003A38FF" w:rsidRPr="00D0180E" w:rsidRDefault="003A38FF" w:rsidP="003A38FF">
            <w:pPr>
              <w:pStyle w:val="Texto"/>
              <w:spacing w:line="243" w:lineRule="exact"/>
              <w:ind w:firstLine="0"/>
              <w:rPr>
                <w:rFonts w:ascii="Verdana" w:hAnsi="Verdana"/>
                <w:b/>
                <w:sz w:val="16"/>
                <w:szCs w:val="16"/>
                <w:lang w:val="en-US"/>
              </w:rPr>
            </w:pPr>
            <w:r w:rsidRPr="00347248">
              <w:rPr>
                <w:rFonts w:ascii="Verdana" w:hAnsi="Verdana"/>
                <w:b/>
                <w:sz w:val="16"/>
                <w:szCs w:val="16"/>
                <w:lang w:val="en-US"/>
              </w:rPr>
              <w:t>III</w:t>
            </w:r>
            <w:proofErr w:type="gramStart"/>
            <w:r w:rsidRPr="00347248">
              <w:rPr>
                <w:rFonts w:ascii="Verdana" w:hAnsi="Verdana"/>
                <w:b/>
                <w:sz w:val="16"/>
                <w:szCs w:val="16"/>
                <w:lang w:val="en-US"/>
              </w:rPr>
              <w:t xml:space="preserve">. </w:t>
            </w:r>
            <w:r w:rsidRPr="00347248">
              <w:rPr>
                <w:rFonts w:ascii="Verdana" w:hAnsi="Verdana"/>
                <w:b/>
                <w:sz w:val="16"/>
                <w:szCs w:val="16"/>
                <w:lang w:val="en-US"/>
              </w:rPr>
              <w:tab/>
            </w:r>
            <w:r w:rsidRPr="00347248">
              <w:rPr>
                <w:rFonts w:ascii="Verdana" w:hAnsi="Verdana"/>
                <w:sz w:val="16"/>
                <w:szCs w:val="16"/>
                <w:lang w:val="en-US"/>
              </w:rPr>
              <w:t>A</w:t>
            </w:r>
            <w:proofErr w:type="gramEnd"/>
            <w:r w:rsidRPr="00347248">
              <w:rPr>
                <w:rFonts w:ascii="Verdana" w:hAnsi="Verdana"/>
                <w:sz w:val="16"/>
                <w:szCs w:val="16"/>
                <w:lang w:val="en-US"/>
              </w:rPr>
              <w:t xml:space="preserve"> representative of the CNE.</w:t>
            </w:r>
          </w:p>
        </w:tc>
      </w:tr>
      <w:tr w:rsidR="003A38FF" w:rsidRPr="00D83DA2" w14:paraId="30315CC0" w14:textId="3B24470C" w:rsidTr="00FB5DAD">
        <w:tc>
          <w:tcPr>
            <w:tcW w:w="4706" w:type="dxa"/>
          </w:tcPr>
          <w:p w14:paraId="1325E791" w14:textId="77777777" w:rsidR="003A38FF" w:rsidRPr="00D0180E" w:rsidRDefault="003A38FF" w:rsidP="003A38FF">
            <w:pPr>
              <w:pStyle w:val="Texto"/>
              <w:spacing w:line="243" w:lineRule="exact"/>
              <w:ind w:firstLine="0"/>
              <w:rPr>
                <w:rFonts w:ascii="Verdana" w:hAnsi="Verdana"/>
                <w:sz w:val="16"/>
                <w:szCs w:val="16"/>
              </w:rPr>
            </w:pPr>
            <w:r w:rsidRPr="00D0180E">
              <w:rPr>
                <w:rFonts w:ascii="Verdana" w:hAnsi="Verdana"/>
                <w:sz w:val="16"/>
                <w:szCs w:val="16"/>
              </w:rPr>
              <w:t>Pueden asistir como integrantes del consejo consultivo, con voz, pero sin voto, representantes de la academia y del sector privado o de la industria, que cuenten con presencia a nivel nacional, los cuales deben ser determinados por la persona titular de la Secretaría de Economía.</w:t>
            </w:r>
          </w:p>
        </w:tc>
        <w:tc>
          <w:tcPr>
            <w:tcW w:w="4644" w:type="dxa"/>
          </w:tcPr>
          <w:p w14:paraId="79C65F70" w14:textId="7BF7FA63" w:rsidR="003A38FF" w:rsidRPr="00D0180E" w:rsidRDefault="003A38FF" w:rsidP="003A38FF">
            <w:pPr>
              <w:pStyle w:val="Texto"/>
              <w:spacing w:line="243" w:lineRule="exact"/>
              <w:ind w:firstLine="0"/>
              <w:rPr>
                <w:rFonts w:ascii="Verdana" w:hAnsi="Verdana"/>
                <w:sz w:val="16"/>
                <w:szCs w:val="16"/>
                <w:lang w:val="en-US"/>
              </w:rPr>
            </w:pPr>
            <w:r w:rsidRPr="00347248">
              <w:rPr>
                <w:rFonts w:ascii="Verdana" w:hAnsi="Verdana"/>
                <w:sz w:val="16"/>
                <w:szCs w:val="16"/>
                <w:lang w:val="en-US"/>
              </w:rPr>
              <w:t>Representatives from academia, the private sector, or industry with a national presence may attend as members of the advisory council, with voice but no vote. These representatives must be appointed by the head of the Secretary of Economy.</w:t>
            </w:r>
          </w:p>
        </w:tc>
      </w:tr>
      <w:tr w:rsidR="003A38FF" w:rsidRPr="00D83DA2" w14:paraId="0FB23240" w14:textId="4A4841D9" w:rsidTr="00FB5DAD">
        <w:tc>
          <w:tcPr>
            <w:tcW w:w="4706" w:type="dxa"/>
          </w:tcPr>
          <w:p w14:paraId="70BFF8A1" w14:textId="77777777" w:rsidR="003A38FF" w:rsidRPr="00D0180E" w:rsidRDefault="003A38FF" w:rsidP="003A38FF">
            <w:pPr>
              <w:pStyle w:val="Texto"/>
              <w:spacing w:line="254" w:lineRule="exact"/>
              <w:ind w:firstLine="0"/>
              <w:rPr>
                <w:rFonts w:ascii="Verdana" w:hAnsi="Verdana"/>
                <w:sz w:val="16"/>
                <w:szCs w:val="16"/>
              </w:rPr>
            </w:pPr>
            <w:r w:rsidRPr="00D0180E">
              <w:rPr>
                <w:rFonts w:ascii="Verdana" w:hAnsi="Verdana"/>
                <w:sz w:val="16"/>
                <w:szCs w:val="16"/>
              </w:rPr>
              <w:t>Como personas invitadas permanentes pueden asistir representantes de la Empresa Pública del Estado, el CENACE, así como de las dependencias o entidades de la Administración Pública Federal y estatal y personas representantes del sector privado que determine la persona titular de la presidencia del consejo consultivo.</w:t>
            </w:r>
          </w:p>
        </w:tc>
        <w:tc>
          <w:tcPr>
            <w:tcW w:w="4644" w:type="dxa"/>
          </w:tcPr>
          <w:p w14:paraId="51130CE7" w14:textId="10C43100" w:rsidR="003A38FF" w:rsidRPr="00D0180E" w:rsidRDefault="003A38FF" w:rsidP="003A38FF">
            <w:pPr>
              <w:pStyle w:val="Texto"/>
              <w:spacing w:line="254" w:lineRule="exact"/>
              <w:ind w:firstLine="0"/>
              <w:rPr>
                <w:rFonts w:ascii="Verdana" w:hAnsi="Verdana"/>
                <w:sz w:val="16"/>
                <w:szCs w:val="16"/>
                <w:lang w:val="en-US"/>
              </w:rPr>
            </w:pPr>
            <w:r w:rsidRPr="00347248">
              <w:rPr>
                <w:rFonts w:ascii="Verdana" w:hAnsi="Verdana"/>
                <w:sz w:val="16"/>
                <w:szCs w:val="16"/>
                <w:lang w:val="en-US"/>
              </w:rPr>
              <w:t xml:space="preserve">Representatives of the </w:t>
            </w:r>
            <w:r>
              <w:rPr>
                <w:rFonts w:ascii="Verdana" w:hAnsi="Verdana"/>
                <w:sz w:val="16"/>
                <w:szCs w:val="16"/>
                <w:lang w:val="en-US"/>
              </w:rPr>
              <w:t xml:space="preserve">State Public </w:t>
            </w:r>
            <w:proofErr w:type="gramStart"/>
            <w:r>
              <w:rPr>
                <w:rFonts w:ascii="Verdana" w:hAnsi="Verdana"/>
                <w:sz w:val="16"/>
                <w:szCs w:val="16"/>
                <w:lang w:val="en-US"/>
              </w:rPr>
              <w:t xml:space="preserve">Enterprise </w:t>
            </w:r>
            <w:r w:rsidRPr="00347248">
              <w:rPr>
                <w:rFonts w:ascii="Verdana" w:hAnsi="Verdana"/>
                <w:sz w:val="16"/>
                <w:szCs w:val="16"/>
                <w:lang w:val="en-US"/>
              </w:rPr>
              <w:t xml:space="preserve"> (</w:t>
            </w:r>
            <w:proofErr w:type="gramEnd"/>
            <w:r w:rsidRPr="00347248">
              <w:rPr>
                <w:rFonts w:ascii="Verdana" w:hAnsi="Verdana"/>
                <w:sz w:val="16"/>
                <w:szCs w:val="16"/>
                <w:lang w:val="en-US"/>
              </w:rPr>
              <w:t>CENACE), as well as federal and state public administration agencies and private sector representatives determined by the president of the advisory council, may attend as permanent guests.</w:t>
            </w:r>
          </w:p>
        </w:tc>
      </w:tr>
      <w:tr w:rsidR="003A38FF" w:rsidRPr="00D83DA2" w14:paraId="72080A1E" w14:textId="62E2E969" w:rsidTr="00FB5DAD">
        <w:tc>
          <w:tcPr>
            <w:tcW w:w="4706" w:type="dxa"/>
          </w:tcPr>
          <w:p w14:paraId="423E7B2B" w14:textId="77777777" w:rsidR="003A38FF" w:rsidRPr="00D0180E" w:rsidRDefault="003A38FF" w:rsidP="003A38FF">
            <w:pPr>
              <w:pStyle w:val="Texto"/>
              <w:spacing w:line="254" w:lineRule="exact"/>
              <w:ind w:firstLine="0"/>
              <w:rPr>
                <w:rFonts w:ascii="Verdana" w:hAnsi="Verdana"/>
                <w:sz w:val="16"/>
                <w:szCs w:val="16"/>
              </w:rPr>
            </w:pPr>
            <w:r w:rsidRPr="00D0180E">
              <w:rPr>
                <w:rFonts w:ascii="Verdana" w:hAnsi="Verdana"/>
                <w:sz w:val="16"/>
                <w:szCs w:val="16"/>
              </w:rPr>
              <w:t>El consejo consultivo, a propuesta de la persona titular de la presidencia, debe emitir los lineamientos que regulen su funcionamiento, los cuales se aprueban y ratifican en pleno.</w:t>
            </w:r>
          </w:p>
        </w:tc>
        <w:tc>
          <w:tcPr>
            <w:tcW w:w="4644" w:type="dxa"/>
          </w:tcPr>
          <w:p w14:paraId="362145C6" w14:textId="1A876AF5" w:rsidR="003A38FF" w:rsidRPr="00D0180E" w:rsidRDefault="003A38FF" w:rsidP="003A38FF">
            <w:pPr>
              <w:pStyle w:val="Texto"/>
              <w:spacing w:line="254" w:lineRule="exact"/>
              <w:ind w:firstLine="0"/>
              <w:rPr>
                <w:rFonts w:ascii="Verdana" w:hAnsi="Verdana"/>
                <w:sz w:val="16"/>
                <w:szCs w:val="16"/>
                <w:lang w:val="en-US"/>
              </w:rPr>
            </w:pPr>
            <w:r w:rsidRPr="00B83D49">
              <w:rPr>
                <w:rFonts w:ascii="Verdana" w:hAnsi="Verdana"/>
                <w:sz w:val="16"/>
                <w:szCs w:val="16"/>
                <w:lang w:val="en-US"/>
              </w:rPr>
              <w:t>The advisory council, at the proposal of the president, must issue guidelines governing its operation, which are approved and ratified by the full council.</w:t>
            </w:r>
          </w:p>
        </w:tc>
      </w:tr>
      <w:tr w:rsidR="003A38FF" w:rsidRPr="00D83DA2" w14:paraId="7587C4BE" w14:textId="357E9499" w:rsidTr="00FB5DAD">
        <w:tc>
          <w:tcPr>
            <w:tcW w:w="4706" w:type="dxa"/>
          </w:tcPr>
          <w:p w14:paraId="39791783" w14:textId="77777777" w:rsidR="003A38FF" w:rsidRPr="00D0180E" w:rsidRDefault="003A38FF" w:rsidP="003A38FF">
            <w:pPr>
              <w:pStyle w:val="Texto"/>
              <w:spacing w:line="254" w:lineRule="exact"/>
              <w:ind w:firstLine="0"/>
              <w:rPr>
                <w:rFonts w:ascii="Verdana" w:hAnsi="Verdana"/>
                <w:sz w:val="16"/>
                <w:szCs w:val="16"/>
              </w:rPr>
            </w:pPr>
            <w:r w:rsidRPr="00D0180E">
              <w:rPr>
                <w:rFonts w:ascii="Verdana" w:hAnsi="Verdana"/>
                <w:b/>
                <w:sz w:val="16"/>
                <w:szCs w:val="16"/>
              </w:rPr>
              <w:t>Artículo 289.</w:t>
            </w:r>
            <w:r w:rsidRPr="00D0180E">
              <w:rPr>
                <w:rFonts w:ascii="Verdana" w:hAnsi="Verdana"/>
                <w:sz w:val="16"/>
                <w:szCs w:val="16"/>
              </w:rPr>
              <w:t xml:space="preserve"> La persona titular de la presidencia del consejo consultivo debe tener nivel mínimo de Subsecretaría o su equivalente, quien puede ser suplida </w:t>
            </w:r>
            <w:r w:rsidRPr="00D0180E">
              <w:rPr>
                <w:rFonts w:ascii="Verdana" w:hAnsi="Verdana"/>
                <w:sz w:val="16"/>
                <w:szCs w:val="16"/>
              </w:rPr>
              <w:lastRenderedPageBreak/>
              <w:t>por personas servidoras públicas con nivel mínimo de dirección general o equivalente.</w:t>
            </w:r>
          </w:p>
        </w:tc>
        <w:tc>
          <w:tcPr>
            <w:tcW w:w="4644" w:type="dxa"/>
          </w:tcPr>
          <w:p w14:paraId="541778FD" w14:textId="5D59EC6E" w:rsidR="003A38FF" w:rsidRPr="00D0180E" w:rsidRDefault="003A38FF" w:rsidP="003A38FF">
            <w:pPr>
              <w:pStyle w:val="Texto"/>
              <w:spacing w:line="254" w:lineRule="exact"/>
              <w:ind w:firstLine="0"/>
              <w:rPr>
                <w:rFonts w:ascii="Verdana" w:hAnsi="Verdana"/>
                <w:b/>
                <w:sz w:val="16"/>
                <w:szCs w:val="16"/>
                <w:lang w:val="en-US"/>
              </w:rPr>
            </w:pPr>
            <w:r w:rsidRPr="001A4FEF">
              <w:rPr>
                <w:rFonts w:ascii="Verdana" w:hAnsi="Verdana"/>
                <w:b/>
                <w:sz w:val="16"/>
                <w:szCs w:val="16"/>
                <w:lang w:val="en-US"/>
              </w:rPr>
              <w:lastRenderedPageBreak/>
              <w:t xml:space="preserve">Article 289. </w:t>
            </w:r>
            <w:r w:rsidRPr="001A4FEF">
              <w:rPr>
                <w:rFonts w:ascii="Verdana" w:hAnsi="Verdana"/>
                <w:sz w:val="16"/>
                <w:szCs w:val="16"/>
                <w:lang w:val="en-US"/>
              </w:rPr>
              <w:t xml:space="preserve">The person holding the presidency of the advisory council must have a minimum level of Undersecretary or its equivalent and may be replaced </w:t>
            </w:r>
            <w:r w:rsidRPr="001A4FEF">
              <w:rPr>
                <w:rFonts w:ascii="Verdana" w:hAnsi="Verdana"/>
                <w:sz w:val="16"/>
                <w:szCs w:val="16"/>
                <w:lang w:val="en-US"/>
              </w:rPr>
              <w:lastRenderedPageBreak/>
              <w:t>by public servants with a minimum level of general management or equivalent.</w:t>
            </w:r>
          </w:p>
        </w:tc>
      </w:tr>
      <w:tr w:rsidR="003A38FF" w:rsidRPr="00D83DA2" w14:paraId="5FF38131" w14:textId="23895FB9" w:rsidTr="00FB5DAD">
        <w:tc>
          <w:tcPr>
            <w:tcW w:w="4706" w:type="dxa"/>
          </w:tcPr>
          <w:p w14:paraId="7493AA27" w14:textId="77777777" w:rsidR="003A38FF" w:rsidRPr="00D0180E" w:rsidRDefault="003A38FF" w:rsidP="003A38FF">
            <w:pPr>
              <w:pStyle w:val="Texto"/>
              <w:spacing w:line="254" w:lineRule="exact"/>
              <w:ind w:firstLine="0"/>
              <w:rPr>
                <w:rFonts w:ascii="Verdana" w:hAnsi="Verdana"/>
                <w:sz w:val="16"/>
                <w:szCs w:val="16"/>
              </w:rPr>
            </w:pPr>
            <w:r w:rsidRPr="00D0180E">
              <w:rPr>
                <w:rFonts w:ascii="Verdana" w:hAnsi="Verdana"/>
                <w:sz w:val="16"/>
                <w:szCs w:val="16"/>
              </w:rPr>
              <w:lastRenderedPageBreak/>
              <w:t>Las personas representantes de la Administración Pública Federal que integren el consejo consultivo deben tener nivel mínimo de subsecretaría o equivalente y pueden ser suplidas por personas del nivel jerárquico inmediato inferior.</w:t>
            </w:r>
          </w:p>
        </w:tc>
        <w:tc>
          <w:tcPr>
            <w:tcW w:w="4644" w:type="dxa"/>
          </w:tcPr>
          <w:p w14:paraId="6829FF91" w14:textId="36DB8B6A" w:rsidR="003A38FF" w:rsidRPr="00D0180E" w:rsidRDefault="003A38FF" w:rsidP="003A38FF">
            <w:pPr>
              <w:pStyle w:val="Texto"/>
              <w:spacing w:line="254" w:lineRule="exact"/>
              <w:ind w:firstLine="0"/>
              <w:rPr>
                <w:rFonts w:ascii="Verdana" w:hAnsi="Verdana"/>
                <w:sz w:val="16"/>
                <w:szCs w:val="16"/>
                <w:lang w:val="en-US"/>
              </w:rPr>
            </w:pPr>
            <w:r w:rsidRPr="001A4FEF">
              <w:rPr>
                <w:rFonts w:ascii="Verdana" w:hAnsi="Verdana"/>
                <w:sz w:val="16"/>
                <w:szCs w:val="16"/>
                <w:lang w:val="en-US"/>
              </w:rPr>
              <w:t>Representatives of the Federal Public Administration who make up the advisory council must have at least the rank of undersecretary or equivalent and may be replaced by individuals at the next lower hierarchical level.</w:t>
            </w:r>
          </w:p>
        </w:tc>
      </w:tr>
      <w:tr w:rsidR="003A38FF" w:rsidRPr="00D83DA2" w14:paraId="5089C912" w14:textId="2E3E42D5" w:rsidTr="00FB5DAD">
        <w:tc>
          <w:tcPr>
            <w:tcW w:w="4706" w:type="dxa"/>
          </w:tcPr>
          <w:p w14:paraId="1BB02BB7" w14:textId="77777777" w:rsidR="003A38FF" w:rsidRPr="00D0180E" w:rsidRDefault="003A38FF" w:rsidP="003A38FF">
            <w:pPr>
              <w:pStyle w:val="Texto"/>
              <w:spacing w:line="254" w:lineRule="exact"/>
              <w:ind w:firstLine="0"/>
              <w:rPr>
                <w:rFonts w:ascii="Verdana" w:hAnsi="Verdana"/>
                <w:sz w:val="16"/>
                <w:szCs w:val="16"/>
              </w:rPr>
            </w:pPr>
            <w:r w:rsidRPr="00D0180E">
              <w:rPr>
                <w:rFonts w:ascii="Verdana" w:hAnsi="Verdana"/>
                <w:sz w:val="16"/>
                <w:szCs w:val="16"/>
              </w:rPr>
              <w:t>Las personas representantes de los sectores académico y privado que integran el consejo consultivo deben ser suplidas por las personas que ellos designen, quienes deben contar con un alto nivel de experiencia en la materia.</w:t>
            </w:r>
          </w:p>
        </w:tc>
        <w:tc>
          <w:tcPr>
            <w:tcW w:w="4644" w:type="dxa"/>
          </w:tcPr>
          <w:p w14:paraId="2596A119" w14:textId="1F803821" w:rsidR="003A38FF" w:rsidRPr="00D0180E" w:rsidRDefault="003A38FF" w:rsidP="003A38FF">
            <w:pPr>
              <w:pStyle w:val="Texto"/>
              <w:spacing w:line="254" w:lineRule="exact"/>
              <w:ind w:firstLine="0"/>
              <w:rPr>
                <w:rFonts w:ascii="Verdana" w:hAnsi="Verdana"/>
                <w:sz w:val="16"/>
                <w:szCs w:val="16"/>
                <w:lang w:val="en-US"/>
              </w:rPr>
            </w:pPr>
            <w:r w:rsidRPr="001A4FEF">
              <w:rPr>
                <w:rFonts w:ascii="Verdana" w:hAnsi="Verdana"/>
                <w:sz w:val="16"/>
                <w:szCs w:val="16"/>
                <w:lang w:val="en-US"/>
              </w:rPr>
              <w:t>The representatives of the academic and private sectors who make up the advisory council must be replaced by individuals they designate, who must have a high level of experience in the field.</w:t>
            </w:r>
          </w:p>
        </w:tc>
      </w:tr>
      <w:tr w:rsidR="003A38FF" w:rsidRPr="00D83DA2" w14:paraId="2CE3337A" w14:textId="1EAF0D02" w:rsidTr="00FB5DAD">
        <w:tc>
          <w:tcPr>
            <w:tcW w:w="4706" w:type="dxa"/>
          </w:tcPr>
          <w:p w14:paraId="50F39D37" w14:textId="77777777" w:rsidR="003A38FF" w:rsidRPr="00D0180E" w:rsidRDefault="003A38FF" w:rsidP="003A38FF">
            <w:pPr>
              <w:pStyle w:val="Texto"/>
              <w:spacing w:line="254" w:lineRule="exact"/>
              <w:ind w:firstLine="0"/>
              <w:rPr>
                <w:rFonts w:ascii="Verdana" w:hAnsi="Verdana"/>
                <w:sz w:val="16"/>
                <w:szCs w:val="16"/>
              </w:rPr>
            </w:pPr>
            <w:r w:rsidRPr="00D0180E">
              <w:rPr>
                <w:rFonts w:ascii="Verdana" w:hAnsi="Verdana"/>
                <w:sz w:val="16"/>
                <w:szCs w:val="16"/>
              </w:rPr>
              <w:t>El consejo consultivo debe contar con una persona que funja como responsable de la secretaría técnica, con nivel mínimo de titular de dirección de área, quien se debe encargar de emitir las convocatorias para las sesiones del consejo consultivo, levantar actas de estas, así como dar seguimiento a los acuerdos que se adopten en el consejo consultivo.</w:t>
            </w:r>
          </w:p>
        </w:tc>
        <w:tc>
          <w:tcPr>
            <w:tcW w:w="4644" w:type="dxa"/>
          </w:tcPr>
          <w:p w14:paraId="3C92BFCC" w14:textId="75590F7A" w:rsidR="003A38FF" w:rsidRPr="00D0180E" w:rsidRDefault="003A38FF" w:rsidP="003A38FF">
            <w:pPr>
              <w:pStyle w:val="Texto"/>
              <w:spacing w:line="254" w:lineRule="exact"/>
              <w:ind w:firstLine="0"/>
              <w:rPr>
                <w:rFonts w:ascii="Verdana" w:hAnsi="Verdana"/>
                <w:sz w:val="16"/>
                <w:szCs w:val="16"/>
                <w:lang w:val="en-US"/>
              </w:rPr>
            </w:pPr>
            <w:r w:rsidRPr="001A4FEF">
              <w:rPr>
                <w:rFonts w:ascii="Verdana" w:hAnsi="Verdana"/>
                <w:sz w:val="16"/>
                <w:szCs w:val="16"/>
                <w:lang w:val="en-US"/>
              </w:rPr>
              <w:t>The advisory council must have a person serving as the technical Secretary, with at least the rank of head of departmental management. This person must be responsible for issuing the calls for advisory council meetings, recording their minutes, and following up on the agreements adopted by the advisory council.</w:t>
            </w:r>
          </w:p>
        </w:tc>
      </w:tr>
      <w:tr w:rsidR="003A38FF" w:rsidRPr="00D0180E" w14:paraId="1C8F5A89" w14:textId="64D4C62E" w:rsidTr="00FB5DAD">
        <w:tc>
          <w:tcPr>
            <w:tcW w:w="4706" w:type="dxa"/>
          </w:tcPr>
          <w:p w14:paraId="233AA9C3" w14:textId="77777777" w:rsidR="003A38FF" w:rsidRPr="00D0180E" w:rsidRDefault="003A38FF" w:rsidP="003A38FF">
            <w:pPr>
              <w:pStyle w:val="Texto"/>
              <w:spacing w:line="254" w:lineRule="exact"/>
              <w:ind w:firstLine="0"/>
              <w:jc w:val="center"/>
              <w:rPr>
                <w:rFonts w:ascii="Verdana" w:hAnsi="Verdana"/>
                <w:b/>
                <w:sz w:val="16"/>
                <w:szCs w:val="16"/>
              </w:rPr>
            </w:pPr>
            <w:r w:rsidRPr="00D0180E">
              <w:rPr>
                <w:rFonts w:ascii="Verdana" w:hAnsi="Verdana"/>
                <w:b/>
                <w:sz w:val="16"/>
                <w:szCs w:val="16"/>
              </w:rPr>
              <w:t>Capítulo II</w:t>
            </w:r>
          </w:p>
        </w:tc>
        <w:tc>
          <w:tcPr>
            <w:tcW w:w="4644" w:type="dxa"/>
          </w:tcPr>
          <w:p w14:paraId="51C3C114" w14:textId="3BE71174" w:rsidR="003A38FF" w:rsidRPr="00C37EEB" w:rsidRDefault="003A38FF" w:rsidP="003A38FF">
            <w:pPr>
              <w:pStyle w:val="Texto"/>
              <w:spacing w:line="254" w:lineRule="exact"/>
              <w:ind w:firstLine="0"/>
              <w:jc w:val="center"/>
              <w:rPr>
                <w:rFonts w:ascii="Verdana" w:hAnsi="Verdana"/>
                <w:b/>
                <w:sz w:val="16"/>
                <w:szCs w:val="16"/>
                <w:lang w:val="en-US"/>
              </w:rPr>
            </w:pPr>
            <w:r w:rsidRPr="00C37EEB">
              <w:rPr>
                <w:rFonts w:ascii="Verdana" w:hAnsi="Verdana"/>
                <w:b/>
                <w:sz w:val="16"/>
                <w:szCs w:val="16"/>
                <w:lang w:val="en-US"/>
              </w:rPr>
              <w:t>Chapter II</w:t>
            </w:r>
          </w:p>
        </w:tc>
      </w:tr>
      <w:tr w:rsidR="003A38FF" w:rsidRPr="00D83DA2" w14:paraId="4DA81306" w14:textId="5DD30B75" w:rsidTr="00FB5DAD">
        <w:tc>
          <w:tcPr>
            <w:tcW w:w="4706" w:type="dxa"/>
          </w:tcPr>
          <w:p w14:paraId="4290F231" w14:textId="77777777" w:rsidR="003A38FF" w:rsidRPr="00D0180E" w:rsidRDefault="003A38FF" w:rsidP="003A38FF">
            <w:pPr>
              <w:pStyle w:val="Texto"/>
              <w:spacing w:line="254" w:lineRule="exact"/>
              <w:ind w:firstLine="0"/>
              <w:jc w:val="center"/>
              <w:rPr>
                <w:rFonts w:ascii="Verdana" w:hAnsi="Verdana"/>
                <w:b/>
                <w:sz w:val="16"/>
                <w:szCs w:val="16"/>
              </w:rPr>
            </w:pPr>
            <w:r w:rsidRPr="00D0180E">
              <w:rPr>
                <w:rFonts w:ascii="Verdana" w:hAnsi="Verdana"/>
                <w:b/>
                <w:sz w:val="16"/>
                <w:szCs w:val="16"/>
              </w:rPr>
              <w:t>Funcionamiento del Consejo Consultivo</w:t>
            </w:r>
          </w:p>
        </w:tc>
        <w:tc>
          <w:tcPr>
            <w:tcW w:w="4644" w:type="dxa"/>
          </w:tcPr>
          <w:p w14:paraId="046B76A0" w14:textId="2A95739F" w:rsidR="003A38FF" w:rsidRPr="00D0180E" w:rsidRDefault="003A38FF" w:rsidP="003A38FF">
            <w:pPr>
              <w:pStyle w:val="Texto"/>
              <w:spacing w:line="254" w:lineRule="exact"/>
              <w:ind w:firstLine="0"/>
              <w:jc w:val="center"/>
              <w:rPr>
                <w:rFonts w:ascii="Verdana" w:hAnsi="Verdana"/>
                <w:b/>
                <w:sz w:val="16"/>
                <w:szCs w:val="16"/>
                <w:lang w:val="en-US"/>
              </w:rPr>
            </w:pPr>
            <w:r w:rsidRPr="001A4FEF">
              <w:rPr>
                <w:rFonts w:ascii="Verdana" w:hAnsi="Verdana"/>
                <w:b/>
                <w:sz w:val="16"/>
                <w:szCs w:val="16"/>
                <w:lang w:val="en-US"/>
              </w:rPr>
              <w:t>Functioning of the Advisory Council</w:t>
            </w:r>
          </w:p>
        </w:tc>
      </w:tr>
      <w:tr w:rsidR="003A38FF" w:rsidRPr="00D83DA2" w14:paraId="34F4C337" w14:textId="29B299EA" w:rsidTr="00FB5DAD">
        <w:tc>
          <w:tcPr>
            <w:tcW w:w="4706" w:type="dxa"/>
          </w:tcPr>
          <w:p w14:paraId="43EEA31F" w14:textId="77777777" w:rsidR="003A38FF" w:rsidRPr="00D0180E" w:rsidRDefault="003A38FF" w:rsidP="003A38FF">
            <w:pPr>
              <w:pStyle w:val="Texto"/>
              <w:spacing w:line="254" w:lineRule="exact"/>
              <w:ind w:firstLine="0"/>
              <w:rPr>
                <w:rFonts w:ascii="Verdana" w:hAnsi="Verdana"/>
                <w:sz w:val="16"/>
                <w:szCs w:val="16"/>
              </w:rPr>
            </w:pPr>
            <w:r w:rsidRPr="00D0180E">
              <w:rPr>
                <w:rFonts w:ascii="Verdana" w:hAnsi="Verdana"/>
                <w:b/>
                <w:sz w:val="16"/>
                <w:szCs w:val="16"/>
              </w:rPr>
              <w:t>Artículo 290.</w:t>
            </w:r>
            <w:r w:rsidRPr="00D0180E">
              <w:rPr>
                <w:rFonts w:ascii="Verdana" w:hAnsi="Verdana"/>
                <w:sz w:val="16"/>
                <w:szCs w:val="16"/>
              </w:rPr>
              <w:t xml:space="preserve"> Las sesiones del consejo consultivo pueden ser ordinarias o extraordinarias. Las primeras se deben llevar a cabo una vez instalado el consejo, al menos tres veces por año, mientras que las extraordinarias se pueden celebrar en cualquier tiempo a solicitud de la persona titular de la presidencia del consejo consultivo.</w:t>
            </w:r>
          </w:p>
        </w:tc>
        <w:tc>
          <w:tcPr>
            <w:tcW w:w="4644" w:type="dxa"/>
          </w:tcPr>
          <w:p w14:paraId="43C76BEA" w14:textId="26432EA1" w:rsidR="003A38FF" w:rsidRPr="00D0180E" w:rsidRDefault="003A38FF" w:rsidP="003A38FF">
            <w:pPr>
              <w:pStyle w:val="Texto"/>
              <w:spacing w:line="254" w:lineRule="exact"/>
              <w:ind w:firstLine="0"/>
              <w:rPr>
                <w:rFonts w:ascii="Verdana" w:hAnsi="Verdana"/>
                <w:b/>
                <w:sz w:val="16"/>
                <w:szCs w:val="16"/>
                <w:lang w:val="en-US"/>
              </w:rPr>
            </w:pPr>
            <w:r w:rsidRPr="001A4FEF">
              <w:rPr>
                <w:rFonts w:ascii="Verdana" w:hAnsi="Verdana"/>
                <w:b/>
                <w:sz w:val="16"/>
                <w:szCs w:val="16"/>
                <w:lang w:val="en-US"/>
              </w:rPr>
              <w:t xml:space="preserve">Article 290. </w:t>
            </w:r>
            <w:r w:rsidRPr="001A4FEF">
              <w:rPr>
                <w:rFonts w:ascii="Verdana" w:hAnsi="Verdana"/>
                <w:sz w:val="16"/>
                <w:szCs w:val="16"/>
                <w:lang w:val="en-US"/>
              </w:rPr>
              <w:t xml:space="preserve">The sessions of the advisory council may be ordinary or </w:t>
            </w:r>
            <w:r>
              <w:rPr>
                <w:rFonts w:ascii="Verdana" w:hAnsi="Verdana"/>
                <w:sz w:val="16"/>
                <w:szCs w:val="16"/>
                <w:lang w:val="en-US"/>
              </w:rPr>
              <w:t>special</w:t>
            </w:r>
            <w:r w:rsidRPr="001A4FEF">
              <w:rPr>
                <w:rFonts w:ascii="Verdana" w:hAnsi="Verdana"/>
                <w:sz w:val="16"/>
                <w:szCs w:val="16"/>
                <w:lang w:val="en-US"/>
              </w:rPr>
              <w:t xml:space="preserve">. The former must be held once the council is established, at least three times a year, while </w:t>
            </w:r>
            <w:r>
              <w:rPr>
                <w:rFonts w:ascii="Verdana" w:hAnsi="Verdana"/>
                <w:sz w:val="16"/>
                <w:szCs w:val="16"/>
                <w:lang w:val="en-US"/>
              </w:rPr>
              <w:t>special</w:t>
            </w:r>
            <w:r w:rsidRPr="001A4FEF">
              <w:rPr>
                <w:rFonts w:ascii="Verdana" w:hAnsi="Verdana"/>
                <w:sz w:val="16"/>
                <w:szCs w:val="16"/>
                <w:lang w:val="en-US"/>
              </w:rPr>
              <w:t xml:space="preserve"> sessions may be held at any time at the request of the person holding the presidency of the advisory council.</w:t>
            </w:r>
          </w:p>
        </w:tc>
      </w:tr>
      <w:tr w:rsidR="003A38FF" w:rsidRPr="00D83DA2" w14:paraId="55F11C27" w14:textId="5483DBE7" w:rsidTr="00FB5DAD">
        <w:tc>
          <w:tcPr>
            <w:tcW w:w="4706" w:type="dxa"/>
          </w:tcPr>
          <w:p w14:paraId="2CF1DE7D" w14:textId="77777777" w:rsidR="003A38FF" w:rsidRPr="00D0180E" w:rsidRDefault="003A38FF" w:rsidP="003A38FF">
            <w:pPr>
              <w:pStyle w:val="Texto"/>
              <w:spacing w:line="254" w:lineRule="exact"/>
              <w:ind w:firstLine="0"/>
              <w:rPr>
                <w:rFonts w:ascii="Verdana" w:hAnsi="Verdana"/>
                <w:sz w:val="16"/>
                <w:szCs w:val="16"/>
              </w:rPr>
            </w:pPr>
            <w:r w:rsidRPr="00D0180E">
              <w:rPr>
                <w:rFonts w:ascii="Verdana" w:hAnsi="Verdana"/>
                <w:sz w:val="16"/>
                <w:szCs w:val="16"/>
              </w:rPr>
              <w:t>Para la celebración de las sesiones deben estar presentes las tres personas que integran el consejo; la adopción de decisiones se realiza por mayoría de votos.</w:t>
            </w:r>
          </w:p>
        </w:tc>
        <w:tc>
          <w:tcPr>
            <w:tcW w:w="4644" w:type="dxa"/>
          </w:tcPr>
          <w:p w14:paraId="61981C56" w14:textId="78F9056B" w:rsidR="003A38FF" w:rsidRPr="00D0180E" w:rsidRDefault="003A38FF" w:rsidP="003A38FF">
            <w:pPr>
              <w:pStyle w:val="Texto"/>
              <w:spacing w:line="254" w:lineRule="exact"/>
              <w:ind w:firstLine="0"/>
              <w:rPr>
                <w:rFonts w:ascii="Verdana" w:hAnsi="Verdana"/>
                <w:sz w:val="16"/>
                <w:szCs w:val="16"/>
                <w:lang w:val="en-US"/>
              </w:rPr>
            </w:pPr>
            <w:r w:rsidRPr="001A4FEF">
              <w:rPr>
                <w:rFonts w:ascii="Verdana" w:hAnsi="Verdana"/>
                <w:sz w:val="16"/>
                <w:szCs w:val="16"/>
                <w:lang w:val="en-US"/>
              </w:rPr>
              <w:t>All three members of the board must be present for meetings; decisions are made by majority vote.</w:t>
            </w:r>
          </w:p>
        </w:tc>
      </w:tr>
      <w:tr w:rsidR="003A38FF" w:rsidRPr="00D83DA2" w14:paraId="1994A980" w14:textId="2383ECE8" w:rsidTr="00FB5DAD">
        <w:tc>
          <w:tcPr>
            <w:tcW w:w="4706" w:type="dxa"/>
          </w:tcPr>
          <w:p w14:paraId="1DD1ED98" w14:textId="77777777" w:rsidR="003A38FF" w:rsidRPr="00D0180E" w:rsidRDefault="003A38FF" w:rsidP="003A38FF">
            <w:pPr>
              <w:pStyle w:val="Texto"/>
              <w:spacing w:line="254" w:lineRule="exact"/>
              <w:ind w:firstLine="0"/>
              <w:rPr>
                <w:rFonts w:ascii="Verdana" w:hAnsi="Verdana"/>
                <w:sz w:val="16"/>
                <w:szCs w:val="16"/>
              </w:rPr>
            </w:pPr>
            <w:r w:rsidRPr="00D0180E">
              <w:rPr>
                <w:rFonts w:ascii="Verdana" w:hAnsi="Verdana"/>
                <w:sz w:val="16"/>
                <w:szCs w:val="16"/>
              </w:rPr>
              <w:t>Las convocatorias deben ser enviadas por lo menos con cinco días hábiles de anticipación para las sesiones ordinarias y con dos días hábiles de anticipación para las extraordinarias.</w:t>
            </w:r>
          </w:p>
        </w:tc>
        <w:tc>
          <w:tcPr>
            <w:tcW w:w="4644" w:type="dxa"/>
          </w:tcPr>
          <w:p w14:paraId="172435B5" w14:textId="68009337" w:rsidR="003A38FF" w:rsidRPr="00D0180E" w:rsidRDefault="003A38FF" w:rsidP="003A38FF">
            <w:pPr>
              <w:pStyle w:val="Texto"/>
              <w:spacing w:line="254" w:lineRule="exact"/>
              <w:ind w:firstLine="0"/>
              <w:rPr>
                <w:rFonts w:ascii="Verdana" w:hAnsi="Verdana"/>
                <w:sz w:val="16"/>
                <w:szCs w:val="16"/>
                <w:lang w:val="en-US"/>
              </w:rPr>
            </w:pPr>
            <w:r w:rsidRPr="001A4FEF">
              <w:rPr>
                <w:rFonts w:ascii="Verdana" w:hAnsi="Verdana"/>
                <w:sz w:val="16"/>
                <w:szCs w:val="16"/>
                <w:lang w:val="en-US"/>
              </w:rPr>
              <w:t xml:space="preserve">Calls must be sent at least five business days in advance for regular sessions and two business days in advance for </w:t>
            </w:r>
            <w:r>
              <w:rPr>
                <w:rFonts w:ascii="Verdana" w:hAnsi="Verdana"/>
                <w:sz w:val="16"/>
                <w:szCs w:val="16"/>
                <w:lang w:val="en-US"/>
              </w:rPr>
              <w:t>special</w:t>
            </w:r>
            <w:r w:rsidRPr="001A4FEF">
              <w:rPr>
                <w:rFonts w:ascii="Verdana" w:hAnsi="Verdana"/>
                <w:sz w:val="16"/>
                <w:szCs w:val="16"/>
                <w:lang w:val="en-US"/>
              </w:rPr>
              <w:t xml:space="preserve"> sessions.</w:t>
            </w:r>
          </w:p>
        </w:tc>
      </w:tr>
      <w:tr w:rsidR="003A38FF" w:rsidRPr="00D83DA2" w14:paraId="225F4BD1" w14:textId="632D27C9" w:rsidTr="00FB5DAD">
        <w:tc>
          <w:tcPr>
            <w:tcW w:w="4706" w:type="dxa"/>
          </w:tcPr>
          <w:p w14:paraId="77375FB3" w14:textId="77777777" w:rsidR="003A38FF" w:rsidRPr="00D0180E" w:rsidRDefault="003A38FF" w:rsidP="003A38FF">
            <w:pPr>
              <w:pStyle w:val="Texto"/>
              <w:spacing w:line="254" w:lineRule="exact"/>
              <w:ind w:firstLine="0"/>
              <w:rPr>
                <w:rFonts w:ascii="Verdana" w:hAnsi="Verdana"/>
                <w:sz w:val="16"/>
                <w:szCs w:val="16"/>
              </w:rPr>
            </w:pPr>
            <w:r w:rsidRPr="00D0180E">
              <w:rPr>
                <w:rFonts w:ascii="Verdana" w:hAnsi="Verdana"/>
                <w:b/>
                <w:sz w:val="16"/>
                <w:szCs w:val="16"/>
              </w:rPr>
              <w:t>Artículo 291.</w:t>
            </w:r>
            <w:r w:rsidRPr="00D0180E">
              <w:rPr>
                <w:rFonts w:ascii="Verdana" w:hAnsi="Verdana"/>
                <w:sz w:val="16"/>
                <w:szCs w:val="16"/>
              </w:rPr>
              <w:t xml:space="preserve"> A las sesiones solo pueden asistir las personas integrantes e invitadas que se encuentran formalmente acreditadas ante el consejo consultivo.</w:t>
            </w:r>
          </w:p>
        </w:tc>
        <w:tc>
          <w:tcPr>
            <w:tcW w:w="4644" w:type="dxa"/>
          </w:tcPr>
          <w:p w14:paraId="565C2B5A" w14:textId="53A3772A" w:rsidR="003A38FF" w:rsidRPr="00D0180E" w:rsidRDefault="003A38FF" w:rsidP="003A38FF">
            <w:pPr>
              <w:pStyle w:val="Texto"/>
              <w:spacing w:line="254" w:lineRule="exact"/>
              <w:ind w:firstLine="0"/>
              <w:rPr>
                <w:rFonts w:ascii="Verdana" w:hAnsi="Verdana"/>
                <w:b/>
                <w:sz w:val="16"/>
                <w:szCs w:val="16"/>
                <w:lang w:val="en-US"/>
              </w:rPr>
            </w:pPr>
            <w:r w:rsidRPr="001A4FEF">
              <w:rPr>
                <w:rFonts w:ascii="Verdana" w:hAnsi="Verdana"/>
                <w:b/>
                <w:sz w:val="16"/>
                <w:szCs w:val="16"/>
                <w:lang w:val="en-US"/>
              </w:rPr>
              <w:t xml:space="preserve">Article 291. </w:t>
            </w:r>
            <w:r w:rsidRPr="001A4FEF">
              <w:rPr>
                <w:rFonts w:ascii="Verdana" w:hAnsi="Verdana"/>
                <w:sz w:val="16"/>
                <w:szCs w:val="16"/>
                <w:lang w:val="en-US"/>
              </w:rPr>
              <w:t xml:space="preserve">Only members and guests who are formally </w:t>
            </w:r>
            <w:proofErr w:type="gramStart"/>
            <w:r w:rsidRPr="001A4FEF">
              <w:rPr>
                <w:rFonts w:ascii="Verdana" w:hAnsi="Verdana"/>
                <w:sz w:val="16"/>
                <w:szCs w:val="16"/>
                <w:lang w:val="en-US"/>
              </w:rPr>
              <w:t>accredited</w:t>
            </w:r>
            <w:proofErr w:type="gramEnd"/>
            <w:r w:rsidRPr="001A4FEF">
              <w:rPr>
                <w:rFonts w:ascii="Verdana" w:hAnsi="Verdana"/>
                <w:sz w:val="16"/>
                <w:szCs w:val="16"/>
                <w:lang w:val="en-US"/>
              </w:rPr>
              <w:t xml:space="preserve"> to the advisory council may attend the sessions.</w:t>
            </w:r>
          </w:p>
        </w:tc>
      </w:tr>
      <w:tr w:rsidR="003A38FF" w:rsidRPr="00D83DA2" w14:paraId="52225165" w14:textId="28F7F3AA" w:rsidTr="00FB5DAD">
        <w:tc>
          <w:tcPr>
            <w:tcW w:w="4706" w:type="dxa"/>
          </w:tcPr>
          <w:p w14:paraId="3CEC5915" w14:textId="77777777" w:rsidR="003A38FF" w:rsidRPr="00D0180E" w:rsidRDefault="003A38FF" w:rsidP="003A38FF">
            <w:pPr>
              <w:pStyle w:val="Texto"/>
              <w:spacing w:line="254" w:lineRule="exact"/>
              <w:ind w:firstLine="0"/>
              <w:rPr>
                <w:rFonts w:ascii="Verdana" w:hAnsi="Verdana"/>
                <w:sz w:val="16"/>
                <w:szCs w:val="16"/>
              </w:rPr>
            </w:pPr>
            <w:r w:rsidRPr="00D0180E">
              <w:rPr>
                <w:rFonts w:ascii="Verdana" w:hAnsi="Verdana"/>
                <w:sz w:val="16"/>
                <w:szCs w:val="16"/>
              </w:rPr>
              <w:t>Para efectos de lo anterior, las personas titulares de las dependencias de la Administración Pública Federal y las representantes del sector académico o del sector privado que integran el consejo consultivo, deben comunicar oficialmente a la persona titular de la presidencia, los nombres y cargos de sus representantes y suplentes.</w:t>
            </w:r>
          </w:p>
        </w:tc>
        <w:tc>
          <w:tcPr>
            <w:tcW w:w="4644" w:type="dxa"/>
          </w:tcPr>
          <w:p w14:paraId="4B4B7DAD" w14:textId="411F55D5" w:rsidR="003A38FF" w:rsidRPr="00D0180E" w:rsidRDefault="003A38FF" w:rsidP="003A38FF">
            <w:pPr>
              <w:pStyle w:val="Texto"/>
              <w:spacing w:line="254" w:lineRule="exact"/>
              <w:ind w:firstLine="0"/>
              <w:rPr>
                <w:rFonts w:ascii="Verdana" w:hAnsi="Verdana"/>
                <w:sz w:val="16"/>
                <w:szCs w:val="16"/>
                <w:lang w:val="en-US"/>
              </w:rPr>
            </w:pPr>
            <w:r w:rsidRPr="001A4FEF">
              <w:rPr>
                <w:rFonts w:ascii="Verdana" w:hAnsi="Verdana"/>
                <w:sz w:val="16"/>
                <w:szCs w:val="16"/>
                <w:lang w:val="en-US"/>
              </w:rPr>
              <w:t>For the purposes of the foregoing, the heads of Federal Public Administration departments and the representatives of the academic or private sectors who make up the advisory council must officially notify the president of the names and positions of their representatives and alternates.</w:t>
            </w:r>
          </w:p>
        </w:tc>
      </w:tr>
      <w:tr w:rsidR="003A38FF" w:rsidRPr="00D0180E" w14:paraId="5F668193" w14:textId="2A21232D" w:rsidTr="00FB5DAD">
        <w:tc>
          <w:tcPr>
            <w:tcW w:w="4706" w:type="dxa"/>
          </w:tcPr>
          <w:p w14:paraId="09997692" w14:textId="77777777" w:rsidR="003A38FF" w:rsidRPr="00D0180E" w:rsidRDefault="003A38FF" w:rsidP="003A38FF">
            <w:pPr>
              <w:pStyle w:val="Texto"/>
              <w:spacing w:line="254" w:lineRule="exact"/>
              <w:ind w:firstLine="0"/>
              <w:jc w:val="center"/>
              <w:rPr>
                <w:rFonts w:ascii="Verdana" w:hAnsi="Verdana"/>
                <w:b/>
                <w:sz w:val="16"/>
                <w:szCs w:val="16"/>
              </w:rPr>
            </w:pPr>
            <w:r w:rsidRPr="00D0180E">
              <w:rPr>
                <w:rFonts w:ascii="Verdana" w:hAnsi="Verdana"/>
                <w:b/>
                <w:sz w:val="16"/>
                <w:szCs w:val="16"/>
              </w:rPr>
              <w:t>Capítulo III</w:t>
            </w:r>
          </w:p>
        </w:tc>
        <w:tc>
          <w:tcPr>
            <w:tcW w:w="4644" w:type="dxa"/>
          </w:tcPr>
          <w:p w14:paraId="544F3A35" w14:textId="6A2CA278" w:rsidR="003A38FF" w:rsidRPr="00FE2C70" w:rsidRDefault="003A38FF" w:rsidP="003A38FF">
            <w:pPr>
              <w:pStyle w:val="Texto"/>
              <w:spacing w:line="254" w:lineRule="exact"/>
              <w:ind w:firstLine="0"/>
              <w:jc w:val="center"/>
              <w:rPr>
                <w:rFonts w:ascii="Verdana" w:hAnsi="Verdana"/>
                <w:b/>
                <w:sz w:val="16"/>
                <w:szCs w:val="16"/>
                <w:lang w:val="en-US"/>
              </w:rPr>
            </w:pPr>
            <w:r w:rsidRPr="00FE2C70">
              <w:rPr>
                <w:rFonts w:ascii="Verdana" w:hAnsi="Verdana"/>
                <w:b/>
                <w:sz w:val="16"/>
                <w:szCs w:val="16"/>
                <w:lang w:val="en-US"/>
              </w:rPr>
              <w:t>Chapter III</w:t>
            </w:r>
          </w:p>
        </w:tc>
      </w:tr>
      <w:tr w:rsidR="003A38FF" w:rsidRPr="00D83DA2" w14:paraId="79950E89" w14:textId="7E78DA51" w:rsidTr="00FB5DAD">
        <w:tc>
          <w:tcPr>
            <w:tcW w:w="4706" w:type="dxa"/>
          </w:tcPr>
          <w:p w14:paraId="7A85C9A1" w14:textId="77777777" w:rsidR="003A38FF" w:rsidRPr="00D0180E" w:rsidRDefault="003A38FF" w:rsidP="003A38FF">
            <w:pPr>
              <w:pStyle w:val="Texto"/>
              <w:spacing w:line="254" w:lineRule="exact"/>
              <w:ind w:firstLine="0"/>
              <w:jc w:val="center"/>
              <w:rPr>
                <w:rFonts w:ascii="Verdana" w:hAnsi="Verdana"/>
                <w:b/>
                <w:sz w:val="16"/>
                <w:szCs w:val="16"/>
              </w:rPr>
            </w:pPr>
            <w:r w:rsidRPr="00D0180E">
              <w:rPr>
                <w:rFonts w:ascii="Verdana" w:hAnsi="Verdana"/>
                <w:b/>
                <w:sz w:val="16"/>
                <w:szCs w:val="16"/>
              </w:rPr>
              <w:lastRenderedPageBreak/>
              <w:t>Funciones del Consejo Consultivo</w:t>
            </w:r>
          </w:p>
        </w:tc>
        <w:tc>
          <w:tcPr>
            <w:tcW w:w="4644" w:type="dxa"/>
          </w:tcPr>
          <w:p w14:paraId="7D5C582C" w14:textId="4D61CA7B" w:rsidR="003A38FF" w:rsidRPr="00D0180E" w:rsidRDefault="003A38FF" w:rsidP="003A38FF">
            <w:pPr>
              <w:pStyle w:val="Texto"/>
              <w:spacing w:line="254" w:lineRule="exact"/>
              <w:ind w:firstLine="0"/>
              <w:jc w:val="center"/>
              <w:rPr>
                <w:rFonts w:ascii="Verdana" w:hAnsi="Verdana"/>
                <w:b/>
                <w:sz w:val="16"/>
                <w:szCs w:val="16"/>
                <w:lang w:val="en-US"/>
              </w:rPr>
            </w:pPr>
            <w:r w:rsidRPr="001A4FEF">
              <w:rPr>
                <w:rFonts w:ascii="Verdana" w:hAnsi="Verdana"/>
                <w:b/>
                <w:sz w:val="16"/>
                <w:szCs w:val="16"/>
                <w:lang w:val="en-US"/>
              </w:rPr>
              <w:t>Functions of the Advisory Council</w:t>
            </w:r>
          </w:p>
        </w:tc>
      </w:tr>
      <w:tr w:rsidR="003A38FF" w:rsidRPr="00D83DA2" w14:paraId="61D9C172" w14:textId="5AAF8ED6" w:rsidTr="00FB5DAD">
        <w:tc>
          <w:tcPr>
            <w:tcW w:w="4706" w:type="dxa"/>
          </w:tcPr>
          <w:p w14:paraId="665B9115" w14:textId="77777777" w:rsidR="003A38FF" w:rsidRPr="00D0180E" w:rsidRDefault="003A38FF" w:rsidP="003A38FF">
            <w:pPr>
              <w:pStyle w:val="Texto"/>
              <w:spacing w:line="254" w:lineRule="exact"/>
              <w:ind w:firstLine="0"/>
              <w:rPr>
                <w:rFonts w:ascii="Verdana" w:hAnsi="Verdana"/>
                <w:sz w:val="16"/>
                <w:szCs w:val="16"/>
              </w:rPr>
            </w:pPr>
            <w:r w:rsidRPr="00D0180E">
              <w:rPr>
                <w:rFonts w:ascii="Verdana" w:hAnsi="Verdana"/>
                <w:b/>
                <w:sz w:val="16"/>
                <w:szCs w:val="16"/>
              </w:rPr>
              <w:t>Artículo 292.</w:t>
            </w:r>
            <w:r w:rsidRPr="00D0180E">
              <w:rPr>
                <w:rFonts w:ascii="Verdana" w:hAnsi="Verdana"/>
                <w:sz w:val="16"/>
                <w:szCs w:val="16"/>
              </w:rPr>
              <w:t xml:space="preserve"> El consejo consultivo tiene las funciones de apoyo previstas en el último párrafo de la fracción I del artículo 107 de la Ley, mismas que deben ser desarrolladas en los lineamientos que regulen su funcionamiento.</w:t>
            </w:r>
          </w:p>
        </w:tc>
        <w:tc>
          <w:tcPr>
            <w:tcW w:w="4644" w:type="dxa"/>
          </w:tcPr>
          <w:p w14:paraId="1C079584" w14:textId="3BA1B84F" w:rsidR="003A38FF" w:rsidRPr="00D0180E" w:rsidRDefault="003A38FF" w:rsidP="003A38FF">
            <w:pPr>
              <w:pStyle w:val="Texto"/>
              <w:spacing w:line="254" w:lineRule="exact"/>
              <w:ind w:firstLine="0"/>
              <w:rPr>
                <w:rFonts w:ascii="Verdana" w:hAnsi="Verdana"/>
                <w:b/>
                <w:sz w:val="16"/>
                <w:szCs w:val="16"/>
                <w:lang w:val="en-US"/>
              </w:rPr>
            </w:pPr>
            <w:r w:rsidRPr="001A4FEF">
              <w:rPr>
                <w:rFonts w:ascii="Verdana" w:hAnsi="Verdana"/>
                <w:b/>
                <w:sz w:val="16"/>
                <w:szCs w:val="16"/>
                <w:lang w:val="en-US"/>
              </w:rPr>
              <w:t xml:space="preserve">Article 292. </w:t>
            </w:r>
            <w:r w:rsidRPr="001A4FEF">
              <w:rPr>
                <w:rFonts w:ascii="Verdana" w:hAnsi="Verdana"/>
                <w:sz w:val="16"/>
                <w:szCs w:val="16"/>
                <w:lang w:val="en-US"/>
              </w:rPr>
              <w:t>The advisory council has the support functions provided for in the last paragraph of section I of article 107 of the Law, which must be developed in the guidelines that regulate its operation.</w:t>
            </w:r>
          </w:p>
        </w:tc>
      </w:tr>
      <w:tr w:rsidR="003A38FF" w:rsidRPr="00D83DA2" w14:paraId="009D607C" w14:textId="69FFA066" w:rsidTr="00FB5DAD">
        <w:tc>
          <w:tcPr>
            <w:tcW w:w="4706" w:type="dxa"/>
          </w:tcPr>
          <w:p w14:paraId="79DF250D" w14:textId="77777777" w:rsidR="003A38FF" w:rsidRPr="00D0180E" w:rsidRDefault="003A38FF" w:rsidP="003A38FF">
            <w:pPr>
              <w:pStyle w:val="Texto"/>
              <w:spacing w:line="254" w:lineRule="exact"/>
              <w:ind w:firstLine="0"/>
              <w:rPr>
                <w:rFonts w:ascii="Verdana" w:hAnsi="Verdana"/>
                <w:sz w:val="16"/>
                <w:szCs w:val="16"/>
              </w:rPr>
            </w:pPr>
            <w:r w:rsidRPr="00D0180E">
              <w:rPr>
                <w:rFonts w:ascii="Verdana" w:hAnsi="Verdana"/>
                <w:b/>
                <w:sz w:val="16"/>
                <w:szCs w:val="16"/>
              </w:rPr>
              <w:t>Artículo 293.</w:t>
            </w:r>
            <w:r w:rsidRPr="00D0180E">
              <w:rPr>
                <w:rFonts w:ascii="Verdana" w:hAnsi="Verdana"/>
                <w:sz w:val="16"/>
                <w:szCs w:val="16"/>
              </w:rPr>
              <w:t xml:space="preserve"> La persona titular de la presidencia del consejo consultivo tiene las siguientes funciones:</w:t>
            </w:r>
          </w:p>
        </w:tc>
        <w:tc>
          <w:tcPr>
            <w:tcW w:w="4644" w:type="dxa"/>
          </w:tcPr>
          <w:p w14:paraId="0EB952C8" w14:textId="4628908E" w:rsidR="003A38FF" w:rsidRPr="00D0180E" w:rsidRDefault="003A38FF" w:rsidP="003A38FF">
            <w:pPr>
              <w:pStyle w:val="Texto"/>
              <w:spacing w:line="254" w:lineRule="exact"/>
              <w:ind w:firstLine="0"/>
              <w:rPr>
                <w:rFonts w:ascii="Verdana" w:hAnsi="Verdana"/>
                <w:b/>
                <w:sz w:val="16"/>
                <w:szCs w:val="16"/>
                <w:lang w:val="en-US"/>
              </w:rPr>
            </w:pPr>
            <w:r w:rsidRPr="001A4FEF">
              <w:rPr>
                <w:rFonts w:ascii="Verdana" w:hAnsi="Verdana"/>
                <w:b/>
                <w:sz w:val="16"/>
                <w:szCs w:val="16"/>
                <w:lang w:val="en-US"/>
              </w:rPr>
              <w:t xml:space="preserve">Article 293. </w:t>
            </w:r>
            <w:r w:rsidRPr="001A4FEF">
              <w:rPr>
                <w:rFonts w:ascii="Verdana" w:hAnsi="Verdana"/>
                <w:sz w:val="16"/>
                <w:szCs w:val="16"/>
                <w:lang w:val="en-US"/>
              </w:rPr>
              <w:t>The person holding the presidency of the advisory council has the following functions:</w:t>
            </w:r>
          </w:p>
        </w:tc>
      </w:tr>
      <w:tr w:rsidR="003A38FF" w:rsidRPr="00D83DA2" w14:paraId="625CD3DB" w14:textId="76A98171" w:rsidTr="00FB5DAD">
        <w:tc>
          <w:tcPr>
            <w:tcW w:w="4706" w:type="dxa"/>
          </w:tcPr>
          <w:p w14:paraId="308B12CB" w14:textId="77777777" w:rsidR="003A38FF" w:rsidRPr="00D0180E" w:rsidRDefault="003A38FF" w:rsidP="003A38FF">
            <w:pPr>
              <w:pStyle w:val="Texto"/>
              <w:spacing w:line="254"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Coordinar las sesiones del consejo consultivo;</w:t>
            </w:r>
          </w:p>
        </w:tc>
        <w:tc>
          <w:tcPr>
            <w:tcW w:w="4644" w:type="dxa"/>
          </w:tcPr>
          <w:p w14:paraId="5FD7D47E" w14:textId="1D3E79F8" w:rsidR="003A38FF" w:rsidRPr="00D0180E" w:rsidRDefault="003A38FF" w:rsidP="003A38FF">
            <w:pPr>
              <w:pStyle w:val="Texto"/>
              <w:spacing w:line="254" w:lineRule="exact"/>
              <w:ind w:firstLine="0"/>
              <w:rPr>
                <w:rFonts w:ascii="Verdana" w:hAnsi="Verdana"/>
                <w:b/>
                <w:sz w:val="16"/>
                <w:szCs w:val="16"/>
                <w:lang w:val="en-US"/>
              </w:rPr>
            </w:pPr>
            <w:r w:rsidRPr="001A4FEF">
              <w:rPr>
                <w:rFonts w:ascii="Verdana" w:hAnsi="Verdana"/>
                <w:b/>
                <w:sz w:val="16"/>
                <w:szCs w:val="16"/>
                <w:lang w:val="en-US"/>
              </w:rPr>
              <w:t>I</w:t>
            </w:r>
            <w:proofErr w:type="gramStart"/>
            <w:r w:rsidRPr="001A4FEF">
              <w:rPr>
                <w:rFonts w:ascii="Verdana" w:hAnsi="Verdana"/>
                <w:b/>
                <w:sz w:val="16"/>
                <w:szCs w:val="16"/>
                <w:lang w:val="en-US"/>
              </w:rPr>
              <w:t xml:space="preserve">. </w:t>
            </w:r>
            <w:r w:rsidRPr="001A4FEF">
              <w:rPr>
                <w:rFonts w:ascii="Verdana" w:hAnsi="Verdana"/>
                <w:b/>
                <w:sz w:val="16"/>
                <w:szCs w:val="16"/>
                <w:lang w:val="en-US"/>
              </w:rPr>
              <w:tab/>
            </w:r>
            <w:r w:rsidRPr="001A4FEF">
              <w:rPr>
                <w:rFonts w:ascii="Verdana" w:hAnsi="Verdana"/>
                <w:sz w:val="16"/>
                <w:szCs w:val="16"/>
                <w:lang w:val="en-US"/>
              </w:rPr>
              <w:t>Coordinate</w:t>
            </w:r>
            <w:proofErr w:type="gramEnd"/>
            <w:r w:rsidRPr="001A4FEF">
              <w:rPr>
                <w:rFonts w:ascii="Verdana" w:hAnsi="Verdana"/>
                <w:sz w:val="16"/>
                <w:szCs w:val="16"/>
                <w:lang w:val="en-US"/>
              </w:rPr>
              <w:t xml:space="preserve"> the sessions of the advisory council;</w:t>
            </w:r>
          </w:p>
        </w:tc>
      </w:tr>
      <w:tr w:rsidR="003A38FF" w:rsidRPr="00D83DA2" w14:paraId="74461799" w14:textId="75FFDD22" w:rsidTr="00FB5DAD">
        <w:tc>
          <w:tcPr>
            <w:tcW w:w="4706" w:type="dxa"/>
          </w:tcPr>
          <w:p w14:paraId="1E38634C" w14:textId="77777777" w:rsidR="003A38FF" w:rsidRPr="00D0180E" w:rsidRDefault="003A38FF" w:rsidP="003A38FF">
            <w:pPr>
              <w:pStyle w:val="Texto"/>
              <w:spacing w:line="254"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Solicitar a la persona que funja como secretaria técnica la elaboración de estudios sobre los asuntos que se presenten a la consideración del consejo consultivo, y</w:t>
            </w:r>
          </w:p>
        </w:tc>
        <w:tc>
          <w:tcPr>
            <w:tcW w:w="4644" w:type="dxa"/>
          </w:tcPr>
          <w:p w14:paraId="73D348C0" w14:textId="00D9E588" w:rsidR="003A38FF" w:rsidRPr="00D0180E" w:rsidRDefault="003A38FF" w:rsidP="003A38FF">
            <w:pPr>
              <w:pStyle w:val="Texto"/>
              <w:spacing w:line="254" w:lineRule="exact"/>
              <w:ind w:firstLine="0"/>
              <w:rPr>
                <w:rFonts w:ascii="Verdana" w:hAnsi="Verdana"/>
                <w:b/>
                <w:sz w:val="16"/>
                <w:szCs w:val="16"/>
                <w:lang w:val="en-US"/>
              </w:rPr>
            </w:pPr>
            <w:r w:rsidRPr="001A4FEF">
              <w:rPr>
                <w:rFonts w:ascii="Verdana" w:hAnsi="Verdana"/>
                <w:b/>
                <w:sz w:val="16"/>
                <w:szCs w:val="16"/>
                <w:lang w:val="en-US"/>
              </w:rPr>
              <w:t>II</w:t>
            </w:r>
            <w:proofErr w:type="gramStart"/>
            <w:r w:rsidRPr="001A4FEF">
              <w:rPr>
                <w:rFonts w:ascii="Verdana" w:hAnsi="Verdana"/>
                <w:b/>
                <w:sz w:val="16"/>
                <w:szCs w:val="16"/>
                <w:lang w:val="en-US"/>
              </w:rPr>
              <w:t xml:space="preserve">. </w:t>
            </w:r>
            <w:r w:rsidRPr="001A4FEF">
              <w:rPr>
                <w:rFonts w:ascii="Verdana" w:hAnsi="Verdana"/>
                <w:b/>
                <w:sz w:val="16"/>
                <w:szCs w:val="16"/>
                <w:lang w:val="en-US"/>
              </w:rPr>
              <w:tab/>
            </w:r>
            <w:r w:rsidRPr="001A4FEF">
              <w:rPr>
                <w:rFonts w:ascii="Verdana" w:hAnsi="Verdana"/>
                <w:sz w:val="16"/>
                <w:szCs w:val="16"/>
                <w:lang w:val="en-US"/>
              </w:rPr>
              <w:t>Request</w:t>
            </w:r>
            <w:proofErr w:type="gramEnd"/>
            <w:r w:rsidRPr="001A4FEF">
              <w:rPr>
                <w:rFonts w:ascii="Verdana" w:hAnsi="Verdana"/>
                <w:sz w:val="16"/>
                <w:szCs w:val="16"/>
                <w:lang w:val="en-US"/>
              </w:rPr>
              <w:t xml:space="preserve"> the person acting as technical secretary to prepare studies on the matters submitted for consideration by the advisory council, and</w:t>
            </w:r>
          </w:p>
        </w:tc>
      </w:tr>
      <w:tr w:rsidR="003A38FF" w:rsidRPr="00D83DA2" w14:paraId="7E946255" w14:textId="0B9AE111" w:rsidTr="00FB5DAD">
        <w:tc>
          <w:tcPr>
            <w:tcW w:w="4706" w:type="dxa"/>
          </w:tcPr>
          <w:p w14:paraId="4004433D" w14:textId="77777777" w:rsidR="003A38FF" w:rsidRPr="00D0180E" w:rsidRDefault="003A38FF" w:rsidP="003A38FF">
            <w:pPr>
              <w:pStyle w:val="Texto"/>
              <w:spacing w:line="254"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Proponer los lineamientos que regulen el funcionamiento del consejo consultivo.</w:t>
            </w:r>
          </w:p>
        </w:tc>
        <w:tc>
          <w:tcPr>
            <w:tcW w:w="4644" w:type="dxa"/>
          </w:tcPr>
          <w:p w14:paraId="4FB911A1" w14:textId="42473BFE" w:rsidR="003A38FF" w:rsidRPr="00D0180E" w:rsidRDefault="003A38FF" w:rsidP="003A38FF">
            <w:pPr>
              <w:pStyle w:val="Texto"/>
              <w:spacing w:line="254" w:lineRule="exact"/>
              <w:ind w:firstLine="0"/>
              <w:rPr>
                <w:rFonts w:ascii="Verdana" w:hAnsi="Verdana"/>
                <w:b/>
                <w:sz w:val="16"/>
                <w:szCs w:val="16"/>
                <w:lang w:val="en-US"/>
              </w:rPr>
            </w:pPr>
            <w:r w:rsidRPr="001A4FEF">
              <w:rPr>
                <w:rFonts w:ascii="Verdana" w:hAnsi="Verdana"/>
                <w:b/>
                <w:sz w:val="16"/>
                <w:szCs w:val="16"/>
                <w:lang w:val="en-US"/>
              </w:rPr>
              <w:t>III</w:t>
            </w:r>
            <w:proofErr w:type="gramStart"/>
            <w:r w:rsidRPr="001A4FEF">
              <w:rPr>
                <w:rFonts w:ascii="Verdana" w:hAnsi="Verdana"/>
                <w:b/>
                <w:sz w:val="16"/>
                <w:szCs w:val="16"/>
                <w:lang w:val="en-US"/>
              </w:rPr>
              <w:t xml:space="preserve">. </w:t>
            </w:r>
            <w:r w:rsidRPr="001A4FEF">
              <w:rPr>
                <w:rFonts w:ascii="Verdana" w:hAnsi="Verdana"/>
                <w:b/>
                <w:sz w:val="16"/>
                <w:szCs w:val="16"/>
                <w:lang w:val="en-US"/>
              </w:rPr>
              <w:tab/>
            </w:r>
            <w:r w:rsidRPr="001A4FEF">
              <w:rPr>
                <w:rFonts w:ascii="Verdana" w:hAnsi="Verdana"/>
                <w:sz w:val="16"/>
                <w:szCs w:val="16"/>
                <w:lang w:val="en-US"/>
              </w:rPr>
              <w:t>Propose</w:t>
            </w:r>
            <w:proofErr w:type="gramEnd"/>
            <w:r w:rsidRPr="001A4FEF">
              <w:rPr>
                <w:rFonts w:ascii="Verdana" w:hAnsi="Verdana"/>
                <w:sz w:val="16"/>
                <w:szCs w:val="16"/>
                <w:lang w:val="en-US"/>
              </w:rPr>
              <w:t xml:space="preserve"> guidelines that regulate the functioning of the advisory council.</w:t>
            </w:r>
          </w:p>
        </w:tc>
      </w:tr>
      <w:tr w:rsidR="003A38FF" w:rsidRPr="00D0180E" w14:paraId="5301EA69" w14:textId="09E64022" w:rsidTr="00FB5DAD">
        <w:tc>
          <w:tcPr>
            <w:tcW w:w="4706" w:type="dxa"/>
          </w:tcPr>
          <w:p w14:paraId="1D8D5BA7" w14:textId="77777777" w:rsidR="003A38FF" w:rsidRPr="00D0180E" w:rsidRDefault="003A38FF" w:rsidP="003A38FF">
            <w:pPr>
              <w:pStyle w:val="Texto"/>
              <w:spacing w:line="226" w:lineRule="exact"/>
              <w:ind w:firstLine="0"/>
              <w:jc w:val="center"/>
              <w:rPr>
                <w:rFonts w:ascii="Verdana" w:hAnsi="Verdana"/>
                <w:b/>
                <w:sz w:val="16"/>
                <w:szCs w:val="16"/>
              </w:rPr>
            </w:pPr>
            <w:r w:rsidRPr="00D0180E">
              <w:rPr>
                <w:rFonts w:ascii="Verdana" w:hAnsi="Verdana"/>
                <w:b/>
                <w:sz w:val="16"/>
                <w:szCs w:val="16"/>
              </w:rPr>
              <w:t>TÍTULO DÉCIMO PRIMERO</w:t>
            </w:r>
          </w:p>
        </w:tc>
        <w:tc>
          <w:tcPr>
            <w:tcW w:w="4644" w:type="dxa"/>
          </w:tcPr>
          <w:p w14:paraId="61370861" w14:textId="79D8F7B4" w:rsidR="003A38FF" w:rsidRPr="00D0180E" w:rsidRDefault="003A38FF" w:rsidP="003A38FF">
            <w:pPr>
              <w:pStyle w:val="Texto"/>
              <w:spacing w:line="226" w:lineRule="exact"/>
              <w:ind w:firstLine="0"/>
              <w:jc w:val="center"/>
              <w:rPr>
                <w:rFonts w:ascii="Verdana" w:hAnsi="Verdana"/>
                <w:b/>
                <w:sz w:val="16"/>
                <w:szCs w:val="16"/>
                <w:lang w:val="en-US"/>
              </w:rPr>
            </w:pPr>
            <w:r w:rsidRPr="00D0180E">
              <w:rPr>
                <w:rFonts w:ascii="Verdana" w:hAnsi="Verdana"/>
                <w:b/>
                <w:sz w:val="16"/>
                <w:szCs w:val="16"/>
              </w:rPr>
              <w:t xml:space="preserve">ELEVENTH TITLE </w:t>
            </w:r>
          </w:p>
        </w:tc>
      </w:tr>
      <w:tr w:rsidR="003A38FF" w:rsidRPr="00D83DA2" w14:paraId="61767361" w14:textId="17495BA4" w:rsidTr="00FB5DAD">
        <w:tc>
          <w:tcPr>
            <w:tcW w:w="4706" w:type="dxa"/>
          </w:tcPr>
          <w:p w14:paraId="0B8AA8B2" w14:textId="13A39C8B" w:rsidR="003A38FF" w:rsidRPr="00D0180E" w:rsidRDefault="003A38FF" w:rsidP="003A38FF">
            <w:pPr>
              <w:pStyle w:val="Texto"/>
              <w:spacing w:line="226" w:lineRule="exact"/>
              <w:ind w:firstLine="0"/>
              <w:jc w:val="center"/>
              <w:rPr>
                <w:rFonts w:ascii="Verdana" w:hAnsi="Verdana"/>
                <w:b/>
                <w:sz w:val="16"/>
                <w:szCs w:val="16"/>
              </w:rPr>
            </w:pPr>
            <w:r w:rsidRPr="00D0180E">
              <w:rPr>
                <w:rFonts w:ascii="Verdana" w:hAnsi="Verdana"/>
                <w:b/>
                <w:sz w:val="16"/>
                <w:szCs w:val="16"/>
              </w:rPr>
              <w:t>DEL CONTENIDO NACIONAL Y DE LAS ESTRATEGIAS PARA EL FOMENTO INDUSTRIAL Y DE LA INVERSIÓN EN EL SECTOR ELÉCTRICO</w:t>
            </w:r>
            <w:r>
              <w:rPr>
                <w:rFonts w:ascii="Verdana" w:hAnsi="Verdana"/>
                <w:b/>
                <w:sz w:val="16"/>
                <w:szCs w:val="16"/>
              </w:rPr>
              <w:t xml:space="preserve"> </w:t>
            </w:r>
          </w:p>
        </w:tc>
        <w:tc>
          <w:tcPr>
            <w:tcW w:w="4644" w:type="dxa"/>
          </w:tcPr>
          <w:p w14:paraId="744D535B" w14:textId="2FB1B738" w:rsidR="003A38FF" w:rsidRPr="00D0180E" w:rsidRDefault="003A38FF" w:rsidP="003A38FF">
            <w:pPr>
              <w:pStyle w:val="Texto"/>
              <w:spacing w:line="226" w:lineRule="exact"/>
              <w:ind w:firstLine="0"/>
              <w:jc w:val="center"/>
              <w:rPr>
                <w:rFonts w:ascii="Verdana" w:hAnsi="Verdana"/>
                <w:b/>
                <w:sz w:val="16"/>
                <w:szCs w:val="16"/>
                <w:lang w:val="en-US"/>
              </w:rPr>
            </w:pPr>
            <w:r w:rsidRPr="001A4FEF">
              <w:rPr>
                <w:rFonts w:ascii="Verdana" w:hAnsi="Verdana"/>
                <w:b/>
                <w:sz w:val="16"/>
                <w:szCs w:val="16"/>
                <w:lang w:val="en-US"/>
              </w:rPr>
              <w:t>NATIONAL CONTENT AND STRATEGIES FOR INDUSTRIAL PROMOTION AND INVESTMENT IN THE ELECTRICAL SECTOR</w:t>
            </w:r>
          </w:p>
        </w:tc>
      </w:tr>
      <w:tr w:rsidR="003A38FF" w:rsidRPr="00D0180E" w14:paraId="4ACCF0BD" w14:textId="5583AD6A" w:rsidTr="00FB5DAD">
        <w:tc>
          <w:tcPr>
            <w:tcW w:w="4706" w:type="dxa"/>
          </w:tcPr>
          <w:p w14:paraId="18352B5B" w14:textId="77777777" w:rsidR="003A38FF" w:rsidRPr="00D0180E" w:rsidRDefault="003A38FF" w:rsidP="003A38FF">
            <w:pPr>
              <w:pStyle w:val="Texto"/>
              <w:spacing w:line="226" w:lineRule="exact"/>
              <w:ind w:firstLine="0"/>
              <w:jc w:val="center"/>
              <w:rPr>
                <w:rFonts w:ascii="Verdana" w:hAnsi="Verdana"/>
                <w:b/>
                <w:sz w:val="16"/>
                <w:szCs w:val="16"/>
              </w:rPr>
            </w:pPr>
            <w:r w:rsidRPr="00D0180E">
              <w:rPr>
                <w:rFonts w:ascii="Verdana" w:hAnsi="Verdana"/>
                <w:b/>
                <w:sz w:val="16"/>
                <w:szCs w:val="16"/>
              </w:rPr>
              <w:t>Capítulo I</w:t>
            </w:r>
          </w:p>
        </w:tc>
        <w:tc>
          <w:tcPr>
            <w:tcW w:w="4644" w:type="dxa"/>
          </w:tcPr>
          <w:p w14:paraId="37A08FF4" w14:textId="4FCE9A76" w:rsidR="003A38FF" w:rsidRPr="00491122" w:rsidRDefault="003A38FF" w:rsidP="003A38FF">
            <w:pPr>
              <w:pStyle w:val="Texto"/>
              <w:spacing w:line="226" w:lineRule="exact"/>
              <w:ind w:firstLine="0"/>
              <w:jc w:val="center"/>
              <w:rPr>
                <w:rFonts w:ascii="Verdana" w:hAnsi="Verdana"/>
                <w:b/>
                <w:sz w:val="16"/>
                <w:szCs w:val="16"/>
                <w:lang w:val="en-US"/>
              </w:rPr>
            </w:pPr>
            <w:r w:rsidRPr="00491122">
              <w:rPr>
                <w:rFonts w:ascii="Verdana" w:hAnsi="Verdana"/>
                <w:b/>
                <w:sz w:val="16"/>
                <w:szCs w:val="16"/>
                <w:lang w:val="en-US"/>
              </w:rPr>
              <w:t>Chapter I</w:t>
            </w:r>
          </w:p>
        </w:tc>
      </w:tr>
      <w:tr w:rsidR="003A38FF" w:rsidRPr="00D0180E" w14:paraId="2EA40170" w14:textId="25BF5251" w:rsidTr="00FB5DAD">
        <w:tc>
          <w:tcPr>
            <w:tcW w:w="4706" w:type="dxa"/>
          </w:tcPr>
          <w:p w14:paraId="333C62B8" w14:textId="77777777" w:rsidR="003A38FF" w:rsidRPr="00D0180E" w:rsidRDefault="003A38FF" w:rsidP="003A38FF">
            <w:pPr>
              <w:pStyle w:val="Texto"/>
              <w:spacing w:line="226" w:lineRule="exact"/>
              <w:ind w:firstLine="0"/>
              <w:jc w:val="center"/>
              <w:rPr>
                <w:rFonts w:ascii="Verdana" w:hAnsi="Verdana"/>
                <w:b/>
                <w:sz w:val="16"/>
                <w:szCs w:val="16"/>
              </w:rPr>
            </w:pPr>
            <w:r w:rsidRPr="00D0180E">
              <w:rPr>
                <w:rFonts w:ascii="Verdana" w:hAnsi="Verdana"/>
                <w:b/>
                <w:sz w:val="16"/>
                <w:szCs w:val="16"/>
              </w:rPr>
              <w:t>Disposiciones Generales</w:t>
            </w:r>
          </w:p>
        </w:tc>
        <w:tc>
          <w:tcPr>
            <w:tcW w:w="4644" w:type="dxa"/>
          </w:tcPr>
          <w:p w14:paraId="37C5BCA0" w14:textId="440886C5" w:rsidR="003A38FF" w:rsidRPr="00491122" w:rsidRDefault="003A38FF" w:rsidP="003A38FF">
            <w:pPr>
              <w:pStyle w:val="Texto"/>
              <w:spacing w:line="226" w:lineRule="exact"/>
              <w:ind w:firstLine="0"/>
              <w:jc w:val="center"/>
              <w:rPr>
                <w:rFonts w:ascii="Verdana" w:hAnsi="Verdana"/>
                <w:b/>
                <w:sz w:val="16"/>
                <w:szCs w:val="16"/>
                <w:lang w:val="en-US"/>
              </w:rPr>
            </w:pPr>
            <w:r w:rsidRPr="00491122">
              <w:rPr>
                <w:rFonts w:ascii="Verdana" w:hAnsi="Verdana"/>
                <w:b/>
                <w:sz w:val="16"/>
                <w:szCs w:val="16"/>
                <w:lang w:val="en-US"/>
              </w:rPr>
              <w:t>General Provisions</w:t>
            </w:r>
          </w:p>
        </w:tc>
      </w:tr>
      <w:tr w:rsidR="003A38FF" w:rsidRPr="00D83DA2" w14:paraId="4DDD0AEE" w14:textId="37E21FBD" w:rsidTr="00FB5DAD">
        <w:tc>
          <w:tcPr>
            <w:tcW w:w="4706" w:type="dxa"/>
          </w:tcPr>
          <w:p w14:paraId="64D8024C" w14:textId="77777777" w:rsidR="003A38FF" w:rsidRPr="00D0180E" w:rsidRDefault="003A38FF" w:rsidP="003A38FF">
            <w:pPr>
              <w:pStyle w:val="Texto"/>
              <w:spacing w:line="226" w:lineRule="exact"/>
              <w:ind w:firstLine="0"/>
              <w:rPr>
                <w:rFonts w:ascii="Verdana" w:hAnsi="Verdana"/>
                <w:sz w:val="16"/>
                <w:szCs w:val="16"/>
              </w:rPr>
            </w:pPr>
            <w:r w:rsidRPr="00D0180E">
              <w:rPr>
                <w:rFonts w:ascii="Verdana" w:hAnsi="Verdana"/>
                <w:b/>
                <w:sz w:val="16"/>
                <w:szCs w:val="16"/>
              </w:rPr>
              <w:t xml:space="preserve">Artículo 294. </w:t>
            </w:r>
            <w:r w:rsidRPr="00D0180E">
              <w:rPr>
                <w:rFonts w:ascii="Verdana" w:hAnsi="Verdana"/>
                <w:sz w:val="16"/>
                <w:szCs w:val="16"/>
              </w:rPr>
              <w:t>Para efectos de las compras, adquisiciones y contrataciones de proveeduría que realice el Estado mexicano cuyo objeto sea para la generación eléctrica, la prestación del Servicio Público de Transmisión y Distribución de Energía Eléctrica, la Secretaría debe establecer en las bases de licitación, en el contrato o asociación correspondiente, los porcentajes mínimos y demás condiciones de contenido nacional, conforme lo señalado en la fracción XLVI del artículo 10 de la Ley.</w:t>
            </w:r>
          </w:p>
        </w:tc>
        <w:tc>
          <w:tcPr>
            <w:tcW w:w="4644" w:type="dxa"/>
          </w:tcPr>
          <w:p w14:paraId="78E878CA" w14:textId="3C35FC44" w:rsidR="003A38FF" w:rsidRPr="00D0180E" w:rsidRDefault="003A38FF" w:rsidP="003A38FF">
            <w:pPr>
              <w:pStyle w:val="Texto"/>
              <w:spacing w:line="226" w:lineRule="exact"/>
              <w:ind w:firstLine="0"/>
              <w:rPr>
                <w:rFonts w:ascii="Verdana" w:hAnsi="Verdana"/>
                <w:b/>
                <w:sz w:val="16"/>
                <w:szCs w:val="16"/>
                <w:lang w:val="en-US"/>
              </w:rPr>
            </w:pPr>
            <w:r w:rsidRPr="001A4FEF">
              <w:rPr>
                <w:rFonts w:ascii="Verdana" w:hAnsi="Verdana"/>
                <w:b/>
                <w:sz w:val="16"/>
                <w:szCs w:val="16"/>
                <w:lang w:val="en-US"/>
              </w:rPr>
              <w:t xml:space="preserve">Article 294. </w:t>
            </w:r>
            <w:r w:rsidRPr="001A4FEF">
              <w:rPr>
                <w:rFonts w:ascii="Verdana" w:hAnsi="Verdana"/>
                <w:sz w:val="16"/>
                <w:szCs w:val="16"/>
                <w:lang w:val="en-US"/>
              </w:rPr>
              <w:t xml:space="preserve">For the purposes of purchases, acquisitions and contracting of suppliers carried out by the Mexican State whose purpose is for the generation of electricity, the provision of the Public Service of Transmission and Distribution of Electric Energy, the Secretary must establish in the bidding </w:t>
            </w:r>
            <w:r>
              <w:rPr>
                <w:rFonts w:ascii="Verdana" w:hAnsi="Verdana"/>
                <w:sz w:val="16"/>
                <w:szCs w:val="16"/>
                <w:lang w:val="en-US"/>
              </w:rPr>
              <w:t>criteria</w:t>
            </w:r>
            <w:r w:rsidRPr="001A4FEF">
              <w:rPr>
                <w:rFonts w:ascii="Verdana" w:hAnsi="Verdana"/>
                <w:sz w:val="16"/>
                <w:szCs w:val="16"/>
                <w:lang w:val="en-US"/>
              </w:rPr>
              <w:t>, in the corresponding contract or association, the minimum percentages and other conditions of national content, as indicated in section XLVI of article 10 of the Law.</w:t>
            </w:r>
          </w:p>
        </w:tc>
      </w:tr>
      <w:tr w:rsidR="003A38FF" w:rsidRPr="00D83DA2" w14:paraId="785348BC" w14:textId="096EC324" w:rsidTr="00FB5DAD">
        <w:tc>
          <w:tcPr>
            <w:tcW w:w="4706" w:type="dxa"/>
          </w:tcPr>
          <w:p w14:paraId="33F926D3" w14:textId="77777777" w:rsidR="003A38FF" w:rsidRPr="00D0180E" w:rsidRDefault="003A38FF" w:rsidP="003A38FF">
            <w:pPr>
              <w:pStyle w:val="Texto"/>
              <w:spacing w:line="226" w:lineRule="exact"/>
              <w:ind w:firstLine="0"/>
              <w:rPr>
                <w:rFonts w:ascii="Verdana" w:hAnsi="Verdana"/>
                <w:sz w:val="16"/>
                <w:szCs w:val="16"/>
              </w:rPr>
            </w:pPr>
            <w:r w:rsidRPr="00D0180E">
              <w:rPr>
                <w:rFonts w:ascii="Verdana" w:hAnsi="Verdana"/>
                <w:sz w:val="16"/>
                <w:szCs w:val="16"/>
              </w:rPr>
              <w:t>Asimismo, la Secretaría puede establecer requisitos que fomenten el uso de materiales bajos en emisiones y que promuevan la economía circular.</w:t>
            </w:r>
          </w:p>
        </w:tc>
        <w:tc>
          <w:tcPr>
            <w:tcW w:w="4644" w:type="dxa"/>
          </w:tcPr>
          <w:p w14:paraId="7940E2F6" w14:textId="0C20D397" w:rsidR="003A38FF" w:rsidRPr="00D0180E" w:rsidRDefault="003A38FF" w:rsidP="003A38FF">
            <w:pPr>
              <w:pStyle w:val="Texto"/>
              <w:spacing w:line="226" w:lineRule="exact"/>
              <w:ind w:firstLine="0"/>
              <w:rPr>
                <w:rFonts w:ascii="Verdana" w:hAnsi="Verdana"/>
                <w:sz w:val="16"/>
                <w:szCs w:val="16"/>
                <w:lang w:val="en-US"/>
              </w:rPr>
            </w:pPr>
            <w:r w:rsidRPr="001A4FEF">
              <w:rPr>
                <w:rFonts w:ascii="Verdana" w:hAnsi="Verdana"/>
                <w:sz w:val="16"/>
                <w:szCs w:val="16"/>
                <w:lang w:val="en-US"/>
              </w:rPr>
              <w:t>The Secretary may also establish requirements that encourage the use of low-emission materials and promote the circular economy.</w:t>
            </w:r>
          </w:p>
        </w:tc>
      </w:tr>
      <w:tr w:rsidR="003A38FF" w:rsidRPr="00D83DA2" w14:paraId="44845486" w14:textId="495001FC" w:rsidTr="00FB5DAD">
        <w:tc>
          <w:tcPr>
            <w:tcW w:w="4706" w:type="dxa"/>
          </w:tcPr>
          <w:p w14:paraId="2E1A5D91" w14:textId="77777777" w:rsidR="003A38FF" w:rsidRPr="00D0180E" w:rsidRDefault="003A38FF" w:rsidP="003A38FF">
            <w:pPr>
              <w:pStyle w:val="Texto"/>
              <w:spacing w:line="226" w:lineRule="exact"/>
              <w:ind w:firstLine="0"/>
              <w:rPr>
                <w:rFonts w:ascii="Verdana" w:hAnsi="Verdana"/>
                <w:sz w:val="16"/>
                <w:szCs w:val="16"/>
              </w:rPr>
            </w:pPr>
            <w:r w:rsidRPr="00D0180E">
              <w:rPr>
                <w:rFonts w:ascii="Verdana" w:hAnsi="Verdana"/>
                <w:b/>
                <w:sz w:val="16"/>
                <w:szCs w:val="16"/>
              </w:rPr>
              <w:t>Artículo 295.</w:t>
            </w:r>
            <w:r w:rsidRPr="00D0180E">
              <w:rPr>
                <w:rFonts w:ascii="Verdana" w:hAnsi="Verdana"/>
                <w:sz w:val="16"/>
                <w:szCs w:val="16"/>
              </w:rPr>
              <w:t xml:space="preserve"> A efecto de cumplir con los objetivos de Justicia Energética y prosperidad compartida, establecidos en la Ley, la Secretaría con ayuda de la Secretaría de Economía debe establecer y aplicar estrategias para que en el contenido nacional se promueva la inclusión de las pequeñas y medianas empresas locales en la proveeduría de bienes y servicios, con un valor agregado creciente en las cadenas productivas.</w:t>
            </w:r>
          </w:p>
        </w:tc>
        <w:tc>
          <w:tcPr>
            <w:tcW w:w="4644" w:type="dxa"/>
          </w:tcPr>
          <w:p w14:paraId="1D68FBE3" w14:textId="7273495D" w:rsidR="003A38FF" w:rsidRPr="00D0180E" w:rsidRDefault="003A38FF" w:rsidP="003A38FF">
            <w:pPr>
              <w:pStyle w:val="Texto"/>
              <w:spacing w:line="226" w:lineRule="exact"/>
              <w:ind w:firstLine="0"/>
              <w:rPr>
                <w:rFonts w:ascii="Verdana" w:hAnsi="Verdana"/>
                <w:b/>
                <w:sz w:val="16"/>
                <w:szCs w:val="16"/>
                <w:lang w:val="en-US"/>
              </w:rPr>
            </w:pPr>
            <w:r w:rsidRPr="001A4FEF">
              <w:rPr>
                <w:rFonts w:ascii="Verdana" w:hAnsi="Verdana"/>
                <w:b/>
                <w:sz w:val="16"/>
                <w:szCs w:val="16"/>
                <w:lang w:val="en-US"/>
              </w:rPr>
              <w:t xml:space="preserve">Article 295. </w:t>
            </w:r>
            <w:proofErr w:type="gramStart"/>
            <w:r w:rsidRPr="001A4FEF">
              <w:rPr>
                <w:rFonts w:ascii="Verdana" w:hAnsi="Verdana"/>
                <w:sz w:val="16"/>
                <w:szCs w:val="16"/>
                <w:lang w:val="en-US"/>
              </w:rPr>
              <w:t>In order to</w:t>
            </w:r>
            <w:proofErr w:type="gramEnd"/>
            <w:r w:rsidRPr="001A4FEF">
              <w:rPr>
                <w:rFonts w:ascii="Verdana" w:hAnsi="Verdana"/>
                <w:sz w:val="16"/>
                <w:szCs w:val="16"/>
                <w:lang w:val="en-US"/>
              </w:rPr>
              <w:t xml:space="preserve"> meet the objectives of Energy Justice and shared prosperity established in the Law, the Secretary, with the assistance of the Secretary of Economy, must establish and implement strategies to promote the inclusion of </w:t>
            </w:r>
            <w:proofErr w:type="gramStart"/>
            <w:r w:rsidRPr="001A4FEF">
              <w:rPr>
                <w:rFonts w:ascii="Verdana" w:hAnsi="Verdana"/>
                <w:sz w:val="16"/>
                <w:szCs w:val="16"/>
                <w:lang w:val="en-US"/>
              </w:rPr>
              <w:t xml:space="preserve">local small and </w:t>
            </w:r>
            <w:r w:rsidR="009E2B03">
              <w:rPr>
                <w:rFonts w:ascii="Verdana" w:hAnsi="Verdana"/>
                <w:sz w:val="16"/>
                <w:szCs w:val="16"/>
                <w:lang w:val="en-US"/>
              </w:rPr>
              <w:t>medium</w:t>
            </w:r>
            <w:r w:rsidRPr="001A4FEF">
              <w:rPr>
                <w:rFonts w:ascii="Verdana" w:hAnsi="Verdana"/>
                <w:sz w:val="16"/>
                <w:szCs w:val="16"/>
                <w:lang w:val="en-US"/>
              </w:rPr>
              <w:t>sized</w:t>
            </w:r>
            <w:proofErr w:type="gramEnd"/>
            <w:r w:rsidRPr="001A4FEF">
              <w:rPr>
                <w:rFonts w:ascii="Verdana" w:hAnsi="Verdana"/>
                <w:sz w:val="16"/>
                <w:szCs w:val="16"/>
                <w:lang w:val="en-US"/>
              </w:rPr>
              <w:t xml:space="preserve"> enterprises in the provision of goods and services, with increasing added value in the production chains.</w:t>
            </w:r>
          </w:p>
        </w:tc>
      </w:tr>
      <w:tr w:rsidR="003A38FF" w:rsidRPr="00D83DA2" w14:paraId="0346CAA4" w14:textId="5F93F70C" w:rsidTr="00FB5DAD">
        <w:tc>
          <w:tcPr>
            <w:tcW w:w="4706" w:type="dxa"/>
          </w:tcPr>
          <w:p w14:paraId="23AB7225" w14:textId="77777777" w:rsidR="003A38FF" w:rsidRPr="00D0180E" w:rsidRDefault="003A38FF" w:rsidP="003A38FF">
            <w:pPr>
              <w:pStyle w:val="Texto"/>
              <w:spacing w:line="226" w:lineRule="exact"/>
              <w:ind w:firstLine="0"/>
              <w:rPr>
                <w:rFonts w:ascii="Verdana" w:hAnsi="Verdana"/>
                <w:sz w:val="16"/>
                <w:szCs w:val="16"/>
              </w:rPr>
            </w:pPr>
            <w:r w:rsidRPr="00D0180E">
              <w:rPr>
                <w:rFonts w:ascii="Verdana" w:hAnsi="Verdana"/>
                <w:b/>
                <w:sz w:val="16"/>
                <w:szCs w:val="16"/>
              </w:rPr>
              <w:t>Artículo 296.</w:t>
            </w:r>
            <w:r w:rsidRPr="00D0180E">
              <w:rPr>
                <w:rFonts w:ascii="Verdana" w:hAnsi="Verdana"/>
                <w:sz w:val="16"/>
                <w:szCs w:val="16"/>
              </w:rPr>
              <w:t xml:space="preserve"> A efecto de que la Secretaría cuente con los elementos necesarios para determinar el porcentaje mínimo de contenido nacional a que hace referencia la fracción XLVI del artículo 10 de la Ley, esta debe establecer los mecanismos de colaboración e </w:t>
            </w:r>
            <w:r w:rsidRPr="00D0180E">
              <w:rPr>
                <w:rFonts w:ascii="Verdana" w:hAnsi="Verdana"/>
                <w:sz w:val="16"/>
                <w:szCs w:val="16"/>
              </w:rPr>
              <w:lastRenderedPageBreak/>
              <w:t>intercambio de información con la Secretaría de Economía, así como con las diversas dependencias y entidades competentes en la materia.</w:t>
            </w:r>
          </w:p>
        </w:tc>
        <w:tc>
          <w:tcPr>
            <w:tcW w:w="4644" w:type="dxa"/>
          </w:tcPr>
          <w:p w14:paraId="4A79816B" w14:textId="5D13D599" w:rsidR="003A38FF" w:rsidRPr="00D0180E" w:rsidRDefault="003A38FF" w:rsidP="003A38FF">
            <w:pPr>
              <w:pStyle w:val="Texto"/>
              <w:spacing w:line="226" w:lineRule="exact"/>
              <w:ind w:firstLine="0"/>
              <w:rPr>
                <w:rFonts w:ascii="Verdana" w:hAnsi="Verdana"/>
                <w:b/>
                <w:sz w:val="16"/>
                <w:szCs w:val="16"/>
                <w:lang w:val="en-US"/>
              </w:rPr>
            </w:pPr>
            <w:r w:rsidRPr="001A4FEF">
              <w:rPr>
                <w:rFonts w:ascii="Verdana" w:hAnsi="Verdana"/>
                <w:b/>
                <w:sz w:val="16"/>
                <w:szCs w:val="16"/>
                <w:lang w:val="en-US"/>
              </w:rPr>
              <w:lastRenderedPageBreak/>
              <w:t xml:space="preserve">Article 296. </w:t>
            </w:r>
            <w:proofErr w:type="gramStart"/>
            <w:r w:rsidRPr="001A4FEF">
              <w:rPr>
                <w:rFonts w:ascii="Verdana" w:hAnsi="Verdana"/>
                <w:sz w:val="16"/>
                <w:szCs w:val="16"/>
                <w:lang w:val="en-US"/>
              </w:rPr>
              <w:t>In order for</w:t>
            </w:r>
            <w:proofErr w:type="gramEnd"/>
            <w:r w:rsidRPr="001A4FEF">
              <w:rPr>
                <w:rFonts w:ascii="Verdana" w:hAnsi="Verdana"/>
                <w:sz w:val="16"/>
                <w:szCs w:val="16"/>
                <w:lang w:val="en-US"/>
              </w:rPr>
              <w:t xml:space="preserve"> the Secretary to have the necessary elements to determine the minimum percentage of national content referred to in Section XLVI of Article 10 of the Law, it must establish the mechanisms for collaboration and exchange of </w:t>
            </w:r>
            <w:r w:rsidRPr="001A4FEF">
              <w:rPr>
                <w:rFonts w:ascii="Verdana" w:hAnsi="Verdana"/>
                <w:sz w:val="16"/>
                <w:szCs w:val="16"/>
                <w:lang w:val="en-US"/>
              </w:rPr>
              <w:lastRenderedPageBreak/>
              <w:t xml:space="preserve">information with the Secretary of Economy, as well as with the various departments and </w:t>
            </w:r>
            <w:r>
              <w:rPr>
                <w:rFonts w:ascii="Verdana" w:hAnsi="Verdana"/>
                <w:sz w:val="16"/>
                <w:szCs w:val="16"/>
                <w:lang w:val="en-US"/>
              </w:rPr>
              <w:t>appropriate</w:t>
            </w:r>
            <w:r w:rsidRPr="001A4FEF">
              <w:rPr>
                <w:rFonts w:ascii="Verdana" w:hAnsi="Verdana"/>
                <w:sz w:val="16"/>
                <w:szCs w:val="16"/>
                <w:lang w:val="en-US"/>
              </w:rPr>
              <w:t xml:space="preserve"> </w:t>
            </w:r>
            <w:proofErr w:type="gramStart"/>
            <w:r w:rsidRPr="001A4FEF">
              <w:rPr>
                <w:rFonts w:ascii="Verdana" w:hAnsi="Verdana"/>
                <w:sz w:val="16"/>
                <w:szCs w:val="16"/>
                <w:lang w:val="en-US"/>
              </w:rPr>
              <w:t>entities</w:t>
            </w:r>
            <w:r>
              <w:rPr>
                <w:rFonts w:ascii="Verdana" w:hAnsi="Verdana"/>
                <w:sz w:val="16"/>
                <w:szCs w:val="16"/>
                <w:lang w:val="en-US"/>
              </w:rPr>
              <w:t xml:space="preserve"> </w:t>
            </w:r>
            <w:r w:rsidRPr="001A4FEF">
              <w:rPr>
                <w:rFonts w:ascii="Verdana" w:hAnsi="Verdana"/>
                <w:sz w:val="16"/>
                <w:szCs w:val="16"/>
                <w:lang w:val="en-US"/>
              </w:rPr>
              <w:t xml:space="preserve"> in</w:t>
            </w:r>
            <w:proofErr w:type="gramEnd"/>
            <w:r w:rsidRPr="001A4FEF">
              <w:rPr>
                <w:rFonts w:ascii="Verdana" w:hAnsi="Verdana"/>
                <w:sz w:val="16"/>
                <w:szCs w:val="16"/>
                <w:lang w:val="en-US"/>
              </w:rPr>
              <w:t xml:space="preserve"> the matter.</w:t>
            </w:r>
          </w:p>
        </w:tc>
      </w:tr>
      <w:tr w:rsidR="003A38FF" w:rsidRPr="00D83DA2" w14:paraId="091FCF31" w14:textId="3266BB97" w:rsidTr="00FB5DAD">
        <w:tc>
          <w:tcPr>
            <w:tcW w:w="4706" w:type="dxa"/>
          </w:tcPr>
          <w:p w14:paraId="4DD896D9" w14:textId="77777777" w:rsidR="003A38FF" w:rsidRPr="00D0180E" w:rsidRDefault="003A38FF" w:rsidP="003A38FF">
            <w:pPr>
              <w:pStyle w:val="Texto"/>
              <w:spacing w:line="226" w:lineRule="exact"/>
              <w:ind w:firstLine="0"/>
              <w:rPr>
                <w:rFonts w:ascii="Verdana" w:hAnsi="Verdana"/>
                <w:sz w:val="16"/>
                <w:szCs w:val="16"/>
              </w:rPr>
            </w:pPr>
            <w:r w:rsidRPr="00D0180E">
              <w:rPr>
                <w:rFonts w:ascii="Verdana" w:hAnsi="Verdana"/>
                <w:sz w:val="16"/>
                <w:szCs w:val="16"/>
              </w:rPr>
              <w:lastRenderedPageBreak/>
              <w:t>La Secretaría, en el ejercicio de sus facultades, puede asesorar a la Secretaría de Economía para establecer la metodología a la que hace referencia el artículo 108 de la Ley, a fin de que se ajusten a las necesidades del sector eléctrico. La metodología debe utilizar, al menos, los siguientes conceptos:</w:t>
            </w:r>
          </w:p>
        </w:tc>
        <w:tc>
          <w:tcPr>
            <w:tcW w:w="4644" w:type="dxa"/>
          </w:tcPr>
          <w:p w14:paraId="2A3761E7" w14:textId="12694190" w:rsidR="003A38FF" w:rsidRPr="00D0180E" w:rsidRDefault="003A38FF" w:rsidP="003A38FF">
            <w:pPr>
              <w:pStyle w:val="Texto"/>
              <w:spacing w:line="226" w:lineRule="exact"/>
              <w:ind w:firstLine="0"/>
              <w:rPr>
                <w:rFonts w:ascii="Verdana" w:hAnsi="Verdana"/>
                <w:sz w:val="16"/>
                <w:szCs w:val="16"/>
                <w:lang w:val="en-US"/>
              </w:rPr>
            </w:pPr>
            <w:r w:rsidRPr="001A4FEF">
              <w:rPr>
                <w:rFonts w:ascii="Verdana" w:hAnsi="Verdana"/>
                <w:sz w:val="16"/>
                <w:szCs w:val="16"/>
                <w:lang w:val="en-US"/>
              </w:rPr>
              <w:t>The Secretary, in the exercise of its powers, may advise the Secretary of Economy in establishing the methodology referred to in Article 108 of the Law, so that it is tailored to the needs of the electricity sector. The methodology must utilize, at a minimum, the following concepts:</w:t>
            </w:r>
          </w:p>
        </w:tc>
      </w:tr>
      <w:tr w:rsidR="003A38FF" w:rsidRPr="00D83DA2" w14:paraId="0007CFE7" w14:textId="29B3B0CA" w:rsidTr="00FB5DAD">
        <w:tc>
          <w:tcPr>
            <w:tcW w:w="4706" w:type="dxa"/>
          </w:tcPr>
          <w:p w14:paraId="245C3271" w14:textId="77777777" w:rsidR="003A38FF" w:rsidRPr="00D0180E" w:rsidRDefault="003A38FF" w:rsidP="003A38FF">
            <w:pPr>
              <w:pStyle w:val="Texto"/>
              <w:spacing w:line="226" w:lineRule="exact"/>
              <w:ind w:firstLine="0"/>
              <w:rPr>
                <w:rFonts w:ascii="Verdana" w:hAnsi="Verdana"/>
                <w:sz w:val="16"/>
                <w:szCs w:val="16"/>
                <w:lang w:val="es"/>
              </w:rPr>
            </w:pPr>
            <w:r w:rsidRPr="00D0180E">
              <w:rPr>
                <w:rFonts w:ascii="Verdana" w:hAnsi="Verdana"/>
                <w:b/>
                <w:sz w:val="16"/>
                <w:szCs w:val="16"/>
                <w:lang w:val="es"/>
              </w:rPr>
              <w:t>I.</w:t>
            </w:r>
            <w:r w:rsidRPr="00D0180E">
              <w:rPr>
                <w:rFonts w:ascii="Verdana" w:hAnsi="Verdana"/>
                <w:b/>
                <w:sz w:val="16"/>
                <w:szCs w:val="16"/>
                <w:lang w:val="es"/>
              </w:rPr>
              <w:tab/>
            </w:r>
            <w:r w:rsidRPr="00D0180E">
              <w:rPr>
                <w:rFonts w:ascii="Verdana" w:hAnsi="Verdana"/>
                <w:sz w:val="16"/>
                <w:szCs w:val="16"/>
                <w:lang w:val="es"/>
              </w:rPr>
              <w:t>Bienes y servicios contratados, con base en su origen;</w:t>
            </w:r>
          </w:p>
        </w:tc>
        <w:tc>
          <w:tcPr>
            <w:tcW w:w="4644" w:type="dxa"/>
          </w:tcPr>
          <w:p w14:paraId="6D91EF00" w14:textId="06B9368E" w:rsidR="003A38FF" w:rsidRPr="00D0180E" w:rsidRDefault="003A38FF" w:rsidP="003A38FF">
            <w:pPr>
              <w:pStyle w:val="Texto"/>
              <w:spacing w:line="226" w:lineRule="exact"/>
              <w:ind w:firstLine="0"/>
              <w:rPr>
                <w:rFonts w:ascii="Verdana" w:hAnsi="Verdana"/>
                <w:b/>
                <w:sz w:val="16"/>
                <w:szCs w:val="16"/>
                <w:lang w:val="en-US"/>
              </w:rPr>
            </w:pPr>
            <w:r w:rsidRPr="001A4FEF">
              <w:rPr>
                <w:rFonts w:ascii="Verdana" w:hAnsi="Verdana"/>
                <w:b/>
                <w:sz w:val="16"/>
                <w:szCs w:val="16"/>
                <w:lang w:val="en-US"/>
              </w:rPr>
              <w:t>I</w:t>
            </w:r>
            <w:proofErr w:type="gramStart"/>
            <w:r w:rsidRPr="001A4FEF">
              <w:rPr>
                <w:rFonts w:ascii="Verdana" w:hAnsi="Verdana"/>
                <w:b/>
                <w:sz w:val="16"/>
                <w:szCs w:val="16"/>
                <w:lang w:val="en-US"/>
              </w:rPr>
              <w:t xml:space="preserve">. </w:t>
            </w:r>
            <w:r w:rsidRPr="001A4FEF">
              <w:rPr>
                <w:rFonts w:ascii="Verdana" w:hAnsi="Verdana"/>
                <w:b/>
                <w:sz w:val="16"/>
                <w:szCs w:val="16"/>
                <w:lang w:val="en-US"/>
              </w:rPr>
              <w:tab/>
            </w:r>
            <w:r w:rsidRPr="001A4FEF">
              <w:rPr>
                <w:rFonts w:ascii="Verdana" w:hAnsi="Verdana"/>
                <w:sz w:val="16"/>
                <w:szCs w:val="16"/>
                <w:lang w:val="en-US"/>
              </w:rPr>
              <w:t>Goods</w:t>
            </w:r>
            <w:proofErr w:type="gramEnd"/>
            <w:r w:rsidRPr="001A4FEF">
              <w:rPr>
                <w:rFonts w:ascii="Verdana" w:hAnsi="Verdana"/>
                <w:sz w:val="16"/>
                <w:szCs w:val="16"/>
                <w:lang w:val="en-US"/>
              </w:rPr>
              <w:t xml:space="preserve"> and services contracted, based on their origin;</w:t>
            </w:r>
          </w:p>
        </w:tc>
      </w:tr>
      <w:tr w:rsidR="003A38FF" w:rsidRPr="00D83DA2" w14:paraId="3C0D6AF4" w14:textId="128AC6FE" w:rsidTr="00FB5DAD">
        <w:tc>
          <w:tcPr>
            <w:tcW w:w="4706" w:type="dxa"/>
          </w:tcPr>
          <w:p w14:paraId="46BF82E5" w14:textId="77777777" w:rsidR="003A38FF" w:rsidRPr="00D0180E" w:rsidRDefault="003A38FF" w:rsidP="003A38FF">
            <w:pPr>
              <w:pStyle w:val="Texto"/>
              <w:spacing w:line="226" w:lineRule="exact"/>
              <w:ind w:firstLine="0"/>
              <w:rPr>
                <w:rFonts w:ascii="Verdana" w:hAnsi="Verdana"/>
                <w:sz w:val="16"/>
                <w:szCs w:val="16"/>
                <w:lang w:val="es"/>
              </w:rPr>
            </w:pPr>
            <w:r w:rsidRPr="00D0180E">
              <w:rPr>
                <w:rFonts w:ascii="Verdana" w:hAnsi="Verdana"/>
                <w:b/>
                <w:sz w:val="16"/>
                <w:szCs w:val="16"/>
                <w:lang w:val="es"/>
              </w:rPr>
              <w:t>II.</w:t>
            </w:r>
            <w:r w:rsidRPr="00D0180E">
              <w:rPr>
                <w:rFonts w:ascii="Verdana" w:hAnsi="Verdana"/>
                <w:b/>
                <w:sz w:val="16"/>
                <w:szCs w:val="16"/>
                <w:lang w:val="es"/>
              </w:rPr>
              <w:tab/>
            </w:r>
            <w:r w:rsidRPr="00D0180E">
              <w:rPr>
                <w:rFonts w:ascii="Verdana" w:hAnsi="Verdana"/>
                <w:sz w:val="16"/>
                <w:szCs w:val="16"/>
                <w:lang w:val="es"/>
              </w:rPr>
              <w:t>La mano de obra nacional y de trabajo calificada;</w:t>
            </w:r>
          </w:p>
        </w:tc>
        <w:tc>
          <w:tcPr>
            <w:tcW w:w="4644" w:type="dxa"/>
          </w:tcPr>
          <w:p w14:paraId="7100B8A4" w14:textId="0A6E93F8" w:rsidR="003A38FF" w:rsidRPr="00D0180E" w:rsidRDefault="003A38FF" w:rsidP="003A38FF">
            <w:pPr>
              <w:pStyle w:val="Texto"/>
              <w:spacing w:line="226" w:lineRule="exact"/>
              <w:ind w:firstLine="0"/>
              <w:rPr>
                <w:rFonts w:ascii="Verdana" w:hAnsi="Verdana"/>
                <w:b/>
                <w:sz w:val="16"/>
                <w:szCs w:val="16"/>
                <w:lang w:val="en-US"/>
              </w:rPr>
            </w:pPr>
            <w:r w:rsidRPr="001A4FEF">
              <w:rPr>
                <w:rFonts w:ascii="Verdana" w:hAnsi="Verdana"/>
                <w:b/>
                <w:sz w:val="16"/>
                <w:szCs w:val="16"/>
                <w:lang w:val="en-US"/>
              </w:rPr>
              <w:t>II</w:t>
            </w:r>
            <w:proofErr w:type="gramStart"/>
            <w:r w:rsidRPr="001A4FEF">
              <w:rPr>
                <w:rFonts w:ascii="Verdana" w:hAnsi="Verdana"/>
                <w:b/>
                <w:sz w:val="16"/>
                <w:szCs w:val="16"/>
                <w:lang w:val="en-US"/>
              </w:rPr>
              <w:t xml:space="preserve">. </w:t>
            </w:r>
            <w:r w:rsidRPr="001A4FEF">
              <w:rPr>
                <w:rFonts w:ascii="Verdana" w:hAnsi="Verdana"/>
                <w:b/>
                <w:sz w:val="16"/>
                <w:szCs w:val="16"/>
                <w:lang w:val="en-US"/>
              </w:rPr>
              <w:tab/>
            </w:r>
            <w:r w:rsidRPr="001A4FEF">
              <w:rPr>
                <w:rFonts w:ascii="Verdana" w:hAnsi="Verdana"/>
                <w:sz w:val="16"/>
                <w:szCs w:val="16"/>
                <w:lang w:val="en-US"/>
              </w:rPr>
              <w:t>National</w:t>
            </w:r>
            <w:proofErr w:type="gramEnd"/>
            <w:r w:rsidRPr="001A4FEF">
              <w:rPr>
                <w:rFonts w:ascii="Verdana" w:hAnsi="Verdana"/>
                <w:sz w:val="16"/>
                <w:szCs w:val="16"/>
                <w:lang w:val="en-US"/>
              </w:rPr>
              <w:t xml:space="preserve"> and skilled labor;</w:t>
            </w:r>
          </w:p>
        </w:tc>
      </w:tr>
      <w:tr w:rsidR="003A38FF" w:rsidRPr="00D83DA2" w14:paraId="72AD9DFA" w14:textId="43B85886" w:rsidTr="00FB5DAD">
        <w:tc>
          <w:tcPr>
            <w:tcW w:w="4706" w:type="dxa"/>
          </w:tcPr>
          <w:p w14:paraId="69CCD8FF" w14:textId="77777777" w:rsidR="003A38FF" w:rsidRPr="00D0180E" w:rsidRDefault="003A38FF" w:rsidP="003A38FF">
            <w:pPr>
              <w:pStyle w:val="Texto"/>
              <w:spacing w:line="226" w:lineRule="exact"/>
              <w:ind w:firstLine="0"/>
              <w:rPr>
                <w:rFonts w:ascii="Verdana" w:hAnsi="Verdana"/>
                <w:sz w:val="16"/>
                <w:szCs w:val="16"/>
                <w:lang w:val="es"/>
              </w:rPr>
            </w:pPr>
            <w:r w:rsidRPr="00D0180E">
              <w:rPr>
                <w:rFonts w:ascii="Verdana" w:hAnsi="Verdana"/>
                <w:b/>
                <w:sz w:val="16"/>
                <w:szCs w:val="16"/>
                <w:lang w:val="es"/>
              </w:rPr>
              <w:t>III.</w:t>
            </w:r>
            <w:r w:rsidRPr="00D0180E">
              <w:rPr>
                <w:rFonts w:ascii="Verdana" w:hAnsi="Verdana"/>
                <w:b/>
                <w:sz w:val="16"/>
                <w:szCs w:val="16"/>
                <w:lang w:val="es"/>
              </w:rPr>
              <w:tab/>
            </w:r>
            <w:r w:rsidRPr="00D0180E">
              <w:rPr>
                <w:rFonts w:ascii="Verdana" w:hAnsi="Verdana"/>
                <w:sz w:val="16"/>
                <w:szCs w:val="16"/>
                <w:lang w:val="es"/>
              </w:rPr>
              <w:t>La capacitación de la mano de obra nacional;</w:t>
            </w:r>
          </w:p>
        </w:tc>
        <w:tc>
          <w:tcPr>
            <w:tcW w:w="4644" w:type="dxa"/>
          </w:tcPr>
          <w:p w14:paraId="1228EAB8" w14:textId="4F2F5547" w:rsidR="003A38FF" w:rsidRPr="00D0180E" w:rsidRDefault="003A38FF" w:rsidP="003A38FF">
            <w:pPr>
              <w:pStyle w:val="Texto"/>
              <w:spacing w:line="226" w:lineRule="exact"/>
              <w:ind w:firstLine="0"/>
              <w:rPr>
                <w:rFonts w:ascii="Verdana" w:hAnsi="Verdana"/>
                <w:b/>
                <w:sz w:val="16"/>
                <w:szCs w:val="16"/>
                <w:lang w:val="en-US"/>
              </w:rPr>
            </w:pPr>
            <w:r w:rsidRPr="001A4FEF">
              <w:rPr>
                <w:rFonts w:ascii="Verdana" w:hAnsi="Verdana"/>
                <w:b/>
                <w:sz w:val="16"/>
                <w:szCs w:val="16"/>
                <w:lang w:val="en-US"/>
              </w:rPr>
              <w:t>III</w:t>
            </w:r>
            <w:proofErr w:type="gramStart"/>
            <w:r w:rsidRPr="001A4FEF">
              <w:rPr>
                <w:rFonts w:ascii="Verdana" w:hAnsi="Verdana"/>
                <w:b/>
                <w:sz w:val="16"/>
                <w:szCs w:val="16"/>
                <w:lang w:val="en-US"/>
              </w:rPr>
              <w:t xml:space="preserve">. </w:t>
            </w:r>
            <w:r w:rsidRPr="001A4FEF">
              <w:rPr>
                <w:rFonts w:ascii="Verdana" w:hAnsi="Verdana"/>
                <w:b/>
                <w:sz w:val="16"/>
                <w:szCs w:val="16"/>
                <w:lang w:val="en-US"/>
              </w:rPr>
              <w:tab/>
            </w:r>
            <w:r w:rsidRPr="001A4FEF">
              <w:rPr>
                <w:rFonts w:ascii="Verdana" w:hAnsi="Verdana"/>
                <w:sz w:val="16"/>
                <w:szCs w:val="16"/>
                <w:lang w:val="en-US"/>
              </w:rPr>
              <w:t>Training</w:t>
            </w:r>
            <w:proofErr w:type="gramEnd"/>
            <w:r w:rsidRPr="001A4FEF">
              <w:rPr>
                <w:rFonts w:ascii="Verdana" w:hAnsi="Verdana"/>
                <w:sz w:val="16"/>
                <w:szCs w:val="16"/>
                <w:lang w:val="en-US"/>
              </w:rPr>
              <w:t xml:space="preserve"> of the national workforce;</w:t>
            </w:r>
          </w:p>
        </w:tc>
      </w:tr>
      <w:tr w:rsidR="003A38FF" w:rsidRPr="00D83DA2" w14:paraId="53CD7D5B" w14:textId="46C146BF" w:rsidTr="00FB5DAD">
        <w:tc>
          <w:tcPr>
            <w:tcW w:w="4706" w:type="dxa"/>
          </w:tcPr>
          <w:p w14:paraId="09927CE1" w14:textId="77777777" w:rsidR="003A38FF" w:rsidRPr="00D0180E" w:rsidRDefault="003A38FF" w:rsidP="003A38FF">
            <w:pPr>
              <w:pStyle w:val="Texto"/>
              <w:spacing w:line="226" w:lineRule="exact"/>
              <w:ind w:firstLine="0"/>
              <w:rPr>
                <w:rFonts w:ascii="Verdana" w:hAnsi="Verdana"/>
                <w:sz w:val="16"/>
                <w:szCs w:val="16"/>
                <w:lang w:val="es"/>
              </w:rPr>
            </w:pPr>
            <w:r w:rsidRPr="00D0180E">
              <w:rPr>
                <w:rFonts w:ascii="Verdana" w:hAnsi="Verdana"/>
                <w:b/>
                <w:sz w:val="16"/>
                <w:szCs w:val="16"/>
                <w:lang w:val="es"/>
              </w:rPr>
              <w:t>IV.</w:t>
            </w:r>
            <w:r w:rsidRPr="00D0180E">
              <w:rPr>
                <w:rFonts w:ascii="Verdana" w:hAnsi="Verdana"/>
                <w:b/>
                <w:sz w:val="16"/>
                <w:szCs w:val="16"/>
                <w:lang w:val="es"/>
              </w:rPr>
              <w:tab/>
            </w:r>
            <w:r w:rsidRPr="00D0180E">
              <w:rPr>
                <w:rFonts w:ascii="Verdana" w:hAnsi="Verdana"/>
                <w:sz w:val="16"/>
                <w:szCs w:val="16"/>
                <w:lang w:val="es"/>
              </w:rPr>
              <w:t>La inversión en infraestructura física, local y regional, y</w:t>
            </w:r>
          </w:p>
        </w:tc>
        <w:tc>
          <w:tcPr>
            <w:tcW w:w="4644" w:type="dxa"/>
          </w:tcPr>
          <w:p w14:paraId="7FC3E62C" w14:textId="65E769DF" w:rsidR="003A38FF" w:rsidRPr="00D0180E" w:rsidRDefault="003A38FF" w:rsidP="003A38FF">
            <w:pPr>
              <w:pStyle w:val="Texto"/>
              <w:spacing w:line="226" w:lineRule="exact"/>
              <w:ind w:firstLine="0"/>
              <w:rPr>
                <w:rFonts w:ascii="Verdana" w:hAnsi="Verdana"/>
                <w:b/>
                <w:sz w:val="16"/>
                <w:szCs w:val="16"/>
                <w:lang w:val="en-US"/>
              </w:rPr>
            </w:pPr>
            <w:r w:rsidRPr="001A4FEF">
              <w:rPr>
                <w:rFonts w:ascii="Verdana" w:hAnsi="Verdana"/>
                <w:b/>
                <w:sz w:val="16"/>
                <w:szCs w:val="16"/>
                <w:lang w:val="en-US"/>
              </w:rPr>
              <w:t>IV</w:t>
            </w:r>
            <w:proofErr w:type="gramStart"/>
            <w:r w:rsidRPr="001A4FEF">
              <w:rPr>
                <w:rFonts w:ascii="Verdana" w:hAnsi="Verdana"/>
                <w:b/>
                <w:sz w:val="16"/>
                <w:szCs w:val="16"/>
                <w:lang w:val="en-US"/>
              </w:rPr>
              <w:t xml:space="preserve">. </w:t>
            </w:r>
            <w:r w:rsidRPr="001A4FEF">
              <w:rPr>
                <w:rFonts w:ascii="Verdana" w:hAnsi="Verdana"/>
                <w:b/>
                <w:sz w:val="16"/>
                <w:szCs w:val="16"/>
                <w:lang w:val="en-US"/>
              </w:rPr>
              <w:tab/>
            </w:r>
            <w:r w:rsidRPr="001A4FEF">
              <w:rPr>
                <w:rFonts w:ascii="Verdana" w:hAnsi="Verdana"/>
                <w:sz w:val="16"/>
                <w:szCs w:val="16"/>
                <w:lang w:val="en-US"/>
              </w:rPr>
              <w:t>Investment</w:t>
            </w:r>
            <w:proofErr w:type="gramEnd"/>
            <w:r w:rsidRPr="001A4FEF">
              <w:rPr>
                <w:rFonts w:ascii="Verdana" w:hAnsi="Verdana"/>
                <w:sz w:val="16"/>
                <w:szCs w:val="16"/>
                <w:lang w:val="en-US"/>
              </w:rPr>
              <w:t xml:space="preserve"> in physical, local and regional infrastructure, and</w:t>
            </w:r>
          </w:p>
        </w:tc>
      </w:tr>
      <w:tr w:rsidR="003A38FF" w:rsidRPr="00D83DA2" w14:paraId="2AC1AD18" w14:textId="19622F8E" w:rsidTr="00FB5DAD">
        <w:tc>
          <w:tcPr>
            <w:tcW w:w="4706" w:type="dxa"/>
          </w:tcPr>
          <w:p w14:paraId="0D4F000D" w14:textId="77777777" w:rsidR="003A38FF" w:rsidRPr="00D0180E" w:rsidRDefault="003A38FF" w:rsidP="003A38FF">
            <w:pPr>
              <w:pStyle w:val="Texto"/>
              <w:spacing w:line="226" w:lineRule="exact"/>
              <w:ind w:firstLine="0"/>
              <w:rPr>
                <w:rFonts w:ascii="Verdana" w:hAnsi="Verdana"/>
                <w:b/>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lang w:val="es"/>
              </w:rPr>
              <w:t>La Transferencia de Tecnología e innovación.</w:t>
            </w:r>
          </w:p>
        </w:tc>
        <w:tc>
          <w:tcPr>
            <w:tcW w:w="4644" w:type="dxa"/>
          </w:tcPr>
          <w:p w14:paraId="66C720F1" w14:textId="79D56B1F" w:rsidR="003A38FF" w:rsidRPr="00D0180E" w:rsidRDefault="003A38FF" w:rsidP="003A38FF">
            <w:pPr>
              <w:pStyle w:val="Texto"/>
              <w:spacing w:line="226" w:lineRule="exact"/>
              <w:ind w:firstLine="0"/>
              <w:rPr>
                <w:rFonts w:ascii="Verdana" w:hAnsi="Verdana"/>
                <w:b/>
                <w:sz w:val="16"/>
                <w:szCs w:val="16"/>
                <w:lang w:val="en-US"/>
              </w:rPr>
            </w:pPr>
            <w:r w:rsidRPr="001A4FEF">
              <w:rPr>
                <w:rFonts w:ascii="Verdana" w:hAnsi="Verdana"/>
                <w:b/>
                <w:sz w:val="16"/>
                <w:szCs w:val="16"/>
                <w:lang w:val="en-US"/>
              </w:rPr>
              <w:t>V</w:t>
            </w:r>
            <w:proofErr w:type="gramStart"/>
            <w:r w:rsidRPr="001A4FEF">
              <w:rPr>
                <w:rFonts w:ascii="Verdana" w:hAnsi="Verdana"/>
                <w:b/>
                <w:sz w:val="16"/>
                <w:szCs w:val="16"/>
                <w:lang w:val="en-US"/>
              </w:rPr>
              <w:t xml:space="preserve">. </w:t>
            </w:r>
            <w:r w:rsidRPr="001A4FEF">
              <w:rPr>
                <w:rFonts w:ascii="Verdana" w:hAnsi="Verdana"/>
                <w:b/>
                <w:sz w:val="16"/>
                <w:szCs w:val="16"/>
                <w:lang w:val="en-US"/>
              </w:rPr>
              <w:tab/>
            </w:r>
            <w:r w:rsidRPr="001A4FEF">
              <w:rPr>
                <w:rFonts w:ascii="Verdana" w:hAnsi="Verdana"/>
                <w:sz w:val="16"/>
                <w:szCs w:val="16"/>
                <w:lang w:val="en-US"/>
              </w:rPr>
              <w:t>Technology</w:t>
            </w:r>
            <w:proofErr w:type="gramEnd"/>
            <w:r w:rsidRPr="001A4FEF">
              <w:rPr>
                <w:rFonts w:ascii="Verdana" w:hAnsi="Verdana"/>
                <w:sz w:val="16"/>
                <w:szCs w:val="16"/>
                <w:lang w:val="en-US"/>
              </w:rPr>
              <w:t xml:space="preserve"> Transfer and Innovation.</w:t>
            </w:r>
          </w:p>
        </w:tc>
      </w:tr>
      <w:tr w:rsidR="003A38FF" w:rsidRPr="00D83DA2" w14:paraId="7FEEBFDB" w14:textId="0047ACE6" w:rsidTr="00FB5DAD">
        <w:tc>
          <w:tcPr>
            <w:tcW w:w="4706" w:type="dxa"/>
          </w:tcPr>
          <w:p w14:paraId="631A384D" w14:textId="77777777" w:rsidR="003A38FF" w:rsidRPr="00D0180E" w:rsidRDefault="003A38FF" w:rsidP="003A38FF">
            <w:pPr>
              <w:pStyle w:val="Texto"/>
              <w:spacing w:line="226" w:lineRule="exact"/>
              <w:ind w:firstLine="0"/>
              <w:rPr>
                <w:rFonts w:ascii="Verdana" w:hAnsi="Verdana"/>
                <w:b/>
                <w:sz w:val="16"/>
                <w:szCs w:val="16"/>
              </w:rPr>
            </w:pPr>
            <w:r w:rsidRPr="00D0180E">
              <w:rPr>
                <w:rFonts w:ascii="Verdana" w:hAnsi="Verdana"/>
                <w:b/>
                <w:sz w:val="16"/>
                <w:szCs w:val="16"/>
              </w:rPr>
              <w:t xml:space="preserve">Artículo 297. </w:t>
            </w:r>
            <w:r w:rsidRPr="00D0180E">
              <w:rPr>
                <w:rFonts w:ascii="Verdana" w:hAnsi="Verdana"/>
                <w:sz w:val="16"/>
                <w:szCs w:val="16"/>
              </w:rPr>
              <w:t>La Secretaría puede solicitar a la Secretaría de Economía la medición y, en su caso, la verificación del grado de contenido nacional del sector eléctrico de conformidad con la metodología establecida.</w:t>
            </w:r>
          </w:p>
        </w:tc>
        <w:tc>
          <w:tcPr>
            <w:tcW w:w="4644" w:type="dxa"/>
          </w:tcPr>
          <w:p w14:paraId="58C0A3E2" w14:textId="0BAF36E7" w:rsidR="003A38FF" w:rsidRPr="00D0180E" w:rsidRDefault="003A38FF" w:rsidP="003A38FF">
            <w:pPr>
              <w:pStyle w:val="Texto"/>
              <w:spacing w:line="226" w:lineRule="exact"/>
              <w:ind w:firstLine="0"/>
              <w:rPr>
                <w:rFonts w:ascii="Verdana" w:hAnsi="Verdana"/>
                <w:b/>
                <w:sz w:val="16"/>
                <w:szCs w:val="16"/>
                <w:lang w:val="en-US"/>
              </w:rPr>
            </w:pPr>
            <w:r w:rsidRPr="001A4FEF">
              <w:rPr>
                <w:rFonts w:ascii="Verdana" w:hAnsi="Verdana"/>
                <w:b/>
                <w:sz w:val="16"/>
                <w:szCs w:val="16"/>
                <w:lang w:val="en-US"/>
              </w:rPr>
              <w:t xml:space="preserve">Article 297. </w:t>
            </w:r>
            <w:r w:rsidRPr="001A4FEF">
              <w:rPr>
                <w:rFonts w:ascii="Verdana" w:hAnsi="Verdana"/>
                <w:sz w:val="16"/>
                <w:szCs w:val="16"/>
                <w:lang w:val="en-US"/>
              </w:rPr>
              <w:t>The Secretary may request the Secretary of Economy to measure and, where appropriate, verify the degree of national content in the electricity sector in accordance with the established methodology.</w:t>
            </w:r>
          </w:p>
        </w:tc>
      </w:tr>
      <w:tr w:rsidR="003A38FF" w:rsidRPr="00D83DA2" w14:paraId="7BF8E947" w14:textId="715BF502" w:rsidTr="00FB5DAD">
        <w:tc>
          <w:tcPr>
            <w:tcW w:w="4706" w:type="dxa"/>
          </w:tcPr>
          <w:p w14:paraId="05432541" w14:textId="77777777" w:rsidR="003A38FF" w:rsidRPr="00D0180E" w:rsidRDefault="003A38FF" w:rsidP="003A38FF">
            <w:pPr>
              <w:pStyle w:val="Texto"/>
              <w:spacing w:line="226" w:lineRule="exact"/>
              <w:ind w:firstLine="0"/>
              <w:rPr>
                <w:rFonts w:ascii="Verdana" w:hAnsi="Verdana"/>
                <w:sz w:val="16"/>
                <w:szCs w:val="16"/>
              </w:rPr>
            </w:pPr>
            <w:r w:rsidRPr="00D0180E">
              <w:rPr>
                <w:rFonts w:ascii="Verdana" w:hAnsi="Verdana"/>
                <w:sz w:val="16"/>
                <w:szCs w:val="16"/>
              </w:rPr>
              <w:t>Las empresas del sector eléctrico deben proporcionar información a la Secretaría de Economía sobre el grado de contenido nacional en las actividades que realicen, a través de los mecanismos, medios y conforme a los plazos establecidos en los lineamientos que la Secretaría de Economía emita.</w:t>
            </w:r>
          </w:p>
        </w:tc>
        <w:tc>
          <w:tcPr>
            <w:tcW w:w="4644" w:type="dxa"/>
          </w:tcPr>
          <w:p w14:paraId="6FD34922" w14:textId="685E1A10" w:rsidR="003A38FF" w:rsidRPr="00D0180E" w:rsidRDefault="003A38FF" w:rsidP="003A38FF">
            <w:pPr>
              <w:pStyle w:val="Texto"/>
              <w:spacing w:line="226" w:lineRule="exact"/>
              <w:ind w:firstLine="0"/>
              <w:rPr>
                <w:rFonts w:ascii="Verdana" w:hAnsi="Verdana"/>
                <w:sz w:val="16"/>
                <w:szCs w:val="16"/>
                <w:lang w:val="en-US"/>
              </w:rPr>
            </w:pPr>
            <w:r w:rsidRPr="001A4FEF">
              <w:rPr>
                <w:rFonts w:ascii="Verdana" w:hAnsi="Verdana"/>
                <w:sz w:val="16"/>
                <w:szCs w:val="16"/>
                <w:lang w:val="en-US"/>
              </w:rPr>
              <w:t>Electricity sector companies must provide information to the Secretary of Economy on the level of national content in their activities, through the mechanisms, means, and in accordance with the deadlines established in the guidelines issued by the Secretary of Economy.</w:t>
            </w:r>
          </w:p>
        </w:tc>
      </w:tr>
      <w:tr w:rsidR="003A38FF" w:rsidRPr="00D83DA2" w14:paraId="67B9C195" w14:textId="17A97D7D" w:rsidTr="00FB5DAD">
        <w:tc>
          <w:tcPr>
            <w:tcW w:w="4706" w:type="dxa"/>
          </w:tcPr>
          <w:p w14:paraId="171A519D" w14:textId="77777777" w:rsidR="003A38FF" w:rsidRPr="00D0180E" w:rsidRDefault="003A38FF" w:rsidP="003A38FF">
            <w:pPr>
              <w:pStyle w:val="Texto"/>
              <w:spacing w:line="226" w:lineRule="exact"/>
              <w:ind w:firstLine="0"/>
              <w:rPr>
                <w:rFonts w:ascii="Verdana" w:hAnsi="Verdana"/>
                <w:b/>
                <w:sz w:val="16"/>
                <w:szCs w:val="16"/>
              </w:rPr>
            </w:pPr>
            <w:r w:rsidRPr="00D0180E">
              <w:rPr>
                <w:rFonts w:ascii="Verdana" w:hAnsi="Verdana"/>
                <w:sz w:val="16"/>
                <w:szCs w:val="16"/>
              </w:rPr>
              <w:t>Dentro de los diez días hábiles siguientes del término de una verificación de contenido nacional, la Secretaría de Economía debe informar a la Secretaría, el cumplimiento o incumplimiento del porcentaje mínimo de contenido nacional.</w:t>
            </w:r>
          </w:p>
        </w:tc>
        <w:tc>
          <w:tcPr>
            <w:tcW w:w="4644" w:type="dxa"/>
          </w:tcPr>
          <w:p w14:paraId="5C3FD9AF" w14:textId="0708D29B" w:rsidR="003A38FF" w:rsidRPr="00D0180E" w:rsidRDefault="003A38FF" w:rsidP="003A38FF">
            <w:pPr>
              <w:pStyle w:val="Texto"/>
              <w:spacing w:line="226" w:lineRule="exact"/>
              <w:ind w:firstLine="0"/>
              <w:rPr>
                <w:rFonts w:ascii="Verdana" w:hAnsi="Verdana"/>
                <w:sz w:val="16"/>
                <w:szCs w:val="16"/>
                <w:lang w:val="en-US"/>
              </w:rPr>
            </w:pPr>
            <w:r w:rsidRPr="001A4FEF">
              <w:rPr>
                <w:rFonts w:ascii="Verdana" w:hAnsi="Verdana"/>
                <w:sz w:val="16"/>
                <w:szCs w:val="16"/>
                <w:lang w:val="en-US"/>
              </w:rPr>
              <w:t xml:space="preserve">Within ten business days of completing a national content verification, the Secretary of Economy must inform the Secretary of </w:t>
            </w:r>
            <w:r>
              <w:rPr>
                <w:rFonts w:ascii="Verdana" w:hAnsi="Verdana"/>
                <w:sz w:val="16"/>
                <w:szCs w:val="16"/>
                <w:lang w:val="en-US"/>
              </w:rPr>
              <w:t xml:space="preserve">the </w:t>
            </w:r>
            <w:r w:rsidRPr="001A4FEF">
              <w:rPr>
                <w:rFonts w:ascii="Verdana" w:hAnsi="Verdana"/>
                <w:sz w:val="16"/>
                <w:szCs w:val="16"/>
                <w:lang w:val="en-US"/>
              </w:rPr>
              <w:t>compliance or non-compliance with the minimum percentage of national content.</w:t>
            </w:r>
          </w:p>
        </w:tc>
      </w:tr>
      <w:tr w:rsidR="003A38FF" w:rsidRPr="00D83DA2" w14:paraId="48B9BBAE" w14:textId="188EEE09" w:rsidTr="00FB5DAD">
        <w:tc>
          <w:tcPr>
            <w:tcW w:w="4706" w:type="dxa"/>
          </w:tcPr>
          <w:p w14:paraId="5C447141" w14:textId="77777777" w:rsidR="003A38FF" w:rsidRPr="00D0180E" w:rsidRDefault="003A38FF" w:rsidP="003A38FF">
            <w:pPr>
              <w:pStyle w:val="Texto"/>
              <w:spacing w:line="226" w:lineRule="exact"/>
              <w:ind w:firstLine="0"/>
              <w:rPr>
                <w:rFonts w:ascii="Verdana" w:hAnsi="Verdana"/>
                <w:sz w:val="16"/>
                <w:szCs w:val="16"/>
              </w:rPr>
            </w:pPr>
            <w:r w:rsidRPr="00D0180E">
              <w:rPr>
                <w:rFonts w:ascii="Verdana" w:hAnsi="Verdana"/>
                <w:b/>
                <w:sz w:val="16"/>
                <w:szCs w:val="16"/>
              </w:rPr>
              <w:t>Artículo 298.</w:t>
            </w:r>
            <w:r w:rsidRPr="00D0180E">
              <w:rPr>
                <w:rFonts w:ascii="Verdana" w:hAnsi="Verdana"/>
                <w:sz w:val="16"/>
                <w:szCs w:val="16"/>
              </w:rPr>
              <w:t xml:space="preserve"> La Secretaría debe emitir la opinión a la que se refiere el primer párrafo del artículo 107 de la Ley, en un plazo de veinte días hábiles posteriores a la recepción de la propuesta de las estrategias para el fomento industrial de cadenas productivas locales y para el fomento de la inversión directa en el sector eléctrico que realice la Secretaría de Economía.</w:t>
            </w:r>
          </w:p>
        </w:tc>
        <w:tc>
          <w:tcPr>
            <w:tcW w:w="4644" w:type="dxa"/>
          </w:tcPr>
          <w:p w14:paraId="3E4E927B" w14:textId="1A45CEB6" w:rsidR="003A38FF" w:rsidRPr="00D0180E" w:rsidRDefault="003A38FF" w:rsidP="003A38FF">
            <w:pPr>
              <w:pStyle w:val="Texto"/>
              <w:spacing w:line="226" w:lineRule="exact"/>
              <w:ind w:firstLine="0"/>
              <w:rPr>
                <w:rFonts w:ascii="Verdana" w:hAnsi="Verdana"/>
                <w:b/>
                <w:sz w:val="16"/>
                <w:szCs w:val="16"/>
                <w:lang w:val="en-US"/>
              </w:rPr>
            </w:pPr>
            <w:r w:rsidRPr="001A4FEF">
              <w:rPr>
                <w:rFonts w:ascii="Verdana" w:hAnsi="Verdana"/>
                <w:b/>
                <w:sz w:val="16"/>
                <w:szCs w:val="16"/>
                <w:lang w:val="en-US"/>
              </w:rPr>
              <w:t xml:space="preserve">Article 298. </w:t>
            </w:r>
            <w:r w:rsidRPr="001A4FEF">
              <w:rPr>
                <w:rFonts w:ascii="Verdana" w:hAnsi="Verdana"/>
                <w:sz w:val="16"/>
                <w:szCs w:val="16"/>
                <w:lang w:val="en-US"/>
              </w:rPr>
              <w:t>The Secretary must issue the opinion referred to in the first paragraph of Article 107 of the Law within twenty business days of receiving the proposal for strategies for the industrial promotion of local production chains and for the promotion of direct investment in the electricity sector made by the Secretary of Economy.</w:t>
            </w:r>
          </w:p>
        </w:tc>
      </w:tr>
      <w:tr w:rsidR="003A38FF" w:rsidRPr="00D0180E" w14:paraId="7DD08A0E" w14:textId="67564FE6" w:rsidTr="00FB5DAD">
        <w:tc>
          <w:tcPr>
            <w:tcW w:w="4706" w:type="dxa"/>
          </w:tcPr>
          <w:p w14:paraId="1861DFB9" w14:textId="77777777" w:rsidR="003A38FF" w:rsidRPr="00D0180E" w:rsidRDefault="003A38FF" w:rsidP="003A38FF">
            <w:pPr>
              <w:pStyle w:val="Texto"/>
              <w:spacing w:line="226" w:lineRule="exact"/>
              <w:ind w:firstLine="0"/>
              <w:jc w:val="center"/>
              <w:rPr>
                <w:rFonts w:ascii="Verdana" w:hAnsi="Verdana"/>
                <w:b/>
                <w:sz w:val="16"/>
                <w:szCs w:val="16"/>
              </w:rPr>
            </w:pPr>
            <w:r w:rsidRPr="00D0180E">
              <w:rPr>
                <w:rFonts w:ascii="Verdana" w:hAnsi="Verdana"/>
                <w:b/>
                <w:sz w:val="16"/>
                <w:szCs w:val="16"/>
              </w:rPr>
              <w:t>Capítulo II</w:t>
            </w:r>
          </w:p>
        </w:tc>
        <w:tc>
          <w:tcPr>
            <w:tcW w:w="4644" w:type="dxa"/>
          </w:tcPr>
          <w:p w14:paraId="754414E0" w14:textId="7FEDCD6F" w:rsidR="003A38FF" w:rsidRPr="00D0180E" w:rsidRDefault="003A38FF" w:rsidP="003A38FF">
            <w:pPr>
              <w:pStyle w:val="Texto"/>
              <w:spacing w:line="226" w:lineRule="exact"/>
              <w:ind w:firstLine="0"/>
              <w:jc w:val="center"/>
              <w:rPr>
                <w:rFonts w:ascii="Verdana" w:hAnsi="Verdana"/>
                <w:b/>
                <w:sz w:val="16"/>
                <w:szCs w:val="16"/>
                <w:lang w:val="en-US"/>
              </w:rPr>
            </w:pPr>
            <w:r w:rsidRPr="00D0180E">
              <w:rPr>
                <w:rFonts w:ascii="Verdana" w:hAnsi="Verdana"/>
                <w:b/>
                <w:sz w:val="16"/>
                <w:szCs w:val="16"/>
              </w:rPr>
              <w:t>Chapter II</w:t>
            </w:r>
          </w:p>
        </w:tc>
      </w:tr>
      <w:tr w:rsidR="003A38FF" w:rsidRPr="00D83DA2" w14:paraId="605309F0" w14:textId="4FE1CBE9" w:rsidTr="00FB5DAD">
        <w:tc>
          <w:tcPr>
            <w:tcW w:w="4706" w:type="dxa"/>
          </w:tcPr>
          <w:p w14:paraId="444D30B9" w14:textId="77777777" w:rsidR="003A38FF" w:rsidRPr="00D0180E" w:rsidRDefault="003A38FF" w:rsidP="003A38FF">
            <w:pPr>
              <w:pStyle w:val="Texto"/>
              <w:spacing w:line="226" w:lineRule="exact"/>
              <w:ind w:firstLine="0"/>
              <w:jc w:val="center"/>
              <w:rPr>
                <w:rFonts w:ascii="Verdana" w:hAnsi="Verdana"/>
                <w:b/>
                <w:sz w:val="16"/>
                <w:szCs w:val="16"/>
              </w:rPr>
            </w:pPr>
            <w:r w:rsidRPr="00D0180E">
              <w:rPr>
                <w:rFonts w:ascii="Verdana" w:hAnsi="Verdana"/>
                <w:b/>
                <w:sz w:val="16"/>
                <w:szCs w:val="16"/>
              </w:rPr>
              <w:t>De la Innovación, el Desarrollo Tecnológico y la Formación de Recursos Humanos</w:t>
            </w:r>
          </w:p>
        </w:tc>
        <w:tc>
          <w:tcPr>
            <w:tcW w:w="4644" w:type="dxa"/>
          </w:tcPr>
          <w:p w14:paraId="24589146" w14:textId="78843289" w:rsidR="003A38FF" w:rsidRPr="00D0180E" w:rsidRDefault="003A38FF" w:rsidP="003A38FF">
            <w:pPr>
              <w:pStyle w:val="Texto"/>
              <w:spacing w:line="226" w:lineRule="exact"/>
              <w:ind w:firstLine="0"/>
              <w:jc w:val="center"/>
              <w:rPr>
                <w:rFonts w:ascii="Verdana" w:hAnsi="Verdana"/>
                <w:b/>
                <w:sz w:val="16"/>
                <w:szCs w:val="16"/>
                <w:lang w:val="en-US"/>
              </w:rPr>
            </w:pPr>
            <w:r w:rsidRPr="001A4FEF">
              <w:rPr>
                <w:rFonts w:ascii="Verdana" w:hAnsi="Verdana"/>
                <w:b/>
                <w:sz w:val="16"/>
                <w:szCs w:val="16"/>
                <w:lang w:val="en-US"/>
              </w:rPr>
              <w:t>Innovation, Technological Development and Human Resources Training</w:t>
            </w:r>
          </w:p>
        </w:tc>
      </w:tr>
      <w:tr w:rsidR="003A38FF" w:rsidRPr="00D83DA2" w14:paraId="6383DB3C" w14:textId="74C9E5EB" w:rsidTr="00FB5DAD">
        <w:tc>
          <w:tcPr>
            <w:tcW w:w="4706" w:type="dxa"/>
          </w:tcPr>
          <w:p w14:paraId="6CB12921" w14:textId="77777777" w:rsidR="003A38FF" w:rsidRPr="00D0180E" w:rsidRDefault="003A38FF" w:rsidP="003A38FF">
            <w:pPr>
              <w:pStyle w:val="Texto"/>
              <w:spacing w:line="226" w:lineRule="exact"/>
              <w:ind w:firstLine="0"/>
              <w:rPr>
                <w:rFonts w:ascii="Verdana" w:hAnsi="Verdana"/>
                <w:sz w:val="16"/>
                <w:szCs w:val="16"/>
              </w:rPr>
            </w:pPr>
            <w:r w:rsidRPr="00D0180E">
              <w:rPr>
                <w:rFonts w:ascii="Verdana" w:hAnsi="Verdana"/>
                <w:b/>
                <w:sz w:val="16"/>
                <w:szCs w:val="16"/>
              </w:rPr>
              <w:t xml:space="preserve">Artículo 299. </w:t>
            </w:r>
            <w:r w:rsidRPr="00D0180E">
              <w:rPr>
                <w:rFonts w:ascii="Verdana" w:hAnsi="Verdana"/>
                <w:sz w:val="16"/>
                <w:szCs w:val="16"/>
              </w:rPr>
              <w:t xml:space="preserve">La Secretaría, en coordinación con las instituciones sectorizadas a la misma, las dependencias de la Administración Pública Federal o las instituciones académicas, debe promover la investigación, el desarrollo tecnológico, la Transferencia de Tecnología y la formación de recursos humanos especializados para impulsar la innovación del sector eléctrico, la mejora de eficiencia energética, la calidad del Suministro Eléctrico, la optimización de recursos, el fortalecimiento de la </w:t>
            </w:r>
            <w:r w:rsidRPr="00D0180E">
              <w:rPr>
                <w:rFonts w:ascii="Verdana" w:hAnsi="Verdana"/>
                <w:sz w:val="16"/>
                <w:szCs w:val="16"/>
              </w:rPr>
              <w:lastRenderedPageBreak/>
              <w:t>seguridad energética, así como el fomento de la Justicia Energética.</w:t>
            </w:r>
          </w:p>
        </w:tc>
        <w:tc>
          <w:tcPr>
            <w:tcW w:w="4644" w:type="dxa"/>
          </w:tcPr>
          <w:p w14:paraId="0086711F" w14:textId="43A36A78" w:rsidR="003A38FF" w:rsidRPr="00D0180E" w:rsidRDefault="003A38FF" w:rsidP="003A38FF">
            <w:pPr>
              <w:pStyle w:val="Texto"/>
              <w:spacing w:line="226" w:lineRule="exact"/>
              <w:ind w:firstLine="0"/>
              <w:rPr>
                <w:rFonts w:ascii="Verdana" w:hAnsi="Verdana"/>
                <w:b/>
                <w:sz w:val="16"/>
                <w:szCs w:val="16"/>
                <w:lang w:val="en-US"/>
              </w:rPr>
            </w:pPr>
            <w:r w:rsidRPr="001A4FEF">
              <w:rPr>
                <w:rFonts w:ascii="Verdana" w:hAnsi="Verdana"/>
                <w:b/>
                <w:sz w:val="16"/>
                <w:szCs w:val="16"/>
                <w:lang w:val="en-US"/>
              </w:rPr>
              <w:lastRenderedPageBreak/>
              <w:t xml:space="preserve">Article 299. </w:t>
            </w:r>
            <w:r w:rsidRPr="001A4FEF">
              <w:rPr>
                <w:rFonts w:ascii="Verdana" w:hAnsi="Verdana"/>
                <w:sz w:val="16"/>
                <w:szCs w:val="16"/>
                <w:lang w:val="en-US"/>
              </w:rPr>
              <w:t>The Secretary, in coordination with its sectoral institutions, Federal Public Administration agencies, or academic institutions, must promote research, technological development, technology transfer, and the training of specialized human resources to drive innovation in the electricity sector, improve energy efficiency, improve the quality of electricity supply, optimize resources, strengthen energy security, and foster energy justice.</w:t>
            </w:r>
          </w:p>
        </w:tc>
      </w:tr>
      <w:tr w:rsidR="003A38FF" w:rsidRPr="00D83DA2" w14:paraId="13A3E551" w14:textId="40AE5268" w:rsidTr="00FB5DAD">
        <w:tc>
          <w:tcPr>
            <w:tcW w:w="4706" w:type="dxa"/>
          </w:tcPr>
          <w:p w14:paraId="547E7D90"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 xml:space="preserve">Artículo 300. </w:t>
            </w:r>
            <w:r w:rsidRPr="00D0180E">
              <w:rPr>
                <w:rFonts w:ascii="Verdana" w:hAnsi="Verdana"/>
                <w:sz w:val="16"/>
                <w:szCs w:val="16"/>
              </w:rPr>
              <w:t>La Secretaría puede suscribir convenios y acuerdos con las dependencias de la Administración Pública Federal, organismos internacionales, organismos no gubernamentales, así como con instituciones académicas nacionales e internacionales, para la capacitación y formación de recursos humanos, y el desarrollo de mejores prácticas y estándares de competencia, que coadyuven al fortalecimiento del sector eléctrico y la Justicia Energética.</w:t>
            </w:r>
          </w:p>
        </w:tc>
        <w:tc>
          <w:tcPr>
            <w:tcW w:w="4644" w:type="dxa"/>
          </w:tcPr>
          <w:p w14:paraId="7A9C36B2" w14:textId="5E6292CD" w:rsidR="003A38FF" w:rsidRPr="00D0180E" w:rsidRDefault="003A38FF" w:rsidP="003A38FF">
            <w:pPr>
              <w:pStyle w:val="Texto"/>
              <w:spacing w:line="228" w:lineRule="exact"/>
              <w:ind w:firstLine="0"/>
              <w:rPr>
                <w:rFonts w:ascii="Verdana" w:hAnsi="Verdana"/>
                <w:b/>
                <w:sz w:val="16"/>
                <w:szCs w:val="16"/>
                <w:lang w:val="en-US"/>
              </w:rPr>
            </w:pPr>
            <w:r w:rsidRPr="001A4FEF">
              <w:rPr>
                <w:rFonts w:ascii="Verdana" w:hAnsi="Verdana"/>
                <w:b/>
                <w:sz w:val="16"/>
                <w:szCs w:val="16"/>
                <w:lang w:val="en-US"/>
              </w:rPr>
              <w:t xml:space="preserve">Article 300. </w:t>
            </w:r>
            <w:r w:rsidRPr="001A4FEF">
              <w:rPr>
                <w:rFonts w:ascii="Verdana" w:hAnsi="Verdana"/>
                <w:sz w:val="16"/>
                <w:szCs w:val="16"/>
                <w:lang w:val="en-US"/>
              </w:rPr>
              <w:t>The Secretary may enter into agreements and conventions with federal public administration agencies, international organizations, non-governmental organizations, and national and international academic institutions for the training and development of human resources and the development of best practices and competency standards that contribute to strengthening the electricity sector and energy justice.</w:t>
            </w:r>
          </w:p>
        </w:tc>
      </w:tr>
      <w:tr w:rsidR="003A38FF" w:rsidRPr="00D0180E" w14:paraId="6A6572D4" w14:textId="55EB4AF1" w:rsidTr="00FB5DAD">
        <w:tc>
          <w:tcPr>
            <w:tcW w:w="4706" w:type="dxa"/>
          </w:tcPr>
          <w:p w14:paraId="11A10C66" w14:textId="77777777" w:rsidR="003A38FF" w:rsidRPr="00D0180E" w:rsidRDefault="003A38FF" w:rsidP="003A38FF">
            <w:pPr>
              <w:pStyle w:val="Texto"/>
              <w:spacing w:line="228" w:lineRule="exact"/>
              <w:ind w:firstLine="0"/>
              <w:jc w:val="center"/>
              <w:rPr>
                <w:rFonts w:ascii="Verdana" w:hAnsi="Verdana"/>
                <w:b/>
                <w:sz w:val="16"/>
                <w:szCs w:val="16"/>
              </w:rPr>
            </w:pPr>
            <w:r w:rsidRPr="00D0180E">
              <w:rPr>
                <w:rFonts w:ascii="Verdana" w:hAnsi="Verdana"/>
                <w:b/>
                <w:sz w:val="16"/>
                <w:szCs w:val="16"/>
              </w:rPr>
              <w:t>TÍTULO DÉCIMO SEGUNDO</w:t>
            </w:r>
          </w:p>
        </w:tc>
        <w:tc>
          <w:tcPr>
            <w:tcW w:w="4644" w:type="dxa"/>
          </w:tcPr>
          <w:p w14:paraId="3EA6D831" w14:textId="76F91F04" w:rsidR="003A38FF" w:rsidRPr="00EE259B" w:rsidRDefault="003A38FF" w:rsidP="003A38FF">
            <w:pPr>
              <w:pStyle w:val="Texto"/>
              <w:spacing w:line="228" w:lineRule="exact"/>
              <w:ind w:firstLine="0"/>
              <w:jc w:val="center"/>
              <w:rPr>
                <w:rFonts w:ascii="Verdana" w:hAnsi="Verdana"/>
                <w:b/>
                <w:sz w:val="16"/>
                <w:szCs w:val="16"/>
                <w:lang w:val="en-US"/>
              </w:rPr>
            </w:pPr>
            <w:r w:rsidRPr="00EE259B">
              <w:rPr>
                <w:rFonts w:ascii="Verdana" w:hAnsi="Verdana"/>
                <w:b/>
                <w:sz w:val="16"/>
                <w:szCs w:val="16"/>
                <w:lang w:val="en-US"/>
              </w:rPr>
              <w:t>TWELFTH TITLE</w:t>
            </w:r>
          </w:p>
        </w:tc>
      </w:tr>
      <w:tr w:rsidR="003A38FF" w:rsidRPr="00D0180E" w14:paraId="19C6A748" w14:textId="21C0A512" w:rsidTr="00FB5DAD">
        <w:tc>
          <w:tcPr>
            <w:tcW w:w="4706" w:type="dxa"/>
          </w:tcPr>
          <w:p w14:paraId="50F31DAF" w14:textId="77777777" w:rsidR="003A38FF" w:rsidRPr="00D0180E" w:rsidRDefault="003A38FF" w:rsidP="003A38FF">
            <w:pPr>
              <w:pStyle w:val="Texto"/>
              <w:spacing w:line="228" w:lineRule="exact"/>
              <w:ind w:firstLine="0"/>
              <w:jc w:val="center"/>
              <w:rPr>
                <w:rFonts w:ascii="Verdana" w:hAnsi="Verdana"/>
                <w:b/>
                <w:sz w:val="16"/>
                <w:szCs w:val="16"/>
              </w:rPr>
            </w:pPr>
            <w:r w:rsidRPr="00D0180E">
              <w:rPr>
                <w:rFonts w:ascii="Verdana" w:hAnsi="Verdana"/>
                <w:b/>
                <w:sz w:val="16"/>
                <w:szCs w:val="16"/>
              </w:rPr>
              <w:t>DE LAS SANCIONES</w:t>
            </w:r>
          </w:p>
        </w:tc>
        <w:tc>
          <w:tcPr>
            <w:tcW w:w="4644" w:type="dxa"/>
          </w:tcPr>
          <w:p w14:paraId="76897223" w14:textId="53E087BB" w:rsidR="003A38FF" w:rsidRPr="00EE259B" w:rsidRDefault="003A38FF" w:rsidP="003A38FF">
            <w:pPr>
              <w:pStyle w:val="Texto"/>
              <w:spacing w:line="228" w:lineRule="exact"/>
              <w:ind w:firstLine="0"/>
              <w:jc w:val="center"/>
              <w:rPr>
                <w:rFonts w:ascii="Verdana" w:hAnsi="Verdana"/>
                <w:b/>
                <w:sz w:val="16"/>
                <w:szCs w:val="16"/>
                <w:lang w:val="en-US"/>
              </w:rPr>
            </w:pPr>
            <w:r w:rsidRPr="00EE259B">
              <w:rPr>
                <w:rFonts w:ascii="Verdana" w:hAnsi="Verdana"/>
                <w:b/>
                <w:sz w:val="16"/>
                <w:szCs w:val="16"/>
                <w:lang w:val="en-US"/>
              </w:rPr>
              <w:t>SANCTIONS</w:t>
            </w:r>
          </w:p>
        </w:tc>
      </w:tr>
      <w:tr w:rsidR="003A38FF" w:rsidRPr="00D0180E" w14:paraId="6F37983E" w14:textId="11EC9750" w:rsidTr="00FB5DAD">
        <w:tc>
          <w:tcPr>
            <w:tcW w:w="4706" w:type="dxa"/>
          </w:tcPr>
          <w:p w14:paraId="750C2D6D" w14:textId="77777777" w:rsidR="003A38FF" w:rsidRPr="00D0180E" w:rsidRDefault="003A38FF" w:rsidP="003A38FF">
            <w:pPr>
              <w:pStyle w:val="Texto"/>
              <w:spacing w:line="228" w:lineRule="exact"/>
              <w:ind w:firstLine="0"/>
              <w:jc w:val="center"/>
              <w:rPr>
                <w:rFonts w:ascii="Verdana" w:hAnsi="Verdana"/>
                <w:b/>
                <w:sz w:val="16"/>
                <w:szCs w:val="16"/>
              </w:rPr>
            </w:pPr>
            <w:r w:rsidRPr="00D0180E">
              <w:rPr>
                <w:rFonts w:ascii="Verdana" w:hAnsi="Verdana"/>
                <w:b/>
                <w:sz w:val="16"/>
                <w:szCs w:val="16"/>
              </w:rPr>
              <w:t>Capítulo Único</w:t>
            </w:r>
          </w:p>
        </w:tc>
        <w:tc>
          <w:tcPr>
            <w:tcW w:w="4644" w:type="dxa"/>
          </w:tcPr>
          <w:p w14:paraId="3C758F6F" w14:textId="0E4FF7C9" w:rsidR="003A38FF" w:rsidRPr="00EE259B" w:rsidRDefault="003A38FF" w:rsidP="003A38FF">
            <w:pPr>
              <w:pStyle w:val="Texto"/>
              <w:spacing w:line="228" w:lineRule="exact"/>
              <w:ind w:firstLine="0"/>
              <w:jc w:val="center"/>
              <w:rPr>
                <w:rFonts w:ascii="Verdana" w:hAnsi="Verdana"/>
                <w:b/>
                <w:sz w:val="16"/>
                <w:szCs w:val="16"/>
                <w:lang w:val="en-US"/>
              </w:rPr>
            </w:pPr>
            <w:r w:rsidRPr="00EE259B">
              <w:rPr>
                <w:rFonts w:ascii="Verdana" w:hAnsi="Verdana"/>
                <w:b/>
                <w:sz w:val="16"/>
                <w:szCs w:val="16"/>
                <w:lang w:val="en-US"/>
              </w:rPr>
              <w:t>Sole Chapter</w:t>
            </w:r>
          </w:p>
        </w:tc>
      </w:tr>
      <w:tr w:rsidR="003A38FF" w:rsidRPr="00D0180E" w14:paraId="07C86390" w14:textId="050C7815" w:rsidTr="00FB5DAD">
        <w:tc>
          <w:tcPr>
            <w:tcW w:w="4706" w:type="dxa"/>
          </w:tcPr>
          <w:p w14:paraId="42D88739" w14:textId="77777777" w:rsidR="003A38FF" w:rsidRPr="00D0180E" w:rsidRDefault="003A38FF" w:rsidP="003A38FF">
            <w:pPr>
              <w:pStyle w:val="Texto"/>
              <w:spacing w:line="228" w:lineRule="exact"/>
              <w:ind w:firstLine="0"/>
              <w:jc w:val="center"/>
              <w:rPr>
                <w:rFonts w:ascii="Verdana" w:hAnsi="Verdana"/>
                <w:b/>
                <w:sz w:val="16"/>
                <w:szCs w:val="16"/>
              </w:rPr>
            </w:pPr>
            <w:r w:rsidRPr="00D0180E">
              <w:rPr>
                <w:rFonts w:ascii="Verdana" w:hAnsi="Verdana"/>
                <w:b/>
                <w:sz w:val="16"/>
                <w:szCs w:val="16"/>
              </w:rPr>
              <w:t>Disposiciones Generales</w:t>
            </w:r>
          </w:p>
        </w:tc>
        <w:tc>
          <w:tcPr>
            <w:tcW w:w="4644" w:type="dxa"/>
          </w:tcPr>
          <w:p w14:paraId="4A67808A" w14:textId="57D5A528" w:rsidR="003A38FF" w:rsidRPr="00EE259B" w:rsidRDefault="003A38FF" w:rsidP="003A38FF">
            <w:pPr>
              <w:pStyle w:val="Texto"/>
              <w:spacing w:line="228" w:lineRule="exact"/>
              <w:ind w:firstLine="0"/>
              <w:jc w:val="center"/>
              <w:rPr>
                <w:rFonts w:ascii="Verdana" w:hAnsi="Verdana"/>
                <w:b/>
                <w:sz w:val="16"/>
                <w:szCs w:val="16"/>
                <w:lang w:val="en-US"/>
              </w:rPr>
            </w:pPr>
            <w:r w:rsidRPr="00EE259B">
              <w:rPr>
                <w:rFonts w:ascii="Verdana" w:hAnsi="Verdana"/>
                <w:b/>
                <w:sz w:val="16"/>
                <w:szCs w:val="16"/>
                <w:lang w:val="en-US"/>
              </w:rPr>
              <w:t>General Provisions</w:t>
            </w:r>
          </w:p>
        </w:tc>
      </w:tr>
      <w:tr w:rsidR="003A38FF" w:rsidRPr="00D83DA2" w14:paraId="76004F49" w14:textId="7FBB0FD6" w:rsidTr="00FB5DAD">
        <w:tc>
          <w:tcPr>
            <w:tcW w:w="4706" w:type="dxa"/>
          </w:tcPr>
          <w:p w14:paraId="2DA0343A"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 xml:space="preserve">Artículo 301. </w:t>
            </w:r>
            <w:r w:rsidRPr="00D0180E">
              <w:rPr>
                <w:rFonts w:ascii="Verdana" w:hAnsi="Verdana"/>
                <w:sz w:val="16"/>
                <w:szCs w:val="16"/>
                <w:lang w:val="es"/>
              </w:rPr>
              <w:t xml:space="preserve">La Secretaría y la CNE, </w:t>
            </w:r>
            <w:r w:rsidRPr="00D0180E">
              <w:rPr>
                <w:rFonts w:ascii="Verdana" w:hAnsi="Verdana"/>
                <w:sz w:val="16"/>
                <w:szCs w:val="16"/>
              </w:rPr>
              <w:t>según corresponda, a</w:t>
            </w:r>
            <w:r w:rsidRPr="00D0180E">
              <w:rPr>
                <w:rFonts w:ascii="Verdana" w:hAnsi="Verdana"/>
                <w:sz w:val="16"/>
                <w:szCs w:val="16"/>
                <w:lang w:val="es"/>
              </w:rPr>
              <w:t xml:space="preserve">l resolver sobre la revocación de los permisos, </w:t>
            </w:r>
            <w:r w:rsidRPr="00D0180E">
              <w:rPr>
                <w:rFonts w:ascii="Verdana" w:hAnsi="Verdana"/>
                <w:sz w:val="16"/>
                <w:szCs w:val="16"/>
              </w:rPr>
              <w:t xml:space="preserve">deben </w:t>
            </w:r>
            <w:r w:rsidRPr="00D0180E">
              <w:rPr>
                <w:rFonts w:ascii="Verdana" w:hAnsi="Verdana"/>
                <w:sz w:val="16"/>
                <w:szCs w:val="16"/>
                <w:lang w:val="es"/>
              </w:rPr>
              <w:t>considerar</w:t>
            </w:r>
            <w:r w:rsidRPr="00D0180E">
              <w:rPr>
                <w:rFonts w:ascii="Verdana" w:hAnsi="Verdana"/>
                <w:sz w:val="16"/>
                <w:szCs w:val="16"/>
              </w:rPr>
              <w:t xml:space="preserve"> lo siguiente:</w:t>
            </w:r>
          </w:p>
        </w:tc>
        <w:tc>
          <w:tcPr>
            <w:tcW w:w="4644" w:type="dxa"/>
          </w:tcPr>
          <w:p w14:paraId="465B7F8D" w14:textId="430660DF" w:rsidR="003A38FF" w:rsidRPr="00D0180E" w:rsidRDefault="003A38FF" w:rsidP="003A38FF">
            <w:pPr>
              <w:pStyle w:val="Texto"/>
              <w:spacing w:line="228" w:lineRule="exact"/>
              <w:ind w:firstLine="0"/>
              <w:rPr>
                <w:rFonts w:ascii="Verdana" w:hAnsi="Verdana"/>
                <w:b/>
                <w:sz w:val="16"/>
                <w:szCs w:val="16"/>
                <w:lang w:val="en-US"/>
              </w:rPr>
            </w:pPr>
            <w:r w:rsidRPr="001A4FEF">
              <w:rPr>
                <w:rFonts w:ascii="Verdana" w:hAnsi="Verdana"/>
                <w:b/>
                <w:sz w:val="16"/>
                <w:szCs w:val="16"/>
                <w:lang w:val="en-US"/>
              </w:rPr>
              <w:t xml:space="preserve">Article 301. </w:t>
            </w:r>
            <w:r w:rsidRPr="001A4FEF">
              <w:rPr>
                <w:rFonts w:ascii="Verdana" w:hAnsi="Verdana"/>
                <w:sz w:val="16"/>
                <w:szCs w:val="16"/>
                <w:lang w:val="en-US"/>
              </w:rPr>
              <w:t>The Secretary and the CNE, as appropriate, when deciding on the revocation of permits, must consider the following:</w:t>
            </w:r>
          </w:p>
        </w:tc>
      </w:tr>
      <w:tr w:rsidR="003A38FF" w:rsidRPr="00D83DA2" w14:paraId="52D218F4" w14:textId="3F3912F9" w:rsidTr="00FB5DAD">
        <w:tc>
          <w:tcPr>
            <w:tcW w:w="4706" w:type="dxa"/>
          </w:tcPr>
          <w:p w14:paraId="04EEA8E5" w14:textId="77777777" w:rsidR="003A38FF" w:rsidRPr="00D0180E" w:rsidRDefault="003A38FF" w:rsidP="003A38FF">
            <w:pPr>
              <w:pStyle w:val="Texto"/>
              <w:spacing w:line="228" w:lineRule="exact"/>
              <w:ind w:firstLine="0"/>
              <w:rPr>
                <w:rFonts w:ascii="Verdana" w:hAnsi="Verdana"/>
                <w:sz w:val="16"/>
                <w:szCs w:val="16"/>
                <w:lang w:val="es"/>
              </w:rPr>
            </w:pPr>
            <w:r w:rsidRPr="00D0180E">
              <w:rPr>
                <w:rFonts w:ascii="Verdana" w:hAnsi="Verdana"/>
                <w:b/>
                <w:sz w:val="16"/>
                <w:szCs w:val="16"/>
                <w:lang w:val="es"/>
              </w:rPr>
              <w:t>I.</w:t>
            </w:r>
            <w:r w:rsidRPr="00D0180E">
              <w:rPr>
                <w:rFonts w:ascii="Verdana" w:hAnsi="Verdana"/>
                <w:b/>
                <w:sz w:val="16"/>
                <w:szCs w:val="16"/>
                <w:lang w:val="es"/>
              </w:rPr>
              <w:tab/>
            </w:r>
            <w:r w:rsidRPr="00D0180E">
              <w:rPr>
                <w:rFonts w:ascii="Verdana" w:hAnsi="Verdana"/>
                <w:sz w:val="16"/>
                <w:szCs w:val="16"/>
              </w:rPr>
              <w:t>La gravedad de la infracción. Para efectos de la Ley, el presente reglamento y demás disposiciones que de estos emanen, debe entenderse como infracción grave cuando es posible atribuir una o más de las siguientes consecuencias: el beneficio económico personal directo o indirecto obtenido; la afectación económica que se produjo o pueda producirse; el riesgo generado a la operación confiable, continua y segura del Sistema Eléctrico Nacional; generar una situación de peligro inminente</w:t>
            </w:r>
            <w:r w:rsidRPr="00D0180E">
              <w:rPr>
                <w:rFonts w:ascii="Verdana" w:hAnsi="Verdana"/>
                <w:sz w:val="16"/>
                <w:szCs w:val="16"/>
                <w:lang w:val="es"/>
              </w:rPr>
              <w:t xml:space="preserve"> que atente en contra de la integridad física o patrimonial de las personas, o cualquier otro elemento del que pueda inferirse la gravedad;</w:t>
            </w:r>
          </w:p>
        </w:tc>
        <w:tc>
          <w:tcPr>
            <w:tcW w:w="4644" w:type="dxa"/>
          </w:tcPr>
          <w:p w14:paraId="0B99B0A1" w14:textId="02022DC5" w:rsidR="003A38FF" w:rsidRPr="00D0180E" w:rsidRDefault="003A38FF" w:rsidP="003A38FF">
            <w:pPr>
              <w:pStyle w:val="Texto"/>
              <w:spacing w:line="228" w:lineRule="exact"/>
              <w:ind w:firstLine="0"/>
              <w:rPr>
                <w:rFonts w:ascii="Verdana" w:hAnsi="Verdana"/>
                <w:b/>
                <w:sz w:val="16"/>
                <w:szCs w:val="16"/>
                <w:lang w:val="en-US"/>
              </w:rPr>
            </w:pPr>
            <w:r w:rsidRPr="001A4FEF">
              <w:rPr>
                <w:rFonts w:ascii="Verdana" w:hAnsi="Verdana"/>
                <w:b/>
                <w:sz w:val="16"/>
                <w:szCs w:val="16"/>
                <w:lang w:val="en-US"/>
              </w:rPr>
              <w:t>I</w:t>
            </w:r>
            <w:proofErr w:type="gramStart"/>
            <w:r w:rsidRPr="001A4FEF">
              <w:rPr>
                <w:rFonts w:ascii="Verdana" w:hAnsi="Verdana"/>
                <w:b/>
                <w:sz w:val="16"/>
                <w:szCs w:val="16"/>
                <w:lang w:val="en-US"/>
              </w:rPr>
              <w:t xml:space="preserve">. </w:t>
            </w:r>
            <w:r w:rsidRPr="001A4FEF">
              <w:rPr>
                <w:rFonts w:ascii="Verdana" w:hAnsi="Verdana"/>
                <w:b/>
                <w:sz w:val="16"/>
                <w:szCs w:val="16"/>
                <w:lang w:val="en-US"/>
              </w:rPr>
              <w:tab/>
            </w:r>
            <w:r w:rsidRPr="001A4FEF">
              <w:rPr>
                <w:rFonts w:ascii="Verdana" w:hAnsi="Verdana"/>
                <w:sz w:val="16"/>
                <w:szCs w:val="16"/>
                <w:lang w:val="en-US"/>
              </w:rPr>
              <w:t>The</w:t>
            </w:r>
            <w:proofErr w:type="gramEnd"/>
            <w:r w:rsidRPr="001A4FEF">
              <w:rPr>
                <w:rFonts w:ascii="Verdana" w:hAnsi="Verdana"/>
                <w:sz w:val="16"/>
                <w:szCs w:val="16"/>
                <w:lang w:val="en-US"/>
              </w:rPr>
              <w:t xml:space="preserve"> seriousness of the violation. For the purposes of this Law, this Regulation, and other provisions emanating from them, a serious violation shall be deemed to be one or more of the following consequences: the direct or indirect personal economic benefit obtained; the economic impact that occurred or may occur; the risk generated to the reliable, continuous, and safe operation of the </w:t>
            </w:r>
            <w:r>
              <w:rPr>
                <w:rFonts w:ascii="Verdana" w:hAnsi="Verdana"/>
                <w:sz w:val="16"/>
                <w:szCs w:val="16"/>
                <w:lang w:val="en-US"/>
              </w:rPr>
              <w:t>National Electric System</w:t>
            </w:r>
            <w:r w:rsidRPr="001A4FEF">
              <w:rPr>
                <w:rFonts w:ascii="Verdana" w:hAnsi="Verdana"/>
                <w:sz w:val="16"/>
                <w:szCs w:val="16"/>
                <w:lang w:val="en-US"/>
              </w:rPr>
              <w:t>; generating a situation of imminent danger that threatens the physical or property integrity of persons, or any other element from which the seriousness can be inferred;</w:t>
            </w:r>
          </w:p>
        </w:tc>
      </w:tr>
      <w:tr w:rsidR="003A38FF" w:rsidRPr="00D83DA2" w14:paraId="5FCB9434" w14:textId="2219BF9F" w:rsidTr="00FB5DAD">
        <w:tc>
          <w:tcPr>
            <w:tcW w:w="4706" w:type="dxa"/>
          </w:tcPr>
          <w:p w14:paraId="61143895"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 xml:space="preserve">Las acciones tomadas para corregirla. En el caso en que </w:t>
            </w:r>
            <w:r w:rsidRPr="00D0180E">
              <w:rPr>
                <w:rFonts w:ascii="Verdana" w:hAnsi="Verdana"/>
                <w:sz w:val="16"/>
                <w:szCs w:val="16"/>
                <w:lang w:val="es"/>
              </w:rPr>
              <w:t xml:space="preserve">la persona titular de un permiso realice acciones tendientes a reparar el daño causado, efectúe </w:t>
            </w:r>
            <w:r w:rsidRPr="00D0180E">
              <w:rPr>
                <w:rFonts w:ascii="Verdana" w:hAnsi="Verdana"/>
                <w:sz w:val="16"/>
                <w:szCs w:val="16"/>
              </w:rPr>
              <w:t xml:space="preserve">medidas correctivas o aporte cualquier otro elemento que acredite lo anterior, previamente a la emisión de la resolución de revocación, </w:t>
            </w:r>
            <w:r w:rsidRPr="00D0180E">
              <w:rPr>
                <w:rFonts w:ascii="Verdana" w:hAnsi="Verdana"/>
                <w:sz w:val="16"/>
                <w:szCs w:val="16"/>
                <w:lang w:val="es"/>
              </w:rPr>
              <w:t xml:space="preserve">la Secretaría o la CNE </w:t>
            </w:r>
            <w:r w:rsidRPr="00D0180E">
              <w:rPr>
                <w:rFonts w:ascii="Verdana" w:hAnsi="Verdana"/>
                <w:sz w:val="16"/>
                <w:szCs w:val="16"/>
              </w:rPr>
              <w:t>pueden considerar tal situación como atenuante;</w:t>
            </w:r>
          </w:p>
        </w:tc>
        <w:tc>
          <w:tcPr>
            <w:tcW w:w="4644" w:type="dxa"/>
          </w:tcPr>
          <w:p w14:paraId="50D8F3E7" w14:textId="4B1B71B7" w:rsidR="003A38FF" w:rsidRPr="00D0180E" w:rsidRDefault="003A38FF" w:rsidP="003A38FF">
            <w:pPr>
              <w:pStyle w:val="Texto"/>
              <w:spacing w:line="228" w:lineRule="exact"/>
              <w:ind w:firstLine="0"/>
              <w:rPr>
                <w:rFonts w:ascii="Verdana" w:hAnsi="Verdana"/>
                <w:b/>
                <w:sz w:val="16"/>
                <w:szCs w:val="16"/>
                <w:lang w:val="en-US"/>
              </w:rPr>
            </w:pPr>
            <w:r w:rsidRPr="001A4FEF">
              <w:rPr>
                <w:rFonts w:ascii="Verdana" w:hAnsi="Verdana"/>
                <w:b/>
                <w:sz w:val="16"/>
                <w:szCs w:val="16"/>
                <w:lang w:val="en-US"/>
              </w:rPr>
              <w:t>II</w:t>
            </w:r>
            <w:proofErr w:type="gramStart"/>
            <w:r w:rsidRPr="001A4FEF">
              <w:rPr>
                <w:rFonts w:ascii="Verdana" w:hAnsi="Verdana"/>
                <w:b/>
                <w:sz w:val="16"/>
                <w:szCs w:val="16"/>
                <w:lang w:val="en-US"/>
              </w:rPr>
              <w:t xml:space="preserve">. </w:t>
            </w:r>
            <w:r w:rsidRPr="001A4FEF">
              <w:rPr>
                <w:rFonts w:ascii="Verdana" w:hAnsi="Verdana"/>
                <w:b/>
                <w:sz w:val="16"/>
                <w:szCs w:val="16"/>
                <w:lang w:val="en-US"/>
              </w:rPr>
              <w:tab/>
            </w:r>
            <w:r w:rsidRPr="001A4FEF">
              <w:rPr>
                <w:rFonts w:ascii="Verdana" w:hAnsi="Verdana"/>
                <w:sz w:val="16"/>
                <w:szCs w:val="16"/>
                <w:lang w:val="en-US"/>
              </w:rPr>
              <w:t>Actions</w:t>
            </w:r>
            <w:proofErr w:type="gramEnd"/>
            <w:r w:rsidRPr="001A4FEF">
              <w:rPr>
                <w:rFonts w:ascii="Verdana" w:hAnsi="Verdana"/>
                <w:sz w:val="16"/>
                <w:szCs w:val="16"/>
                <w:lang w:val="en-US"/>
              </w:rPr>
              <w:t xml:space="preserve"> taken to correct it. </w:t>
            </w:r>
            <w:proofErr w:type="gramStart"/>
            <w:r w:rsidRPr="001A4FEF">
              <w:rPr>
                <w:rFonts w:ascii="Verdana" w:hAnsi="Verdana"/>
                <w:sz w:val="16"/>
                <w:szCs w:val="16"/>
                <w:lang w:val="en-US"/>
              </w:rPr>
              <w:t>In the event that</w:t>
            </w:r>
            <w:proofErr w:type="gramEnd"/>
            <w:r w:rsidRPr="001A4FEF">
              <w:rPr>
                <w:rFonts w:ascii="Verdana" w:hAnsi="Verdana"/>
                <w:sz w:val="16"/>
                <w:szCs w:val="16"/>
                <w:lang w:val="en-US"/>
              </w:rPr>
              <w:t xml:space="preserve"> the permit holder takes actions to repair the damage caused, implements corrective measures, or provides any other evidence of the above, prior to issuing the revocation resolution, the Secretary or the CNE may consider such a situation as mitigating;</w:t>
            </w:r>
          </w:p>
        </w:tc>
      </w:tr>
      <w:tr w:rsidR="003A38FF" w:rsidRPr="00D83DA2" w14:paraId="72D36BD1" w14:textId="2E11C726" w:rsidTr="00FB5DAD">
        <w:tc>
          <w:tcPr>
            <w:tcW w:w="4706" w:type="dxa"/>
          </w:tcPr>
          <w:p w14:paraId="20017432" w14:textId="77777777" w:rsidR="003A38FF" w:rsidRPr="00D0180E" w:rsidRDefault="003A38FF" w:rsidP="003A38FF">
            <w:pPr>
              <w:pStyle w:val="Texto"/>
              <w:spacing w:line="228" w:lineRule="exact"/>
              <w:ind w:firstLine="0"/>
              <w:rPr>
                <w:rFonts w:ascii="Verdana" w:hAnsi="Verdana"/>
                <w:sz w:val="16"/>
                <w:szCs w:val="16"/>
                <w:lang w:val="es"/>
              </w:rPr>
            </w:pPr>
            <w:r w:rsidRPr="00D0180E">
              <w:rPr>
                <w:rFonts w:ascii="Verdana" w:hAnsi="Verdana"/>
                <w:b/>
                <w:sz w:val="16"/>
                <w:szCs w:val="16"/>
                <w:lang w:val="es"/>
              </w:rPr>
              <w:t>III.</w:t>
            </w:r>
            <w:r w:rsidRPr="00D0180E">
              <w:rPr>
                <w:rFonts w:ascii="Verdana" w:hAnsi="Verdana"/>
                <w:b/>
                <w:sz w:val="16"/>
                <w:szCs w:val="16"/>
                <w:lang w:val="es"/>
              </w:rPr>
              <w:tab/>
            </w:r>
            <w:r w:rsidRPr="00D0180E">
              <w:rPr>
                <w:rFonts w:ascii="Verdana" w:hAnsi="Verdana"/>
                <w:sz w:val="16"/>
                <w:szCs w:val="16"/>
                <w:lang w:val="es"/>
              </w:rPr>
              <w:t xml:space="preserve">En </w:t>
            </w:r>
            <w:r w:rsidRPr="00D0180E">
              <w:rPr>
                <w:rFonts w:ascii="Verdana" w:hAnsi="Verdana"/>
                <w:sz w:val="16"/>
                <w:szCs w:val="16"/>
              </w:rPr>
              <w:t>caso</w:t>
            </w:r>
            <w:r w:rsidRPr="00D0180E">
              <w:rPr>
                <w:rFonts w:ascii="Verdana" w:hAnsi="Verdana"/>
                <w:sz w:val="16"/>
                <w:szCs w:val="16"/>
                <w:lang w:val="es"/>
              </w:rPr>
              <w:t xml:space="preserve"> de encontrarse, por primera vez en alguno de los supuestos previstos en los incisos a), e), f) y g) de la fracción III del artículo 152 de la Ley y de solventarse la causal de revocación en que se haya incurrido antes de que la Secretaría o la CNE, según corresponda, emitan la resolución respectiva, por única ocasión la Secretaría o la CNE pueden no imponer la revocación, lo anterior sin perjuicio de las demás sanciones a que haya lugar conforme a la Ley y demás disposiciones aplicables, y</w:t>
            </w:r>
          </w:p>
        </w:tc>
        <w:tc>
          <w:tcPr>
            <w:tcW w:w="4644" w:type="dxa"/>
          </w:tcPr>
          <w:p w14:paraId="7B11DBA9" w14:textId="6C1C8867" w:rsidR="003A38FF" w:rsidRPr="00D0180E" w:rsidRDefault="003A38FF" w:rsidP="003A38FF">
            <w:pPr>
              <w:pStyle w:val="Texto"/>
              <w:spacing w:line="228" w:lineRule="exact"/>
              <w:ind w:firstLine="0"/>
              <w:rPr>
                <w:rFonts w:ascii="Verdana" w:hAnsi="Verdana"/>
                <w:b/>
                <w:sz w:val="16"/>
                <w:szCs w:val="16"/>
                <w:lang w:val="en-US"/>
              </w:rPr>
            </w:pPr>
            <w:r w:rsidRPr="001A4FEF">
              <w:rPr>
                <w:rFonts w:ascii="Verdana" w:hAnsi="Verdana"/>
                <w:b/>
                <w:sz w:val="16"/>
                <w:szCs w:val="16"/>
                <w:lang w:val="en-US"/>
              </w:rPr>
              <w:t xml:space="preserve">III. </w:t>
            </w:r>
            <w:r w:rsidRPr="001A4FEF">
              <w:rPr>
                <w:rFonts w:ascii="Verdana" w:hAnsi="Verdana"/>
                <w:b/>
                <w:sz w:val="16"/>
                <w:szCs w:val="16"/>
                <w:lang w:val="en-US"/>
              </w:rPr>
              <w:tab/>
            </w:r>
            <w:r w:rsidRPr="001A4FEF">
              <w:rPr>
                <w:rFonts w:ascii="Verdana" w:hAnsi="Verdana"/>
                <w:sz w:val="16"/>
                <w:szCs w:val="16"/>
                <w:lang w:val="en-US"/>
              </w:rPr>
              <w:t>In the event that, for the first time, one finds oneself in any of the situations provided for in paragraphs a), e), f) and g) of section III of article 152 of the Law and the cause for revocation incurred is resolved before the Secretary or the CNE, as appropriate, issues the respective resolution, for a single occasion the Secretary or the CNE may not impose the revocation, without prejudice to any other sanctions that may be applicable in accordance with the Law and other applicable provisions, and</w:t>
            </w:r>
          </w:p>
        </w:tc>
      </w:tr>
      <w:tr w:rsidR="003A38FF" w:rsidRPr="00D83DA2" w14:paraId="1EC34E6E" w14:textId="7724E0F2" w:rsidTr="00FB5DAD">
        <w:tc>
          <w:tcPr>
            <w:tcW w:w="4706" w:type="dxa"/>
          </w:tcPr>
          <w:p w14:paraId="33DC1FF8"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 xml:space="preserve">La reincidencia. Se considera persona reincidente a aquella que ha sido sancionada por incurrir en alguno de los supuestos previstos en la fracción III del artículo 152 de la Ley y que no haya sido subsanada en los términos del presente reglamento. En este </w:t>
            </w:r>
            <w:r w:rsidRPr="00D0180E">
              <w:rPr>
                <w:rFonts w:ascii="Verdana" w:hAnsi="Verdana"/>
                <w:sz w:val="16"/>
                <w:szCs w:val="16"/>
              </w:rPr>
              <w:lastRenderedPageBreak/>
              <w:t>supuesto, no es aplicable lo previsto en la fracción II de este artículo.</w:t>
            </w:r>
          </w:p>
        </w:tc>
        <w:tc>
          <w:tcPr>
            <w:tcW w:w="4644" w:type="dxa"/>
          </w:tcPr>
          <w:p w14:paraId="5CD69C2C" w14:textId="231ED110" w:rsidR="003A38FF" w:rsidRPr="00D0180E" w:rsidRDefault="003A38FF" w:rsidP="003A38FF">
            <w:pPr>
              <w:pStyle w:val="Texto"/>
              <w:spacing w:line="228" w:lineRule="exact"/>
              <w:ind w:firstLine="0"/>
              <w:rPr>
                <w:rFonts w:ascii="Verdana" w:hAnsi="Verdana"/>
                <w:b/>
                <w:sz w:val="16"/>
                <w:szCs w:val="16"/>
                <w:lang w:val="en-US"/>
              </w:rPr>
            </w:pPr>
            <w:r w:rsidRPr="001A4FEF">
              <w:rPr>
                <w:rFonts w:ascii="Verdana" w:hAnsi="Verdana"/>
                <w:b/>
                <w:sz w:val="16"/>
                <w:szCs w:val="16"/>
                <w:lang w:val="en-US"/>
              </w:rPr>
              <w:lastRenderedPageBreak/>
              <w:t>IV</w:t>
            </w:r>
            <w:proofErr w:type="gramStart"/>
            <w:r w:rsidRPr="001A4FEF">
              <w:rPr>
                <w:rFonts w:ascii="Verdana" w:hAnsi="Verdana"/>
                <w:b/>
                <w:sz w:val="16"/>
                <w:szCs w:val="16"/>
                <w:lang w:val="en-US"/>
              </w:rPr>
              <w:t xml:space="preserve">. </w:t>
            </w:r>
            <w:r w:rsidRPr="001A4FEF">
              <w:rPr>
                <w:rFonts w:ascii="Verdana" w:hAnsi="Verdana"/>
                <w:b/>
                <w:sz w:val="16"/>
                <w:szCs w:val="16"/>
                <w:lang w:val="en-US"/>
              </w:rPr>
              <w:tab/>
            </w:r>
            <w:r w:rsidRPr="001A4FEF">
              <w:rPr>
                <w:rFonts w:ascii="Verdana" w:hAnsi="Verdana"/>
                <w:sz w:val="16"/>
                <w:szCs w:val="16"/>
                <w:lang w:val="en-US"/>
              </w:rPr>
              <w:t>Recidivism</w:t>
            </w:r>
            <w:proofErr w:type="gramEnd"/>
            <w:r w:rsidRPr="001A4FEF">
              <w:rPr>
                <w:rFonts w:ascii="Verdana" w:hAnsi="Verdana"/>
                <w:sz w:val="16"/>
                <w:szCs w:val="16"/>
                <w:lang w:val="en-US"/>
              </w:rPr>
              <w:t xml:space="preserve">. A person who has been sanctioned for </w:t>
            </w:r>
            <w:proofErr w:type="gramStart"/>
            <w:r w:rsidRPr="001A4FEF">
              <w:rPr>
                <w:rFonts w:ascii="Verdana" w:hAnsi="Verdana"/>
                <w:sz w:val="16"/>
                <w:szCs w:val="16"/>
                <w:lang w:val="en-US"/>
              </w:rPr>
              <w:t>incurring in</w:t>
            </w:r>
            <w:proofErr w:type="gramEnd"/>
            <w:r w:rsidRPr="001A4FEF">
              <w:rPr>
                <w:rFonts w:ascii="Verdana" w:hAnsi="Verdana"/>
                <w:sz w:val="16"/>
                <w:szCs w:val="16"/>
                <w:lang w:val="en-US"/>
              </w:rPr>
              <w:t xml:space="preserve"> any of the offenses provided for in Section III of Article 152 of the Law and who has not been remedied under the terms of this Regulation is </w:t>
            </w:r>
            <w:r w:rsidRPr="001A4FEF">
              <w:rPr>
                <w:rFonts w:ascii="Verdana" w:hAnsi="Verdana"/>
                <w:sz w:val="16"/>
                <w:szCs w:val="16"/>
                <w:lang w:val="en-US"/>
              </w:rPr>
              <w:lastRenderedPageBreak/>
              <w:t>considered a repeat offender. In this case, the provisions of Section II of this article do not apply.</w:t>
            </w:r>
          </w:p>
        </w:tc>
      </w:tr>
      <w:tr w:rsidR="003A38FF" w:rsidRPr="00D83DA2" w14:paraId="53580E97" w14:textId="3032325B" w:rsidTr="00FB5DAD">
        <w:tc>
          <w:tcPr>
            <w:tcW w:w="4706" w:type="dxa"/>
          </w:tcPr>
          <w:p w14:paraId="45A48390"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lastRenderedPageBreak/>
              <w:t xml:space="preserve">Artículo 302. </w:t>
            </w:r>
            <w:r w:rsidRPr="00D0180E">
              <w:rPr>
                <w:rFonts w:ascii="Verdana" w:hAnsi="Verdana"/>
                <w:sz w:val="16"/>
                <w:szCs w:val="16"/>
              </w:rPr>
              <w:t>En los procedimientos administrativos de sanción</w:t>
            </w:r>
            <w:r w:rsidRPr="00D0180E">
              <w:rPr>
                <w:rFonts w:ascii="Verdana" w:hAnsi="Verdana"/>
                <w:b/>
                <w:sz w:val="16"/>
                <w:szCs w:val="16"/>
              </w:rPr>
              <w:t xml:space="preserve"> </w:t>
            </w:r>
            <w:r w:rsidRPr="00D0180E">
              <w:rPr>
                <w:rFonts w:ascii="Verdana" w:hAnsi="Verdana"/>
                <w:sz w:val="16"/>
                <w:szCs w:val="16"/>
              </w:rPr>
              <w:t xml:space="preserve">la Secretaría y la CNE, en el ámbito de sus respectivas competencias, pueden determinar mecanismos que privilegien la reparación del daño, la regularización de las conductas u omisiones detectadas y la no repetición de las mismas en aquellos casos en que la persona interesada se encuentre </w:t>
            </w:r>
            <w:r w:rsidRPr="00D0180E">
              <w:rPr>
                <w:rFonts w:ascii="Verdana" w:hAnsi="Verdana"/>
                <w:sz w:val="16"/>
                <w:szCs w:val="16"/>
                <w:lang w:val="es"/>
              </w:rPr>
              <w:t>por primera vez en alguno de los supuestos de infracción a la Ley, el presente reglamento y demás disposiciones aplicables</w:t>
            </w:r>
            <w:r w:rsidRPr="00D0180E">
              <w:rPr>
                <w:rFonts w:ascii="Verdana" w:hAnsi="Verdana"/>
                <w:sz w:val="16"/>
                <w:szCs w:val="16"/>
              </w:rPr>
              <w:t>, siempre y cuando las conductas u omisiones no se encuentren en alguno de los siguientes supuestos:</w:t>
            </w:r>
          </w:p>
        </w:tc>
        <w:tc>
          <w:tcPr>
            <w:tcW w:w="4644" w:type="dxa"/>
          </w:tcPr>
          <w:p w14:paraId="10C295E4" w14:textId="164EF145" w:rsidR="003A38FF" w:rsidRPr="00D0180E" w:rsidRDefault="003A38FF" w:rsidP="003A38FF">
            <w:pPr>
              <w:pStyle w:val="Texto"/>
              <w:spacing w:line="228" w:lineRule="exact"/>
              <w:ind w:firstLine="0"/>
              <w:rPr>
                <w:rFonts w:ascii="Verdana" w:hAnsi="Verdana"/>
                <w:b/>
                <w:sz w:val="16"/>
                <w:szCs w:val="16"/>
                <w:lang w:val="en-US"/>
              </w:rPr>
            </w:pPr>
            <w:r w:rsidRPr="001A4FEF">
              <w:rPr>
                <w:rFonts w:ascii="Verdana" w:hAnsi="Verdana"/>
                <w:b/>
                <w:sz w:val="16"/>
                <w:szCs w:val="16"/>
                <w:lang w:val="en-US"/>
              </w:rPr>
              <w:t xml:space="preserve">Article 302. </w:t>
            </w:r>
            <w:r w:rsidRPr="001A4FEF">
              <w:rPr>
                <w:rFonts w:ascii="Verdana" w:hAnsi="Verdana"/>
                <w:sz w:val="16"/>
                <w:szCs w:val="16"/>
                <w:lang w:val="en-US"/>
              </w:rPr>
              <w:t>In administrative sanction procedures</w:t>
            </w:r>
            <w:r w:rsidRPr="001A4FEF">
              <w:rPr>
                <w:rFonts w:ascii="Verdana" w:hAnsi="Verdana"/>
                <w:b/>
                <w:sz w:val="16"/>
                <w:szCs w:val="16"/>
                <w:lang w:val="en-US"/>
              </w:rPr>
              <w:t xml:space="preserve"> </w:t>
            </w:r>
            <w:r w:rsidRPr="001A4FEF">
              <w:rPr>
                <w:rFonts w:ascii="Verdana" w:hAnsi="Verdana"/>
                <w:sz w:val="16"/>
                <w:szCs w:val="16"/>
                <w:lang w:val="en-US"/>
              </w:rPr>
              <w:t>The Secretary and the CNE, within the scope of their respective powers, may determine mechanisms that prioritize the repair of damages, the regularization of the conduct or omissions detected and the non-repetition of the same in those cases in which the interested person finds himself for the first time in any of the assumptions of violation of the Law, this regulation and other applicable provisions, as long as the conduct or omissions do not fall into any of the following assumptions:</w:t>
            </w:r>
          </w:p>
        </w:tc>
      </w:tr>
      <w:tr w:rsidR="003A38FF" w:rsidRPr="00D83DA2" w14:paraId="237F81B8" w14:textId="13FD1496" w:rsidTr="00FB5DAD">
        <w:tc>
          <w:tcPr>
            <w:tcW w:w="4706" w:type="dxa"/>
          </w:tcPr>
          <w:p w14:paraId="7434AA8B"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Se afecte o comprometa la Confiabilidad y Continuidad del Sistema Eléctrico Nacional;</w:t>
            </w:r>
          </w:p>
        </w:tc>
        <w:tc>
          <w:tcPr>
            <w:tcW w:w="4644" w:type="dxa"/>
          </w:tcPr>
          <w:p w14:paraId="6F0B8047" w14:textId="17238BFC" w:rsidR="003A38FF" w:rsidRPr="00D0180E" w:rsidRDefault="003A38FF" w:rsidP="003A38FF">
            <w:pPr>
              <w:pStyle w:val="Texto"/>
              <w:spacing w:line="228" w:lineRule="exact"/>
              <w:ind w:firstLine="0"/>
              <w:rPr>
                <w:rFonts w:ascii="Verdana" w:hAnsi="Verdana"/>
                <w:b/>
                <w:sz w:val="16"/>
                <w:szCs w:val="16"/>
                <w:lang w:val="en-US"/>
              </w:rPr>
            </w:pPr>
            <w:r w:rsidRPr="001A4FEF">
              <w:rPr>
                <w:rFonts w:ascii="Verdana" w:hAnsi="Verdana"/>
                <w:b/>
                <w:sz w:val="16"/>
                <w:szCs w:val="16"/>
                <w:lang w:val="en-US"/>
              </w:rPr>
              <w:t>I</w:t>
            </w:r>
            <w:proofErr w:type="gramStart"/>
            <w:r w:rsidRPr="001A4FEF">
              <w:rPr>
                <w:rFonts w:ascii="Verdana" w:hAnsi="Verdana"/>
                <w:b/>
                <w:sz w:val="16"/>
                <w:szCs w:val="16"/>
                <w:lang w:val="en-US"/>
              </w:rPr>
              <w:t xml:space="preserve">. </w:t>
            </w:r>
            <w:r w:rsidRPr="001A4FEF">
              <w:rPr>
                <w:rFonts w:ascii="Verdana" w:hAnsi="Verdana"/>
                <w:b/>
                <w:sz w:val="16"/>
                <w:szCs w:val="16"/>
                <w:lang w:val="en-US"/>
              </w:rPr>
              <w:tab/>
            </w:r>
            <w:r w:rsidRPr="001A4FEF">
              <w:rPr>
                <w:rFonts w:ascii="Verdana" w:hAnsi="Verdana"/>
                <w:sz w:val="16"/>
                <w:szCs w:val="16"/>
                <w:lang w:val="en-US"/>
              </w:rPr>
              <w:t>The</w:t>
            </w:r>
            <w:proofErr w:type="gramEnd"/>
            <w:r w:rsidRPr="001A4FEF">
              <w:rPr>
                <w:rFonts w:ascii="Verdana" w:hAnsi="Verdana"/>
                <w:sz w:val="16"/>
                <w:szCs w:val="16"/>
                <w:lang w:val="en-US"/>
              </w:rPr>
              <w:t xml:space="preserve"> reliability and continuity of the </w:t>
            </w:r>
            <w:r>
              <w:rPr>
                <w:rFonts w:ascii="Verdana" w:hAnsi="Verdana"/>
                <w:sz w:val="16"/>
                <w:szCs w:val="16"/>
                <w:lang w:val="en-US"/>
              </w:rPr>
              <w:t>National Electric System</w:t>
            </w:r>
            <w:r w:rsidRPr="001A4FEF">
              <w:rPr>
                <w:rFonts w:ascii="Verdana" w:hAnsi="Verdana"/>
                <w:sz w:val="16"/>
                <w:szCs w:val="16"/>
                <w:lang w:val="en-US"/>
              </w:rPr>
              <w:t xml:space="preserve"> is affected or compromised;</w:t>
            </w:r>
          </w:p>
        </w:tc>
      </w:tr>
      <w:tr w:rsidR="003A38FF" w:rsidRPr="00D83DA2" w14:paraId="38D014E7" w14:textId="27451011" w:rsidTr="00FB5DAD">
        <w:tc>
          <w:tcPr>
            <w:tcW w:w="4706" w:type="dxa"/>
          </w:tcPr>
          <w:p w14:paraId="6DA046FC"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Se afecte o comprometa el Suministro Eléctrico, y</w:t>
            </w:r>
          </w:p>
        </w:tc>
        <w:tc>
          <w:tcPr>
            <w:tcW w:w="4644" w:type="dxa"/>
          </w:tcPr>
          <w:p w14:paraId="1F8621C9" w14:textId="7A2C176D" w:rsidR="003A38FF" w:rsidRPr="00D0180E" w:rsidRDefault="003A38FF" w:rsidP="003A38FF">
            <w:pPr>
              <w:pStyle w:val="Texto"/>
              <w:spacing w:line="228" w:lineRule="exact"/>
              <w:ind w:firstLine="0"/>
              <w:rPr>
                <w:rFonts w:ascii="Verdana" w:hAnsi="Verdana"/>
                <w:b/>
                <w:sz w:val="16"/>
                <w:szCs w:val="16"/>
                <w:lang w:val="en-US"/>
              </w:rPr>
            </w:pPr>
            <w:r w:rsidRPr="001A4FEF">
              <w:rPr>
                <w:rFonts w:ascii="Verdana" w:hAnsi="Verdana"/>
                <w:b/>
                <w:sz w:val="16"/>
                <w:szCs w:val="16"/>
                <w:lang w:val="en-US"/>
              </w:rPr>
              <w:t>II</w:t>
            </w:r>
            <w:proofErr w:type="gramStart"/>
            <w:r w:rsidRPr="001A4FEF">
              <w:rPr>
                <w:rFonts w:ascii="Verdana" w:hAnsi="Verdana"/>
                <w:b/>
                <w:sz w:val="16"/>
                <w:szCs w:val="16"/>
                <w:lang w:val="en-US"/>
              </w:rPr>
              <w:t xml:space="preserve">. </w:t>
            </w:r>
            <w:r w:rsidRPr="001A4FEF">
              <w:rPr>
                <w:rFonts w:ascii="Verdana" w:hAnsi="Verdana"/>
                <w:b/>
                <w:sz w:val="16"/>
                <w:szCs w:val="16"/>
                <w:lang w:val="en-US"/>
              </w:rPr>
              <w:tab/>
            </w:r>
            <w:r w:rsidRPr="001A4FEF">
              <w:rPr>
                <w:rFonts w:ascii="Verdana" w:hAnsi="Verdana"/>
                <w:sz w:val="16"/>
                <w:szCs w:val="16"/>
                <w:lang w:val="en-US"/>
              </w:rPr>
              <w:t>The</w:t>
            </w:r>
            <w:proofErr w:type="gramEnd"/>
            <w:r w:rsidRPr="001A4FEF">
              <w:rPr>
                <w:rFonts w:ascii="Verdana" w:hAnsi="Verdana"/>
                <w:sz w:val="16"/>
                <w:szCs w:val="16"/>
                <w:lang w:val="en-US"/>
              </w:rPr>
              <w:t xml:space="preserve"> electricity supply is affected or compromised, and</w:t>
            </w:r>
          </w:p>
        </w:tc>
      </w:tr>
      <w:tr w:rsidR="003A38FF" w:rsidRPr="00D83DA2" w14:paraId="2C66DC76" w14:textId="77CAEC0A" w:rsidTr="00FB5DAD">
        <w:tc>
          <w:tcPr>
            <w:tcW w:w="4706" w:type="dxa"/>
          </w:tcPr>
          <w:p w14:paraId="21BEB65D"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Cuando la persona presuntamente infractora, previamente se haya negado a la práctica de una visita de verificación, no presentó la información requerida o no atendió una solicitud de comparecencia en términos del Título Octavo del presente ordenamiento.</w:t>
            </w:r>
          </w:p>
        </w:tc>
        <w:tc>
          <w:tcPr>
            <w:tcW w:w="4644" w:type="dxa"/>
          </w:tcPr>
          <w:p w14:paraId="3ECE3B89" w14:textId="16A21DAF" w:rsidR="003A38FF" w:rsidRPr="00D0180E" w:rsidRDefault="003A38FF" w:rsidP="003A38FF">
            <w:pPr>
              <w:pStyle w:val="Texto"/>
              <w:spacing w:line="228" w:lineRule="exact"/>
              <w:ind w:firstLine="0"/>
              <w:rPr>
                <w:rFonts w:ascii="Verdana" w:hAnsi="Verdana"/>
                <w:b/>
                <w:sz w:val="16"/>
                <w:szCs w:val="16"/>
                <w:lang w:val="en-US"/>
              </w:rPr>
            </w:pPr>
            <w:r w:rsidRPr="001A4FEF">
              <w:rPr>
                <w:rFonts w:ascii="Verdana" w:hAnsi="Verdana"/>
                <w:b/>
                <w:sz w:val="16"/>
                <w:szCs w:val="16"/>
                <w:lang w:val="en-US"/>
              </w:rPr>
              <w:t>III</w:t>
            </w:r>
            <w:proofErr w:type="gramStart"/>
            <w:r w:rsidRPr="001A4FEF">
              <w:rPr>
                <w:rFonts w:ascii="Verdana" w:hAnsi="Verdana"/>
                <w:b/>
                <w:sz w:val="16"/>
                <w:szCs w:val="16"/>
                <w:lang w:val="en-US"/>
              </w:rPr>
              <w:t xml:space="preserve">. </w:t>
            </w:r>
            <w:r w:rsidRPr="001A4FEF">
              <w:rPr>
                <w:rFonts w:ascii="Verdana" w:hAnsi="Verdana"/>
                <w:b/>
                <w:sz w:val="16"/>
                <w:szCs w:val="16"/>
                <w:lang w:val="en-US"/>
              </w:rPr>
              <w:tab/>
            </w:r>
            <w:r w:rsidRPr="001A4FEF">
              <w:rPr>
                <w:rFonts w:ascii="Verdana" w:hAnsi="Verdana"/>
                <w:sz w:val="16"/>
                <w:szCs w:val="16"/>
                <w:lang w:val="en-US"/>
              </w:rPr>
              <w:t>When</w:t>
            </w:r>
            <w:proofErr w:type="gramEnd"/>
            <w:r w:rsidRPr="001A4FEF">
              <w:rPr>
                <w:rFonts w:ascii="Verdana" w:hAnsi="Verdana"/>
                <w:sz w:val="16"/>
                <w:szCs w:val="16"/>
                <w:lang w:val="en-US"/>
              </w:rPr>
              <w:t xml:space="preserve"> the alleged offender has previously refused to carry out a verification visit, failed to submit the required information, or failed to respond to a request to appear in accordance with Eight</w:t>
            </w:r>
            <w:r>
              <w:rPr>
                <w:rFonts w:ascii="Verdana" w:hAnsi="Verdana"/>
                <w:sz w:val="16"/>
                <w:szCs w:val="16"/>
                <w:lang w:val="en-US"/>
              </w:rPr>
              <w:t>h</w:t>
            </w:r>
            <w:r w:rsidRPr="001A4FEF">
              <w:rPr>
                <w:rFonts w:ascii="Verdana" w:hAnsi="Verdana"/>
                <w:sz w:val="16"/>
                <w:szCs w:val="16"/>
                <w:lang w:val="en-US"/>
              </w:rPr>
              <w:t xml:space="preserve"> Title of this ordinance.</w:t>
            </w:r>
          </w:p>
        </w:tc>
      </w:tr>
      <w:tr w:rsidR="003A38FF" w:rsidRPr="00D83DA2" w14:paraId="6D05E7CA" w14:textId="08CED303" w:rsidTr="00FB5DAD">
        <w:tc>
          <w:tcPr>
            <w:tcW w:w="4706" w:type="dxa"/>
          </w:tcPr>
          <w:p w14:paraId="01246A12"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sz w:val="16"/>
                <w:szCs w:val="16"/>
              </w:rPr>
              <w:t>La aplicación de los mecanismos a que se refiere el presente artículo debe realizarse dentro del procedimiento administrativo de sanción y hasta antes de que se emita la resolución que ponga fin al mismo, siempre y cuando se satisfaga lo establecido en el presente reglamento y la normatividad que para tal efecto emitan la Secretaría y la CNE, en el ámbito de sus respectivas atribuciones.</w:t>
            </w:r>
          </w:p>
        </w:tc>
        <w:tc>
          <w:tcPr>
            <w:tcW w:w="4644" w:type="dxa"/>
          </w:tcPr>
          <w:p w14:paraId="0181BE36" w14:textId="6F068BDC" w:rsidR="003A38FF" w:rsidRPr="00D0180E" w:rsidRDefault="003A38FF" w:rsidP="003A38FF">
            <w:pPr>
              <w:pStyle w:val="Texto"/>
              <w:spacing w:line="228" w:lineRule="exact"/>
              <w:ind w:firstLine="0"/>
              <w:rPr>
                <w:rFonts w:ascii="Verdana" w:hAnsi="Verdana"/>
                <w:sz w:val="16"/>
                <w:szCs w:val="16"/>
                <w:lang w:val="en-US"/>
              </w:rPr>
            </w:pPr>
            <w:r w:rsidRPr="001A4FEF">
              <w:rPr>
                <w:rFonts w:ascii="Verdana" w:hAnsi="Verdana"/>
                <w:sz w:val="16"/>
                <w:szCs w:val="16"/>
                <w:lang w:val="en-US"/>
              </w:rPr>
              <w:t xml:space="preserve">The application of the mechanisms referred to in this article must be carried out within the administrative sanction procedure and before the resolution ending it is issued, provided that the provisions of this regulation and the </w:t>
            </w:r>
            <w:r>
              <w:rPr>
                <w:rFonts w:ascii="Verdana" w:hAnsi="Verdana"/>
                <w:sz w:val="16"/>
                <w:szCs w:val="16"/>
                <w:lang w:val="en-US"/>
              </w:rPr>
              <w:t>Legislation issued for this purpose by the Secretary</w:t>
            </w:r>
            <w:r w:rsidRPr="001A4FEF">
              <w:rPr>
                <w:rFonts w:ascii="Verdana" w:hAnsi="Verdana"/>
                <w:sz w:val="16"/>
                <w:szCs w:val="16"/>
                <w:lang w:val="en-US"/>
              </w:rPr>
              <w:t xml:space="preserve"> and the CNE, within the scope of their respective powers, are met.</w:t>
            </w:r>
          </w:p>
        </w:tc>
      </w:tr>
      <w:tr w:rsidR="003A38FF" w:rsidRPr="00D83DA2" w14:paraId="2FEB79F5" w14:textId="696ABFDB" w:rsidTr="00FB5DAD">
        <w:tc>
          <w:tcPr>
            <w:tcW w:w="4706" w:type="dxa"/>
          </w:tcPr>
          <w:p w14:paraId="169A1384" w14:textId="77777777" w:rsidR="003A38FF" w:rsidRPr="00D0180E" w:rsidRDefault="003A38FF" w:rsidP="003A38FF">
            <w:pPr>
              <w:pStyle w:val="Texto"/>
              <w:spacing w:line="228" w:lineRule="exact"/>
              <w:ind w:firstLine="0"/>
              <w:rPr>
                <w:rFonts w:ascii="Verdana" w:hAnsi="Verdana"/>
                <w:sz w:val="16"/>
                <w:szCs w:val="16"/>
              </w:rPr>
            </w:pPr>
            <w:r w:rsidRPr="00D0180E">
              <w:rPr>
                <w:rFonts w:ascii="Verdana" w:hAnsi="Verdana"/>
                <w:sz w:val="16"/>
                <w:szCs w:val="16"/>
              </w:rPr>
              <w:t>En todo caso, la implementación de lo anterior debe suspender los plazos de caducidad del procedimiento administrativo de sanción, desde que sea solicitado por el presunto infractor y hasta en tanto se dicte resolución por la Secretaría o la CNE, en la que determine si el presunto infractor reparó el daño, implementó mecanismos de no repetición, o bien, presentó la información requerida a efectos de regularizar los incumplimientos imputados.</w:t>
            </w:r>
          </w:p>
        </w:tc>
        <w:tc>
          <w:tcPr>
            <w:tcW w:w="4644" w:type="dxa"/>
          </w:tcPr>
          <w:p w14:paraId="3F4F3523" w14:textId="0CC02EF6" w:rsidR="003A38FF" w:rsidRPr="00D0180E" w:rsidRDefault="003A38FF" w:rsidP="003A38FF">
            <w:pPr>
              <w:pStyle w:val="Texto"/>
              <w:spacing w:line="228" w:lineRule="exact"/>
              <w:ind w:firstLine="0"/>
              <w:rPr>
                <w:rFonts w:ascii="Verdana" w:hAnsi="Verdana"/>
                <w:sz w:val="16"/>
                <w:szCs w:val="16"/>
                <w:lang w:val="en-US"/>
              </w:rPr>
            </w:pPr>
            <w:r w:rsidRPr="001A4FEF">
              <w:rPr>
                <w:rFonts w:ascii="Verdana" w:hAnsi="Verdana"/>
                <w:sz w:val="16"/>
                <w:szCs w:val="16"/>
                <w:lang w:val="en-US"/>
              </w:rPr>
              <w:t>In any case, the implementation of the above should suspend the expiration periods of the administrative sanction procedure, from the moment it is requested by the alleged offender and until a resolution is issued by the Secretary or the CNE, determining whether the alleged offender repaired the damage, implemented non-repetition mechanisms, or submitted the information required to regularize the alleged non-compliances.</w:t>
            </w:r>
          </w:p>
        </w:tc>
      </w:tr>
      <w:tr w:rsidR="003A38FF" w:rsidRPr="00D83DA2" w14:paraId="15BFECEA" w14:textId="5CB65954" w:rsidTr="00FB5DAD">
        <w:tc>
          <w:tcPr>
            <w:tcW w:w="4706" w:type="dxa"/>
          </w:tcPr>
          <w:p w14:paraId="77B27F05"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b/>
                <w:sz w:val="16"/>
                <w:szCs w:val="16"/>
              </w:rPr>
              <w:t xml:space="preserve">Artículo 303. </w:t>
            </w:r>
            <w:r w:rsidRPr="00D0180E">
              <w:rPr>
                <w:rFonts w:ascii="Verdana" w:hAnsi="Verdana"/>
                <w:sz w:val="16"/>
                <w:szCs w:val="16"/>
              </w:rPr>
              <w:t>Para efectos del artículo anterior, los mecanismos de reparación están sujetos a los siguientes criterios:</w:t>
            </w:r>
          </w:p>
        </w:tc>
        <w:tc>
          <w:tcPr>
            <w:tcW w:w="4644" w:type="dxa"/>
          </w:tcPr>
          <w:p w14:paraId="5A8DCEA5" w14:textId="09BEBB16" w:rsidR="003A38FF" w:rsidRPr="00D0180E" w:rsidRDefault="003A38FF" w:rsidP="003A38FF">
            <w:pPr>
              <w:pStyle w:val="Texto"/>
              <w:spacing w:line="236" w:lineRule="exact"/>
              <w:ind w:firstLine="0"/>
              <w:rPr>
                <w:rFonts w:ascii="Verdana" w:hAnsi="Verdana"/>
                <w:b/>
                <w:sz w:val="16"/>
                <w:szCs w:val="16"/>
                <w:lang w:val="en-US"/>
              </w:rPr>
            </w:pPr>
            <w:r w:rsidRPr="00363715">
              <w:rPr>
                <w:rFonts w:ascii="Verdana" w:hAnsi="Verdana"/>
                <w:b/>
                <w:sz w:val="16"/>
                <w:szCs w:val="16"/>
                <w:lang w:val="en-US"/>
              </w:rPr>
              <w:t xml:space="preserve">Article 303. </w:t>
            </w:r>
            <w:r w:rsidRPr="00363715">
              <w:rPr>
                <w:rFonts w:ascii="Verdana" w:hAnsi="Verdana"/>
                <w:sz w:val="16"/>
                <w:szCs w:val="16"/>
                <w:lang w:val="en-US"/>
              </w:rPr>
              <w:t>For the purposes of the preceding article, reparation mechanisms are subject to the following criteria:</w:t>
            </w:r>
          </w:p>
        </w:tc>
      </w:tr>
      <w:tr w:rsidR="003A38FF" w:rsidRPr="00D83DA2" w14:paraId="6A24F63C" w14:textId="0D3D75B3" w:rsidTr="00FB5DAD">
        <w:tc>
          <w:tcPr>
            <w:tcW w:w="4706" w:type="dxa"/>
          </w:tcPr>
          <w:p w14:paraId="7EF0777D"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Los beneficios al Sistema Eléctrico Nacional que se generen con las acciones de reparación realizadas;</w:t>
            </w:r>
          </w:p>
        </w:tc>
        <w:tc>
          <w:tcPr>
            <w:tcW w:w="4644" w:type="dxa"/>
          </w:tcPr>
          <w:p w14:paraId="09D8FAC5" w14:textId="16FC2E44" w:rsidR="003A38FF" w:rsidRPr="00D0180E" w:rsidRDefault="003A38FF" w:rsidP="003A38FF">
            <w:pPr>
              <w:pStyle w:val="Texto"/>
              <w:spacing w:line="236" w:lineRule="exact"/>
              <w:ind w:firstLine="0"/>
              <w:rPr>
                <w:rFonts w:ascii="Verdana" w:hAnsi="Verdana"/>
                <w:b/>
                <w:sz w:val="16"/>
                <w:szCs w:val="16"/>
                <w:lang w:val="en-US"/>
              </w:rPr>
            </w:pPr>
            <w:r w:rsidRPr="00363715">
              <w:rPr>
                <w:rFonts w:ascii="Verdana" w:hAnsi="Verdana"/>
                <w:b/>
                <w:sz w:val="16"/>
                <w:szCs w:val="16"/>
                <w:lang w:val="en-US"/>
              </w:rPr>
              <w:t>I</w:t>
            </w:r>
            <w:proofErr w:type="gramStart"/>
            <w:r w:rsidRPr="00363715">
              <w:rPr>
                <w:rFonts w:ascii="Verdana" w:hAnsi="Verdana"/>
                <w:b/>
                <w:sz w:val="16"/>
                <w:szCs w:val="16"/>
                <w:lang w:val="en-US"/>
              </w:rPr>
              <w:t xml:space="preserve">. </w:t>
            </w:r>
            <w:r w:rsidRPr="00363715">
              <w:rPr>
                <w:rFonts w:ascii="Verdana" w:hAnsi="Verdana"/>
                <w:b/>
                <w:sz w:val="16"/>
                <w:szCs w:val="16"/>
                <w:lang w:val="en-US"/>
              </w:rPr>
              <w:tab/>
            </w:r>
            <w:r w:rsidRPr="00363715">
              <w:rPr>
                <w:rFonts w:ascii="Verdana" w:hAnsi="Verdana"/>
                <w:sz w:val="16"/>
                <w:szCs w:val="16"/>
                <w:lang w:val="en-US"/>
              </w:rPr>
              <w:t>The</w:t>
            </w:r>
            <w:proofErr w:type="gramEnd"/>
            <w:r w:rsidRPr="00363715">
              <w:rPr>
                <w:rFonts w:ascii="Verdana" w:hAnsi="Verdana"/>
                <w:sz w:val="16"/>
                <w:szCs w:val="16"/>
                <w:lang w:val="en-US"/>
              </w:rPr>
              <w:t xml:space="preserve"> benefits to the </w:t>
            </w:r>
            <w:r>
              <w:rPr>
                <w:rFonts w:ascii="Verdana" w:hAnsi="Verdana"/>
                <w:sz w:val="16"/>
                <w:szCs w:val="16"/>
                <w:lang w:val="en-US"/>
              </w:rPr>
              <w:t>National Electric System</w:t>
            </w:r>
            <w:r w:rsidRPr="00363715">
              <w:rPr>
                <w:rFonts w:ascii="Verdana" w:hAnsi="Verdana"/>
                <w:sz w:val="16"/>
                <w:szCs w:val="16"/>
                <w:lang w:val="en-US"/>
              </w:rPr>
              <w:t xml:space="preserve"> generated by the repair actions carried out;</w:t>
            </w:r>
          </w:p>
        </w:tc>
      </w:tr>
      <w:tr w:rsidR="003A38FF" w:rsidRPr="00D83DA2" w14:paraId="5FB4C56E" w14:textId="64190785" w:rsidTr="00FB5DAD">
        <w:tc>
          <w:tcPr>
            <w:tcW w:w="4706" w:type="dxa"/>
          </w:tcPr>
          <w:p w14:paraId="27075781"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Los beneficios sociales a comunidades y núcleos de población;</w:t>
            </w:r>
          </w:p>
        </w:tc>
        <w:tc>
          <w:tcPr>
            <w:tcW w:w="4644" w:type="dxa"/>
          </w:tcPr>
          <w:p w14:paraId="2F425CBF" w14:textId="423B2BD6" w:rsidR="003A38FF" w:rsidRPr="00D0180E" w:rsidRDefault="003A38FF" w:rsidP="003A38FF">
            <w:pPr>
              <w:pStyle w:val="Texto"/>
              <w:spacing w:line="236" w:lineRule="exact"/>
              <w:ind w:firstLine="0"/>
              <w:rPr>
                <w:rFonts w:ascii="Verdana" w:hAnsi="Verdana"/>
                <w:b/>
                <w:sz w:val="16"/>
                <w:szCs w:val="16"/>
                <w:lang w:val="en-US"/>
              </w:rPr>
            </w:pPr>
            <w:r w:rsidRPr="00363715">
              <w:rPr>
                <w:rFonts w:ascii="Verdana" w:hAnsi="Verdana"/>
                <w:b/>
                <w:sz w:val="16"/>
                <w:szCs w:val="16"/>
                <w:lang w:val="en-US"/>
              </w:rPr>
              <w:t>II</w:t>
            </w:r>
            <w:proofErr w:type="gramStart"/>
            <w:r w:rsidRPr="00363715">
              <w:rPr>
                <w:rFonts w:ascii="Verdana" w:hAnsi="Verdana"/>
                <w:b/>
                <w:sz w:val="16"/>
                <w:szCs w:val="16"/>
                <w:lang w:val="en-US"/>
              </w:rPr>
              <w:t xml:space="preserve">. </w:t>
            </w:r>
            <w:r w:rsidRPr="00363715">
              <w:rPr>
                <w:rFonts w:ascii="Verdana" w:hAnsi="Verdana"/>
                <w:b/>
                <w:sz w:val="16"/>
                <w:szCs w:val="16"/>
                <w:lang w:val="en-US"/>
              </w:rPr>
              <w:tab/>
            </w:r>
            <w:r w:rsidRPr="00363715">
              <w:rPr>
                <w:rFonts w:ascii="Verdana" w:hAnsi="Verdana"/>
                <w:sz w:val="16"/>
                <w:szCs w:val="16"/>
                <w:lang w:val="en-US"/>
              </w:rPr>
              <w:t>Social</w:t>
            </w:r>
            <w:proofErr w:type="gramEnd"/>
            <w:r w:rsidRPr="00363715">
              <w:rPr>
                <w:rFonts w:ascii="Verdana" w:hAnsi="Verdana"/>
                <w:sz w:val="16"/>
                <w:szCs w:val="16"/>
                <w:lang w:val="en-US"/>
              </w:rPr>
              <w:t xml:space="preserve"> benefits to communities and population centers;</w:t>
            </w:r>
          </w:p>
        </w:tc>
      </w:tr>
      <w:tr w:rsidR="003A38FF" w:rsidRPr="00D83DA2" w14:paraId="674F3B6F" w14:textId="1FECE6A7" w:rsidTr="00FB5DAD">
        <w:tc>
          <w:tcPr>
            <w:tcW w:w="4706" w:type="dxa"/>
          </w:tcPr>
          <w:p w14:paraId="3506F76F"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Mecanismos que procuren la no repetición de la conducta u omisión, y</w:t>
            </w:r>
          </w:p>
        </w:tc>
        <w:tc>
          <w:tcPr>
            <w:tcW w:w="4644" w:type="dxa"/>
          </w:tcPr>
          <w:p w14:paraId="5E595149" w14:textId="730D7992" w:rsidR="003A38FF" w:rsidRPr="00D0180E" w:rsidRDefault="003A38FF" w:rsidP="003A38FF">
            <w:pPr>
              <w:pStyle w:val="Texto"/>
              <w:spacing w:line="236" w:lineRule="exact"/>
              <w:ind w:firstLine="0"/>
              <w:rPr>
                <w:rFonts w:ascii="Verdana" w:hAnsi="Verdana"/>
                <w:b/>
                <w:sz w:val="16"/>
                <w:szCs w:val="16"/>
                <w:lang w:val="en-US"/>
              </w:rPr>
            </w:pPr>
            <w:r w:rsidRPr="00363715">
              <w:rPr>
                <w:rFonts w:ascii="Verdana" w:hAnsi="Verdana"/>
                <w:b/>
                <w:sz w:val="16"/>
                <w:szCs w:val="16"/>
                <w:lang w:val="en-US"/>
              </w:rPr>
              <w:t>III</w:t>
            </w:r>
            <w:proofErr w:type="gramStart"/>
            <w:r w:rsidRPr="00363715">
              <w:rPr>
                <w:rFonts w:ascii="Verdana" w:hAnsi="Verdana"/>
                <w:b/>
                <w:sz w:val="16"/>
                <w:szCs w:val="16"/>
                <w:lang w:val="en-US"/>
              </w:rPr>
              <w:t xml:space="preserve">. </w:t>
            </w:r>
            <w:r w:rsidRPr="00363715">
              <w:rPr>
                <w:rFonts w:ascii="Verdana" w:hAnsi="Verdana"/>
                <w:b/>
                <w:sz w:val="16"/>
                <w:szCs w:val="16"/>
                <w:lang w:val="en-US"/>
              </w:rPr>
              <w:tab/>
            </w:r>
            <w:r w:rsidRPr="00363715">
              <w:rPr>
                <w:rFonts w:ascii="Verdana" w:hAnsi="Verdana"/>
                <w:sz w:val="16"/>
                <w:szCs w:val="16"/>
                <w:lang w:val="en-US"/>
              </w:rPr>
              <w:t>Mechanisms</w:t>
            </w:r>
            <w:proofErr w:type="gramEnd"/>
            <w:r w:rsidRPr="00363715">
              <w:rPr>
                <w:rFonts w:ascii="Verdana" w:hAnsi="Verdana"/>
                <w:sz w:val="16"/>
                <w:szCs w:val="16"/>
                <w:lang w:val="en-US"/>
              </w:rPr>
              <w:t xml:space="preserve"> that ensure that the conduct or omission is not repeated, and</w:t>
            </w:r>
          </w:p>
        </w:tc>
      </w:tr>
      <w:tr w:rsidR="003A38FF" w:rsidRPr="00D83DA2" w14:paraId="76C4729D" w14:textId="23903556" w:rsidTr="00FB5DAD">
        <w:tc>
          <w:tcPr>
            <w:tcW w:w="4706" w:type="dxa"/>
          </w:tcPr>
          <w:p w14:paraId="65A7F08E"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En su caso, la regularización de las actividades conforme a los títulos de permiso, autorizaciones, registros, emitidos por la Secretaría o la CNE.</w:t>
            </w:r>
          </w:p>
        </w:tc>
        <w:tc>
          <w:tcPr>
            <w:tcW w:w="4644" w:type="dxa"/>
          </w:tcPr>
          <w:p w14:paraId="6E5AF995" w14:textId="0DBF05C6" w:rsidR="003A38FF" w:rsidRPr="00D0180E" w:rsidRDefault="003A38FF" w:rsidP="003A38FF">
            <w:pPr>
              <w:pStyle w:val="Texto"/>
              <w:spacing w:line="236" w:lineRule="exact"/>
              <w:ind w:firstLine="0"/>
              <w:rPr>
                <w:rFonts w:ascii="Verdana" w:hAnsi="Verdana"/>
                <w:b/>
                <w:sz w:val="16"/>
                <w:szCs w:val="16"/>
                <w:lang w:val="en-US"/>
              </w:rPr>
            </w:pPr>
            <w:r w:rsidRPr="00363715">
              <w:rPr>
                <w:rFonts w:ascii="Verdana" w:hAnsi="Verdana"/>
                <w:b/>
                <w:sz w:val="16"/>
                <w:szCs w:val="16"/>
                <w:lang w:val="en-US"/>
              </w:rPr>
              <w:t>IV</w:t>
            </w:r>
            <w:proofErr w:type="gramStart"/>
            <w:r w:rsidRPr="00363715">
              <w:rPr>
                <w:rFonts w:ascii="Verdana" w:hAnsi="Verdana"/>
                <w:b/>
                <w:sz w:val="16"/>
                <w:szCs w:val="16"/>
                <w:lang w:val="en-US"/>
              </w:rPr>
              <w:t xml:space="preserve">. </w:t>
            </w:r>
            <w:r w:rsidRPr="00363715">
              <w:rPr>
                <w:rFonts w:ascii="Verdana" w:hAnsi="Verdana"/>
                <w:b/>
                <w:sz w:val="16"/>
                <w:szCs w:val="16"/>
                <w:lang w:val="en-US"/>
              </w:rPr>
              <w:tab/>
            </w:r>
            <w:r w:rsidRPr="00363715">
              <w:rPr>
                <w:rFonts w:ascii="Verdana" w:hAnsi="Verdana"/>
                <w:sz w:val="16"/>
                <w:szCs w:val="16"/>
                <w:lang w:val="en-US"/>
              </w:rPr>
              <w:t>Where</w:t>
            </w:r>
            <w:proofErr w:type="gramEnd"/>
            <w:r w:rsidRPr="00363715">
              <w:rPr>
                <w:rFonts w:ascii="Verdana" w:hAnsi="Verdana"/>
                <w:sz w:val="16"/>
                <w:szCs w:val="16"/>
                <w:lang w:val="en-US"/>
              </w:rPr>
              <w:t xml:space="preserve"> applicable, the regularization of activities in accordance with the permits, </w:t>
            </w:r>
            <w:r w:rsidRPr="00363715">
              <w:rPr>
                <w:rFonts w:ascii="Verdana" w:hAnsi="Verdana"/>
                <w:sz w:val="16"/>
                <w:szCs w:val="16"/>
                <w:lang w:val="en-US"/>
              </w:rPr>
              <w:lastRenderedPageBreak/>
              <w:t>authorizations, and registrations issued by the Secretary or the CNE.</w:t>
            </w:r>
          </w:p>
        </w:tc>
      </w:tr>
      <w:tr w:rsidR="003A38FF" w:rsidRPr="00D83DA2" w14:paraId="3B423218" w14:textId="3325C510" w:rsidTr="00FB5DAD">
        <w:tc>
          <w:tcPr>
            <w:tcW w:w="4706" w:type="dxa"/>
          </w:tcPr>
          <w:p w14:paraId="696DFAFA" w14:textId="77777777" w:rsidR="003A38FF" w:rsidRPr="00D0180E" w:rsidRDefault="003A38FF" w:rsidP="003A38FF">
            <w:pPr>
              <w:pStyle w:val="Texto"/>
              <w:spacing w:line="236" w:lineRule="exact"/>
              <w:ind w:firstLine="0"/>
              <w:rPr>
                <w:rFonts w:ascii="Verdana" w:hAnsi="Verdana"/>
                <w:sz w:val="16"/>
                <w:szCs w:val="16"/>
                <w:lang w:val="es"/>
              </w:rPr>
            </w:pPr>
            <w:r w:rsidRPr="00D0180E">
              <w:rPr>
                <w:rFonts w:ascii="Verdana" w:hAnsi="Verdana"/>
                <w:b/>
                <w:sz w:val="16"/>
                <w:szCs w:val="16"/>
                <w:lang w:val="es"/>
              </w:rPr>
              <w:lastRenderedPageBreak/>
              <w:t>Artículo 304.</w:t>
            </w:r>
            <w:r w:rsidRPr="00D0180E">
              <w:rPr>
                <w:rFonts w:ascii="Verdana" w:hAnsi="Verdana"/>
                <w:sz w:val="16"/>
                <w:szCs w:val="16"/>
                <w:lang w:val="es"/>
              </w:rPr>
              <w:t xml:space="preserve"> En la normatividad que para tal efecto emitan la Secretaría o la CNE en el ámbito de sus atribuciones, se debe establecer entre otros, el procedimiento para la determinación, ejecución y evaluación en la implementación del mecanismo al que se refiere el artículo anterior.</w:t>
            </w:r>
          </w:p>
        </w:tc>
        <w:tc>
          <w:tcPr>
            <w:tcW w:w="4644" w:type="dxa"/>
          </w:tcPr>
          <w:p w14:paraId="4B05BB12" w14:textId="013D507C" w:rsidR="003A38FF" w:rsidRPr="00D0180E" w:rsidRDefault="003A38FF" w:rsidP="003A38FF">
            <w:pPr>
              <w:pStyle w:val="Texto"/>
              <w:spacing w:line="236" w:lineRule="exact"/>
              <w:ind w:firstLine="0"/>
              <w:rPr>
                <w:rFonts w:ascii="Verdana" w:hAnsi="Verdana"/>
                <w:b/>
                <w:sz w:val="16"/>
                <w:szCs w:val="16"/>
                <w:lang w:val="en-US"/>
              </w:rPr>
            </w:pPr>
            <w:r w:rsidRPr="00363715">
              <w:rPr>
                <w:rFonts w:ascii="Verdana" w:hAnsi="Verdana"/>
                <w:b/>
                <w:sz w:val="16"/>
                <w:szCs w:val="16"/>
                <w:lang w:val="en-US"/>
              </w:rPr>
              <w:t xml:space="preserve">Article 304. </w:t>
            </w:r>
            <w:r w:rsidRPr="00363715">
              <w:rPr>
                <w:rFonts w:ascii="Verdana" w:hAnsi="Verdana"/>
                <w:sz w:val="16"/>
                <w:szCs w:val="16"/>
                <w:lang w:val="en-US"/>
              </w:rPr>
              <w:t>The Legislation issued for this purpose by the Secretary or the CNE within the scope of their powers must establish, among other things, the procedure for the determination, execution and evaluation in the implementation of the mechanism referred to in the preceding article.</w:t>
            </w:r>
          </w:p>
        </w:tc>
      </w:tr>
      <w:tr w:rsidR="003A38FF" w:rsidRPr="00D83DA2" w14:paraId="1618BE0B" w14:textId="35E68D96" w:rsidTr="00FB5DAD">
        <w:tc>
          <w:tcPr>
            <w:tcW w:w="4706" w:type="dxa"/>
          </w:tcPr>
          <w:p w14:paraId="7588A46C"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b/>
                <w:sz w:val="16"/>
                <w:szCs w:val="16"/>
              </w:rPr>
              <w:t xml:space="preserve">Artículo 305. </w:t>
            </w:r>
            <w:r w:rsidRPr="00D0180E">
              <w:rPr>
                <w:rFonts w:ascii="Verdana" w:hAnsi="Verdana"/>
                <w:sz w:val="16"/>
                <w:szCs w:val="16"/>
              </w:rPr>
              <w:t>En caso de negarse o impedir que se lleve a cabo alguno de los actos de verificación, revisión o inspección en los términos de la Ley y el presente reglamento, dicha situación se debe hacer constar en el acta circunstanciada que se levante para tales efectos, y ser sancionada en términos de lo previsto en el artículo 187 de la Ley.</w:t>
            </w:r>
          </w:p>
        </w:tc>
        <w:tc>
          <w:tcPr>
            <w:tcW w:w="4644" w:type="dxa"/>
          </w:tcPr>
          <w:p w14:paraId="68D28A7B" w14:textId="7197E1BB" w:rsidR="003A38FF" w:rsidRPr="00D0180E" w:rsidRDefault="003A38FF" w:rsidP="003A38FF">
            <w:pPr>
              <w:pStyle w:val="Texto"/>
              <w:spacing w:line="236" w:lineRule="exact"/>
              <w:ind w:firstLine="0"/>
              <w:rPr>
                <w:rFonts w:ascii="Verdana" w:hAnsi="Verdana"/>
                <w:b/>
                <w:sz w:val="16"/>
                <w:szCs w:val="16"/>
                <w:lang w:val="en-US"/>
              </w:rPr>
            </w:pPr>
            <w:r w:rsidRPr="00363715">
              <w:rPr>
                <w:rFonts w:ascii="Verdana" w:hAnsi="Verdana"/>
                <w:b/>
                <w:sz w:val="16"/>
                <w:szCs w:val="16"/>
                <w:lang w:val="en-US"/>
              </w:rPr>
              <w:t xml:space="preserve">Article 305. </w:t>
            </w:r>
            <w:r w:rsidRPr="00363715">
              <w:rPr>
                <w:rFonts w:ascii="Verdana" w:hAnsi="Verdana"/>
                <w:sz w:val="16"/>
                <w:szCs w:val="16"/>
                <w:lang w:val="en-US"/>
              </w:rPr>
              <w:t>In the event of refusal or impediment to the performance of any of the verification, review or inspection acts in accordance with the terms of the Law and this Regulation, this situation must be recorded in the detailed report drawn up for such purposes, and the sanction must be in accordance with the provisions of Article 187 of the Law.</w:t>
            </w:r>
          </w:p>
        </w:tc>
      </w:tr>
      <w:tr w:rsidR="003A38FF" w:rsidRPr="00D83DA2" w14:paraId="7454C78D" w14:textId="70178C76" w:rsidTr="00FB5DAD">
        <w:tc>
          <w:tcPr>
            <w:tcW w:w="4706" w:type="dxa"/>
          </w:tcPr>
          <w:p w14:paraId="4E3F7ABF"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b/>
                <w:sz w:val="16"/>
                <w:szCs w:val="16"/>
              </w:rPr>
              <w:t>Artículo 306.</w:t>
            </w:r>
            <w:r w:rsidRPr="00D0180E">
              <w:rPr>
                <w:rFonts w:ascii="Verdana" w:hAnsi="Verdana"/>
                <w:sz w:val="16"/>
                <w:szCs w:val="16"/>
              </w:rPr>
              <w:t xml:space="preserve"> La Secretaría y la CNE, en el ámbito de sus respectivas competencias pueden implementar un padrón de registro de personas físicas y morales sancionadas, a efecto de dar publicidad respecto a las infracciones cometidas a la Ley, al presente reglamento y las demás disposiciones que de estos emanen.</w:t>
            </w:r>
          </w:p>
        </w:tc>
        <w:tc>
          <w:tcPr>
            <w:tcW w:w="4644" w:type="dxa"/>
          </w:tcPr>
          <w:p w14:paraId="52748DC4" w14:textId="56039F5D" w:rsidR="003A38FF" w:rsidRPr="00D0180E" w:rsidRDefault="003A38FF" w:rsidP="003A38FF">
            <w:pPr>
              <w:pStyle w:val="Texto"/>
              <w:spacing w:line="236" w:lineRule="exact"/>
              <w:ind w:firstLine="0"/>
              <w:rPr>
                <w:rFonts w:ascii="Verdana" w:hAnsi="Verdana"/>
                <w:b/>
                <w:sz w:val="16"/>
                <w:szCs w:val="16"/>
                <w:lang w:val="en-US"/>
              </w:rPr>
            </w:pPr>
            <w:r w:rsidRPr="00363715">
              <w:rPr>
                <w:rFonts w:ascii="Verdana" w:hAnsi="Verdana"/>
                <w:b/>
                <w:sz w:val="16"/>
                <w:szCs w:val="16"/>
                <w:lang w:val="en-US"/>
              </w:rPr>
              <w:t xml:space="preserve">Article 306. </w:t>
            </w:r>
            <w:r w:rsidRPr="00363715">
              <w:rPr>
                <w:rFonts w:ascii="Verdana" w:hAnsi="Verdana"/>
                <w:sz w:val="16"/>
                <w:szCs w:val="16"/>
                <w:lang w:val="en-US"/>
              </w:rPr>
              <w:t xml:space="preserve">The Secretary and the CNE, within the scope of their respective powers, may implement a registry of sanctioned individuals and legal entities, </w:t>
            </w:r>
            <w:proofErr w:type="gramStart"/>
            <w:r w:rsidRPr="00363715">
              <w:rPr>
                <w:rFonts w:ascii="Verdana" w:hAnsi="Verdana"/>
                <w:sz w:val="16"/>
                <w:szCs w:val="16"/>
                <w:lang w:val="en-US"/>
              </w:rPr>
              <w:t>in order to</w:t>
            </w:r>
            <w:proofErr w:type="gramEnd"/>
            <w:r w:rsidRPr="00363715">
              <w:rPr>
                <w:rFonts w:ascii="Verdana" w:hAnsi="Verdana"/>
                <w:sz w:val="16"/>
                <w:szCs w:val="16"/>
                <w:lang w:val="en-US"/>
              </w:rPr>
              <w:t xml:space="preserve"> publicize violations committed against the Law, this regulation, and other provisions emanating from them.</w:t>
            </w:r>
          </w:p>
        </w:tc>
      </w:tr>
      <w:tr w:rsidR="003A38FF" w:rsidRPr="00D0180E" w14:paraId="6D3DAAD8" w14:textId="5C6F7EA1" w:rsidTr="00FB5DAD">
        <w:tc>
          <w:tcPr>
            <w:tcW w:w="4706" w:type="dxa"/>
          </w:tcPr>
          <w:p w14:paraId="73786814" w14:textId="77777777" w:rsidR="003A38FF" w:rsidRPr="00D0180E" w:rsidRDefault="003A38FF" w:rsidP="003A38FF">
            <w:pPr>
              <w:pStyle w:val="ANOTACION"/>
              <w:spacing w:line="236" w:lineRule="exact"/>
              <w:rPr>
                <w:rFonts w:ascii="Verdana" w:hAnsi="Verdana"/>
                <w:sz w:val="16"/>
                <w:szCs w:val="16"/>
              </w:rPr>
            </w:pPr>
            <w:r w:rsidRPr="00D0180E">
              <w:rPr>
                <w:rFonts w:ascii="Verdana" w:hAnsi="Verdana"/>
                <w:sz w:val="16"/>
                <w:szCs w:val="16"/>
              </w:rPr>
              <w:t>TRANSITORIOS</w:t>
            </w:r>
          </w:p>
        </w:tc>
        <w:tc>
          <w:tcPr>
            <w:tcW w:w="4644" w:type="dxa"/>
          </w:tcPr>
          <w:p w14:paraId="3C59CBF1" w14:textId="6EA3F985" w:rsidR="003A38FF" w:rsidRPr="00D0180E" w:rsidRDefault="003A38FF" w:rsidP="003A38FF">
            <w:pPr>
              <w:pStyle w:val="ANOTACION"/>
              <w:spacing w:line="236" w:lineRule="exact"/>
              <w:rPr>
                <w:rFonts w:ascii="Verdana" w:hAnsi="Verdana"/>
                <w:sz w:val="16"/>
                <w:szCs w:val="16"/>
                <w:lang w:val="en-US"/>
              </w:rPr>
            </w:pPr>
            <w:r w:rsidRPr="00D0180E">
              <w:rPr>
                <w:rFonts w:ascii="Verdana" w:hAnsi="Verdana"/>
                <w:sz w:val="16"/>
                <w:szCs w:val="16"/>
              </w:rPr>
              <w:t>TRANSI</w:t>
            </w:r>
            <w:r>
              <w:rPr>
                <w:rFonts w:ascii="Verdana" w:hAnsi="Verdana"/>
                <w:sz w:val="16"/>
                <w:szCs w:val="16"/>
              </w:rPr>
              <w:t>TIONAL ARTICLES</w:t>
            </w:r>
          </w:p>
        </w:tc>
      </w:tr>
      <w:tr w:rsidR="003A38FF" w:rsidRPr="00D83DA2" w14:paraId="55129FCE" w14:textId="5BF1B424" w:rsidTr="00FB5DAD">
        <w:tc>
          <w:tcPr>
            <w:tcW w:w="4706" w:type="dxa"/>
          </w:tcPr>
          <w:p w14:paraId="71D009BE"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b/>
                <w:sz w:val="16"/>
                <w:szCs w:val="16"/>
              </w:rPr>
              <w:t>Primero.</w:t>
            </w:r>
            <w:r w:rsidRPr="00D0180E">
              <w:rPr>
                <w:rFonts w:ascii="Verdana" w:hAnsi="Verdana"/>
                <w:sz w:val="16"/>
                <w:szCs w:val="16"/>
              </w:rPr>
              <w:t xml:space="preserve"> El presente reglamento entra en vigor al día siguiente de su publicación en el Diario </w:t>
            </w:r>
            <w:proofErr w:type="gramStart"/>
            <w:r w:rsidRPr="00D0180E">
              <w:rPr>
                <w:rFonts w:ascii="Verdana" w:hAnsi="Verdana"/>
                <w:sz w:val="16"/>
                <w:szCs w:val="16"/>
              </w:rPr>
              <w:t>Oficial  de</w:t>
            </w:r>
            <w:proofErr w:type="gramEnd"/>
            <w:r w:rsidRPr="00D0180E">
              <w:rPr>
                <w:rFonts w:ascii="Verdana" w:hAnsi="Verdana"/>
                <w:sz w:val="16"/>
                <w:szCs w:val="16"/>
              </w:rPr>
              <w:t xml:space="preserve"> la Federación.</w:t>
            </w:r>
          </w:p>
        </w:tc>
        <w:tc>
          <w:tcPr>
            <w:tcW w:w="4644" w:type="dxa"/>
          </w:tcPr>
          <w:p w14:paraId="6298AFE1" w14:textId="6760E83C" w:rsidR="003A38FF" w:rsidRPr="00D0180E" w:rsidRDefault="003A38FF" w:rsidP="003A38FF">
            <w:pPr>
              <w:pStyle w:val="Texto"/>
              <w:spacing w:line="236" w:lineRule="exact"/>
              <w:ind w:firstLine="0"/>
              <w:rPr>
                <w:rFonts w:ascii="Verdana" w:hAnsi="Verdana"/>
                <w:b/>
                <w:sz w:val="16"/>
                <w:szCs w:val="16"/>
                <w:lang w:val="en-US"/>
              </w:rPr>
            </w:pPr>
            <w:r w:rsidRPr="00363715">
              <w:rPr>
                <w:rFonts w:ascii="Verdana" w:hAnsi="Verdana"/>
                <w:b/>
                <w:sz w:val="16"/>
                <w:szCs w:val="16"/>
                <w:lang w:val="en-US"/>
              </w:rPr>
              <w:t xml:space="preserve">First. </w:t>
            </w:r>
            <w:r w:rsidRPr="00363715">
              <w:rPr>
                <w:rFonts w:ascii="Verdana" w:hAnsi="Verdana"/>
                <w:sz w:val="16"/>
                <w:szCs w:val="16"/>
                <w:lang w:val="en-US"/>
              </w:rPr>
              <w:t xml:space="preserve">This regulation enters into force on the day following its publication in the Official </w:t>
            </w:r>
            <w:r>
              <w:rPr>
                <w:rFonts w:ascii="Verdana" w:hAnsi="Verdana"/>
                <w:sz w:val="16"/>
                <w:szCs w:val="16"/>
                <w:lang w:val="en-US"/>
              </w:rPr>
              <w:t>Daily</w:t>
            </w:r>
            <w:r w:rsidRPr="00363715">
              <w:rPr>
                <w:rFonts w:ascii="Verdana" w:hAnsi="Verdana"/>
                <w:sz w:val="16"/>
                <w:szCs w:val="16"/>
                <w:lang w:val="en-US"/>
              </w:rPr>
              <w:t xml:space="preserve"> of the Federation.</w:t>
            </w:r>
          </w:p>
        </w:tc>
      </w:tr>
      <w:tr w:rsidR="003A38FF" w:rsidRPr="00D83DA2" w14:paraId="2399AAAD" w14:textId="16A02CAC" w:rsidTr="00FB5DAD">
        <w:tc>
          <w:tcPr>
            <w:tcW w:w="4706" w:type="dxa"/>
          </w:tcPr>
          <w:p w14:paraId="46897D53"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b/>
                <w:sz w:val="16"/>
                <w:szCs w:val="16"/>
              </w:rPr>
              <w:t>Segundo.</w:t>
            </w:r>
            <w:r w:rsidRPr="00D0180E">
              <w:rPr>
                <w:rFonts w:ascii="Verdana" w:hAnsi="Verdana"/>
                <w:sz w:val="16"/>
                <w:szCs w:val="16"/>
              </w:rPr>
              <w:t xml:space="preserve"> Se abrogan el Reglamento de la Ley de la Industria Eléctrica publicado en el Diario Oficial de la Federación el treinta y uno de octubre de dos mil catorce y las demás disposiciones jurídicas que se opongan al presente reglamento.</w:t>
            </w:r>
          </w:p>
        </w:tc>
        <w:tc>
          <w:tcPr>
            <w:tcW w:w="4644" w:type="dxa"/>
          </w:tcPr>
          <w:p w14:paraId="19DE8579" w14:textId="3D1A3D86" w:rsidR="003A38FF" w:rsidRPr="00D0180E" w:rsidRDefault="003A38FF" w:rsidP="003A38FF">
            <w:pPr>
              <w:pStyle w:val="Texto"/>
              <w:spacing w:line="236" w:lineRule="exact"/>
              <w:ind w:firstLine="0"/>
              <w:rPr>
                <w:rFonts w:ascii="Verdana" w:hAnsi="Verdana"/>
                <w:b/>
                <w:sz w:val="16"/>
                <w:szCs w:val="16"/>
                <w:lang w:val="en-US"/>
              </w:rPr>
            </w:pPr>
            <w:r w:rsidRPr="00363715">
              <w:rPr>
                <w:rFonts w:ascii="Verdana" w:hAnsi="Verdana"/>
                <w:b/>
                <w:sz w:val="16"/>
                <w:szCs w:val="16"/>
                <w:lang w:val="en-US"/>
              </w:rPr>
              <w:t xml:space="preserve">Second. </w:t>
            </w:r>
            <w:r w:rsidRPr="00363715">
              <w:rPr>
                <w:rFonts w:ascii="Verdana" w:hAnsi="Verdana"/>
                <w:sz w:val="16"/>
                <w:szCs w:val="16"/>
                <w:lang w:val="en-US"/>
              </w:rPr>
              <w:t xml:space="preserve">The Regulation of the </w:t>
            </w:r>
            <w:r>
              <w:rPr>
                <w:rFonts w:ascii="Verdana" w:hAnsi="Verdana"/>
                <w:sz w:val="16"/>
                <w:szCs w:val="16"/>
                <w:lang w:val="en-US"/>
              </w:rPr>
              <w:t>Law of the Electricity Industry</w:t>
            </w:r>
            <w:r w:rsidRPr="00363715">
              <w:rPr>
                <w:rFonts w:ascii="Verdana" w:hAnsi="Verdana"/>
                <w:sz w:val="16"/>
                <w:szCs w:val="16"/>
                <w:lang w:val="en-US"/>
              </w:rPr>
              <w:t xml:space="preserve"> published in the Official </w:t>
            </w:r>
            <w:r>
              <w:rPr>
                <w:rFonts w:ascii="Verdana" w:hAnsi="Verdana"/>
                <w:sz w:val="16"/>
                <w:szCs w:val="16"/>
                <w:lang w:val="en-US"/>
              </w:rPr>
              <w:t>Daily</w:t>
            </w:r>
            <w:r w:rsidRPr="00363715">
              <w:rPr>
                <w:rFonts w:ascii="Verdana" w:hAnsi="Verdana"/>
                <w:sz w:val="16"/>
                <w:szCs w:val="16"/>
                <w:lang w:val="en-US"/>
              </w:rPr>
              <w:t xml:space="preserve"> of the Federation on October 31, 2014, and any other legal provisions that conflict with this Regulation are hereby repealed.</w:t>
            </w:r>
          </w:p>
        </w:tc>
      </w:tr>
      <w:tr w:rsidR="003A38FF" w:rsidRPr="00D83DA2" w14:paraId="73A1B270" w14:textId="08B33546" w:rsidTr="00FB5DAD">
        <w:tc>
          <w:tcPr>
            <w:tcW w:w="4706" w:type="dxa"/>
          </w:tcPr>
          <w:p w14:paraId="59357A4D"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sz w:val="16"/>
                <w:szCs w:val="16"/>
              </w:rPr>
              <w:t>El Reglamento de la Ley del Servicio Público de Energía Eléctrica en materia de Aportaciones permanece en vigor, en lo que no se oponga al presente reglamento, en tanto la CNE emite las disposiciones administrativas de carácter general en la materia a que se refiere el artículo 127 de este reglamento.</w:t>
            </w:r>
          </w:p>
        </w:tc>
        <w:tc>
          <w:tcPr>
            <w:tcW w:w="4644" w:type="dxa"/>
          </w:tcPr>
          <w:p w14:paraId="5E0F6863" w14:textId="68362FD8" w:rsidR="003A38FF" w:rsidRPr="00D0180E" w:rsidRDefault="003A38FF" w:rsidP="003A38FF">
            <w:pPr>
              <w:pStyle w:val="Texto"/>
              <w:spacing w:line="236" w:lineRule="exact"/>
              <w:ind w:firstLine="0"/>
              <w:rPr>
                <w:rFonts w:ascii="Verdana" w:hAnsi="Verdana"/>
                <w:sz w:val="16"/>
                <w:szCs w:val="16"/>
                <w:lang w:val="en-US"/>
              </w:rPr>
            </w:pPr>
            <w:r w:rsidRPr="00363715">
              <w:rPr>
                <w:rFonts w:ascii="Verdana" w:hAnsi="Verdana"/>
                <w:sz w:val="16"/>
                <w:szCs w:val="16"/>
                <w:lang w:val="en-US"/>
              </w:rPr>
              <w:t>The Regulation of the Public Electric Power Service Law regarding Contributions remains in force, insofar as they do not conflict with this Regulation, while the CNE issues the general administrative provisions on the matter referred to in Article 127 of this Regulation.</w:t>
            </w:r>
          </w:p>
        </w:tc>
      </w:tr>
      <w:tr w:rsidR="003A38FF" w:rsidRPr="00D83DA2" w14:paraId="56D6402E" w14:textId="10249361" w:rsidTr="00FB5DAD">
        <w:tc>
          <w:tcPr>
            <w:tcW w:w="4706" w:type="dxa"/>
          </w:tcPr>
          <w:p w14:paraId="1D47640E" w14:textId="77777777" w:rsidR="003A38FF" w:rsidRPr="00D0180E" w:rsidRDefault="003A38FF" w:rsidP="003A38FF">
            <w:pPr>
              <w:pStyle w:val="Texto"/>
              <w:spacing w:line="236" w:lineRule="exact"/>
              <w:ind w:firstLine="0"/>
              <w:rPr>
                <w:rFonts w:ascii="Verdana" w:hAnsi="Verdana"/>
                <w:sz w:val="16"/>
                <w:szCs w:val="16"/>
              </w:rPr>
            </w:pPr>
            <w:bookmarkStart w:id="14" w:name="OLE_LINK4"/>
            <w:r w:rsidRPr="00D0180E">
              <w:rPr>
                <w:rFonts w:ascii="Verdana" w:hAnsi="Verdana"/>
                <w:b/>
                <w:sz w:val="16"/>
                <w:szCs w:val="16"/>
              </w:rPr>
              <w:t>Tercero.</w:t>
            </w:r>
            <w:r w:rsidRPr="00D0180E">
              <w:rPr>
                <w:rFonts w:ascii="Verdana" w:hAnsi="Verdana"/>
                <w:sz w:val="16"/>
                <w:szCs w:val="16"/>
              </w:rPr>
              <w:t xml:space="preserve"> Los contratos que a la entrada en vigor de este</w:t>
            </w:r>
            <w:r w:rsidRPr="00D0180E">
              <w:rPr>
                <w:rFonts w:ascii="Verdana" w:hAnsi="Verdana"/>
                <w:b/>
                <w:sz w:val="16"/>
                <w:szCs w:val="16"/>
              </w:rPr>
              <w:t xml:space="preserve"> </w:t>
            </w:r>
            <w:r w:rsidRPr="00D0180E">
              <w:rPr>
                <w:rFonts w:ascii="Verdana" w:hAnsi="Verdana"/>
                <w:sz w:val="16"/>
                <w:szCs w:val="16"/>
              </w:rPr>
              <w:t>reglamento se encuentren vigentes, así como cualesquiera otros actos que deriven de los mismos que hayan sido celebrados con la Empresa Productiva del Estado, Comisión Federal de Electricidad y sus subsidiarias al amparo del Reglamento de la Ley de la Industria Eléctrica, se deben transferir a la Empresa Pública del Estado y surten</w:t>
            </w:r>
            <w:r w:rsidRPr="00D0180E">
              <w:rPr>
                <w:rFonts w:ascii="Verdana" w:hAnsi="Verdana"/>
                <w:b/>
                <w:sz w:val="16"/>
                <w:szCs w:val="16"/>
              </w:rPr>
              <w:t xml:space="preserve"> </w:t>
            </w:r>
            <w:r w:rsidRPr="00D0180E">
              <w:rPr>
                <w:rFonts w:ascii="Verdana" w:hAnsi="Verdana"/>
                <w:sz w:val="16"/>
                <w:szCs w:val="16"/>
              </w:rPr>
              <w:t xml:space="preserve">efectos hasta la terminación de su vigencia bajo los términos y condiciones en que hayan sido suscritos, en lo que no se opongan a lo dispuesto en la Ley y este ordenamiento. Para tales efectos, la Empresa Pública del Estado debe mantener la separación de sus actividades en materia de nominaciones y ofertas para el Mercado Eléctrico Mayorista en congruencia con el sistema de liquidación, </w:t>
            </w:r>
            <w:r w:rsidRPr="00D0180E">
              <w:rPr>
                <w:rFonts w:ascii="Verdana" w:hAnsi="Verdana"/>
                <w:sz w:val="16"/>
                <w:szCs w:val="16"/>
              </w:rPr>
              <w:lastRenderedPageBreak/>
              <w:t>reliquidación, facturación, emisión de estados de cuenta, cobranza y balance financiero del mercado.</w:t>
            </w:r>
          </w:p>
        </w:tc>
        <w:tc>
          <w:tcPr>
            <w:tcW w:w="4644" w:type="dxa"/>
          </w:tcPr>
          <w:p w14:paraId="6636BBEA" w14:textId="329E570E" w:rsidR="003A38FF" w:rsidRPr="00D0180E" w:rsidRDefault="003A38FF" w:rsidP="003A38FF">
            <w:pPr>
              <w:pStyle w:val="Texto"/>
              <w:spacing w:line="236" w:lineRule="exact"/>
              <w:ind w:firstLine="0"/>
              <w:rPr>
                <w:rFonts w:ascii="Verdana" w:hAnsi="Verdana"/>
                <w:b/>
                <w:sz w:val="16"/>
                <w:szCs w:val="16"/>
                <w:lang w:val="en-US"/>
              </w:rPr>
            </w:pPr>
            <w:r w:rsidRPr="00363715">
              <w:rPr>
                <w:rFonts w:ascii="Verdana" w:hAnsi="Verdana"/>
                <w:b/>
                <w:sz w:val="16"/>
                <w:szCs w:val="16"/>
                <w:lang w:val="en-US"/>
              </w:rPr>
              <w:lastRenderedPageBreak/>
              <w:t xml:space="preserve">Third. </w:t>
            </w:r>
            <w:r w:rsidRPr="00363715">
              <w:rPr>
                <w:rFonts w:ascii="Verdana" w:hAnsi="Verdana"/>
                <w:sz w:val="16"/>
                <w:szCs w:val="16"/>
                <w:lang w:val="en-US"/>
              </w:rPr>
              <w:t>Contracts that upon entry into force of this</w:t>
            </w:r>
            <w:r w:rsidRPr="00363715">
              <w:rPr>
                <w:rFonts w:ascii="Verdana" w:hAnsi="Verdana"/>
                <w:b/>
                <w:sz w:val="16"/>
                <w:szCs w:val="16"/>
                <w:lang w:val="en-US"/>
              </w:rPr>
              <w:t xml:space="preserve"> </w:t>
            </w:r>
            <w:r w:rsidRPr="00363715">
              <w:rPr>
                <w:rFonts w:ascii="Verdana" w:hAnsi="Verdana"/>
                <w:sz w:val="16"/>
                <w:szCs w:val="16"/>
                <w:lang w:val="en-US"/>
              </w:rPr>
              <w:t xml:space="preserve">Regulation are in force, as well as any other acts derived from them that have been entered into with the State Productive Company, Federal Electricity Commission and its subsidiaries under the Regulation of the </w:t>
            </w:r>
            <w:r>
              <w:rPr>
                <w:rFonts w:ascii="Verdana" w:hAnsi="Verdana"/>
                <w:sz w:val="16"/>
                <w:szCs w:val="16"/>
                <w:lang w:val="en-US"/>
              </w:rPr>
              <w:t>Law of the Electricity Industry</w:t>
            </w:r>
            <w:r w:rsidRPr="00363715">
              <w:rPr>
                <w:rFonts w:ascii="Verdana" w:hAnsi="Verdana"/>
                <w:sz w:val="16"/>
                <w:szCs w:val="16"/>
                <w:lang w:val="en-US"/>
              </w:rPr>
              <w:t xml:space="preserve">, must be transferred to the </w:t>
            </w:r>
            <w:r>
              <w:rPr>
                <w:rFonts w:ascii="Verdana" w:hAnsi="Verdana"/>
                <w:sz w:val="16"/>
                <w:szCs w:val="16"/>
                <w:lang w:val="en-US"/>
              </w:rPr>
              <w:t xml:space="preserve">State Public Enterprise </w:t>
            </w:r>
            <w:r w:rsidRPr="00363715">
              <w:rPr>
                <w:rFonts w:ascii="Verdana" w:hAnsi="Verdana"/>
                <w:sz w:val="16"/>
                <w:szCs w:val="16"/>
                <w:lang w:val="en-US"/>
              </w:rPr>
              <w:t xml:space="preserve"> and </w:t>
            </w:r>
            <w:r>
              <w:rPr>
                <w:rFonts w:ascii="Verdana" w:hAnsi="Verdana"/>
                <w:sz w:val="16"/>
                <w:szCs w:val="16"/>
                <w:lang w:val="en-US"/>
              </w:rPr>
              <w:t>t</w:t>
            </w:r>
            <w:r w:rsidRPr="00363715">
              <w:rPr>
                <w:rFonts w:ascii="Verdana" w:hAnsi="Verdana"/>
                <w:sz w:val="16"/>
                <w:szCs w:val="16"/>
                <w:lang w:val="en-US"/>
              </w:rPr>
              <w:t xml:space="preserve">hese agreements will remain in effect until their expiration under the terms and conditions under which they were signed, provided they do not conflict with the provisions of the Law and this ordinance. For such purposes, the </w:t>
            </w:r>
            <w:r>
              <w:rPr>
                <w:rFonts w:ascii="Verdana" w:hAnsi="Verdana"/>
                <w:sz w:val="16"/>
                <w:szCs w:val="16"/>
                <w:lang w:val="en-US"/>
              </w:rPr>
              <w:t>State Public Enterprise</w:t>
            </w:r>
            <w:r w:rsidRPr="00363715">
              <w:rPr>
                <w:rFonts w:ascii="Verdana" w:hAnsi="Verdana"/>
                <w:sz w:val="16"/>
                <w:szCs w:val="16"/>
                <w:lang w:val="en-US"/>
              </w:rPr>
              <w:t xml:space="preserve"> must maintain the separation of its activities regarding nominations and bids for the wholesale electricity market, consistent with the </w:t>
            </w:r>
            <w:r w:rsidRPr="00363715">
              <w:rPr>
                <w:rFonts w:ascii="Verdana" w:hAnsi="Verdana"/>
                <w:sz w:val="16"/>
                <w:szCs w:val="16"/>
                <w:lang w:val="en-US"/>
              </w:rPr>
              <w:lastRenderedPageBreak/>
              <w:t>market's settlement, re-settlement, billing, statement issuance, collection, and financial balance systems.</w:t>
            </w:r>
          </w:p>
        </w:tc>
      </w:tr>
      <w:tr w:rsidR="003A38FF" w:rsidRPr="00D83DA2" w14:paraId="7D80FBCB" w14:textId="5CD3EB61" w:rsidTr="00FB5DAD">
        <w:tc>
          <w:tcPr>
            <w:tcW w:w="4706" w:type="dxa"/>
          </w:tcPr>
          <w:p w14:paraId="74690F68"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sz w:val="16"/>
                <w:szCs w:val="16"/>
              </w:rPr>
              <w:lastRenderedPageBreak/>
              <w:t>Los instrumentos a que se refiere este artículo transitorio no deben ser prorrogados una vez que concluya su vigencia.</w:t>
            </w:r>
            <w:bookmarkStart w:id="15" w:name="OLE_LINK14"/>
          </w:p>
        </w:tc>
        <w:tc>
          <w:tcPr>
            <w:tcW w:w="4644" w:type="dxa"/>
          </w:tcPr>
          <w:p w14:paraId="48F9CD3E" w14:textId="516FCD42" w:rsidR="003A38FF" w:rsidRPr="00D0180E" w:rsidRDefault="003A38FF" w:rsidP="003A38FF">
            <w:pPr>
              <w:pStyle w:val="Texto"/>
              <w:spacing w:line="236" w:lineRule="exact"/>
              <w:ind w:firstLine="0"/>
              <w:rPr>
                <w:rFonts w:ascii="Verdana" w:hAnsi="Verdana"/>
                <w:sz w:val="16"/>
                <w:szCs w:val="16"/>
                <w:lang w:val="en-US"/>
              </w:rPr>
            </w:pPr>
            <w:r w:rsidRPr="00363715">
              <w:rPr>
                <w:rFonts w:ascii="Verdana" w:hAnsi="Verdana"/>
                <w:sz w:val="16"/>
                <w:szCs w:val="16"/>
                <w:lang w:val="en-US"/>
              </w:rPr>
              <w:t>The instruments referred to in this transitional article shall not be extended once their validity expires.</w:t>
            </w:r>
          </w:p>
        </w:tc>
      </w:tr>
      <w:tr w:rsidR="003A38FF" w:rsidRPr="00D83DA2" w14:paraId="7364B9EB" w14:textId="324397AB" w:rsidTr="00FB5DAD">
        <w:tc>
          <w:tcPr>
            <w:tcW w:w="4706" w:type="dxa"/>
          </w:tcPr>
          <w:p w14:paraId="5848940E"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sz w:val="16"/>
                <w:szCs w:val="16"/>
              </w:rPr>
              <w:t>Hasta en tanto se emita la regulación a que se refiere el artículo 115 del presente reglamento, las Centrales Eléctricas propiedad de la Empresa Pública del Estado que requieran suscribir un contrato de interconexión, posterior a la entrada en vigor de la Ley y el presente reglamento, deben entregar por escrito a la CNE la documentación técnica que valide el cumplimiento de lo establecido en las Disposiciones Administrativas de Carácter General que contienen los criterios de eficiencia, calidad, confiabilidad, continuidad, seguridad y sustentabilidad del Sistema Eléctrico Nacional: Código de Red, a efecto de que esta, previa opinión del CENACE, emita el oficio de validación para la interconexión, en un plazo máximo de diez días hábiles contados a partir de la recepción de la solicitud correspondiente, el cual surte los mismos efectos que el contrato de interconexión.</w:t>
            </w:r>
            <w:bookmarkEnd w:id="14"/>
            <w:bookmarkEnd w:id="15"/>
          </w:p>
        </w:tc>
        <w:tc>
          <w:tcPr>
            <w:tcW w:w="4644" w:type="dxa"/>
          </w:tcPr>
          <w:p w14:paraId="661E5449" w14:textId="7E387C18" w:rsidR="003A38FF" w:rsidRPr="00D0180E" w:rsidRDefault="003A38FF" w:rsidP="003A38FF">
            <w:pPr>
              <w:pStyle w:val="Texto"/>
              <w:spacing w:line="236" w:lineRule="exact"/>
              <w:ind w:firstLine="0"/>
              <w:rPr>
                <w:rFonts w:ascii="Verdana" w:hAnsi="Verdana"/>
                <w:sz w:val="16"/>
                <w:szCs w:val="16"/>
                <w:lang w:val="en-US"/>
              </w:rPr>
            </w:pPr>
            <w:r w:rsidRPr="00363715">
              <w:rPr>
                <w:rFonts w:ascii="Verdana" w:hAnsi="Verdana"/>
                <w:sz w:val="16"/>
                <w:szCs w:val="16"/>
                <w:lang w:val="en-US"/>
              </w:rPr>
              <w:t xml:space="preserve">Until the regulation referred to in article 115 of this regulation is issued, </w:t>
            </w:r>
            <w:r>
              <w:rPr>
                <w:rFonts w:ascii="Verdana" w:hAnsi="Verdana"/>
                <w:sz w:val="16"/>
                <w:szCs w:val="16"/>
                <w:lang w:val="en-US"/>
              </w:rPr>
              <w:t>power plant</w:t>
            </w:r>
            <w:r w:rsidRPr="00363715">
              <w:rPr>
                <w:rFonts w:ascii="Verdana" w:hAnsi="Verdana"/>
                <w:sz w:val="16"/>
                <w:szCs w:val="16"/>
                <w:lang w:val="en-US"/>
              </w:rPr>
              <w:t xml:space="preserve">s owned by the </w:t>
            </w:r>
            <w:r>
              <w:rPr>
                <w:rFonts w:ascii="Verdana" w:hAnsi="Verdana"/>
                <w:sz w:val="16"/>
                <w:szCs w:val="16"/>
                <w:lang w:val="en-US"/>
              </w:rPr>
              <w:t xml:space="preserve">State Public Enterprise </w:t>
            </w:r>
            <w:r w:rsidRPr="00363715">
              <w:rPr>
                <w:rFonts w:ascii="Verdana" w:hAnsi="Verdana"/>
                <w:sz w:val="16"/>
                <w:szCs w:val="16"/>
                <w:lang w:val="en-US"/>
              </w:rPr>
              <w:t xml:space="preserve"> that require signing an interconnection contract, after the entry into force of the Law and this </w:t>
            </w:r>
            <w:r>
              <w:rPr>
                <w:rFonts w:ascii="Verdana" w:hAnsi="Verdana"/>
                <w:sz w:val="16"/>
                <w:szCs w:val="16"/>
                <w:lang w:val="en-US"/>
              </w:rPr>
              <w:t>R</w:t>
            </w:r>
            <w:r w:rsidRPr="00363715">
              <w:rPr>
                <w:rFonts w:ascii="Verdana" w:hAnsi="Verdana"/>
                <w:sz w:val="16"/>
                <w:szCs w:val="16"/>
                <w:lang w:val="en-US"/>
              </w:rPr>
              <w:t xml:space="preserve">egulation, must submit in writing to the CNE the technical documentation that validates compliance with the provisions of the General Administrative Provisions that contain the criteria of efficiency, quality, reliability, continuity, security and sustainability of the </w:t>
            </w:r>
            <w:r>
              <w:rPr>
                <w:rFonts w:ascii="Verdana" w:hAnsi="Verdana"/>
                <w:sz w:val="16"/>
                <w:szCs w:val="16"/>
                <w:lang w:val="en-US"/>
              </w:rPr>
              <w:t>National Electric System</w:t>
            </w:r>
            <w:r w:rsidRPr="00363715">
              <w:rPr>
                <w:rFonts w:ascii="Verdana" w:hAnsi="Verdana"/>
                <w:sz w:val="16"/>
                <w:szCs w:val="16"/>
                <w:lang w:val="en-US"/>
              </w:rPr>
              <w:t>: Grid Code, so that it, after receiving the opinion of CENACE, issues the validation letter for the interconnection, within a maximum period of ten business days from the receipt of the corresponding request, which has the same effects as the interconnection contract.</w:t>
            </w:r>
          </w:p>
        </w:tc>
      </w:tr>
      <w:tr w:rsidR="003A38FF" w:rsidRPr="00D83DA2" w14:paraId="21C8B1BC" w14:textId="34945434" w:rsidTr="00FB5DAD">
        <w:tc>
          <w:tcPr>
            <w:tcW w:w="4706" w:type="dxa"/>
          </w:tcPr>
          <w:p w14:paraId="7A3D6E98"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b/>
                <w:sz w:val="16"/>
                <w:szCs w:val="16"/>
              </w:rPr>
              <w:t>Cuarto.</w:t>
            </w:r>
            <w:r w:rsidRPr="00D0180E">
              <w:rPr>
                <w:rFonts w:ascii="Verdana" w:hAnsi="Verdana"/>
                <w:sz w:val="16"/>
                <w:szCs w:val="16"/>
              </w:rPr>
              <w:t xml:space="preserve"> Las disposiciones jurídicas emitidas con anterioridad a la entrada en vigor del presente reglamento continúan vigentes hasta que inicie la vigencia de aquellas que las sustituyan, en lo que no se oponga a la Ley y el presente reglamento.</w:t>
            </w:r>
          </w:p>
        </w:tc>
        <w:tc>
          <w:tcPr>
            <w:tcW w:w="4644" w:type="dxa"/>
          </w:tcPr>
          <w:p w14:paraId="396F2702" w14:textId="43B71DE7" w:rsidR="003A38FF" w:rsidRPr="00D0180E" w:rsidRDefault="003A38FF" w:rsidP="003A38FF">
            <w:pPr>
              <w:pStyle w:val="Texto"/>
              <w:spacing w:line="236" w:lineRule="exact"/>
              <w:ind w:firstLine="0"/>
              <w:rPr>
                <w:rFonts w:ascii="Verdana" w:hAnsi="Verdana"/>
                <w:b/>
                <w:sz w:val="16"/>
                <w:szCs w:val="16"/>
                <w:lang w:val="en-US"/>
              </w:rPr>
            </w:pPr>
            <w:r w:rsidRPr="00363715">
              <w:rPr>
                <w:rFonts w:ascii="Verdana" w:hAnsi="Verdana"/>
                <w:b/>
                <w:sz w:val="16"/>
                <w:szCs w:val="16"/>
                <w:lang w:val="en-US"/>
              </w:rPr>
              <w:t xml:space="preserve">Fourth. </w:t>
            </w:r>
            <w:r w:rsidRPr="00363715">
              <w:rPr>
                <w:rFonts w:ascii="Verdana" w:hAnsi="Verdana"/>
                <w:sz w:val="16"/>
                <w:szCs w:val="16"/>
                <w:lang w:val="en-US"/>
              </w:rPr>
              <w:t>Legal provisions issued prior to the entry into force of this regulation remain in force until the entry into force of those replacing them, provided they do not conflict with the Law and this regulation.</w:t>
            </w:r>
          </w:p>
        </w:tc>
      </w:tr>
      <w:tr w:rsidR="003A38FF" w:rsidRPr="00D83DA2" w14:paraId="4CF85B99" w14:textId="78384294" w:rsidTr="00FB5DAD">
        <w:tc>
          <w:tcPr>
            <w:tcW w:w="4706" w:type="dxa"/>
          </w:tcPr>
          <w:p w14:paraId="2B573E28" w14:textId="77777777" w:rsidR="003A38FF" w:rsidRPr="00D0180E" w:rsidRDefault="003A38FF" w:rsidP="003A38FF">
            <w:pPr>
              <w:pStyle w:val="Texto"/>
              <w:spacing w:after="80"/>
              <w:ind w:firstLine="0"/>
              <w:rPr>
                <w:rFonts w:ascii="Verdana" w:hAnsi="Verdana"/>
                <w:sz w:val="16"/>
                <w:szCs w:val="16"/>
              </w:rPr>
            </w:pPr>
            <w:r w:rsidRPr="00D0180E">
              <w:rPr>
                <w:rFonts w:ascii="Verdana" w:hAnsi="Verdana"/>
                <w:b/>
                <w:sz w:val="16"/>
                <w:szCs w:val="16"/>
              </w:rPr>
              <w:t>Quinto.</w:t>
            </w:r>
            <w:r w:rsidRPr="00D0180E">
              <w:rPr>
                <w:rFonts w:ascii="Verdana" w:hAnsi="Verdana"/>
                <w:sz w:val="16"/>
                <w:szCs w:val="16"/>
              </w:rPr>
              <w:t xml:space="preserve"> Por única ocasión, la Secretaría debe coordinar la actualización de las Reglas del Mercado para su alineación con los objetivos de la Ley y el presente reglamento, con la participación de la CNE, el CENACE, la Empresa Pública del Estado y, en su caso, representantes del sector privado.</w:t>
            </w:r>
          </w:p>
        </w:tc>
        <w:tc>
          <w:tcPr>
            <w:tcW w:w="4644" w:type="dxa"/>
          </w:tcPr>
          <w:p w14:paraId="215F1337" w14:textId="4A9D7D14" w:rsidR="003A38FF" w:rsidRPr="00D0180E" w:rsidRDefault="003A38FF" w:rsidP="003A38FF">
            <w:pPr>
              <w:pStyle w:val="Texto"/>
              <w:spacing w:after="80"/>
              <w:ind w:firstLine="0"/>
              <w:rPr>
                <w:rFonts w:ascii="Verdana" w:hAnsi="Verdana"/>
                <w:b/>
                <w:sz w:val="16"/>
                <w:szCs w:val="16"/>
                <w:lang w:val="en-US"/>
              </w:rPr>
            </w:pPr>
            <w:r w:rsidRPr="00363715">
              <w:rPr>
                <w:rFonts w:ascii="Verdana" w:hAnsi="Verdana"/>
                <w:b/>
                <w:sz w:val="16"/>
                <w:szCs w:val="16"/>
                <w:lang w:val="en-US"/>
              </w:rPr>
              <w:t xml:space="preserve">Fifth. </w:t>
            </w:r>
            <w:r w:rsidRPr="00363715">
              <w:rPr>
                <w:rFonts w:ascii="Verdana" w:hAnsi="Verdana"/>
                <w:sz w:val="16"/>
                <w:szCs w:val="16"/>
                <w:lang w:val="en-US"/>
              </w:rPr>
              <w:t xml:space="preserve">For one time only, the Secretary must coordinate the update of the market rules to align them with the objectives of the Law and this Regulation, with the participation of the CNE, CENACE, the </w:t>
            </w:r>
            <w:r>
              <w:rPr>
                <w:rFonts w:ascii="Verdana" w:hAnsi="Verdana"/>
                <w:sz w:val="16"/>
                <w:szCs w:val="16"/>
                <w:lang w:val="en-US"/>
              </w:rPr>
              <w:t>State Public Enterprise</w:t>
            </w:r>
            <w:r w:rsidRPr="00363715">
              <w:rPr>
                <w:rFonts w:ascii="Verdana" w:hAnsi="Verdana"/>
                <w:sz w:val="16"/>
                <w:szCs w:val="16"/>
                <w:lang w:val="en-US"/>
              </w:rPr>
              <w:t>, and, where appropriate, representatives of the private sector.</w:t>
            </w:r>
          </w:p>
        </w:tc>
      </w:tr>
      <w:tr w:rsidR="003A38FF" w:rsidRPr="00D83DA2" w14:paraId="76367A82" w14:textId="5770EABD" w:rsidTr="00FB5DAD">
        <w:tc>
          <w:tcPr>
            <w:tcW w:w="4706" w:type="dxa"/>
          </w:tcPr>
          <w:p w14:paraId="6EDED8F7" w14:textId="77777777" w:rsidR="003A38FF" w:rsidRPr="00D0180E" w:rsidRDefault="003A38FF" w:rsidP="003A38FF">
            <w:pPr>
              <w:pStyle w:val="Texto"/>
              <w:spacing w:after="80"/>
              <w:ind w:firstLine="0"/>
              <w:rPr>
                <w:rFonts w:ascii="Verdana" w:hAnsi="Verdana"/>
                <w:sz w:val="16"/>
                <w:szCs w:val="16"/>
              </w:rPr>
            </w:pPr>
            <w:r w:rsidRPr="00D0180E">
              <w:rPr>
                <w:rFonts w:ascii="Verdana" w:hAnsi="Verdana"/>
                <w:sz w:val="16"/>
                <w:szCs w:val="16"/>
              </w:rPr>
              <w:t>Una vez que la Secretaría determine concluida la actualización de las Reglas del Mercado, la CNE y el CENACE, en el ámbito de sus facultades, deben realizar las revisiones, modificaciones y emisión de las Reglas del Mercado de conformidad con lo señalado en la Ley, este reglamento y los procedimientos establecidos en las propias Reglas del Mercado.</w:t>
            </w:r>
          </w:p>
        </w:tc>
        <w:tc>
          <w:tcPr>
            <w:tcW w:w="4644" w:type="dxa"/>
          </w:tcPr>
          <w:p w14:paraId="21EA329F" w14:textId="270EE4EF" w:rsidR="003A38FF" w:rsidRPr="00D0180E" w:rsidRDefault="003A38FF" w:rsidP="003A38FF">
            <w:pPr>
              <w:pStyle w:val="Texto"/>
              <w:spacing w:after="80"/>
              <w:ind w:firstLine="0"/>
              <w:rPr>
                <w:rFonts w:ascii="Verdana" w:hAnsi="Verdana"/>
                <w:sz w:val="16"/>
                <w:szCs w:val="16"/>
                <w:lang w:val="en-US"/>
              </w:rPr>
            </w:pPr>
            <w:r w:rsidRPr="00363715">
              <w:rPr>
                <w:rFonts w:ascii="Verdana" w:hAnsi="Verdana"/>
                <w:sz w:val="16"/>
                <w:szCs w:val="16"/>
                <w:lang w:val="en-US"/>
              </w:rPr>
              <w:t xml:space="preserve">Once the Secretary determines that the market rules update has been completed, the CNE and CENACE, within the scope of their powers, must review, modify, and issue the </w:t>
            </w:r>
            <w:r>
              <w:rPr>
                <w:rFonts w:ascii="Verdana" w:hAnsi="Verdana"/>
                <w:sz w:val="16"/>
                <w:szCs w:val="16"/>
                <w:lang w:val="en-US"/>
              </w:rPr>
              <w:t>m</w:t>
            </w:r>
            <w:r w:rsidRPr="00363715">
              <w:rPr>
                <w:rFonts w:ascii="Verdana" w:hAnsi="Verdana"/>
                <w:sz w:val="16"/>
                <w:szCs w:val="16"/>
                <w:lang w:val="en-US"/>
              </w:rPr>
              <w:t>arket rules in accordance with the provisions of the Law, this Regulation, and the procedures established in the market rules themselves.</w:t>
            </w:r>
          </w:p>
        </w:tc>
      </w:tr>
      <w:tr w:rsidR="003A38FF" w:rsidRPr="00D83DA2" w14:paraId="533272AD" w14:textId="30A4CF0F" w:rsidTr="00FB5DAD">
        <w:tc>
          <w:tcPr>
            <w:tcW w:w="4706" w:type="dxa"/>
          </w:tcPr>
          <w:p w14:paraId="2306B3F5" w14:textId="77777777" w:rsidR="003A38FF" w:rsidRPr="00D0180E" w:rsidRDefault="003A38FF" w:rsidP="003A38FF">
            <w:pPr>
              <w:pStyle w:val="Texto"/>
              <w:spacing w:after="80"/>
              <w:ind w:firstLine="0"/>
              <w:rPr>
                <w:rFonts w:ascii="Verdana" w:hAnsi="Verdana"/>
                <w:sz w:val="16"/>
                <w:szCs w:val="16"/>
              </w:rPr>
            </w:pPr>
            <w:r w:rsidRPr="00D0180E">
              <w:rPr>
                <w:rFonts w:ascii="Verdana" w:hAnsi="Verdana"/>
                <w:b/>
                <w:sz w:val="16"/>
                <w:szCs w:val="16"/>
              </w:rPr>
              <w:t xml:space="preserve">Sexto. </w:t>
            </w:r>
            <w:r w:rsidRPr="00D0180E">
              <w:rPr>
                <w:rFonts w:ascii="Verdana" w:hAnsi="Verdana"/>
                <w:sz w:val="16"/>
                <w:szCs w:val="16"/>
              </w:rPr>
              <w:t>Los Certificados de Energías Limpias emitidos con anterioridad a la entrada en vigor de este reglamento conservan su validez conforme a las disposiciones y lineamientos con base en los que fueron otorgados, hasta su liquidación o cancelación voluntaria. El inicio de la vigencia de los Certificados de Energías Limpias al que se refiere el artículo 146 de la Ley, está condicionado al comunicado que emita la CNE para señalar que el sistema electrónico ha concluido su actualización para incluir las adecuaciones conforme la Ley y el presente reglamento.</w:t>
            </w:r>
          </w:p>
        </w:tc>
        <w:tc>
          <w:tcPr>
            <w:tcW w:w="4644" w:type="dxa"/>
          </w:tcPr>
          <w:p w14:paraId="3DA84F5C" w14:textId="1959582C" w:rsidR="003A38FF" w:rsidRPr="00D0180E" w:rsidRDefault="003A38FF" w:rsidP="003A38FF">
            <w:pPr>
              <w:pStyle w:val="Texto"/>
              <w:spacing w:after="80"/>
              <w:ind w:firstLine="0"/>
              <w:rPr>
                <w:rFonts w:ascii="Verdana" w:hAnsi="Verdana"/>
                <w:b/>
                <w:sz w:val="16"/>
                <w:szCs w:val="16"/>
                <w:lang w:val="en-US"/>
              </w:rPr>
            </w:pPr>
            <w:r w:rsidRPr="00363715">
              <w:rPr>
                <w:rFonts w:ascii="Verdana" w:hAnsi="Verdana"/>
                <w:b/>
                <w:sz w:val="16"/>
                <w:szCs w:val="16"/>
                <w:lang w:val="en-US"/>
              </w:rPr>
              <w:t xml:space="preserve">Sixth. </w:t>
            </w:r>
            <w:r w:rsidRPr="00363715">
              <w:rPr>
                <w:rFonts w:ascii="Verdana" w:hAnsi="Verdana"/>
                <w:sz w:val="16"/>
                <w:szCs w:val="16"/>
                <w:lang w:val="en-US"/>
              </w:rPr>
              <w:t>Clean Energy Certificates issued prior to the entry into force of this regulation remain valid in accordance with the provisions and guidelines under which they were granted, until their liquidation or voluntary cancellation. The validity of the Clean Energy Certificates referred to in Article 146 of the Law is subject to a communication issued by the CNE indicating that the electronic system has been updated to include the adjustments pursuant to the Law and this regulation.</w:t>
            </w:r>
          </w:p>
        </w:tc>
      </w:tr>
      <w:tr w:rsidR="003A38FF" w:rsidRPr="00D83DA2" w14:paraId="5C6313B2" w14:textId="7CF95F40" w:rsidTr="00FB5DAD">
        <w:tc>
          <w:tcPr>
            <w:tcW w:w="4706" w:type="dxa"/>
          </w:tcPr>
          <w:p w14:paraId="51664B49" w14:textId="77777777" w:rsidR="003A38FF" w:rsidRPr="00D0180E" w:rsidRDefault="003A38FF" w:rsidP="003A38FF">
            <w:pPr>
              <w:pStyle w:val="Texto"/>
              <w:spacing w:after="80"/>
              <w:ind w:firstLine="0"/>
              <w:rPr>
                <w:rFonts w:ascii="Verdana" w:hAnsi="Verdana"/>
                <w:sz w:val="16"/>
                <w:szCs w:val="16"/>
              </w:rPr>
            </w:pPr>
            <w:r w:rsidRPr="00D0180E">
              <w:rPr>
                <w:rFonts w:ascii="Verdana" w:hAnsi="Verdana"/>
                <w:b/>
                <w:sz w:val="16"/>
                <w:szCs w:val="16"/>
              </w:rPr>
              <w:t xml:space="preserve">Séptimo. </w:t>
            </w:r>
            <w:r w:rsidRPr="00D0180E">
              <w:rPr>
                <w:rFonts w:ascii="Verdana" w:hAnsi="Verdana"/>
                <w:sz w:val="16"/>
                <w:szCs w:val="16"/>
              </w:rPr>
              <w:t xml:space="preserve">De conformidad con lo dispuesto en el Transitorio Sexto de la Ley, las personas titulares de permisos vigentes, otorgados al amparo de la Ley del Servicio Público de Energía Eléctrica, que a la entrada </w:t>
            </w:r>
            <w:r w:rsidRPr="00D0180E">
              <w:rPr>
                <w:rFonts w:ascii="Verdana" w:hAnsi="Verdana"/>
                <w:sz w:val="16"/>
                <w:szCs w:val="16"/>
              </w:rPr>
              <w:lastRenderedPageBreak/>
              <w:t>en vigor de este</w:t>
            </w:r>
            <w:r w:rsidRPr="00D0180E">
              <w:rPr>
                <w:rFonts w:ascii="Verdana" w:hAnsi="Verdana"/>
                <w:b/>
                <w:sz w:val="16"/>
                <w:szCs w:val="16"/>
              </w:rPr>
              <w:t xml:space="preserve"> </w:t>
            </w:r>
            <w:r w:rsidRPr="00D0180E">
              <w:rPr>
                <w:rFonts w:ascii="Verdana" w:hAnsi="Verdana"/>
                <w:sz w:val="16"/>
                <w:szCs w:val="16"/>
              </w:rPr>
              <w:t>reglamento se encuentren en un procedimiento administrativo de revocación o en alguno de los supuestos de revocación del permiso, a criterio de la Secretaría o la CNE, según corresponda, pueden ser sujetas a la imposición de una multa, a efecto de que el permiso no sea revocado, siempre y cuando, previo a la emisión de la resolución del procedimiento administrativo de revocación, se solicite la migración a alguna de las figuras establecidas en la Ley.</w:t>
            </w:r>
          </w:p>
        </w:tc>
        <w:tc>
          <w:tcPr>
            <w:tcW w:w="4644" w:type="dxa"/>
          </w:tcPr>
          <w:p w14:paraId="05C80A7F" w14:textId="0BF1EEDD" w:rsidR="003A38FF" w:rsidRPr="00D0180E" w:rsidRDefault="003A38FF" w:rsidP="003A38FF">
            <w:pPr>
              <w:pStyle w:val="Texto"/>
              <w:spacing w:after="80"/>
              <w:ind w:firstLine="0"/>
              <w:rPr>
                <w:rFonts w:ascii="Verdana" w:hAnsi="Verdana"/>
                <w:b/>
                <w:sz w:val="16"/>
                <w:szCs w:val="16"/>
                <w:lang w:val="en-US"/>
              </w:rPr>
            </w:pPr>
            <w:r w:rsidRPr="0017160B">
              <w:rPr>
                <w:rFonts w:ascii="Verdana" w:hAnsi="Verdana"/>
                <w:b/>
                <w:sz w:val="16"/>
                <w:szCs w:val="16"/>
                <w:lang w:val="en-US"/>
              </w:rPr>
              <w:lastRenderedPageBreak/>
              <w:t xml:space="preserve">Seventh. </w:t>
            </w:r>
            <w:r w:rsidRPr="0017160B">
              <w:rPr>
                <w:rFonts w:ascii="Verdana" w:hAnsi="Verdana"/>
                <w:sz w:val="16"/>
                <w:szCs w:val="16"/>
                <w:lang w:val="en-US"/>
              </w:rPr>
              <w:t xml:space="preserve">In accordance with the provisions of the Sixth </w:t>
            </w:r>
            <w:r>
              <w:rPr>
                <w:rFonts w:ascii="Verdana" w:hAnsi="Verdana"/>
                <w:sz w:val="16"/>
                <w:szCs w:val="16"/>
                <w:lang w:val="en-US"/>
              </w:rPr>
              <w:t>Transitional Article</w:t>
            </w:r>
            <w:r w:rsidRPr="0017160B">
              <w:rPr>
                <w:rFonts w:ascii="Verdana" w:hAnsi="Verdana"/>
                <w:sz w:val="16"/>
                <w:szCs w:val="16"/>
                <w:lang w:val="en-US"/>
              </w:rPr>
              <w:t xml:space="preserve"> of the Law, holders of current permits, granted under the Electricity Public Service Law, which upon the entry into force of this</w:t>
            </w:r>
            <w:r w:rsidRPr="0017160B">
              <w:rPr>
                <w:rFonts w:ascii="Verdana" w:hAnsi="Verdana"/>
                <w:b/>
                <w:sz w:val="16"/>
                <w:szCs w:val="16"/>
                <w:lang w:val="en-US"/>
              </w:rPr>
              <w:t xml:space="preserve"> </w:t>
            </w:r>
            <w:r w:rsidRPr="0017160B">
              <w:rPr>
                <w:rFonts w:ascii="Verdana" w:hAnsi="Verdana"/>
                <w:sz w:val="16"/>
                <w:szCs w:val="16"/>
                <w:lang w:val="en-US"/>
              </w:rPr>
              <w:t xml:space="preserve">Regulation </w:t>
            </w:r>
            <w:r w:rsidRPr="0017160B">
              <w:rPr>
                <w:rFonts w:ascii="Verdana" w:hAnsi="Verdana"/>
                <w:sz w:val="16"/>
                <w:szCs w:val="16"/>
                <w:lang w:val="en-US"/>
              </w:rPr>
              <w:lastRenderedPageBreak/>
              <w:t>are in an administrative revocation procedure or in any of the cases of revocation of the permit, at the discretion of the Secretary or the CNE, as appropriate, may be subject to the imposition of a fine, so that the permit is not revoked, provided that, prior to the issuance of the resolution of the administrative revocation procedure, migration to one of the figures established in the Law is requested.</w:t>
            </w:r>
          </w:p>
        </w:tc>
      </w:tr>
      <w:tr w:rsidR="003A38FF" w:rsidRPr="00D83DA2" w14:paraId="3718E705" w14:textId="66476182" w:rsidTr="00FB5DAD">
        <w:tc>
          <w:tcPr>
            <w:tcW w:w="4706" w:type="dxa"/>
          </w:tcPr>
          <w:p w14:paraId="5FF78E3F" w14:textId="77777777" w:rsidR="003A38FF" w:rsidRPr="00D0180E" w:rsidRDefault="003A38FF" w:rsidP="003A38FF">
            <w:pPr>
              <w:pStyle w:val="Texto"/>
              <w:spacing w:after="80"/>
              <w:ind w:firstLine="0"/>
              <w:rPr>
                <w:rFonts w:ascii="Verdana" w:hAnsi="Verdana"/>
                <w:sz w:val="16"/>
                <w:szCs w:val="16"/>
              </w:rPr>
            </w:pPr>
            <w:r w:rsidRPr="00D0180E">
              <w:rPr>
                <w:rFonts w:ascii="Verdana" w:hAnsi="Verdana"/>
                <w:b/>
                <w:sz w:val="16"/>
                <w:szCs w:val="16"/>
              </w:rPr>
              <w:lastRenderedPageBreak/>
              <w:t>Octavo.</w:t>
            </w:r>
            <w:r w:rsidRPr="00D0180E">
              <w:rPr>
                <w:rFonts w:ascii="Verdana" w:hAnsi="Verdana"/>
                <w:sz w:val="16"/>
                <w:szCs w:val="16"/>
              </w:rPr>
              <w:t xml:space="preserve"> Aquellas personas con permiso de generación otorgado previo a la entrada en vigor de la Ley y que solicitaron una modificación de su permiso para incorporar Sistemas de Almacenamiento de Energía Eléctrica o incrementar su capacidad, previo al dieciocho de marzo del dos mil veinticinco, así como aquellas que lo soliciten a partir de la entrada en vigor del presente reglamento pueden ser sujetas al reconocimiento del criterio de disponibilidad de entrega física, siempre que soliciten y concluyan el procedimiento de migración de su permiso a los términos de la Ley, el presente reglamento y los lineamientos que en términos de los artículos transitorios Sexto y Noveno de la Ley emita la Secretaría.</w:t>
            </w:r>
          </w:p>
        </w:tc>
        <w:tc>
          <w:tcPr>
            <w:tcW w:w="4644" w:type="dxa"/>
          </w:tcPr>
          <w:p w14:paraId="5B749AFB" w14:textId="77968EA8" w:rsidR="003A38FF" w:rsidRPr="00D0180E" w:rsidRDefault="003A38FF" w:rsidP="003A38FF">
            <w:pPr>
              <w:pStyle w:val="Texto"/>
              <w:spacing w:after="80"/>
              <w:ind w:firstLine="0"/>
              <w:rPr>
                <w:rFonts w:ascii="Verdana" w:hAnsi="Verdana"/>
                <w:b/>
                <w:sz w:val="16"/>
                <w:szCs w:val="16"/>
                <w:lang w:val="en-US"/>
              </w:rPr>
            </w:pPr>
            <w:r w:rsidRPr="0017160B">
              <w:rPr>
                <w:rFonts w:ascii="Verdana" w:hAnsi="Verdana"/>
                <w:b/>
                <w:sz w:val="16"/>
                <w:szCs w:val="16"/>
                <w:lang w:val="en-US"/>
              </w:rPr>
              <w:t xml:space="preserve">Eighth. </w:t>
            </w:r>
            <w:r w:rsidRPr="0017160B">
              <w:rPr>
                <w:rFonts w:ascii="Verdana" w:hAnsi="Verdana"/>
                <w:sz w:val="16"/>
                <w:szCs w:val="16"/>
                <w:lang w:val="en-US"/>
              </w:rPr>
              <w:t>Those persons with a generation permit granted prior to the entry into force of the Law and who requested a modification of their permit to incorporate Electric Energy Storage Systems or increase their capacity, prior to March 18, 2025, as well as those who request it after the entry into force of this regulation may be subject to recognition of the physical delivery availability criterion, provided that they request and complete the migration procedure of their permit to the terms of the Law, this regulation and the guidelines issued by the Secretary in terms of the Sixth and Ninth transit</w:t>
            </w:r>
            <w:r>
              <w:rPr>
                <w:rFonts w:ascii="Verdana" w:hAnsi="Verdana"/>
                <w:sz w:val="16"/>
                <w:szCs w:val="16"/>
                <w:lang w:val="en-US"/>
              </w:rPr>
              <w:t>ional</w:t>
            </w:r>
            <w:r w:rsidRPr="0017160B">
              <w:rPr>
                <w:rFonts w:ascii="Verdana" w:hAnsi="Verdana"/>
                <w:sz w:val="16"/>
                <w:szCs w:val="16"/>
                <w:lang w:val="en-US"/>
              </w:rPr>
              <w:t xml:space="preserve"> articles of the Law.</w:t>
            </w:r>
          </w:p>
        </w:tc>
      </w:tr>
      <w:tr w:rsidR="003A38FF" w:rsidRPr="00D83DA2" w14:paraId="72270FBA" w14:textId="236A7876" w:rsidTr="00FB5DAD">
        <w:tc>
          <w:tcPr>
            <w:tcW w:w="4706" w:type="dxa"/>
          </w:tcPr>
          <w:p w14:paraId="51638661" w14:textId="77777777" w:rsidR="003A38FF" w:rsidRPr="00D0180E" w:rsidRDefault="003A38FF" w:rsidP="003A38FF">
            <w:pPr>
              <w:pStyle w:val="Texto"/>
              <w:spacing w:after="80"/>
              <w:ind w:firstLine="0"/>
              <w:rPr>
                <w:rFonts w:ascii="Verdana" w:hAnsi="Verdana"/>
                <w:sz w:val="16"/>
                <w:szCs w:val="16"/>
              </w:rPr>
            </w:pPr>
            <w:r w:rsidRPr="00D0180E">
              <w:rPr>
                <w:rFonts w:ascii="Verdana" w:hAnsi="Verdana"/>
                <w:b/>
                <w:sz w:val="16"/>
                <w:szCs w:val="16"/>
              </w:rPr>
              <w:t>Noveno.</w:t>
            </w:r>
            <w:r w:rsidRPr="00D0180E">
              <w:rPr>
                <w:rFonts w:ascii="Verdana" w:hAnsi="Verdana"/>
                <w:sz w:val="16"/>
                <w:szCs w:val="16"/>
              </w:rPr>
              <w:t xml:space="preserve"> A fin de promover y fortalecer la electromovilidad, la Secretaría debe considerar en el programa de normalización, la inclusión de normas oficiales mexicanas para la infraestructura de carga. En tanto se emitan normas oficiales mexicanas en la materia, se deben observar las normas mexicanas y los estándares internacionales que resulten aplicables.</w:t>
            </w:r>
          </w:p>
        </w:tc>
        <w:tc>
          <w:tcPr>
            <w:tcW w:w="4644" w:type="dxa"/>
          </w:tcPr>
          <w:p w14:paraId="469C0236" w14:textId="239965BC" w:rsidR="003A38FF" w:rsidRPr="00D0180E" w:rsidRDefault="003A38FF" w:rsidP="003A38FF">
            <w:pPr>
              <w:pStyle w:val="Texto"/>
              <w:spacing w:after="80"/>
              <w:ind w:firstLine="0"/>
              <w:rPr>
                <w:rFonts w:ascii="Verdana" w:hAnsi="Verdana"/>
                <w:b/>
                <w:sz w:val="16"/>
                <w:szCs w:val="16"/>
                <w:lang w:val="en-US"/>
              </w:rPr>
            </w:pPr>
            <w:r w:rsidRPr="0017160B">
              <w:rPr>
                <w:rFonts w:ascii="Verdana" w:hAnsi="Verdana"/>
                <w:b/>
                <w:sz w:val="16"/>
                <w:szCs w:val="16"/>
                <w:lang w:val="en-US"/>
              </w:rPr>
              <w:t xml:space="preserve">Ninth. </w:t>
            </w:r>
            <w:proofErr w:type="gramStart"/>
            <w:r w:rsidRPr="0017160B">
              <w:rPr>
                <w:rFonts w:ascii="Verdana" w:hAnsi="Verdana"/>
                <w:sz w:val="16"/>
                <w:szCs w:val="16"/>
                <w:lang w:val="en-US"/>
              </w:rPr>
              <w:t>In order to</w:t>
            </w:r>
            <w:proofErr w:type="gramEnd"/>
            <w:r w:rsidRPr="0017160B">
              <w:rPr>
                <w:rFonts w:ascii="Verdana" w:hAnsi="Verdana"/>
                <w:sz w:val="16"/>
                <w:szCs w:val="16"/>
                <w:lang w:val="en-US"/>
              </w:rPr>
              <w:t xml:space="preserve"> promote and strengthen electromobility, the Secretary should consider including </w:t>
            </w:r>
            <w:r>
              <w:rPr>
                <w:rFonts w:ascii="Verdana" w:hAnsi="Verdana"/>
                <w:sz w:val="16"/>
                <w:szCs w:val="16"/>
                <w:lang w:val="en-US"/>
              </w:rPr>
              <w:t>Official Mexican Standards</w:t>
            </w:r>
            <w:r w:rsidRPr="0017160B">
              <w:rPr>
                <w:rFonts w:ascii="Verdana" w:hAnsi="Verdana"/>
                <w:sz w:val="16"/>
                <w:szCs w:val="16"/>
                <w:lang w:val="en-US"/>
              </w:rPr>
              <w:t xml:space="preserve"> for charging infrastructure in its standardization program. Until </w:t>
            </w:r>
            <w:r>
              <w:rPr>
                <w:rFonts w:ascii="Verdana" w:hAnsi="Verdana"/>
                <w:sz w:val="16"/>
                <w:szCs w:val="16"/>
                <w:lang w:val="en-US"/>
              </w:rPr>
              <w:t>Official Mexican Standards</w:t>
            </w:r>
            <w:r w:rsidRPr="0017160B">
              <w:rPr>
                <w:rFonts w:ascii="Verdana" w:hAnsi="Verdana"/>
                <w:sz w:val="16"/>
                <w:szCs w:val="16"/>
                <w:lang w:val="en-US"/>
              </w:rPr>
              <w:t xml:space="preserve"> are issued on the subject, Mexican standards and applicable international standards must be observed.</w:t>
            </w:r>
          </w:p>
        </w:tc>
      </w:tr>
      <w:tr w:rsidR="003A38FF" w:rsidRPr="00D83DA2" w14:paraId="2F15478C" w14:textId="6A0DA60F" w:rsidTr="00FB5DAD">
        <w:tc>
          <w:tcPr>
            <w:tcW w:w="4706" w:type="dxa"/>
          </w:tcPr>
          <w:p w14:paraId="5F934044" w14:textId="77777777" w:rsidR="003A38FF" w:rsidRPr="00D0180E" w:rsidRDefault="003A38FF" w:rsidP="003A38FF">
            <w:pPr>
              <w:pStyle w:val="Texto"/>
              <w:spacing w:after="80"/>
              <w:ind w:firstLine="0"/>
              <w:rPr>
                <w:rFonts w:ascii="Verdana" w:hAnsi="Verdana"/>
                <w:sz w:val="16"/>
                <w:szCs w:val="16"/>
              </w:rPr>
            </w:pPr>
            <w:r w:rsidRPr="00D0180E">
              <w:rPr>
                <w:rFonts w:ascii="Verdana" w:hAnsi="Verdana"/>
                <w:b/>
                <w:sz w:val="16"/>
                <w:szCs w:val="16"/>
              </w:rPr>
              <w:t xml:space="preserve">Décimo. </w:t>
            </w:r>
            <w:r w:rsidRPr="00D0180E">
              <w:rPr>
                <w:rFonts w:ascii="Verdana" w:hAnsi="Verdana"/>
                <w:sz w:val="16"/>
                <w:szCs w:val="16"/>
              </w:rPr>
              <w:t>La Secretaría en un plazo de ciento ochenta días hábiles contados a partir de la entrada en vigor del presente reglamento, debe enviar a la Secretaría de Hacienda y Crédito Público y a la Secretaría de Medio Ambiente y Recursos Naturales, para su presentación al Congreso de la Unión, la información que justifique la actualización o inclusión de derechos en la Ley Federal de Derechos en materia de uso del agua para generación hidroeléctrica, a fin de dar viabilidad a los proyectos de pequeña escala de generación hidroeléctrica y Sistemas de Almacenamiento de Energía Eléctrica con tecnología de plantas de rebombeo.</w:t>
            </w:r>
          </w:p>
        </w:tc>
        <w:tc>
          <w:tcPr>
            <w:tcW w:w="4644" w:type="dxa"/>
          </w:tcPr>
          <w:p w14:paraId="28A8827D" w14:textId="72EE3835" w:rsidR="003A38FF" w:rsidRPr="00D0180E" w:rsidRDefault="003A38FF" w:rsidP="003A38FF">
            <w:pPr>
              <w:pStyle w:val="Texto"/>
              <w:spacing w:after="80"/>
              <w:ind w:firstLine="0"/>
              <w:rPr>
                <w:rFonts w:ascii="Verdana" w:hAnsi="Verdana"/>
                <w:b/>
                <w:sz w:val="16"/>
                <w:szCs w:val="16"/>
                <w:lang w:val="en-US"/>
              </w:rPr>
            </w:pPr>
            <w:r w:rsidRPr="0017160B">
              <w:rPr>
                <w:rFonts w:ascii="Verdana" w:hAnsi="Verdana"/>
                <w:b/>
                <w:sz w:val="16"/>
                <w:szCs w:val="16"/>
                <w:lang w:val="en-US"/>
              </w:rPr>
              <w:t xml:space="preserve">Tenth. </w:t>
            </w:r>
            <w:r w:rsidRPr="0017160B">
              <w:rPr>
                <w:rFonts w:ascii="Verdana" w:hAnsi="Verdana"/>
                <w:sz w:val="16"/>
                <w:szCs w:val="16"/>
                <w:lang w:val="en-US"/>
              </w:rPr>
              <w:t xml:space="preserve">The Secretary, within one hundred and eighty business days from the date of entry into force of this regulation, must send to the Secretary of Finance and Public Credit and to the Secretary of Environment and Natural Resources, for submission to the Congress of the Union, the information that justifies the update or inclusion of rights in the </w:t>
            </w:r>
            <w:r>
              <w:rPr>
                <w:rFonts w:ascii="Verdana" w:hAnsi="Verdana"/>
                <w:sz w:val="16"/>
                <w:szCs w:val="16"/>
                <w:lang w:val="en-US"/>
              </w:rPr>
              <w:t>Federal Law of Rights</w:t>
            </w:r>
            <w:r w:rsidRPr="0017160B">
              <w:rPr>
                <w:rFonts w:ascii="Verdana" w:hAnsi="Verdana"/>
                <w:sz w:val="16"/>
                <w:szCs w:val="16"/>
                <w:lang w:val="en-US"/>
              </w:rPr>
              <w:t xml:space="preserve"> regarding the use of water for hydroelectric generation, in order to make viable small-scale hydroelectric generation projects and Electric Energy Storage Systems with pumping plant technology.</w:t>
            </w:r>
          </w:p>
        </w:tc>
      </w:tr>
      <w:tr w:rsidR="003A38FF" w:rsidRPr="00D83DA2" w14:paraId="1F492763" w14:textId="63A2C49C" w:rsidTr="00FB5DAD">
        <w:tc>
          <w:tcPr>
            <w:tcW w:w="4706" w:type="dxa"/>
          </w:tcPr>
          <w:p w14:paraId="5E668D57" w14:textId="77777777" w:rsidR="003A38FF" w:rsidRPr="00D0180E" w:rsidRDefault="003A38FF" w:rsidP="003A38FF">
            <w:pPr>
              <w:pStyle w:val="Texto"/>
              <w:spacing w:after="80"/>
              <w:ind w:firstLine="0"/>
              <w:rPr>
                <w:rFonts w:ascii="Verdana" w:hAnsi="Verdana"/>
                <w:sz w:val="16"/>
                <w:szCs w:val="16"/>
              </w:rPr>
            </w:pPr>
            <w:r w:rsidRPr="00D0180E">
              <w:rPr>
                <w:rFonts w:ascii="Verdana" w:hAnsi="Verdana"/>
                <w:b/>
                <w:sz w:val="16"/>
                <w:szCs w:val="16"/>
              </w:rPr>
              <w:t xml:space="preserve">Décimo Primero. </w:t>
            </w:r>
            <w:r w:rsidRPr="00D0180E">
              <w:rPr>
                <w:rFonts w:ascii="Verdana" w:hAnsi="Verdana"/>
                <w:sz w:val="16"/>
                <w:szCs w:val="16"/>
              </w:rPr>
              <w:t>Los trámites en materia de impacto social y ocupación superficial, que se hayan ingresado con anterioridad a la entrada en vigor de este ordenamiento y que se encuentren pendientes de resolución, se deben substanciar conforme a la normatividad vigente al momento de su presentación.</w:t>
            </w:r>
          </w:p>
        </w:tc>
        <w:tc>
          <w:tcPr>
            <w:tcW w:w="4644" w:type="dxa"/>
          </w:tcPr>
          <w:p w14:paraId="765D6E48" w14:textId="05F4021D" w:rsidR="003A38FF" w:rsidRPr="00D0180E" w:rsidRDefault="003A38FF" w:rsidP="003A38FF">
            <w:pPr>
              <w:pStyle w:val="Texto"/>
              <w:spacing w:after="80"/>
              <w:ind w:firstLine="0"/>
              <w:rPr>
                <w:rFonts w:ascii="Verdana" w:hAnsi="Verdana"/>
                <w:b/>
                <w:sz w:val="16"/>
                <w:szCs w:val="16"/>
                <w:lang w:val="en-US"/>
              </w:rPr>
            </w:pPr>
            <w:r w:rsidRPr="0017160B">
              <w:rPr>
                <w:rFonts w:ascii="Verdana" w:hAnsi="Verdana"/>
                <w:b/>
                <w:sz w:val="16"/>
                <w:szCs w:val="16"/>
                <w:lang w:val="en-US"/>
              </w:rPr>
              <w:t xml:space="preserve">Eleventh. </w:t>
            </w:r>
            <w:r w:rsidRPr="0017160B">
              <w:rPr>
                <w:rFonts w:ascii="Verdana" w:hAnsi="Verdana"/>
                <w:sz w:val="16"/>
                <w:szCs w:val="16"/>
                <w:lang w:val="en-US"/>
              </w:rPr>
              <w:t>Procedures regarding social impact and surface occupation, submitted prior to the entry into force of this ordinance and pending resolution, must be processed in accordance with the Regulation in force at the time of submission.</w:t>
            </w:r>
          </w:p>
        </w:tc>
      </w:tr>
      <w:tr w:rsidR="003A38FF" w:rsidRPr="00D83DA2" w14:paraId="3772706B" w14:textId="795CC9A6" w:rsidTr="00FB5DAD">
        <w:tc>
          <w:tcPr>
            <w:tcW w:w="4706" w:type="dxa"/>
          </w:tcPr>
          <w:p w14:paraId="5478C034" w14:textId="77777777" w:rsidR="003A38FF" w:rsidRPr="00D0180E" w:rsidRDefault="003A38FF" w:rsidP="003A38FF">
            <w:pPr>
              <w:pStyle w:val="Texto"/>
              <w:spacing w:after="80"/>
              <w:ind w:firstLine="0"/>
              <w:rPr>
                <w:rFonts w:ascii="Verdana" w:hAnsi="Verdana"/>
                <w:sz w:val="16"/>
                <w:szCs w:val="16"/>
              </w:rPr>
            </w:pPr>
            <w:r w:rsidRPr="00D0180E">
              <w:rPr>
                <w:rFonts w:ascii="Verdana" w:hAnsi="Verdana"/>
                <w:sz w:val="16"/>
                <w:szCs w:val="16"/>
              </w:rPr>
              <w:t>En caso de modificación sustancial de proyectos que cuenten con resolución de Evaluación de Impacto Social emitida en términos de la Ley de la Industria Eléctrica y su reglamento, se debe presentar la Manifestación de Impacto Social del Sector Energético, la cual se debe tramitar y resolver conforme lo establecido en el presente reglamento y demás disposiciones normativas aplicables.</w:t>
            </w:r>
          </w:p>
        </w:tc>
        <w:tc>
          <w:tcPr>
            <w:tcW w:w="4644" w:type="dxa"/>
          </w:tcPr>
          <w:p w14:paraId="77B0CB21" w14:textId="310F9D33" w:rsidR="003A38FF" w:rsidRPr="00D0180E" w:rsidRDefault="003A38FF" w:rsidP="003A38FF">
            <w:pPr>
              <w:pStyle w:val="Texto"/>
              <w:spacing w:after="80"/>
              <w:ind w:firstLine="0"/>
              <w:rPr>
                <w:rFonts w:ascii="Verdana" w:hAnsi="Verdana"/>
                <w:sz w:val="16"/>
                <w:szCs w:val="16"/>
                <w:lang w:val="en-US"/>
              </w:rPr>
            </w:pPr>
            <w:r w:rsidRPr="0017160B">
              <w:rPr>
                <w:rFonts w:ascii="Verdana" w:hAnsi="Verdana"/>
                <w:sz w:val="16"/>
                <w:szCs w:val="16"/>
                <w:lang w:val="en-US"/>
              </w:rPr>
              <w:t xml:space="preserve">In the event of a substantial modification to projects that have a Social Impact Assessment resolution issued under the </w:t>
            </w:r>
            <w:r>
              <w:rPr>
                <w:rFonts w:ascii="Verdana" w:hAnsi="Verdana"/>
                <w:sz w:val="16"/>
                <w:szCs w:val="16"/>
                <w:lang w:val="en-US"/>
              </w:rPr>
              <w:t>Law of the Electricity Industry</w:t>
            </w:r>
            <w:r w:rsidRPr="0017160B">
              <w:rPr>
                <w:rFonts w:ascii="Verdana" w:hAnsi="Verdana"/>
                <w:sz w:val="16"/>
                <w:szCs w:val="16"/>
                <w:lang w:val="en-US"/>
              </w:rPr>
              <w:t xml:space="preserve"> and its Regulation, the Energy Sector Social Impact Statement must be submitted, which must be processed and resolved in accordance with the provisions of this Regulation and other applicable legislation.</w:t>
            </w:r>
          </w:p>
        </w:tc>
      </w:tr>
      <w:tr w:rsidR="003A38FF" w:rsidRPr="00D83DA2" w14:paraId="547139A4" w14:textId="546DAB7F" w:rsidTr="00FB5DAD">
        <w:tc>
          <w:tcPr>
            <w:tcW w:w="4706" w:type="dxa"/>
          </w:tcPr>
          <w:p w14:paraId="3C4F976E" w14:textId="77777777" w:rsidR="003A38FF" w:rsidRPr="00D0180E" w:rsidRDefault="003A38FF" w:rsidP="003A38FF">
            <w:pPr>
              <w:pStyle w:val="Texto"/>
              <w:spacing w:after="80"/>
              <w:ind w:firstLine="0"/>
              <w:rPr>
                <w:rFonts w:ascii="Verdana" w:hAnsi="Verdana"/>
                <w:sz w:val="16"/>
                <w:szCs w:val="16"/>
              </w:rPr>
            </w:pPr>
            <w:r w:rsidRPr="00D0180E">
              <w:rPr>
                <w:rFonts w:ascii="Verdana" w:hAnsi="Verdana"/>
                <w:sz w:val="16"/>
                <w:szCs w:val="16"/>
              </w:rPr>
              <w:lastRenderedPageBreak/>
              <w:t>Las consultas que hayan iniciado previo a la entrada en vigor del presente reglamento se deben substanciar conforme a la normatividad vigente al momento de su inicio.</w:t>
            </w:r>
          </w:p>
        </w:tc>
        <w:tc>
          <w:tcPr>
            <w:tcW w:w="4644" w:type="dxa"/>
          </w:tcPr>
          <w:p w14:paraId="0E590061" w14:textId="58367390" w:rsidR="003A38FF" w:rsidRPr="00D0180E" w:rsidRDefault="003A38FF" w:rsidP="003A38FF">
            <w:pPr>
              <w:pStyle w:val="Texto"/>
              <w:spacing w:after="80"/>
              <w:ind w:firstLine="0"/>
              <w:rPr>
                <w:rFonts w:ascii="Verdana" w:hAnsi="Verdana"/>
                <w:sz w:val="16"/>
                <w:szCs w:val="16"/>
                <w:lang w:val="en-US"/>
              </w:rPr>
            </w:pPr>
            <w:r w:rsidRPr="0017160B">
              <w:rPr>
                <w:rFonts w:ascii="Verdana" w:hAnsi="Verdana"/>
                <w:sz w:val="16"/>
                <w:szCs w:val="16"/>
                <w:lang w:val="en-US"/>
              </w:rPr>
              <w:t>Any consultations initiated prior to the entry into force of this regulation must be conducted in accordance with the Regulation in force at the time of their initiation.</w:t>
            </w:r>
          </w:p>
        </w:tc>
      </w:tr>
      <w:tr w:rsidR="003A38FF" w:rsidRPr="00D83DA2" w14:paraId="722305ED" w14:textId="07704988" w:rsidTr="00FB5DAD">
        <w:tc>
          <w:tcPr>
            <w:tcW w:w="4706" w:type="dxa"/>
          </w:tcPr>
          <w:p w14:paraId="16BD2AE3" w14:textId="77777777" w:rsidR="003A38FF" w:rsidRPr="00D0180E" w:rsidRDefault="003A38FF" w:rsidP="003A38FF">
            <w:pPr>
              <w:pStyle w:val="Texto"/>
              <w:spacing w:after="80"/>
              <w:ind w:firstLine="0"/>
              <w:rPr>
                <w:rFonts w:ascii="Verdana" w:hAnsi="Verdana"/>
                <w:sz w:val="16"/>
                <w:szCs w:val="16"/>
                <w:lang w:val="es"/>
              </w:rPr>
            </w:pPr>
            <w:r w:rsidRPr="00D0180E">
              <w:rPr>
                <w:rFonts w:ascii="Verdana" w:hAnsi="Verdana"/>
                <w:sz w:val="16"/>
                <w:szCs w:val="16"/>
              </w:rPr>
              <w:t>Los actos jurídicos en materia de impacto social y consulta celebrados con fundamento en los reglamentos y disposiciones jurídicas</w:t>
            </w:r>
            <w:r w:rsidRPr="00D0180E">
              <w:rPr>
                <w:rFonts w:ascii="Verdana" w:hAnsi="Verdana"/>
                <w:sz w:val="16"/>
                <w:szCs w:val="16"/>
                <w:lang w:val="es"/>
              </w:rPr>
              <w:t xml:space="preserve"> que se abrogan, deben respetarse en sus términos, incluidos derechos y obligaciones que de ellos emanen.</w:t>
            </w:r>
          </w:p>
        </w:tc>
        <w:tc>
          <w:tcPr>
            <w:tcW w:w="4644" w:type="dxa"/>
          </w:tcPr>
          <w:p w14:paraId="79C19409" w14:textId="5910C27D" w:rsidR="003A38FF" w:rsidRPr="00D0180E" w:rsidRDefault="003A38FF" w:rsidP="003A38FF">
            <w:pPr>
              <w:pStyle w:val="Texto"/>
              <w:spacing w:after="80"/>
              <w:ind w:firstLine="0"/>
              <w:rPr>
                <w:rFonts w:ascii="Verdana" w:hAnsi="Verdana"/>
                <w:sz w:val="16"/>
                <w:szCs w:val="16"/>
                <w:lang w:val="en-US"/>
              </w:rPr>
            </w:pPr>
            <w:r w:rsidRPr="0017160B">
              <w:rPr>
                <w:rFonts w:ascii="Verdana" w:hAnsi="Verdana"/>
                <w:sz w:val="16"/>
                <w:szCs w:val="16"/>
                <w:lang w:val="en-US"/>
              </w:rPr>
              <w:t xml:space="preserve">Legal acts regarding social impact and consultation </w:t>
            </w:r>
            <w:proofErr w:type="gramStart"/>
            <w:r w:rsidRPr="0017160B">
              <w:rPr>
                <w:rFonts w:ascii="Verdana" w:hAnsi="Verdana"/>
                <w:sz w:val="16"/>
                <w:szCs w:val="16"/>
                <w:lang w:val="en-US"/>
              </w:rPr>
              <w:t>entered into</w:t>
            </w:r>
            <w:proofErr w:type="gramEnd"/>
            <w:r w:rsidRPr="0017160B">
              <w:rPr>
                <w:rFonts w:ascii="Verdana" w:hAnsi="Verdana"/>
                <w:sz w:val="16"/>
                <w:szCs w:val="16"/>
                <w:lang w:val="en-US"/>
              </w:rPr>
              <w:t xml:space="preserve"> </w:t>
            </w:r>
            <w:proofErr w:type="gramStart"/>
            <w:r w:rsidRPr="0017160B">
              <w:rPr>
                <w:rFonts w:ascii="Verdana" w:hAnsi="Verdana"/>
                <w:sz w:val="16"/>
                <w:szCs w:val="16"/>
                <w:lang w:val="en-US"/>
              </w:rPr>
              <w:t>on the basis of</w:t>
            </w:r>
            <w:proofErr w:type="gramEnd"/>
            <w:r w:rsidRPr="0017160B">
              <w:rPr>
                <w:rFonts w:ascii="Verdana" w:hAnsi="Verdana"/>
                <w:sz w:val="16"/>
                <w:szCs w:val="16"/>
                <w:lang w:val="en-US"/>
              </w:rPr>
              <w:t xml:space="preserve"> the Regulation and legal provisions being repealed must be respected in their terms, including the rights and obligations arising from them.</w:t>
            </w:r>
          </w:p>
        </w:tc>
      </w:tr>
      <w:tr w:rsidR="003A38FF" w:rsidRPr="00D83DA2" w14:paraId="61A2E6C0" w14:textId="12590EDD" w:rsidTr="00FB5DAD">
        <w:tc>
          <w:tcPr>
            <w:tcW w:w="4706" w:type="dxa"/>
          </w:tcPr>
          <w:p w14:paraId="44A74F88" w14:textId="77777777" w:rsidR="003A38FF" w:rsidRPr="00D0180E" w:rsidRDefault="003A38FF" w:rsidP="003A38FF">
            <w:pPr>
              <w:pStyle w:val="Texto"/>
              <w:spacing w:after="80"/>
              <w:ind w:firstLine="0"/>
              <w:rPr>
                <w:rFonts w:ascii="Verdana" w:hAnsi="Verdana"/>
                <w:sz w:val="16"/>
                <w:szCs w:val="16"/>
              </w:rPr>
            </w:pPr>
            <w:r w:rsidRPr="00D0180E">
              <w:rPr>
                <w:rFonts w:ascii="Verdana" w:hAnsi="Verdana"/>
                <w:b/>
                <w:sz w:val="16"/>
                <w:szCs w:val="16"/>
              </w:rPr>
              <w:t>Décimo Segundo.</w:t>
            </w:r>
            <w:r w:rsidRPr="00D0180E">
              <w:rPr>
                <w:rFonts w:ascii="Verdana" w:hAnsi="Verdana"/>
                <w:sz w:val="16"/>
                <w:szCs w:val="16"/>
              </w:rPr>
              <w:t xml:space="preserve"> Los trámites y procedimientos en materia de ocupación superficial que hayan iniciado previo a la entrada en vigor del presente reglamento deben substanciarse y concluirse conforme a la normatividad vigente al momento de su inicio y se deben regir por dichas normas.</w:t>
            </w:r>
          </w:p>
        </w:tc>
        <w:tc>
          <w:tcPr>
            <w:tcW w:w="4644" w:type="dxa"/>
          </w:tcPr>
          <w:p w14:paraId="7D9BF5D8" w14:textId="610558EB" w:rsidR="003A38FF" w:rsidRPr="00D0180E" w:rsidRDefault="003A38FF" w:rsidP="003A38FF">
            <w:pPr>
              <w:pStyle w:val="Texto"/>
              <w:spacing w:after="80"/>
              <w:ind w:firstLine="0"/>
              <w:rPr>
                <w:rFonts w:ascii="Verdana" w:hAnsi="Verdana"/>
                <w:b/>
                <w:sz w:val="16"/>
                <w:szCs w:val="16"/>
                <w:lang w:val="en-US"/>
              </w:rPr>
            </w:pPr>
            <w:r w:rsidRPr="0017160B">
              <w:rPr>
                <w:rFonts w:ascii="Verdana" w:hAnsi="Verdana"/>
                <w:b/>
                <w:sz w:val="16"/>
                <w:szCs w:val="16"/>
                <w:lang w:val="en-US"/>
              </w:rPr>
              <w:t xml:space="preserve">Twelfth. </w:t>
            </w:r>
            <w:r w:rsidRPr="0017160B">
              <w:rPr>
                <w:rFonts w:ascii="Verdana" w:hAnsi="Verdana"/>
                <w:sz w:val="16"/>
                <w:szCs w:val="16"/>
                <w:lang w:val="en-US"/>
              </w:rPr>
              <w:t>Procedures and formalities regarding surface occupation initiated prior to the entry into force of this regulation must be substantiated and concluded in accordance with the Regulation in force at the time of their initiation and must be governed by said Regulation.</w:t>
            </w:r>
          </w:p>
        </w:tc>
      </w:tr>
      <w:tr w:rsidR="003A38FF" w:rsidRPr="00D83DA2" w14:paraId="3125C246" w14:textId="63335D32" w:rsidTr="00FB5DAD">
        <w:tc>
          <w:tcPr>
            <w:tcW w:w="4706" w:type="dxa"/>
          </w:tcPr>
          <w:p w14:paraId="417B457E" w14:textId="77777777" w:rsidR="003A38FF" w:rsidRPr="00D0180E" w:rsidRDefault="003A38FF" w:rsidP="003A38FF">
            <w:pPr>
              <w:pStyle w:val="Texto"/>
              <w:spacing w:after="80"/>
              <w:ind w:firstLine="0"/>
              <w:rPr>
                <w:rFonts w:ascii="Verdana" w:hAnsi="Verdana"/>
                <w:b/>
                <w:sz w:val="16"/>
                <w:szCs w:val="16"/>
              </w:rPr>
            </w:pPr>
            <w:r w:rsidRPr="00D0180E">
              <w:rPr>
                <w:rFonts w:ascii="Verdana" w:hAnsi="Verdana"/>
                <w:sz w:val="16"/>
                <w:szCs w:val="16"/>
              </w:rPr>
              <w:t>Los contratos de ocupación superficial que hayan sido concluidos previo a la entrada en vigor del presente ordenamiento, deben ser entregados al área competente de la Secretaría para su seguimiento.</w:t>
            </w:r>
          </w:p>
        </w:tc>
        <w:tc>
          <w:tcPr>
            <w:tcW w:w="4644" w:type="dxa"/>
          </w:tcPr>
          <w:p w14:paraId="448B3F93" w14:textId="69C47E66" w:rsidR="003A38FF" w:rsidRPr="00D0180E" w:rsidRDefault="003A38FF" w:rsidP="003A38FF">
            <w:pPr>
              <w:pStyle w:val="Texto"/>
              <w:spacing w:after="80"/>
              <w:ind w:firstLine="0"/>
              <w:rPr>
                <w:rFonts w:ascii="Verdana" w:hAnsi="Verdana"/>
                <w:sz w:val="16"/>
                <w:szCs w:val="16"/>
                <w:lang w:val="en-US"/>
              </w:rPr>
            </w:pPr>
            <w:r w:rsidRPr="0017160B">
              <w:rPr>
                <w:rFonts w:ascii="Verdana" w:hAnsi="Verdana"/>
                <w:sz w:val="16"/>
                <w:szCs w:val="16"/>
                <w:lang w:val="en-US"/>
              </w:rPr>
              <w:t>Surface occupation contracts concluded prior to the entry into force of this ordinance must be submitted to the competent department of the Secretary for follow-up.</w:t>
            </w:r>
          </w:p>
        </w:tc>
      </w:tr>
      <w:tr w:rsidR="003A38FF" w:rsidRPr="00D83DA2" w14:paraId="1CC0083C" w14:textId="2D12C046" w:rsidTr="00FB5DAD">
        <w:tc>
          <w:tcPr>
            <w:tcW w:w="4706" w:type="dxa"/>
          </w:tcPr>
          <w:p w14:paraId="109AC68F" w14:textId="77777777" w:rsidR="003A38FF" w:rsidRPr="00D0180E" w:rsidRDefault="003A38FF" w:rsidP="003A38FF">
            <w:pPr>
              <w:pStyle w:val="Texto"/>
              <w:ind w:firstLine="0"/>
              <w:rPr>
                <w:rFonts w:ascii="Verdana" w:hAnsi="Verdana"/>
                <w:sz w:val="16"/>
                <w:szCs w:val="16"/>
                <w:lang w:val="es"/>
              </w:rPr>
            </w:pPr>
            <w:r w:rsidRPr="00D0180E">
              <w:rPr>
                <w:rFonts w:ascii="Verdana" w:hAnsi="Verdana"/>
                <w:sz w:val="16"/>
                <w:szCs w:val="16"/>
              </w:rPr>
              <w:t>Los actos jurídicos en materia de ocupación superficial celebrados con fundamento en los reglamentos y disposiciones jurídicas</w:t>
            </w:r>
            <w:r w:rsidRPr="00D0180E">
              <w:rPr>
                <w:rFonts w:ascii="Verdana" w:hAnsi="Verdana"/>
                <w:sz w:val="16"/>
                <w:szCs w:val="16"/>
                <w:lang w:val="es"/>
              </w:rPr>
              <w:t xml:space="preserve"> que se </w:t>
            </w:r>
            <w:proofErr w:type="gramStart"/>
            <w:r w:rsidRPr="00D0180E">
              <w:rPr>
                <w:rFonts w:ascii="Verdana" w:hAnsi="Verdana"/>
                <w:sz w:val="16"/>
                <w:szCs w:val="16"/>
                <w:lang w:val="es"/>
              </w:rPr>
              <w:t>abrogan,</w:t>
            </w:r>
            <w:proofErr w:type="gramEnd"/>
            <w:r w:rsidRPr="00D0180E">
              <w:rPr>
                <w:rFonts w:ascii="Verdana" w:hAnsi="Verdana"/>
                <w:sz w:val="16"/>
                <w:szCs w:val="16"/>
                <w:lang w:val="es"/>
              </w:rPr>
              <w:t xml:space="preserve"> deben respetarse en sus términos, incluidos derechos y obligaciones que de ellos emanen.</w:t>
            </w:r>
          </w:p>
        </w:tc>
        <w:tc>
          <w:tcPr>
            <w:tcW w:w="4644" w:type="dxa"/>
          </w:tcPr>
          <w:p w14:paraId="4366F70D" w14:textId="67A2529C" w:rsidR="003A38FF" w:rsidRPr="00D0180E" w:rsidRDefault="003A38FF" w:rsidP="003A38FF">
            <w:pPr>
              <w:pStyle w:val="Texto"/>
              <w:ind w:firstLine="0"/>
              <w:rPr>
                <w:rFonts w:ascii="Verdana" w:hAnsi="Verdana"/>
                <w:sz w:val="16"/>
                <w:szCs w:val="16"/>
                <w:lang w:val="en-US"/>
              </w:rPr>
            </w:pPr>
            <w:r w:rsidRPr="0017160B">
              <w:rPr>
                <w:rFonts w:ascii="Verdana" w:hAnsi="Verdana"/>
                <w:sz w:val="16"/>
                <w:szCs w:val="16"/>
                <w:lang w:val="en-US"/>
              </w:rPr>
              <w:t xml:space="preserve">Legal acts regarding surface occupation </w:t>
            </w:r>
            <w:proofErr w:type="gramStart"/>
            <w:r w:rsidRPr="0017160B">
              <w:rPr>
                <w:rFonts w:ascii="Verdana" w:hAnsi="Verdana"/>
                <w:sz w:val="16"/>
                <w:szCs w:val="16"/>
                <w:lang w:val="en-US"/>
              </w:rPr>
              <w:t>entered into</w:t>
            </w:r>
            <w:proofErr w:type="gramEnd"/>
            <w:r w:rsidRPr="0017160B">
              <w:rPr>
                <w:rFonts w:ascii="Verdana" w:hAnsi="Verdana"/>
                <w:sz w:val="16"/>
                <w:szCs w:val="16"/>
                <w:lang w:val="en-US"/>
              </w:rPr>
              <w:t xml:space="preserve"> </w:t>
            </w:r>
            <w:proofErr w:type="gramStart"/>
            <w:r w:rsidRPr="0017160B">
              <w:rPr>
                <w:rFonts w:ascii="Verdana" w:hAnsi="Verdana"/>
                <w:sz w:val="16"/>
                <w:szCs w:val="16"/>
                <w:lang w:val="en-US"/>
              </w:rPr>
              <w:t>on the basis of</w:t>
            </w:r>
            <w:proofErr w:type="gramEnd"/>
            <w:r w:rsidRPr="0017160B">
              <w:rPr>
                <w:rFonts w:ascii="Verdana" w:hAnsi="Verdana"/>
                <w:sz w:val="16"/>
                <w:szCs w:val="16"/>
                <w:lang w:val="en-US"/>
              </w:rPr>
              <w:t xml:space="preserve"> the Regulation and legal provisions being repealed must be respected in their terms, including the rights and obligations arising from them.</w:t>
            </w:r>
          </w:p>
        </w:tc>
      </w:tr>
      <w:tr w:rsidR="003A38FF" w:rsidRPr="00D83DA2" w14:paraId="7CEF6CF3" w14:textId="60207B59" w:rsidTr="00FB5DAD">
        <w:tc>
          <w:tcPr>
            <w:tcW w:w="4706" w:type="dxa"/>
          </w:tcPr>
          <w:p w14:paraId="0E08A6B0" w14:textId="77777777" w:rsidR="003A38FF" w:rsidRPr="00D0180E" w:rsidRDefault="003A38FF" w:rsidP="003A38FF">
            <w:pPr>
              <w:pStyle w:val="Texto"/>
              <w:spacing w:line="227" w:lineRule="exact"/>
              <w:ind w:firstLine="0"/>
              <w:rPr>
                <w:rFonts w:ascii="Verdana" w:hAnsi="Verdana"/>
                <w:sz w:val="16"/>
                <w:szCs w:val="16"/>
              </w:rPr>
            </w:pPr>
            <w:r w:rsidRPr="00D0180E">
              <w:rPr>
                <w:rFonts w:ascii="Verdana" w:hAnsi="Verdana"/>
                <w:b/>
                <w:sz w:val="16"/>
                <w:szCs w:val="16"/>
              </w:rPr>
              <w:t xml:space="preserve">Décimo Tercero. </w:t>
            </w:r>
            <w:r w:rsidRPr="00D0180E">
              <w:rPr>
                <w:rFonts w:ascii="Verdana" w:hAnsi="Verdana"/>
                <w:sz w:val="16"/>
                <w:szCs w:val="16"/>
              </w:rPr>
              <w:t xml:space="preserve">A partir de la entrada en vigor del presente reglamento, todas las referencias </w:t>
            </w:r>
            <w:r w:rsidRPr="00D0180E">
              <w:rPr>
                <w:rFonts w:ascii="Verdana" w:hAnsi="Verdana"/>
                <w:sz w:val="16"/>
                <w:szCs w:val="16"/>
                <w:lang w:val="es"/>
              </w:rPr>
              <w:t xml:space="preserve">que en los ordenamientos jurídicos vigentes se hagan </w:t>
            </w:r>
            <w:r w:rsidRPr="00D0180E">
              <w:rPr>
                <w:rFonts w:ascii="Verdana" w:hAnsi="Verdana"/>
                <w:sz w:val="16"/>
                <w:szCs w:val="16"/>
              </w:rPr>
              <w:t>al Reglamento de la Ley de la Industria Eléctrica, se entienden hechas al presente ordenamiento.</w:t>
            </w:r>
          </w:p>
        </w:tc>
        <w:tc>
          <w:tcPr>
            <w:tcW w:w="4644" w:type="dxa"/>
          </w:tcPr>
          <w:p w14:paraId="5928E610" w14:textId="36EA6C08" w:rsidR="003A38FF" w:rsidRPr="00D0180E" w:rsidRDefault="003A38FF" w:rsidP="003A38FF">
            <w:pPr>
              <w:pStyle w:val="Texto"/>
              <w:spacing w:line="227" w:lineRule="exact"/>
              <w:ind w:firstLine="0"/>
              <w:rPr>
                <w:rFonts w:ascii="Verdana" w:hAnsi="Verdana"/>
                <w:b/>
                <w:sz w:val="16"/>
                <w:szCs w:val="16"/>
                <w:lang w:val="en-US"/>
              </w:rPr>
            </w:pPr>
            <w:r w:rsidRPr="0017160B">
              <w:rPr>
                <w:rFonts w:ascii="Verdana" w:hAnsi="Verdana"/>
                <w:b/>
                <w:sz w:val="16"/>
                <w:szCs w:val="16"/>
                <w:lang w:val="en-US"/>
              </w:rPr>
              <w:t xml:space="preserve">Thirteenth. </w:t>
            </w:r>
            <w:r w:rsidRPr="0017160B">
              <w:rPr>
                <w:rFonts w:ascii="Verdana" w:hAnsi="Verdana"/>
                <w:sz w:val="16"/>
                <w:szCs w:val="16"/>
                <w:lang w:val="en-US"/>
              </w:rPr>
              <w:t>From the date this regulation comes into force, all references to the</w:t>
            </w:r>
            <w:r>
              <w:rPr>
                <w:rFonts w:ascii="Verdana" w:hAnsi="Verdana"/>
                <w:sz w:val="16"/>
                <w:szCs w:val="16"/>
                <w:lang w:val="en-US"/>
              </w:rPr>
              <w:t xml:space="preserve"> Regulation of the Law of</w:t>
            </w:r>
            <w:r w:rsidRPr="0017160B">
              <w:rPr>
                <w:rFonts w:ascii="Verdana" w:hAnsi="Verdana"/>
                <w:sz w:val="16"/>
                <w:szCs w:val="16"/>
                <w:lang w:val="en-US"/>
              </w:rPr>
              <w:t xml:space="preserve"> Electricity Industry in current legal systems are deemed to refer to this regulation.</w:t>
            </w:r>
          </w:p>
        </w:tc>
      </w:tr>
      <w:tr w:rsidR="003A38FF" w:rsidRPr="00D83DA2" w14:paraId="3F24FE43" w14:textId="110EE0C3" w:rsidTr="00FB5DAD">
        <w:tc>
          <w:tcPr>
            <w:tcW w:w="4706" w:type="dxa"/>
          </w:tcPr>
          <w:p w14:paraId="08339D44" w14:textId="77777777" w:rsidR="003A38FF" w:rsidRPr="00D0180E" w:rsidRDefault="003A38FF" w:rsidP="003A38FF">
            <w:pPr>
              <w:pStyle w:val="Texto"/>
              <w:spacing w:line="227" w:lineRule="exact"/>
              <w:ind w:firstLine="0"/>
              <w:rPr>
                <w:rFonts w:ascii="Verdana" w:hAnsi="Verdana"/>
                <w:sz w:val="16"/>
                <w:szCs w:val="16"/>
              </w:rPr>
            </w:pPr>
            <w:r w:rsidRPr="00D0180E">
              <w:rPr>
                <w:rFonts w:ascii="Verdana" w:hAnsi="Verdana"/>
                <w:b/>
                <w:sz w:val="16"/>
                <w:szCs w:val="16"/>
              </w:rPr>
              <w:t xml:space="preserve">Décimo Cuarto. </w:t>
            </w:r>
            <w:r w:rsidRPr="00D0180E">
              <w:rPr>
                <w:rFonts w:ascii="Verdana" w:hAnsi="Verdana"/>
                <w:sz w:val="16"/>
                <w:szCs w:val="16"/>
              </w:rPr>
              <w:t>Las Centrales Eléctricas que hayan cumplido con la normativa vigente de medición al inicio de su operación comercial, previo a la entrada en vigor de la Ley de la Industria Eléctrica y, que por sus características cumplan parcialmente con los requisitos establecidos en la normativa vigente a la entrada del presente reglamento, deben informar a la CNE el estatus de sus Sistemas de Medición, los programas de atención y, en su caso, las limitaciones técnicas por las cuales no es posible cumplir en su totalidad. La CNE, en coordinación con la Secretaría, deben establecer en cada caso, los periodos y los mecanismos para transitar las actualizaciones de regulación normativa en esta materia, donde por Confiabilidad del Sistema Eléctrico Nacional sea requerido.</w:t>
            </w:r>
          </w:p>
        </w:tc>
        <w:tc>
          <w:tcPr>
            <w:tcW w:w="4644" w:type="dxa"/>
          </w:tcPr>
          <w:p w14:paraId="02D1505E" w14:textId="25B8DBBE" w:rsidR="003A38FF" w:rsidRPr="00D0180E" w:rsidRDefault="003A38FF" w:rsidP="003A38FF">
            <w:pPr>
              <w:pStyle w:val="Texto"/>
              <w:spacing w:line="227" w:lineRule="exact"/>
              <w:ind w:firstLine="0"/>
              <w:rPr>
                <w:rFonts w:ascii="Verdana" w:hAnsi="Verdana"/>
                <w:b/>
                <w:sz w:val="16"/>
                <w:szCs w:val="16"/>
                <w:lang w:val="en-US"/>
              </w:rPr>
            </w:pPr>
            <w:r w:rsidRPr="0017160B">
              <w:rPr>
                <w:rFonts w:ascii="Verdana" w:hAnsi="Verdana"/>
                <w:b/>
                <w:sz w:val="16"/>
                <w:szCs w:val="16"/>
                <w:lang w:val="en-US"/>
              </w:rPr>
              <w:t xml:space="preserve">Fourteenth. </w:t>
            </w:r>
            <w:r w:rsidRPr="0017160B">
              <w:rPr>
                <w:rFonts w:ascii="Verdana" w:hAnsi="Verdana"/>
                <w:sz w:val="16"/>
                <w:szCs w:val="16"/>
                <w:lang w:val="en-US"/>
              </w:rPr>
              <w:t>Power plants that complied with current metering Regulation at the start of commercial operations, prior to the entry into force of the</w:t>
            </w:r>
            <w:r>
              <w:rPr>
                <w:rFonts w:ascii="Verdana" w:hAnsi="Verdana"/>
                <w:sz w:val="16"/>
                <w:szCs w:val="16"/>
                <w:lang w:val="en-US"/>
              </w:rPr>
              <w:t xml:space="preserve"> Law of the</w:t>
            </w:r>
            <w:r w:rsidRPr="0017160B">
              <w:rPr>
                <w:rFonts w:ascii="Verdana" w:hAnsi="Verdana"/>
                <w:sz w:val="16"/>
                <w:szCs w:val="16"/>
                <w:lang w:val="en-US"/>
              </w:rPr>
              <w:t xml:space="preserve"> Electricity Industry, and that, due to their characteristics, partially meet the requirements established in the Regulation in force at the time of entry into force of this regulation, must inform the CNE of the status of their metering systems, their support programs, and, where applicable, the technical limitations that prevent full compliance. The CNE, in coordination with the Secretary, must establish, in each case, the time periods and mechanisms for implementing regulatory updates in this area, where required by the </w:t>
            </w:r>
            <w:r>
              <w:rPr>
                <w:rFonts w:ascii="Verdana" w:hAnsi="Verdana"/>
                <w:sz w:val="16"/>
                <w:szCs w:val="16"/>
                <w:lang w:val="en-US"/>
              </w:rPr>
              <w:t>National Electric System</w:t>
            </w:r>
            <w:r w:rsidRPr="0017160B">
              <w:rPr>
                <w:rFonts w:ascii="Verdana" w:hAnsi="Verdana"/>
                <w:sz w:val="16"/>
                <w:szCs w:val="16"/>
                <w:lang w:val="en-US"/>
              </w:rPr>
              <w:t xml:space="preserve"> Reliability Standard.</w:t>
            </w:r>
          </w:p>
        </w:tc>
      </w:tr>
      <w:tr w:rsidR="003A38FF" w:rsidRPr="00D83DA2" w14:paraId="3EF60B10" w14:textId="3304CA1D" w:rsidTr="00FB5DAD">
        <w:tc>
          <w:tcPr>
            <w:tcW w:w="4706" w:type="dxa"/>
          </w:tcPr>
          <w:p w14:paraId="093B31E6" w14:textId="77777777" w:rsidR="003A38FF" w:rsidRPr="00D0180E" w:rsidRDefault="003A38FF" w:rsidP="003A38FF">
            <w:pPr>
              <w:pStyle w:val="Texto"/>
              <w:spacing w:line="227" w:lineRule="exact"/>
              <w:ind w:firstLine="0"/>
              <w:rPr>
                <w:rFonts w:ascii="Verdana" w:hAnsi="Verdana"/>
                <w:sz w:val="16"/>
                <w:szCs w:val="16"/>
              </w:rPr>
            </w:pPr>
            <w:r w:rsidRPr="00D0180E">
              <w:rPr>
                <w:rFonts w:ascii="Verdana" w:hAnsi="Verdana"/>
                <w:sz w:val="16"/>
                <w:szCs w:val="16"/>
              </w:rPr>
              <w:t>La CNE debe notificar a la Central Eléctrica, a la Transportista, a la Distribuidora y al CENACE, las consideraciones a los periodos máximos para su cumplimiento.</w:t>
            </w:r>
          </w:p>
        </w:tc>
        <w:tc>
          <w:tcPr>
            <w:tcW w:w="4644" w:type="dxa"/>
          </w:tcPr>
          <w:p w14:paraId="59CA9B92" w14:textId="75C6345C" w:rsidR="003A38FF" w:rsidRPr="00D0180E" w:rsidRDefault="003A38FF" w:rsidP="003A38FF">
            <w:pPr>
              <w:pStyle w:val="Texto"/>
              <w:spacing w:line="227" w:lineRule="exact"/>
              <w:ind w:firstLine="0"/>
              <w:rPr>
                <w:rFonts w:ascii="Verdana" w:hAnsi="Verdana"/>
                <w:sz w:val="16"/>
                <w:szCs w:val="16"/>
                <w:lang w:val="en-US"/>
              </w:rPr>
            </w:pPr>
            <w:r w:rsidRPr="0017160B">
              <w:rPr>
                <w:rFonts w:ascii="Verdana" w:hAnsi="Verdana"/>
                <w:sz w:val="16"/>
                <w:szCs w:val="16"/>
                <w:lang w:val="en-US"/>
              </w:rPr>
              <w:t xml:space="preserve">The CNE must notify the </w:t>
            </w:r>
            <w:r>
              <w:rPr>
                <w:rFonts w:ascii="Verdana" w:hAnsi="Verdana"/>
                <w:sz w:val="16"/>
                <w:szCs w:val="16"/>
                <w:lang w:val="en-US"/>
              </w:rPr>
              <w:t>power plant</w:t>
            </w:r>
            <w:r w:rsidRPr="0017160B">
              <w:rPr>
                <w:rFonts w:ascii="Verdana" w:hAnsi="Verdana"/>
                <w:sz w:val="16"/>
                <w:szCs w:val="16"/>
                <w:lang w:val="en-US"/>
              </w:rPr>
              <w:t>, the Transmission Company, the Distributor, and CENACE of the considerations regarding the maximum periods for compliance.</w:t>
            </w:r>
          </w:p>
        </w:tc>
      </w:tr>
      <w:tr w:rsidR="003A38FF" w:rsidRPr="00D83DA2" w14:paraId="7CE74361" w14:textId="4CBF0322" w:rsidTr="00FB5DAD">
        <w:tc>
          <w:tcPr>
            <w:tcW w:w="4706" w:type="dxa"/>
          </w:tcPr>
          <w:p w14:paraId="00133BBC" w14:textId="77777777" w:rsidR="003A38FF" w:rsidRPr="00D0180E" w:rsidRDefault="003A38FF" w:rsidP="003A38FF">
            <w:pPr>
              <w:pStyle w:val="Texto"/>
              <w:spacing w:line="227" w:lineRule="exact"/>
              <w:ind w:firstLine="0"/>
              <w:rPr>
                <w:rFonts w:ascii="Verdana" w:hAnsi="Verdana"/>
                <w:sz w:val="16"/>
                <w:szCs w:val="16"/>
              </w:rPr>
            </w:pPr>
            <w:r w:rsidRPr="00D0180E">
              <w:rPr>
                <w:rFonts w:ascii="Verdana" w:hAnsi="Verdana"/>
                <w:b/>
                <w:sz w:val="16"/>
                <w:szCs w:val="16"/>
              </w:rPr>
              <w:t xml:space="preserve">Décimo Quinto. </w:t>
            </w:r>
            <w:r w:rsidRPr="00D0180E">
              <w:rPr>
                <w:rFonts w:ascii="Verdana" w:hAnsi="Verdana"/>
                <w:sz w:val="16"/>
                <w:szCs w:val="16"/>
              </w:rPr>
              <w:t>En un periodo de máximo ciento veinte días hábiles, a partir de la entrada en vigor del presente reglamento, la CNE debe publicar la regulación necesaria para que el CENACE pueda operar la Demanda Controlable.</w:t>
            </w:r>
          </w:p>
        </w:tc>
        <w:tc>
          <w:tcPr>
            <w:tcW w:w="4644" w:type="dxa"/>
          </w:tcPr>
          <w:p w14:paraId="56E81A0C" w14:textId="07F83036" w:rsidR="003A38FF" w:rsidRPr="00D0180E" w:rsidRDefault="003A38FF" w:rsidP="003A38FF">
            <w:pPr>
              <w:pStyle w:val="Texto"/>
              <w:spacing w:line="227" w:lineRule="exact"/>
              <w:ind w:firstLine="0"/>
              <w:rPr>
                <w:rFonts w:ascii="Verdana" w:hAnsi="Verdana"/>
                <w:b/>
                <w:sz w:val="16"/>
                <w:szCs w:val="16"/>
                <w:lang w:val="en-US"/>
              </w:rPr>
            </w:pPr>
            <w:r w:rsidRPr="0017160B">
              <w:rPr>
                <w:rFonts w:ascii="Verdana" w:hAnsi="Verdana"/>
                <w:b/>
                <w:sz w:val="16"/>
                <w:szCs w:val="16"/>
                <w:lang w:val="en-US"/>
              </w:rPr>
              <w:t xml:space="preserve">Fifteenth. </w:t>
            </w:r>
            <w:r w:rsidRPr="0017160B">
              <w:rPr>
                <w:rFonts w:ascii="Verdana" w:hAnsi="Verdana"/>
                <w:sz w:val="16"/>
                <w:szCs w:val="16"/>
                <w:lang w:val="en-US"/>
              </w:rPr>
              <w:t xml:space="preserve">Within a maximum period of one hundred and twenty business days from the date this regulation comes into force, the CNE must publish the Regulation necessary for CENACE to operate the </w:t>
            </w:r>
            <w:r>
              <w:rPr>
                <w:rFonts w:ascii="Verdana" w:hAnsi="Verdana"/>
                <w:sz w:val="16"/>
                <w:szCs w:val="16"/>
                <w:lang w:val="en-US"/>
              </w:rPr>
              <w:t>c</w:t>
            </w:r>
            <w:r w:rsidRPr="0017160B">
              <w:rPr>
                <w:rFonts w:ascii="Verdana" w:hAnsi="Verdana"/>
                <w:sz w:val="16"/>
                <w:szCs w:val="16"/>
                <w:lang w:val="en-US"/>
              </w:rPr>
              <w:t xml:space="preserve">ontrollable </w:t>
            </w:r>
            <w:r>
              <w:rPr>
                <w:rFonts w:ascii="Verdana" w:hAnsi="Verdana"/>
                <w:sz w:val="16"/>
                <w:szCs w:val="16"/>
                <w:lang w:val="en-US"/>
              </w:rPr>
              <w:t>d</w:t>
            </w:r>
            <w:r w:rsidRPr="0017160B">
              <w:rPr>
                <w:rFonts w:ascii="Verdana" w:hAnsi="Verdana"/>
                <w:sz w:val="16"/>
                <w:szCs w:val="16"/>
                <w:lang w:val="en-US"/>
              </w:rPr>
              <w:t>emand.</w:t>
            </w:r>
          </w:p>
        </w:tc>
      </w:tr>
      <w:tr w:rsidR="003A38FF" w:rsidRPr="00D83DA2" w14:paraId="5684C2BD" w14:textId="213C3160" w:rsidTr="00FB5DAD">
        <w:tc>
          <w:tcPr>
            <w:tcW w:w="4706" w:type="dxa"/>
          </w:tcPr>
          <w:p w14:paraId="4F10E743" w14:textId="77777777" w:rsidR="003A38FF" w:rsidRPr="00D0180E" w:rsidRDefault="003A38FF" w:rsidP="003A38FF">
            <w:pPr>
              <w:pStyle w:val="Texto"/>
              <w:spacing w:line="227" w:lineRule="exact"/>
              <w:ind w:firstLine="0"/>
              <w:rPr>
                <w:rFonts w:ascii="Verdana" w:hAnsi="Verdana"/>
                <w:sz w:val="16"/>
                <w:szCs w:val="16"/>
              </w:rPr>
            </w:pPr>
            <w:r w:rsidRPr="00D0180E">
              <w:rPr>
                <w:rFonts w:ascii="Verdana" w:hAnsi="Verdana"/>
                <w:b/>
                <w:sz w:val="16"/>
                <w:szCs w:val="16"/>
              </w:rPr>
              <w:lastRenderedPageBreak/>
              <w:t>Décimo Sexto.</w:t>
            </w:r>
            <w:r w:rsidRPr="00D0180E">
              <w:rPr>
                <w:rFonts w:ascii="Verdana" w:hAnsi="Verdana"/>
                <w:sz w:val="16"/>
                <w:szCs w:val="16"/>
              </w:rPr>
              <w:t xml:space="preserve"> Por única ocasión, la Secretaría debe publicar los requisitos de Energía Limpia para los años 2025, 2026, 2027 y 2028, ciento veinte días naturales posteriores a la entrada en vigor del presente reglamento.</w:t>
            </w:r>
          </w:p>
        </w:tc>
        <w:tc>
          <w:tcPr>
            <w:tcW w:w="4644" w:type="dxa"/>
          </w:tcPr>
          <w:p w14:paraId="1D3F02C0" w14:textId="367E5B0B" w:rsidR="003A38FF" w:rsidRPr="00D0180E" w:rsidRDefault="003A38FF" w:rsidP="003A38FF">
            <w:pPr>
              <w:pStyle w:val="Texto"/>
              <w:spacing w:line="227" w:lineRule="exact"/>
              <w:ind w:firstLine="0"/>
              <w:rPr>
                <w:rFonts w:ascii="Verdana" w:hAnsi="Verdana"/>
                <w:b/>
                <w:sz w:val="16"/>
                <w:szCs w:val="16"/>
                <w:lang w:val="en-US"/>
              </w:rPr>
            </w:pPr>
            <w:r w:rsidRPr="0017160B">
              <w:rPr>
                <w:rFonts w:ascii="Verdana" w:hAnsi="Verdana"/>
                <w:b/>
                <w:sz w:val="16"/>
                <w:szCs w:val="16"/>
                <w:lang w:val="en-US"/>
              </w:rPr>
              <w:t xml:space="preserve">Sixteenth. </w:t>
            </w:r>
            <w:r w:rsidRPr="0017160B">
              <w:rPr>
                <w:rFonts w:ascii="Verdana" w:hAnsi="Verdana"/>
                <w:sz w:val="16"/>
                <w:szCs w:val="16"/>
                <w:lang w:val="en-US"/>
              </w:rPr>
              <w:t>For one time only, the Secretary must publish the Clean Energy requirements for the years 2025, 2026, 2027, and 2028, one hundred and twenty calendar days after the entry into force of this regulation.</w:t>
            </w:r>
          </w:p>
        </w:tc>
      </w:tr>
      <w:tr w:rsidR="003A38FF" w:rsidRPr="00D83DA2" w14:paraId="48B98424" w14:textId="15592F2F" w:rsidTr="00FB5DAD">
        <w:tc>
          <w:tcPr>
            <w:tcW w:w="4706" w:type="dxa"/>
          </w:tcPr>
          <w:p w14:paraId="3E2FBEDA" w14:textId="77777777" w:rsidR="003A38FF" w:rsidRPr="00D0180E" w:rsidRDefault="003A38FF" w:rsidP="003A38FF">
            <w:pPr>
              <w:pStyle w:val="Texto"/>
              <w:spacing w:line="227" w:lineRule="exact"/>
              <w:ind w:firstLine="0"/>
              <w:rPr>
                <w:rFonts w:ascii="Verdana" w:hAnsi="Verdana"/>
                <w:sz w:val="16"/>
                <w:szCs w:val="16"/>
              </w:rPr>
            </w:pPr>
            <w:r w:rsidRPr="00D0180E">
              <w:rPr>
                <w:rFonts w:ascii="Verdana" w:hAnsi="Verdana"/>
                <w:b/>
                <w:sz w:val="16"/>
                <w:szCs w:val="16"/>
              </w:rPr>
              <w:t xml:space="preserve">Décimo Séptimo. </w:t>
            </w:r>
            <w:r w:rsidRPr="00D0180E">
              <w:rPr>
                <w:rFonts w:ascii="Verdana" w:hAnsi="Verdana"/>
                <w:sz w:val="16"/>
                <w:szCs w:val="16"/>
              </w:rPr>
              <w:t>Dentro de los ciento cincuenta días hábiles contados a partir de la entrada en vigor del presente reglamento, la Secretaría debe instalar al Monitor Independiente del Mercado con cargo a las tarifas que determine la CNE, el cual debe coadyuvar a ejercer las funciones de Vigilancia del Mercado directamente desde la Secretaría por un periodo de un año calendario contado a partir de la entrada en vigor del presente reglamento. Posteriormente, el Monitor Independiente del Mercado Eléctrico Mayorista debe reportar el resultado de dichas funciones de vigilancia directamente a la Unidad de Electricidad de la CNE.</w:t>
            </w:r>
          </w:p>
        </w:tc>
        <w:tc>
          <w:tcPr>
            <w:tcW w:w="4644" w:type="dxa"/>
          </w:tcPr>
          <w:p w14:paraId="1973D0BA" w14:textId="38B48ED0" w:rsidR="003A38FF" w:rsidRPr="00D0180E" w:rsidRDefault="003A38FF" w:rsidP="003A38FF">
            <w:pPr>
              <w:pStyle w:val="Texto"/>
              <w:spacing w:line="227" w:lineRule="exact"/>
              <w:ind w:firstLine="0"/>
              <w:rPr>
                <w:rFonts w:ascii="Verdana" w:hAnsi="Verdana"/>
                <w:b/>
                <w:sz w:val="16"/>
                <w:szCs w:val="16"/>
                <w:lang w:val="en-US"/>
              </w:rPr>
            </w:pPr>
            <w:r w:rsidRPr="0017160B">
              <w:rPr>
                <w:rFonts w:ascii="Verdana" w:hAnsi="Verdana"/>
                <w:b/>
                <w:sz w:val="16"/>
                <w:szCs w:val="16"/>
                <w:lang w:val="en-US"/>
              </w:rPr>
              <w:t xml:space="preserve">Seventeenth. </w:t>
            </w:r>
            <w:r w:rsidRPr="0017160B">
              <w:rPr>
                <w:rFonts w:ascii="Verdana" w:hAnsi="Verdana"/>
                <w:sz w:val="16"/>
                <w:szCs w:val="16"/>
                <w:lang w:val="en-US"/>
              </w:rPr>
              <w:t xml:space="preserve">Within one hundred and fifty business days of the entry into force of this regulation, the Secretary must install the Independent Market Monitor, charged to the rates determined by the CNE. This monitor must assist in exercising market </w:t>
            </w:r>
            <w:r>
              <w:rPr>
                <w:rFonts w:ascii="Verdana" w:hAnsi="Verdana"/>
                <w:sz w:val="16"/>
                <w:szCs w:val="16"/>
                <w:lang w:val="en-US"/>
              </w:rPr>
              <w:t>oversight</w:t>
            </w:r>
            <w:r w:rsidRPr="0017160B">
              <w:rPr>
                <w:rFonts w:ascii="Verdana" w:hAnsi="Verdana"/>
                <w:sz w:val="16"/>
                <w:szCs w:val="16"/>
                <w:lang w:val="en-US"/>
              </w:rPr>
              <w:t xml:space="preserve"> functions directly from the Secretary for a period of one calendar year from the entry into force of this regulation. Subsequently, the Independent Wholesale Electricity Market Monitor must report the results of these </w:t>
            </w:r>
            <w:r>
              <w:rPr>
                <w:rFonts w:ascii="Verdana" w:hAnsi="Verdana"/>
                <w:sz w:val="16"/>
                <w:szCs w:val="16"/>
                <w:lang w:val="en-US"/>
              </w:rPr>
              <w:t>Oversight</w:t>
            </w:r>
            <w:r w:rsidRPr="0017160B">
              <w:rPr>
                <w:rFonts w:ascii="Verdana" w:hAnsi="Verdana"/>
                <w:sz w:val="16"/>
                <w:szCs w:val="16"/>
                <w:lang w:val="en-US"/>
              </w:rPr>
              <w:t xml:space="preserve"> functions directly to the CNE's Electricity Unit.</w:t>
            </w:r>
          </w:p>
        </w:tc>
      </w:tr>
      <w:tr w:rsidR="003A38FF" w:rsidRPr="00D83DA2" w14:paraId="32914E00" w14:textId="0B1B4152" w:rsidTr="00FB5DAD">
        <w:tc>
          <w:tcPr>
            <w:tcW w:w="4706" w:type="dxa"/>
          </w:tcPr>
          <w:p w14:paraId="100F35D8" w14:textId="77777777" w:rsidR="003A38FF" w:rsidRPr="00D0180E" w:rsidRDefault="003A38FF" w:rsidP="003A38FF">
            <w:pPr>
              <w:pStyle w:val="Texto"/>
              <w:spacing w:line="227" w:lineRule="exact"/>
              <w:ind w:firstLine="0"/>
              <w:rPr>
                <w:rFonts w:ascii="Verdana" w:hAnsi="Verdana"/>
                <w:sz w:val="16"/>
                <w:szCs w:val="16"/>
              </w:rPr>
            </w:pPr>
            <w:r w:rsidRPr="00D0180E">
              <w:rPr>
                <w:rFonts w:ascii="Verdana" w:hAnsi="Verdana"/>
                <w:b/>
                <w:sz w:val="16"/>
                <w:szCs w:val="16"/>
              </w:rPr>
              <w:t xml:space="preserve">Décimo Octavo. </w:t>
            </w:r>
            <w:r w:rsidRPr="00D0180E">
              <w:rPr>
                <w:rFonts w:ascii="Verdana" w:hAnsi="Verdana"/>
                <w:sz w:val="16"/>
                <w:szCs w:val="16"/>
              </w:rPr>
              <w:t>Previo a la emisión del primer Plan de Desarrollo del Sector Eléctrico, durante el último cuatrimestre del dos mil veinticinco, la Secretaría puede recibir de cualquier persona interesada, propuestas de proyectos de generación, industriales, productivos y de infraestructura del sector eléctrico para ser considerados en la planeación vinculante.</w:t>
            </w:r>
          </w:p>
        </w:tc>
        <w:tc>
          <w:tcPr>
            <w:tcW w:w="4644" w:type="dxa"/>
          </w:tcPr>
          <w:p w14:paraId="2FA5A0C9" w14:textId="1E8D3FB9" w:rsidR="003A38FF" w:rsidRPr="00D0180E" w:rsidRDefault="003A38FF" w:rsidP="003A38FF">
            <w:pPr>
              <w:pStyle w:val="Texto"/>
              <w:spacing w:line="227" w:lineRule="exact"/>
              <w:ind w:firstLine="0"/>
              <w:rPr>
                <w:rFonts w:ascii="Verdana" w:hAnsi="Verdana"/>
                <w:b/>
                <w:sz w:val="16"/>
                <w:szCs w:val="16"/>
                <w:lang w:val="en-US"/>
              </w:rPr>
            </w:pPr>
            <w:r w:rsidRPr="0017160B">
              <w:rPr>
                <w:rFonts w:ascii="Verdana" w:hAnsi="Verdana"/>
                <w:b/>
                <w:sz w:val="16"/>
                <w:szCs w:val="16"/>
                <w:lang w:val="en-US"/>
              </w:rPr>
              <w:t xml:space="preserve">Eighteenth. </w:t>
            </w:r>
            <w:r w:rsidRPr="0017160B">
              <w:rPr>
                <w:rFonts w:ascii="Verdana" w:hAnsi="Verdana"/>
                <w:sz w:val="16"/>
                <w:szCs w:val="16"/>
                <w:lang w:val="en-US"/>
              </w:rPr>
              <w:t>Prior to issuing the first Electricity Sector Development Plan, during the last four months of 2025, the Secretary may receive proposals for generation, industrial, productive, and infrastructure projects in the electric sector from any interested party for consideration in the binding planning.</w:t>
            </w:r>
          </w:p>
        </w:tc>
      </w:tr>
      <w:tr w:rsidR="003A38FF" w:rsidRPr="00D83DA2" w14:paraId="02920A1A" w14:textId="00160921" w:rsidTr="00FB5DAD">
        <w:tc>
          <w:tcPr>
            <w:tcW w:w="4706" w:type="dxa"/>
          </w:tcPr>
          <w:p w14:paraId="0B6A2820" w14:textId="77777777" w:rsidR="003A38FF" w:rsidRPr="00D0180E" w:rsidRDefault="003A38FF" w:rsidP="003A38FF">
            <w:pPr>
              <w:pStyle w:val="Texto"/>
              <w:spacing w:line="227" w:lineRule="exact"/>
              <w:ind w:firstLine="0"/>
              <w:rPr>
                <w:rFonts w:ascii="Verdana" w:hAnsi="Verdana"/>
                <w:sz w:val="16"/>
                <w:szCs w:val="16"/>
              </w:rPr>
            </w:pPr>
            <w:r w:rsidRPr="00D0180E">
              <w:rPr>
                <w:rFonts w:ascii="Verdana" w:hAnsi="Verdana"/>
                <w:b/>
                <w:sz w:val="16"/>
                <w:szCs w:val="16"/>
              </w:rPr>
              <w:t xml:space="preserve">Décimo Noveno. </w:t>
            </w:r>
            <w:r w:rsidRPr="00D0180E">
              <w:rPr>
                <w:rFonts w:ascii="Verdana" w:hAnsi="Verdana"/>
                <w:sz w:val="16"/>
                <w:szCs w:val="16"/>
              </w:rPr>
              <w:t>Los lineamientos que regulen el procedimiento expedito para la migración a figuras de la Ley, de los permisos de autoabastecimiento, cogeneración, pequeña producción, producción independiente, importación, exportación y usos propios continuos otorgados al amparo de la Ley del Servicio Público de Energía Eléctrica, y de los contratos y convenios vinculados a los mismos, deben ser emitidos por la Secretaría, a más tardar ciento veinte días naturales a partir de la publicación del presente reglamento.</w:t>
            </w:r>
          </w:p>
        </w:tc>
        <w:tc>
          <w:tcPr>
            <w:tcW w:w="4644" w:type="dxa"/>
          </w:tcPr>
          <w:p w14:paraId="6868DCC0" w14:textId="28C2C24B" w:rsidR="003A38FF" w:rsidRPr="00D0180E" w:rsidRDefault="003A38FF" w:rsidP="003A38FF">
            <w:pPr>
              <w:pStyle w:val="Texto"/>
              <w:spacing w:line="227" w:lineRule="exact"/>
              <w:ind w:firstLine="0"/>
              <w:rPr>
                <w:rFonts w:ascii="Verdana" w:hAnsi="Verdana"/>
                <w:b/>
                <w:sz w:val="16"/>
                <w:szCs w:val="16"/>
                <w:lang w:val="en-US"/>
              </w:rPr>
            </w:pPr>
            <w:r w:rsidRPr="0017160B">
              <w:rPr>
                <w:rFonts w:ascii="Verdana" w:hAnsi="Verdana"/>
                <w:b/>
                <w:sz w:val="16"/>
                <w:szCs w:val="16"/>
                <w:lang w:val="en-US"/>
              </w:rPr>
              <w:t xml:space="preserve">Nineteenth. </w:t>
            </w:r>
            <w:r w:rsidRPr="0017160B">
              <w:rPr>
                <w:rFonts w:ascii="Verdana" w:hAnsi="Verdana"/>
                <w:sz w:val="16"/>
                <w:szCs w:val="16"/>
                <w:lang w:val="en-US"/>
              </w:rPr>
              <w:t>The guidelines regulating the expedited procedure for migrating to the figures of the Law, for self-supply, cogeneration, small production, independent production, import, export, and continuous own-use permits granted under the Public Electric Power Service Law, and for the contracts and agreements linked to them, must be issued by the Secretary no later than one hundred and twenty calendar days after the publication of this Regulation.</w:t>
            </w:r>
          </w:p>
        </w:tc>
      </w:tr>
      <w:tr w:rsidR="003A38FF" w:rsidRPr="00D83DA2" w14:paraId="3320DDEB" w14:textId="19E9A093" w:rsidTr="00FB5DAD">
        <w:tc>
          <w:tcPr>
            <w:tcW w:w="4706" w:type="dxa"/>
          </w:tcPr>
          <w:p w14:paraId="379A3CF2" w14:textId="77777777" w:rsidR="003A38FF" w:rsidRPr="00D0180E" w:rsidRDefault="003A38FF" w:rsidP="003A38FF">
            <w:pPr>
              <w:pStyle w:val="Texto"/>
              <w:spacing w:line="227" w:lineRule="exact"/>
              <w:ind w:firstLine="0"/>
              <w:rPr>
                <w:rFonts w:ascii="Verdana" w:hAnsi="Verdana"/>
                <w:sz w:val="16"/>
                <w:szCs w:val="16"/>
              </w:rPr>
            </w:pPr>
            <w:r w:rsidRPr="00D0180E">
              <w:rPr>
                <w:rFonts w:ascii="Verdana" w:hAnsi="Verdana"/>
                <w:b/>
                <w:sz w:val="16"/>
                <w:szCs w:val="16"/>
              </w:rPr>
              <w:t xml:space="preserve">Vigésimo. </w:t>
            </w:r>
            <w:r w:rsidRPr="00D0180E">
              <w:rPr>
                <w:rFonts w:ascii="Verdana" w:hAnsi="Verdana"/>
                <w:sz w:val="16"/>
                <w:szCs w:val="16"/>
              </w:rPr>
              <w:t>A partir de la entrada en vigor del presente reglamento, la CNE debe publicar en un plazo de ciento ochenta días hábiles, las disposiciones administrativas de carácter general sobre Sistemas de Almacenamiento de Energía Eléctrica a que se refiere el artículo 193 de la Ley.</w:t>
            </w:r>
          </w:p>
        </w:tc>
        <w:tc>
          <w:tcPr>
            <w:tcW w:w="4644" w:type="dxa"/>
          </w:tcPr>
          <w:p w14:paraId="32C1DAF4" w14:textId="44582A9C" w:rsidR="003A38FF" w:rsidRPr="00D0180E" w:rsidRDefault="003A38FF" w:rsidP="003A38FF">
            <w:pPr>
              <w:pStyle w:val="Texto"/>
              <w:spacing w:line="227" w:lineRule="exact"/>
              <w:ind w:firstLine="0"/>
              <w:rPr>
                <w:rFonts w:ascii="Verdana" w:hAnsi="Verdana"/>
                <w:b/>
                <w:sz w:val="16"/>
                <w:szCs w:val="16"/>
                <w:lang w:val="en-US"/>
              </w:rPr>
            </w:pPr>
            <w:r w:rsidRPr="0017160B">
              <w:rPr>
                <w:rFonts w:ascii="Verdana" w:hAnsi="Verdana"/>
                <w:b/>
                <w:sz w:val="16"/>
                <w:szCs w:val="16"/>
                <w:lang w:val="en-US"/>
              </w:rPr>
              <w:t xml:space="preserve">Twentieth. </w:t>
            </w:r>
            <w:r w:rsidRPr="0017160B">
              <w:rPr>
                <w:rFonts w:ascii="Verdana" w:hAnsi="Verdana"/>
                <w:sz w:val="16"/>
                <w:szCs w:val="16"/>
                <w:lang w:val="en-US"/>
              </w:rPr>
              <w:t>From the date this regulation comes into force, the CNE must publish, within one hundred and eighty business days, the general administrative provisions on Electric Energy Storage Systems referred to in Article 193 of the Law.</w:t>
            </w:r>
          </w:p>
        </w:tc>
      </w:tr>
      <w:tr w:rsidR="003A38FF" w:rsidRPr="00D83DA2" w14:paraId="673BAFFB" w14:textId="51F99B48" w:rsidTr="00FB5DAD">
        <w:tc>
          <w:tcPr>
            <w:tcW w:w="4706" w:type="dxa"/>
          </w:tcPr>
          <w:p w14:paraId="0EEE4E3A" w14:textId="77777777" w:rsidR="003A38FF" w:rsidRPr="00D0180E" w:rsidRDefault="003A38FF" w:rsidP="003A38FF">
            <w:pPr>
              <w:pStyle w:val="Texto"/>
              <w:spacing w:line="227" w:lineRule="exact"/>
              <w:ind w:firstLine="0"/>
              <w:rPr>
                <w:rFonts w:ascii="Verdana" w:hAnsi="Verdana"/>
                <w:sz w:val="16"/>
                <w:szCs w:val="16"/>
              </w:rPr>
            </w:pPr>
            <w:r w:rsidRPr="00D0180E">
              <w:rPr>
                <w:rFonts w:ascii="Verdana" w:hAnsi="Verdana"/>
                <w:b/>
                <w:sz w:val="16"/>
                <w:szCs w:val="16"/>
              </w:rPr>
              <w:t xml:space="preserve">Vigésimo Primero. </w:t>
            </w:r>
            <w:r w:rsidRPr="00D0180E">
              <w:rPr>
                <w:rFonts w:ascii="Verdana" w:hAnsi="Verdana"/>
                <w:sz w:val="16"/>
                <w:szCs w:val="16"/>
              </w:rPr>
              <w:t>La Secretaría, con el apoyo de la CNE, dentro de un plazo no mayor a sesenta días hábiles contados a partir de la entrada en vigor del presente reglamento, debe publicar una convocatoria en el Diario Oficial de la Federación dirigida a las personas particulares, para la presentación de solicitudes de permisos de generación para el desarrollo de Centrales Eléctricas que son estratégicas y prioritarias en la planeación vinculante del sector eléctrico hasta el 2030.</w:t>
            </w:r>
          </w:p>
        </w:tc>
        <w:tc>
          <w:tcPr>
            <w:tcW w:w="4644" w:type="dxa"/>
          </w:tcPr>
          <w:p w14:paraId="6FC6EE6C" w14:textId="689B13E8" w:rsidR="003A38FF" w:rsidRPr="00D0180E" w:rsidRDefault="003A38FF" w:rsidP="003A38FF">
            <w:pPr>
              <w:pStyle w:val="Texto"/>
              <w:spacing w:line="227" w:lineRule="exact"/>
              <w:ind w:firstLine="0"/>
              <w:rPr>
                <w:rFonts w:ascii="Verdana" w:hAnsi="Verdana"/>
                <w:b/>
                <w:sz w:val="16"/>
                <w:szCs w:val="16"/>
                <w:lang w:val="en-US"/>
              </w:rPr>
            </w:pPr>
            <w:r w:rsidRPr="0017160B">
              <w:rPr>
                <w:rFonts w:ascii="Verdana" w:hAnsi="Verdana"/>
                <w:b/>
                <w:sz w:val="16"/>
                <w:szCs w:val="16"/>
                <w:lang w:val="en-US"/>
              </w:rPr>
              <w:t xml:space="preserve">Twenty-first. </w:t>
            </w:r>
            <w:r w:rsidRPr="0017160B">
              <w:rPr>
                <w:rFonts w:ascii="Verdana" w:hAnsi="Verdana"/>
                <w:sz w:val="16"/>
                <w:szCs w:val="16"/>
                <w:lang w:val="en-US"/>
              </w:rPr>
              <w:t xml:space="preserve">The Secretary, with the support of the National Electoral Council (CNE), within a period of no more than sixty business days from the date this regulation comes into effect, must publish a call for applications in the Official </w:t>
            </w:r>
            <w:r>
              <w:rPr>
                <w:rFonts w:ascii="Verdana" w:hAnsi="Verdana"/>
                <w:sz w:val="16"/>
                <w:szCs w:val="16"/>
                <w:lang w:val="en-US"/>
              </w:rPr>
              <w:t>Daily</w:t>
            </w:r>
            <w:r w:rsidRPr="0017160B">
              <w:rPr>
                <w:rFonts w:ascii="Verdana" w:hAnsi="Verdana"/>
                <w:sz w:val="16"/>
                <w:szCs w:val="16"/>
                <w:lang w:val="en-US"/>
              </w:rPr>
              <w:t xml:space="preserve"> of the Federation addressed to individuals for the submission of generation permit applications for the development of power plants that are strategic and a priority in the binding planning of the electricity sector through 2030.</w:t>
            </w:r>
          </w:p>
        </w:tc>
      </w:tr>
      <w:tr w:rsidR="003A38FF" w:rsidRPr="00D83DA2" w14:paraId="2A1F0E37" w14:textId="3DB59A33" w:rsidTr="00FB5DAD">
        <w:tc>
          <w:tcPr>
            <w:tcW w:w="4706" w:type="dxa"/>
          </w:tcPr>
          <w:p w14:paraId="77DB10C3" w14:textId="77777777" w:rsidR="003A38FF" w:rsidRPr="00D0180E" w:rsidRDefault="003A38FF" w:rsidP="003A38FF">
            <w:pPr>
              <w:pStyle w:val="Texto"/>
              <w:spacing w:line="227" w:lineRule="exact"/>
              <w:ind w:firstLine="0"/>
              <w:rPr>
                <w:rFonts w:ascii="Verdana" w:hAnsi="Verdana"/>
                <w:sz w:val="16"/>
                <w:szCs w:val="16"/>
              </w:rPr>
            </w:pPr>
            <w:r w:rsidRPr="00D0180E">
              <w:rPr>
                <w:rFonts w:ascii="Verdana" w:hAnsi="Verdana"/>
                <w:sz w:val="16"/>
                <w:szCs w:val="16"/>
              </w:rPr>
              <w:t xml:space="preserve">La convocatoria debe considerar, al menos, los requerimientos de capacidad, las zonas y las tecnologías para el desarrollo de Centrales Eléctricas, así como los requisitos y plazos para la presentación de las </w:t>
            </w:r>
            <w:r w:rsidRPr="00D0180E">
              <w:rPr>
                <w:rFonts w:ascii="Verdana" w:hAnsi="Verdana"/>
                <w:sz w:val="16"/>
                <w:szCs w:val="16"/>
              </w:rPr>
              <w:lastRenderedPageBreak/>
              <w:t>solicitudes de nuevos permisos de generación, y, en su caso, de migración de permisos otorgados bajo la Ley del Servicio Público de Energía Eléctrica y la Ley de la Industria Eléctrica que amparen el funcionamiento de dichas Centrales Eléctricas.</w:t>
            </w:r>
          </w:p>
        </w:tc>
        <w:tc>
          <w:tcPr>
            <w:tcW w:w="4644" w:type="dxa"/>
          </w:tcPr>
          <w:p w14:paraId="7AE95ED4" w14:textId="0B934BF9" w:rsidR="003A38FF" w:rsidRPr="00D0180E" w:rsidRDefault="003A38FF" w:rsidP="003A38FF">
            <w:pPr>
              <w:pStyle w:val="Texto"/>
              <w:spacing w:line="227" w:lineRule="exact"/>
              <w:ind w:firstLine="0"/>
              <w:rPr>
                <w:rFonts w:ascii="Verdana" w:hAnsi="Verdana"/>
                <w:sz w:val="16"/>
                <w:szCs w:val="16"/>
                <w:lang w:val="en-US"/>
              </w:rPr>
            </w:pPr>
            <w:r w:rsidRPr="0017160B">
              <w:rPr>
                <w:rFonts w:ascii="Verdana" w:hAnsi="Verdana"/>
                <w:sz w:val="16"/>
                <w:szCs w:val="16"/>
                <w:lang w:val="en-US"/>
              </w:rPr>
              <w:lastRenderedPageBreak/>
              <w:t xml:space="preserve">The call for proposals must consider, at a minimum, the capacity requirements, zones, and technologies for the development of power plants, as well as the requirements and deadlines for submitting applications </w:t>
            </w:r>
            <w:r w:rsidRPr="0017160B">
              <w:rPr>
                <w:rFonts w:ascii="Verdana" w:hAnsi="Verdana"/>
                <w:sz w:val="16"/>
                <w:szCs w:val="16"/>
                <w:lang w:val="en-US"/>
              </w:rPr>
              <w:lastRenderedPageBreak/>
              <w:t>for new generation permits and, where applicable, for the migration of permits granted under the Public Electric Power Service Law and the</w:t>
            </w:r>
            <w:r>
              <w:rPr>
                <w:rFonts w:ascii="Verdana" w:hAnsi="Verdana"/>
                <w:sz w:val="16"/>
                <w:szCs w:val="16"/>
                <w:lang w:val="en-US"/>
              </w:rPr>
              <w:t xml:space="preserve"> Law of the</w:t>
            </w:r>
            <w:r w:rsidRPr="0017160B">
              <w:rPr>
                <w:rFonts w:ascii="Verdana" w:hAnsi="Verdana"/>
                <w:sz w:val="16"/>
                <w:szCs w:val="16"/>
                <w:lang w:val="en-US"/>
              </w:rPr>
              <w:t xml:space="preserve"> Electricity Industry that cover the operation of said power plants.</w:t>
            </w:r>
          </w:p>
        </w:tc>
      </w:tr>
      <w:tr w:rsidR="003A38FF" w:rsidRPr="00D83DA2" w14:paraId="010F4FF8" w14:textId="65E7F615" w:rsidTr="00FB5DAD">
        <w:tc>
          <w:tcPr>
            <w:tcW w:w="4706" w:type="dxa"/>
          </w:tcPr>
          <w:p w14:paraId="047113C0" w14:textId="77777777" w:rsidR="003A38FF" w:rsidRPr="00D0180E" w:rsidRDefault="003A38FF" w:rsidP="003A38FF">
            <w:pPr>
              <w:pStyle w:val="Texto"/>
              <w:spacing w:line="227" w:lineRule="exact"/>
              <w:ind w:firstLine="0"/>
              <w:rPr>
                <w:rFonts w:ascii="Verdana" w:hAnsi="Verdana"/>
                <w:sz w:val="16"/>
                <w:szCs w:val="16"/>
              </w:rPr>
            </w:pPr>
            <w:r w:rsidRPr="00D0180E">
              <w:rPr>
                <w:rFonts w:ascii="Verdana" w:hAnsi="Verdana"/>
                <w:sz w:val="16"/>
                <w:szCs w:val="16"/>
              </w:rPr>
              <w:lastRenderedPageBreak/>
              <w:t>Las personas que tengan interés de participar en la convocatoria y que hayan ratificado la solicitud de un permiso de generación en términos del numeral cuarto del “ACUERDO por el que se reanudan los plazos y términos para la recepción y tramitación de los asuntos competencia de la Comisión Nacional de Energía, conforme a las atribuciones que le fueron conferidas y transferidas, y establece la estrategia para su atención”, publicado en el Diario Oficial de la Federación el 5 de junio de 2025, pueden presentar el desistimiento de la solicitud que corresponda y presentar una nueva solicitud de conformidad con lo establecido en la convocatoria a que se refiere el presente artículo transitorio.</w:t>
            </w:r>
          </w:p>
        </w:tc>
        <w:tc>
          <w:tcPr>
            <w:tcW w:w="4644" w:type="dxa"/>
          </w:tcPr>
          <w:p w14:paraId="0ED86244" w14:textId="4AB793A9" w:rsidR="003A38FF" w:rsidRPr="00D0180E" w:rsidRDefault="003A38FF" w:rsidP="003A38FF">
            <w:pPr>
              <w:pStyle w:val="Texto"/>
              <w:spacing w:line="227" w:lineRule="exact"/>
              <w:ind w:firstLine="0"/>
              <w:rPr>
                <w:rFonts w:ascii="Verdana" w:hAnsi="Verdana"/>
                <w:sz w:val="16"/>
                <w:szCs w:val="16"/>
                <w:lang w:val="en-US"/>
              </w:rPr>
            </w:pPr>
            <w:r w:rsidRPr="0017160B">
              <w:rPr>
                <w:rFonts w:ascii="Verdana" w:hAnsi="Verdana"/>
                <w:sz w:val="16"/>
                <w:szCs w:val="16"/>
                <w:lang w:val="en-US"/>
              </w:rPr>
              <w:t>Persons interested in participating in the call for proposals and who have ratified their application for a generation permit in accordance with the fourth paragraph of the "AGREEMENT by which the deadlines and terms for the reception and processing of matters within the jurisdiction of the National Energy Commission are resumed, in accordance with the powers conferred and transferred to it, and establishes the strategy for their attention</w:t>
            </w:r>
            <w:r>
              <w:rPr>
                <w:rFonts w:ascii="Verdana" w:hAnsi="Verdana"/>
                <w:sz w:val="16"/>
                <w:szCs w:val="16"/>
                <w:lang w:val="en-US"/>
              </w:rPr>
              <w:t>,</w:t>
            </w:r>
            <w:r w:rsidRPr="0017160B">
              <w:rPr>
                <w:rFonts w:ascii="Verdana" w:hAnsi="Verdana"/>
                <w:sz w:val="16"/>
                <w:szCs w:val="16"/>
                <w:lang w:val="en-US"/>
              </w:rPr>
              <w:t xml:space="preserve">" published in the Official </w:t>
            </w:r>
            <w:r>
              <w:rPr>
                <w:rFonts w:ascii="Verdana" w:hAnsi="Verdana"/>
                <w:sz w:val="16"/>
                <w:szCs w:val="16"/>
                <w:lang w:val="en-US"/>
              </w:rPr>
              <w:t>Daily</w:t>
            </w:r>
            <w:r w:rsidRPr="0017160B">
              <w:rPr>
                <w:rFonts w:ascii="Verdana" w:hAnsi="Verdana"/>
                <w:sz w:val="16"/>
                <w:szCs w:val="16"/>
                <w:lang w:val="en-US"/>
              </w:rPr>
              <w:t xml:space="preserve"> of the Federation on June 5, 2025, may withdraw the corresponding application and submit a new application in accordance with the provisions of the call for proposals referred to in this transitional article.</w:t>
            </w:r>
          </w:p>
        </w:tc>
      </w:tr>
      <w:tr w:rsidR="003A38FF" w:rsidRPr="00D83DA2" w14:paraId="78882A23" w14:textId="1E3E8DFE" w:rsidTr="00FB5DAD">
        <w:tc>
          <w:tcPr>
            <w:tcW w:w="4706" w:type="dxa"/>
          </w:tcPr>
          <w:p w14:paraId="437B9ECE"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sz w:val="16"/>
                <w:szCs w:val="16"/>
              </w:rPr>
              <w:t>La CNE debe dar prioridad a la resolución de las solicitudes de permisos ingresadas con base en la convocatoria por tratarse de proyectos estratégicos en la planeación vinculante, teniendo que evaluar cada solicitud conforme a las disposiciones administrativas de carácter general para la planeación vinculante que expida la Secretaría, la presentación de una solicitud de permiso en el marco de la convocatoria no supone el otorgamiento de un permiso de generación.</w:t>
            </w:r>
          </w:p>
        </w:tc>
        <w:tc>
          <w:tcPr>
            <w:tcW w:w="4644" w:type="dxa"/>
          </w:tcPr>
          <w:p w14:paraId="60DA0118" w14:textId="194EC898" w:rsidR="003A38FF" w:rsidRPr="00D0180E" w:rsidRDefault="003A38FF" w:rsidP="003A38FF">
            <w:pPr>
              <w:pStyle w:val="Texto"/>
              <w:spacing w:line="236" w:lineRule="exact"/>
              <w:ind w:firstLine="0"/>
              <w:rPr>
                <w:rFonts w:ascii="Verdana" w:hAnsi="Verdana"/>
                <w:sz w:val="16"/>
                <w:szCs w:val="16"/>
                <w:lang w:val="en-US"/>
              </w:rPr>
            </w:pPr>
            <w:r w:rsidRPr="0017160B">
              <w:rPr>
                <w:rFonts w:ascii="Verdana" w:hAnsi="Verdana"/>
                <w:sz w:val="16"/>
                <w:szCs w:val="16"/>
                <w:lang w:val="en-US"/>
              </w:rPr>
              <w:t>The CNE must prioritize the resolution of permit applications submitted based on the call for proposals because these are strategic projects in binding planning, having to evaluate each application in accordance with the general administrative provisions for binding planning issued by the Secretary. The submission of a permit application within the framework of the call for proposals does not imply the granting of a generation permit.</w:t>
            </w:r>
          </w:p>
        </w:tc>
      </w:tr>
      <w:tr w:rsidR="003A38FF" w:rsidRPr="00D83DA2" w14:paraId="253A7131" w14:textId="2668DBEC" w:rsidTr="00FB5DAD">
        <w:tc>
          <w:tcPr>
            <w:tcW w:w="4706" w:type="dxa"/>
          </w:tcPr>
          <w:p w14:paraId="1AC57C33"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sz w:val="16"/>
                <w:szCs w:val="16"/>
              </w:rPr>
              <w:t>Asimismo, el CENACE debe atender de manera prioritaria las solicitudes de realización de estudios de interconexión de las Centrales Eléctricas asociadas a dichas solicitudes de permisos, la presentación de una solicitud dentro del marco de la convocatoria no implica la resolución en sentido positivo de los estudios de interconexión. Cuando exista una solicitud de realización de estudios de interconexión o dichos estudios ya se encuentren en proceso de atención, debe resolverse en los términos establecidos en la convocatoria.</w:t>
            </w:r>
          </w:p>
        </w:tc>
        <w:tc>
          <w:tcPr>
            <w:tcW w:w="4644" w:type="dxa"/>
          </w:tcPr>
          <w:p w14:paraId="1FC9BD49" w14:textId="3B841DCB" w:rsidR="003A38FF" w:rsidRPr="00D0180E" w:rsidRDefault="003A38FF" w:rsidP="003A38FF">
            <w:pPr>
              <w:pStyle w:val="Texto"/>
              <w:spacing w:line="236" w:lineRule="exact"/>
              <w:ind w:firstLine="0"/>
              <w:rPr>
                <w:rFonts w:ascii="Verdana" w:hAnsi="Verdana"/>
                <w:sz w:val="16"/>
                <w:szCs w:val="16"/>
                <w:lang w:val="en-US"/>
              </w:rPr>
            </w:pPr>
            <w:r>
              <w:rPr>
                <w:rFonts w:ascii="Verdana" w:hAnsi="Verdana"/>
                <w:sz w:val="16"/>
                <w:szCs w:val="16"/>
                <w:lang w:val="en-US"/>
              </w:rPr>
              <w:t>In addition</w:t>
            </w:r>
            <w:r w:rsidRPr="0017160B">
              <w:rPr>
                <w:rFonts w:ascii="Verdana" w:hAnsi="Verdana"/>
                <w:sz w:val="16"/>
                <w:szCs w:val="16"/>
                <w:lang w:val="en-US"/>
              </w:rPr>
              <w:t xml:space="preserve">, CENACE must prioritize requests for interconnection studies for power plants associated with these permit applications. Submitting a request within the framework of the call for proposals does not imply a positive resolution of the interconnection studies. </w:t>
            </w:r>
            <w:r w:rsidRPr="0082033C">
              <w:rPr>
                <w:rFonts w:ascii="Verdana" w:hAnsi="Verdana"/>
                <w:sz w:val="16"/>
                <w:szCs w:val="16"/>
                <w:lang w:val="en-US"/>
              </w:rPr>
              <w:t>When a request for interconnection studies is submitted, or such studies are already being processed, the decision must be made under the terms established in the call for proposals.</w:t>
            </w:r>
          </w:p>
        </w:tc>
      </w:tr>
      <w:tr w:rsidR="003A38FF" w:rsidRPr="00D83DA2" w14:paraId="1EA99B6B" w14:textId="196F571D" w:rsidTr="00FB5DAD">
        <w:tc>
          <w:tcPr>
            <w:tcW w:w="4706" w:type="dxa"/>
          </w:tcPr>
          <w:p w14:paraId="4E153546"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sz w:val="16"/>
                <w:szCs w:val="16"/>
              </w:rPr>
              <w:t>En las convocatorias antes referidas, no se deben considerar las figuras de generación distribuida, autoconsumo en sus diferentes modalidades, cogeneración y los esquemas para el desarrollo mixto, a que se refieren los artículos 17 fracciones I y II, 41 y 38 de la Ley, respectivamente.</w:t>
            </w:r>
          </w:p>
        </w:tc>
        <w:tc>
          <w:tcPr>
            <w:tcW w:w="4644" w:type="dxa"/>
          </w:tcPr>
          <w:p w14:paraId="5F6DB2D9" w14:textId="1E790464" w:rsidR="003A38FF" w:rsidRPr="00D0180E" w:rsidRDefault="003A38FF" w:rsidP="003A38FF">
            <w:pPr>
              <w:pStyle w:val="Texto"/>
              <w:spacing w:line="236" w:lineRule="exact"/>
              <w:ind w:firstLine="0"/>
              <w:rPr>
                <w:rFonts w:ascii="Verdana" w:hAnsi="Verdana"/>
                <w:sz w:val="16"/>
                <w:szCs w:val="16"/>
                <w:lang w:val="en-US"/>
              </w:rPr>
            </w:pPr>
            <w:r w:rsidRPr="0082033C">
              <w:rPr>
                <w:rFonts w:ascii="Verdana" w:hAnsi="Verdana"/>
                <w:sz w:val="16"/>
                <w:szCs w:val="16"/>
                <w:lang w:val="en-US"/>
              </w:rPr>
              <w:t xml:space="preserve">In the </w:t>
            </w:r>
            <w:proofErr w:type="gramStart"/>
            <w:r w:rsidRPr="0082033C">
              <w:rPr>
                <w:rFonts w:ascii="Verdana" w:hAnsi="Verdana"/>
                <w:sz w:val="16"/>
                <w:szCs w:val="16"/>
                <w:lang w:val="en-US"/>
              </w:rPr>
              <w:t>aforementioned calls</w:t>
            </w:r>
            <w:proofErr w:type="gramEnd"/>
            <w:r w:rsidRPr="0082033C">
              <w:rPr>
                <w:rFonts w:ascii="Verdana" w:hAnsi="Verdana"/>
                <w:sz w:val="16"/>
                <w:szCs w:val="16"/>
                <w:lang w:val="en-US"/>
              </w:rPr>
              <w:t xml:space="preserve"> for proposals, the figures for distributed generation, self-consumption in its different modalities, cogeneration and schemes for mixed development, referred to in articles 17 sections I and II, 41 and 38 of the Law, respectively, should not be considered.</w:t>
            </w:r>
          </w:p>
        </w:tc>
      </w:tr>
      <w:tr w:rsidR="003A38FF" w:rsidRPr="00D83DA2" w14:paraId="2A706B76" w14:textId="0E731B55" w:rsidTr="00FB5DAD">
        <w:tc>
          <w:tcPr>
            <w:tcW w:w="4706" w:type="dxa"/>
          </w:tcPr>
          <w:p w14:paraId="6BBC1B4E" w14:textId="77777777" w:rsidR="003A38FF" w:rsidRPr="00D0180E" w:rsidRDefault="003A38FF" w:rsidP="003A38FF">
            <w:pPr>
              <w:pStyle w:val="Texto"/>
              <w:spacing w:line="236" w:lineRule="exact"/>
              <w:ind w:firstLine="0"/>
              <w:rPr>
                <w:rFonts w:ascii="Verdana" w:hAnsi="Verdana"/>
                <w:strike/>
                <w:sz w:val="16"/>
                <w:szCs w:val="16"/>
              </w:rPr>
            </w:pPr>
            <w:r w:rsidRPr="00D0180E">
              <w:rPr>
                <w:rFonts w:ascii="Verdana" w:hAnsi="Verdana"/>
                <w:b/>
                <w:sz w:val="16"/>
                <w:szCs w:val="16"/>
              </w:rPr>
              <w:t>Vigésimo Segundo.</w:t>
            </w:r>
            <w:r w:rsidRPr="00D0180E">
              <w:rPr>
                <w:rFonts w:ascii="Verdana" w:hAnsi="Verdana"/>
                <w:sz w:val="16"/>
                <w:szCs w:val="16"/>
              </w:rPr>
              <w:t xml:space="preserve"> Hasta en tanto se determina el formato autorizado por la Secretaría o la CNE para la presentación de cada solicitud a la que hace referencia el presente reglamento y estas se publiquen en los portales electrónicos de la Secretaría y la CNE, así como en los portales públicos de información de trámites, los formatos previos, los escritos libres y las versiones electrónicas autorizadas son válidos para presentar la solicitud que corresponda.</w:t>
            </w:r>
          </w:p>
        </w:tc>
        <w:tc>
          <w:tcPr>
            <w:tcW w:w="4644" w:type="dxa"/>
          </w:tcPr>
          <w:p w14:paraId="70EC3FF4" w14:textId="0A933661" w:rsidR="003A38FF" w:rsidRPr="00D0180E" w:rsidRDefault="003A38FF" w:rsidP="003A38FF">
            <w:pPr>
              <w:pStyle w:val="Texto"/>
              <w:spacing w:line="236" w:lineRule="exact"/>
              <w:ind w:firstLine="0"/>
              <w:rPr>
                <w:rFonts w:ascii="Verdana" w:hAnsi="Verdana"/>
                <w:b/>
                <w:sz w:val="16"/>
                <w:szCs w:val="16"/>
                <w:lang w:val="en-US"/>
              </w:rPr>
            </w:pPr>
            <w:r w:rsidRPr="0082033C">
              <w:rPr>
                <w:rFonts w:ascii="Verdana" w:hAnsi="Verdana"/>
                <w:b/>
                <w:sz w:val="16"/>
                <w:szCs w:val="16"/>
                <w:lang w:val="en-US"/>
              </w:rPr>
              <w:t xml:space="preserve">Twenty-Second. </w:t>
            </w:r>
            <w:r w:rsidRPr="0082033C">
              <w:rPr>
                <w:rFonts w:ascii="Verdana" w:hAnsi="Verdana"/>
                <w:sz w:val="16"/>
                <w:szCs w:val="16"/>
                <w:lang w:val="en-US"/>
              </w:rPr>
              <w:t>Until the format authorized by the Secretary or the CNE for submitting each application referred to in this Regulation is determined and published on the electronic portals of the Secretary and the CNE, as well as on public portals providing information on procedures, the previous formats, free written forms, and authorized electronic versions are valid for submitting the corresponding application.</w:t>
            </w:r>
          </w:p>
        </w:tc>
      </w:tr>
      <w:tr w:rsidR="003A38FF" w:rsidRPr="00D83DA2" w14:paraId="1E939767" w14:textId="325E56B2" w:rsidTr="00FB5DAD">
        <w:tc>
          <w:tcPr>
            <w:tcW w:w="4706" w:type="dxa"/>
          </w:tcPr>
          <w:p w14:paraId="35D7458A"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b/>
                <w:sz w:val="16"/>
                <w:szCs w:val="16"/>
              </w:rPr>
              <w:lastRenderedPageBreak/>
              <w:t xml:space="preserve">Vigésimo Tercero. </w:t>
            </w:r>
            <w:r w:rsidRPr="00D0180E">
              <w:rPr>
                <w:rFonts w:ascii="Verdana" w:hAnsi="Verdana"/>
                <w:sz w:val="16"/>
                <w:szCs w:val="16"/>
              </w:rPr>
              <w:t>Las solicitudes de modificación de permisos de generación otorgados bajo la Ley del Servicio Público de Energía Eléctrica o de la Ley de la Industria Eléctrica que busquen migrar a la Ley, incluidas aquellas que se hayan ingresado hasta el dieciocho de marzo de dos mil veinticinco, ante la extinta Comisión Reguladora de Energía y ratificadas ante la CNE, se deben resolver bajo el marco de la Ley del Sector Eléctrico.</w:t>
            </w:r>
          </w:p>
        </w:tc>
        <w:tc>
          <w:tcPr>
            <w:tcW w:w="4644" w:type="dxa"/>
          </w:tcPr>
          <w:p w14:paraId="6830C999" w14:textId="7E5F52E3" w:rsidR="003A38FF" w:rsidRPr="00D0180E" w:rsidRDefault="003A38FF" w:rsidP="003A38FF">
            <w:pPr>
              <w:pStyle w:val="Texto"/>
              <w:spacing w:line="236" w:lineRule="exact"/>
              <w:ind w:firstLine="0"/>
              <w:rPr>
                <w:rFonts w:ascii="Verdana" w:hAnsi="Verdana"/>
                <w:b/>
                <w:sz w:val="16"/>
                <w:szCs w:val="16"/>
                <w:lang w:val="en-US"/>
              </w:rPr>
            </w:pPr>
            <w:r w:rsidRPr="00016395">
              <w:rPr>
                <w:rFonts w:ascii="Verdana" w:hAnsi="Verdana"/>
                <w:b/>
                <w:sz w:val="16"/>
                <w:szCs w:val="16"/>
                <w:lang w:val="en-US"/>
              </w:rPr>
              <w:t xml:space="preserve">Twenty-Third. </w:t>
            </w:r>
            <w:r w:rsidRPr="00016395">
              <w:rPr>
                <w:rFonts w:ascii="Verdana" w:hAnsi="Verdana"/>
                <w:sz w:val="16"/>
                <w:szCs w:val="16"/>
                <w:lang w:val="en-US"/>
              </w:rPr>
              <w:t xml:space="preserve">Applications for modification of generation permits granted under the Electric Power Public Service Law or the </w:t>
            </w:r>
            <w:r>
              <w:rPr>
                <w:rFonts w:ascii="Verdana" w:hAnsi="Verdana"/>
                <w:sz w:val="16"/>
                <w:szCs w:val="16"/>
                <w:lang w:val="en-US"/>
              </w:rPr>
              <w:t>Law of the Electricity Industry</w:t>
            </w:r>
            <w:r w:rsidRPr="00016395">
              <w:rPr>
                <w:rFonts w:ascii="Verdana" w:hAnsi="Verdana"/>
                <w:sz w:val="16"/>
                <w:szCs w:val="16"/>
                <w:lang w:val="en-US"/>
              </w:rPr>
              <w:t xml:space="preserve"> that </w:t>
            </w:r>
            <w:proofErr w:type="gramStart"/>
            <w:r w:rsidRPr="00016395">
              <w:rPr>
                <w:rFonts w:ascii="Verdana" w:hAnsi="Verdana"/>
                <w:sz w:val="16"/>
                <w:szCs w:val="16"/>
                <w:lang w:val="en-US"/>
              </w:rPr>
              <w:t>seek</w:t>
            </w:r>
            <w:proofErr w:type="gramEnd"/>
            <w:r w:rsidRPr="00016395">
              <w:rPr>
                <w:rFonts w:ascii="Verdana" w:hAnsi="Verdana"/>
                <w:sz w:val="16"/>
                <w:szCs w:val="16"/>
                <w:lang w:val="en-US"/>
              </w:rPr>
              <w:t xml:space="preserve"> to migrate to the Law, including those submitted before March 18, 2025, to the defunct Energy Regulatory Commission and ratified by the CNE, must be resolved within the framework of the </w:t>
            </w:r>
            <w:r>
              <w:rPr>
                <w:rFonts w:ascii="Verdana" w:hAnsi="Verdana"/>
                <w:sz w:val="16"/>
                <w:szCs w:val="16"/>
                <w:lang w:val="en-US"/>
              </w:rPr>
              <w:t>Law of the Electricity Sector</w:t>
            </w:r>
            <w:r w:rsidRPr="00016395">
              <w:rPr>
                <w:rFonts w:ascii="Verdana" w:hAnsi="Verdana"/>
                <w:sz w:val="16"/>
                <w:szCs w:val="16"/>
                <w:lang w:val="en-US"/>
              </w:rPr>
              <w:t>.</w:t>
            </w:r>
          </w:p>
        </w:tc>
      </w:tr>
      <w:tr w:rsidR="003A38FF" w:rsidRPr="00D83DA2" w14:paraId="42A7CDAD" w14:textId="32B2D1BE" w:rsidTr="00FB5DAD">
        <w:tc>
          <w:tcPr>
            <w:tcW w:w="4706" w:type="dxa"/>
          </w:tcPr>
          <w:p w14:paraId="1F23FCD9"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sz w:val="16"/>
                <w:szCs w:val="16"/>
              </w:rPr>
              <w:t>En ese sentido, hasta en tanto se publica la normatividad aplicable, los interesados en migrar sus solicitudes a las figuras de la Ley del Sector Eléctrico deben presentar lo siguiente ante la CNE:</w:t>
            </w:r>
          </w:p>
        </w:tc>
        <w:tc>
          <w:tcPr>
            <w:tcW w:w="4644" w:type="dxa"/>
          </w:tcPr>
          <w:p w14:paraId="112533BA" w14:textId="361A82B8" w:rsidR="003A38FF" w:rsidRPr="00D0180E" w:rsidRDefault="003A38FF" w:rsidP="003A38FF">
            <w:pPr>
              <w:pStyle w:val="Texto"/>
              <w:spacing w:line="236" w:lineRule="exact"/>
              <w:ind w:firstLine="0"/>
              <w:rPr>
                <w:rFonts w:ascii="Verdana" w:hAnsi="Verdana"/>
                <w:sz w:val="16"/>
                <w:szCs w:val="16"/>
                <w:lang w:val="en-US"/>
              </w:rPr>
            </w:pPr>
            <w:r w:rsidRPr="00016395">
              <w:rPr>
                <w:rFonts w:ascii="Verdana" w:hAnsi="Verdana"/>
                <w:sz w:val="16"/>
                <w:szCs w:val="16"/>
                <w:lang w:val="en-US"/>
              </w:rPr>
              <w:t xml:space="preserve">In this regard, until the </w:t>
            </w:r>
            <w:r>
              <w:rPr>
                <w:rFonts w:ascii="Verdana" w:hAnsi="Verdana"/>
                <w:sz w:val="16"/>
                <w:szCs w:val="16"/>
                <w:lang w:val="en-US"/>
              </w:rPr>
              <w:t>applicable legislation</w:t>
            </w:r>
            <w:r w:rsidRPr="00016395">
              <w:rPr>
                <w:rFonts w:ascii="Verdana" w:hAnsi="Verdana"/>
                <w:sz w:val="16"/>
                <w:szCs w:val="16"/>
                <w:lang w:val="en-US"/>
              </w:rPr>
              <w:t xml:space="preserve"> </w:t>
            </w:r>
            <w:proofErr w:type="gramStart"/>
            <w:r w:rsidRPr="00016395">
              <w:rPr>
                <w:rFonts w:ascii="Verdana" w:hAnsi="Verdana"/>
                <w:sz w:val="16"/>
                <w:szCs w:val="16"/>
                <w:lang w:val="en-US"/>
              </w:rPr>
              <w:t>are</w:t>
            </w:r>
            <w:proofErr w:type="gramEnd"/>
            <w:r w:rsidRPr="00016395">
              <w:rPr>
                <w:rFonts w:ascii="Verdana" w:hAnsi="Verdana"/>
                <w:sz w:val="16"/>
                <w:szCs w:val="16"/>
                <w:lang w:val="en-US"/>
              </w:rPr>
              <w:t xml:space="preserve"> published, those interested in migrating their applications to the </w:t>
            </w:r>
            <w:r>
              <w:rPr>
                <w:rFonts w:ascii="Verdana" w:hAnsi="Verdana"/>
                <w:sz w:val="16"/>
                <w:szCs w:val="16"/>
                <w:lang w:val="en-US"/>
              </w:rPr>
              <w:t>Law of the Electricity Sector</w:t>
            </w:r>
            <w:r w:rsidRPr="00016395">
              <w:rPr>
                <w:rFonts w:ascii="Verdana" w:hAnsi="Verdana"/>
                <w:sz w:val="16"/>
                <w:szCs w:val="16"/>
                <w:lang w:val="en-US"/>
              </w:rPr>
              <w:t xml:space="preserve"> must submit the following to the CNE:</w:t>
            </w:r>
          </w:p>
        </w:tc>
      </w:tr>
      <w:tr w:rsidR="003A38FF" w:rsidRPr="00D83DA2" w14:paraId="61CEB63B" w14:textId="5B3E27E8" w:rsidTr="00FB5DAD">
        <w:tc>
          <w:tcPr>
            <w:tcW w:w="4706" w:type="dxa"/>
          </w:tcPr>
          <w:p w14:paraId="3A8A2C35"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El número de permiso del que se trata y la figura a la que pretenden migrar establecida en la Ley del Sector Eléctrico;</w:t>
            </w:r>
          </w:p>
        </w:tc>
        <w:tc>
          <w:tcPr>
            <w:tcW w:w="4644" w:type="dxa"/>
          </w:tcPr>
          <w:p w14:paraId="7A8DD81A" w14:textId="04A54DDF" w:rsidR="003A38FF" w:rsidRPr="00D0180E" w:rsidRDefault="003A38FF" w:rsidP="003A38FF">
            <w:pPr>
              <w:pStyle w:val="Texto"/>
              <w:spacing w:line="236" w:lineRule="exact"/>
              <w:ind w:firstLine="0"/>
              <w:rPr>
                <w:rFonts w:ascii="Verdana" w:hAnsi="Verdana"/>
                <w:b/>
                <w:sz w:val="16"/>
                <w:szCs w:val="16"/>
                <w:lang w:val="en-US"/>
              </w:rPr>
            </w:pPr>
            <w:r w:rsidRPr="00016395">
              <w:rPr>
                <w:rFonts w:ascii="Verdana" w:hAnsi="Verdana"/>
                <w:b/>
                <w:sz w:val="16"/>
                <w:szCs w:val="16"/>
                <w:lang w:val="en-US"/>
              </w:rPr>
              <w:t>I</w:t>
            </w:r>
            <w:proofErr w:type="gramStart"/>
            <w:r w:rsidRPr="00016395">
              <w:rPr>
                <w:rFonts w:ascii="Verdana" w:hAnsi="Verdana"/>
                <w:b/>
                <w:sz w:val="16"/>
                <w:szCs w:val="16"/>
                <w:lang w:val="en-US"/>
              </w:rPr>
              <w:t xml:space="preserve">. </w:t>
            </w:r>
            <w:r w:rsidRPr="00016395">
              <w:rPr>
                <w:rFonts w:ascii="Verdana" w:hAnsi="Verdana"/>
                <w:b/>
                <w:sz w:val="16"/>
                <w:szCs w:val="16"/>
                <w:lang w:val="en-US"/>
              </w:rPr>
              <w:tab/>
            </w:r>
            <w:r w:rsidRPr="00016395">
              <w:rPr>
                <w:rFonts w:ascii="Verdana" w:hAnsi="Verdana"/>
                <w:sz w:val="16"/>
                <w:szCs w:val="16"/>
                <w:lang w:val="en-US"/>
              </w:rPr>
              <w:t>The</w:t>
            </w:r>
            <w:proofErr w:type="gramEnd"/>
            <w:r w:rsidRPr="00016395">
              <w:rPr>
                <w:rFonts w:ascii="Verdana" w:hAnsi="Verdana"/>
                <w:sz w:val="16"/>
                <w:szCs w:val="16"/>
                <w:lang w:val="en-US"/>
              </w:rPr>
              <w:t xml:space="preserve"> permit number in question and the figure to which they intend to migrate established in the </w:t>
            </w:r>
            <w:r>
              <w:rPr>
                <w:rFonts w:ascii="Verdana" w:hAnsi="Verdana"/>
                <w:sz w:val="16"/>
                <w:szCs w:val="16"/>
                <w:lang w:val="en-US"/>
              </w:rPr>
              <w:t>Law of the Electricity Sector</w:t>
            </w:r>
            <w:r w:rsidRPr="00016395">
              <w:rPr>
                <w:rFonts w:ascii="Verdana" w:hAnsi="Verdana"/>
                <w:sz w:val="16"/>
                <w:szCs w:val="16"/>
                <w:lang w:val="en-US"/>
              </w:rPr>
              <w:t>;</w:t>
            </w:r>
          </w:p>
        </w:tc>
      </w:tr>
      <w:tr w:rsidR="003A38FF" w:rsidRPr="00D83DA2" w14:paraId="61308551" w14:textId="2EA86212" w:rsidTr="00FB5DAD">
        <w:tc>
          <w:tcPr>
            <w:tcW w:w="4706" w:type="dxa"/>
          </w:tcPr>
          <w:p w14:paraId="5231F27D"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Escrito libre mediante el cual manifiesten lo siguiente:</w:t>
            </w:r>
          </w:p>
        </w:tc>
        <w:tc>
          <w:tcPr>
            <w:tcW w:w="4644" w:type="dxa"/>
          </w:tcPr>
          <w:p w14:paraId="0CC71380" w14:textId="5621BD23" w:rsidR="003A38FF" w:rsidRPr="00D0180E" w:rsidRDefault="003A38FF" w:rsidP="003A38FF">
            <w:pPr>
              <w:pStyle w:val="Texto"/>
              <w:spacing w:line="236" w:lineRule="exact"/>
              <w:ind w:firstLine="0"/>
              <w:rPr>
                <w:rFonts w:ascii="Verdana" w:hAnsi="Verdana"/>
                <w:b/>
                <w:sz w:val="16"/>
                <w:szCs w:val="16"/>
                <w:lang w:val="en-US"/>
              </w:rPr>
            </w:pPr>
            <w:r w:rsidRPr="00016395">
              <w:rPr>
                <w:rFonts w:ascii="Verdana" w:hAnsi="Verdana"/>
                <w:b/>
                <w:sz w:val="16"/>
                <w:szCs w:val="16"/>
                <w:lang w:val="en-US"/>
              </w:rPr>
              <w:t>II</w:t>
            </w:r>
            <w:proofErr w:type="gramStart"/>
            <w:r w:rsidRPr="00016395">
              <w:rPr>
                <w:rFonts w:ascii="Verdana" w:hAnsi="Verdana"/>
                <w:b/>
                <w:sz w:val="16"/>
                <w:szCs w:val="16"/>
                <w:lang w:val="en-US"/>
              </w:rPr>
              <w:t xml:space="preserve">. </w:t>
            </w:r>
            <w:r w:rsidRPr="00016395">
              <w:rPr>
                <w:rFonts w:ascii="Verdana" w:hAnsi="Verdana"/>
                <w:b/>
                <w:sz w:val="16"/>
                <w:szCs w:val="16"/>
                <w:lang w:val="en-US"/>
              </w:rPr>
              <w:tab/>
            </w:r>
            <w:r w:rsidRPr="00016395">
              <w:rPr>
                <w:rFonts w:ascii="Verdana" w:hAnsi="Verdana"/>
                <w:sz w:val="16"/>
                <w:szCs w:val="16"/>
                <w:lang w:val="en-US"/>
              </w:rPr>
              <w:t>Free</w:t>
            </w:r>
            <w:proofErr w:type="gramEnd"/>
            <w:r w:rsidRPr="00016395">
              <w:rPr>
                <w:rFonts w:ascii="Verdana" w:hAnsi="Verdana"/>
                <w:sz w:val="16"/>
                <w:szCs w:val="16"/>
                <w:lang w:val="en-US"/>
              </w:rPr>
              <w:t xml:space="preserve"> writing in which they state the following:</w:t>
            </w:r>
          </w:p>
        </w:tc>
      </w:tr>
      <w:tr w:rsidR="003A38FF" w:rsidRPr="00D83DA2" w14:paraId="07E23745" w14:textId="4C43C980" w:rsidTr="00FB5DAD">
        <w:tc>
          <w:tcPr>
            <w:tcW w:w="4706" w:type="dxa"/>
          </w:tcPr>
          <w:p w14:paraId="1D776173"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Que se tienen por cumplidas las obligaciones con respecto a la entrega de los informes trimestrales y la realización de los pagos por concepto de supervisión;</w:t>
            </w:r>
          </w:p>
        </w:tc>
        <w:tc>
          <w:tcPr>
            <w:tcW w:w="4644" w:type="dxa"/>
          </w:tcPr>
          <w:p w14:paraId="5F960F96" w14:textId="6761DCE7" w:rsidR="003A38FF" w:rsidRPr="00D0180E" w:rsidRDefault="003A38FF" w:rsidP="003A38FF">
            <w:pPr>
              <w:pStyle w:val="Texto"/>
              <w:spacing w:line="236" w:lineRule="exact"/>
              <w:ind w:firstLine="0"/>
              <w:rPr>
                <w:rFonts w:ascii="Verdana" w:hAnsi="Verdana"/>
                <w:b/>
                <w:sz w:val="16"/>
                <w:szCs w:val="16"/>
                <w:lang w:val="en-US"/>
              </w:rPr>
            </w:pPr>
            <w:r w:rsidRPr="00016395">
              <w:rPr>
                <w:rFonts w:ascii="Verdana" w:hAnsi="Verdana"/>
                <w:b/>
                <w:sz w:val="16"/>
                <w:szCs w:val="16"/>
                <w:lang w:val="en-US"/>
              </w:rPr>
              <w:t>a</w:t>
            </w:r>
            <w:proofErr w:type="gramStart"/>
            <w:r w:rsidRPr="00016395">
              <w:rPr>
                <w:rFonts w:ascii="Verdana" w:hAnsi="Verdana"/>
                <w:b/>
                <w:sz w:val="16"/>
                <w:szCs w:val="16"/>
                <w:lang w:val="en-US"/>
              </w:rPr>
              <w:t xml:space="preserve">) </w:t>
            </w:r>
            <w:r w:rsidRPr="00016395">
              <w:rPr>
                <w:rFonts w:ascii="Verdana" w:hAnsi="Verdana"/>
                <w:b/>
                <w:sz w:val="16"/>
                <w:szCs w:val="16"/>
                <w:lang w:val="en-US"/>
              </w:rPr>
              <w:tab/>
            </w:r>
            <w:r w:rsidRPr="00016395">
              <w:rPr>
                <w:rFonts w:ascii="Verdana" w:hAnsi="Verdana"/>
                <w:sz w:val="16"/>
                <w:szCs w:val="16"/>
                <w:lang w:val="en-US"/>
              </w:rPr>
              <w:t>That</w:t>
            </w:r>
            <w:proofErr w:type="gramEnd"/>
            <w:r w:rsidRPr="00016395">
              <w:rPr>
                <w:rFonts w:ascii="Verdana" w:hAnsi="Verdana"/>
                <w:sz w:val="16"/>
                <w:szCs w:val="16"/>
                <w:lang w:val="en-US"/>
              </w:rPr>
              <w:t xml:space="preserve"> the obligations regarding the delivery of quarterly reports and the making of payments for supervision purposes are considered to have been fulfilled;</w:t>
            </w:r>
          </w:p>
        </w:tc>
      </w:tr>
      <w:tr w:rsidR="003A38FF" w:rsidRPr="00D83DA2" w14:paraId="1D0316D7" w14:textId="1AE0D066" w:rsidTr="00FB5DAD">
        <w:tc>
          <w:tcPr>
            <w:tcW w:w="4706" w:type="dxa"/>
          </w:tcPr>
          <w:p w14:paraId="0C6F1847"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Que la capacidad excluida del contrato de interconexión correspondiente se debe incluir en un contrato de interconexión en los términos que establezca la Ley del Sector Eléctrico;</w:t>
            </w:r>
          </w:p>
        </w:tc>
        <w:tc>
          <w:tcPr>
            <w:tcW w:w="4644" w:type="dxa"/>
          </w:tcPr>
          <w:p w14:paraId="3DA7A9E7" w14:textId="734AC6DC" w:rsidR="003A38FF" w:rsidRPr="00D0180E" w:rsidRDefault="003A38FF" w:rsidP="003A38FF">
            <w:pPr>
              <w:pStyle w:val="Texto"/>
              <w:spacing w:line="236" w:lineRule="exact"/>
              <w:ind w:firstLine="0"/>
              <w:rPr>
                <w:rFonts w:ascii="Verdana" w:hAnsi="Verdana"/>
                <w:b/>
                <w:sz w:val="16"/>
                <w:szCs w:val="16"/>
                <w:lang w:val="en-US"/>
              </w:rPr>
            </w:pPr>
            <w:r w:rsidRPr="00016395">
              <w:rPr>
                <w:rFonts w:ascii="Verdana" w:hAnsi="Verdana"/>
                <w:b/>
                <w:sz w:val="16"/>
                <w:szCs w:val="16"/>
                <w:lang w:val="en-US"/>
              </w:rPr>
              <w:t>b</w:t>
            </w:r>
            <w:proofErr w:type="gramStart"/>
            <w:r w:rsidRPr="00016395">
              <w:rPr>
                <w:rFonts w:ascii="Verdana" w:hAnsi="Verdana"/>
                <w:b/>
                <w:sz w:val="16"/>
                <w:szCs w:val="16"/>
                <w:lang w:val="en-US"/>
              </w:rPr>
              <w:t xml:space="preserve">) </w:t>
            </w:r>
            <w:r w:rsidRPr="00016395">
              <w:rPr>
                <w:rFonts w:ascii="Verdana" w:hAnsi="Verdana"/>
                <w:b/>
                <w:sz w:val="16"/>
                <w:szCs w:val="16"/>
                <w:lang w:val="en-US"/>
              </w:rPr>
              <w:tab/>
            </w:r>
            <w:r w:rsidRPr="00016395">
              <w:rPr>
                <w:rFonts w:ascii="Verdana" w:hAnsi="Verdana"/>
                <w:sz w:val="16"/>
                <w:szCs w:val="16"/>
                <w:lang w:val="en-US"/>
              </w:rPr>
              <w:t>That</w:t>
            </w:r>
            <w:proofErr w:type="gramEnd"/>
            <w:r w:rsidRPr="00016395">
              <w:rPr>
                <w:rFonts w:ascii="Verdana" w:hAnsi="Verdana"/>
                <w:sz w:val="16"/>
                <w:szCs w:val="16"/>
                <w:lang w:val="en-US"/>
              </w:rPr>
              <w:t xml:space="preserve"> the capacity excluded from the corresponding interconnection contract must be included in an interconnection contract under the terms established by the </w:t>
            </w:r>
            <w:r>
              <w:rPr>
                <w:rFonts w:ascii="Verdana" w:hAnsi="Verdana"/>
                <w:sz w:val="16"/>
                <w:szCs w:val="16"/>
                <w:lang w:val="en-US"/>
              </w:rPr>
              <w:t>Law of the Electricity Sector</w:t>
            </w:r>
            <w:r w:rsidRPr="00016395">
              <w:rPr>
                <w:rFonts w:ascii="Verdana" w:hAnsi="Verdana"/>
                <w:sz w:val="16"/>
                <w:szCs w:val="16"/>
                <w:lang w:val="en-US"/>
              </w:rPr>
              <w:t>;</w:t>
            </w:r>
          </w:p>
        </w:tc>
      </w:tr>
      <w:tr w:rsidR="003A38FF" w:rsidRPr="00D83DA2" w14:paraId="1EC44202" w14:textId="642DDC61" w:rsidTr="00FB5DAD">
        <w:tc>
          <w:tcPr>
            <w:tcW w:w="4706" w:type="dxa"/>
          </w:tcPr>
          <w:p w14:paraId="1A8FEEAE"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Para las modalidades de autoabastecimiento y cogeneración al amparo de la Ley del Servicio Público de Energía Eléctrica, un escrito del representante legal, en el que manifieste a la CNE que la sociedad o copropiedad aprobó la modificación, y</w:t>
            </w:r>
          </w:p>
        </w:tc>
        <w:tc>
          <w:tcPr>
            <w:tcW w:w="4644" w:type="dxa"/>
          </w:tcPr>
          <w:p w14:paraId="4E6C70CB" w14:textId="67CAB5ED" w:rsidR="003A38FF" w:rsidRPr="00D0180E" w:rsidRDefault="003A38FF" w:rsidP="003A38FF">
            <w:pPr>
              <w:pStyle w:val="Texto"/>
              <w:spacing w:line="236" w:lineRule="exact"/>
              <w:ind w:firstLine="0"/>
              <w:rPr>
                <w:rFonts w:ascii="Verdana" w:hAnsi="Verdana"/>
                <w:b/>
                <w:sz w:val="16"/>
                <w:szCs w:val="16"/>
                <w:lang w:val="en-US"/>
              </w:rPr>
            </w:pPr>
            <w:r w:rsidRPr="00016395">
              <w:rPr>
                <w:rFonts w:ascii="Verdana" w:hAnsi="Verdana"/>
                <w:b/>
                <w:sz w:val="16"/>
                <w:szCs w:val="16"/>
                <w:lang w:val="en-US"/>
              </w:rPr>
              <w:t>c</w:t>
            </w:r>
            <w:proofErr w:type="gramStart"/>
            <w:r w:rsidRPr="00016395">
              <w:rPr>
                <w:rFonts w:ascii="Verdana" w:hAnsi="Verdana"/>
                <w:b/>
                <w:sz w:val="16"/>
                <w:szCs w:val="16"/>
                <w:lang w:val="en-US"/>
              </w:rPr>
              <w:t xml:space="preserve">) </w:t>
            </w:r>
            <w:r w:rsidRPr="00016395">
              <w:rPr>
                <w:rFonts w:ascii="Verdana" w:hAnsi="Verdana"/>
                <w:b/>
                <w:sz w:val="16"/>
                <w:szCs w:val="16"/>
                <w:lang w:val="en-US"/>
              </w:rPr>
              <w:tab/>
            </w:r>
            <w:r w:rsidRPr="00016395">
              <w:rPr>
                <w:rFonts w:ascii="Verdana" w:hAnsi="Verdana"/>
                <w:sz w:val="16"/>
                <w:szCs w:val="16"/>
                <w:lang w:val="en-US"/>
              </w:rPr>
              <w:t>For</w:t>
            </w:r>
            <w:proofErr w:type="gramEnd"/>
            <w:r w:rsidRPr="00016395">
              <w:rPr>
                <w:rFonts w:ascii="Verdana" w:hAnsi="Verdana"/>
                <w:sz w:val="16"/>
                <w:szCs w:val="16"/>
                <w:lang w:val="en-US"/>
              </w:rPr>
              <w:t xml:space="preserve"> the self-supply and cogeneration modalities under the Public Electricity Service Law, a document from the legal representative, in which </w:t>
            </w:r>
            <w:r>
              <w:rPr>
                <w:rFonts w:ascii="Verdana" w:hAnsi="Verdana"/>
                <w:sz w:val="16"/>
                <w:szCs w:val="16"/>
                <w:lang w:val="en-US"/>
              </w:rPr>
              <w:t>he or she</w:t>
            </w:r>
            <w:r w:rsidRPr="00016395">
              <w:rPr>
                <w:rFonts w:ascii="Verdana" w:hAnsi="Verdana"/>
                <w:sz w:val="16"/>
                <w:szCs w:val="16"/>
                <w:lang w:val="en-US"/>
              </w:rPr>
              <w:t xml:space="preserve"> states to the CNE that the company or co-ownership approved the modification, and</w:t>
            </w:r>
          </w:p>
        </w:tc>
      </w:tr>
      <w:tr w:rsidR="003A38FF" w:rsidRPr="00D83DA2" w14:paraId="2B8D814D" w14:textId="313009BE" w:rsidTr="00FB5DAD">
        <w:tc>
          <w:tcPr>
            <w:tcW w:w="4706" w:type="dxa"/>
          </w:tcPr>
          <w:p w14:paraId="6A25146D"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Que no se tienen adeudos pendientes de saldar con la Comisión Federal de Electricidad al amparo de la ejecución de los contratos de interconexión, así como de compromisos de capacidad de generación de energía eléctrica y compraventa de energía eléctrica;</w:t>
            </w:r>
          </w:p>
        </w:tc>
        <w:tc>
          <w:tcPr>
            <w:tcW w:w="4644" w:type="dxa"/>
          </w:tcPr>
          <w:p w14:paraId="1AF28A61" w14:textId="1E254D63" w:rsidR="003A38FF" w:rsidRPr="00D0180E" w:rsidRDefault="003A38FF" w:rsidP="003A38FF">
            <w:pPr>
              <w:pStyle w:val="Texto"/>
              <w:spacing w:line="236" w:lineRule="exact"/>
              <w:ind w:firstLine="0"/>
              <w:rPr>
                <w:rFonts w:ascii="Verdana" w:hAnsi="Verdana"/>
                <w:b/>
                <w:sz w:val="16"/>
                <w:szCs w:val="16"/>
                <w:lang w:val="en-US"/>
              </w:rPr>
            </w:pPr>
            <w:r w:rsidRPr="00016395">
              <w:rPr>
                <w:rFonts w:ascii="Verdana" w:hAnsi="Verdana"/>
                <w:b/>
                <w:sz w:val="16"/>
                <w:szCs w:val="16"/>
                <w:lang w:val="en-US"/>
              </w:rPr>
              <w:t>d</w:t>
            </w:r>
            <w:proofErr w:type="gramStart"/>
            <w:r w:rsidRPr="00016395">
              <w:rPr>
                <w:rFonts w:ascii="Verdana" w:hAnsi="Verdana"/>
                <w:b/>
                <w:sz w:val="16"/>
                <w:szCs w:val="16"/>
                <w:lang w:val="en-US"/>
              </w:rPr>
              <w:t xml:space="preserve">) </w:t>
            </w:r>
            <w:r w:rsidRPr="00016395">
              <w:rPr>
                <w:rFonts w:ascii="Verdana" w:hAnsi="Verdana"/>
                <w:b/>
                <w:sz w:val="16"/>
                <w:szCs w:val="16"/>
                <w:lang w:val="en-US"/>
              </w:rPr>
              <w:tab/>
            </w:r>
            <w:r w:rsidRPr="00016395">
              <w:rPr>
                <w:rFonts w:ascii="Verdana" w:hAnsi="Verdana"/>
                <w:sz w:val="16"/>
                <w:szCs w:val="16"/>
                <w:lang w:val="en-US"/>
              </w:rPr>
              <w:t>That</w:t>
            </w:r>
            <w:proofErr w:type="gramEnd"/>
            <w:r w:rsidRPr="00016395">
              <w:rPr>
                <w:rFonts w:ascii="Verdana" w:hAnsi="Verdana"/>
                <w:sz w:val="16"/>
                <w:szCs w:val="16"/>
                <w:lang w:val="en-US"/>
              </w:rPr>
              <w:t xml:space="preserve"> there are no outstanding debts to be settled with the Federal Electricity Commission under the execution of interconnection contracts, as well as commitments regarding electricity generation capacity and the purchase and sale of electricity;</w:t>
            </w:r>
          </w:p>
        </w:tc>
      </w:tr>
      <w:tr w:rsidR="003A38FF" w:rsidRPr="00D83DA2" w14:paraId="77906595" w14:textId="65B3623C" w:rsidTr="00FB5DAD">
        <w:tc>
          <w:tcPr>
            <w:tcW w:w="4706" w:type="dxa"/>
          </w:tcPr>
          <w:p w14:paraId="6EA6296E"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Para Centrales Eléctricas totalmente construidas y que no se encuentren en operación, el avance en la conclusión del programa de obras que entregaron para obtener el permiso o modificación correspondiente, lo cual, debe ser acreditado mediante la presentación de la documentación idónea;</w:t>
            </w:r>
          </w:p>
        </w:tc>
        <w:tc>
          <w:tcPr>
            <w:tcW w:w="4644" w:type="dxa"/>
          </w:tcPr>
          <w:p w14:paraId="2DCC7E13" w14:textId="02745605" w:rsidR="003A38FF" w:rsidRPr="00D0180E" w:rsidRDefault="003A38FF" w:rsidP="003A38FF">
            <w:pPr>
              <w:pStyle w:val="Texto"/>
              <w:spacing w:line="236" w:lineRule="exact"/>
              <w:ind w:firstLine="0"/>
              <w:rPr>
                <w:rFonts w:ascii="Verdana" w:hAnsi="Verdana"/>
                <w:b/>
                <w:sz w:val="16"/>
                <w:szCs w:val="16"/>
                <w:lang w:val="en-US"/>
              </w:rPr>
            </w:pPr>
            <w:r w:rsidRPr="00016395">
              <w:rPr>
                <w:rFonts w:ascii="Verdana" w:hAnsi="Verdana"/>
                <w:b/>
                <w:sz w:val="16"/>
                <w:szCs w:val="16"/>
                <w:lang w:val="en-US"/>
              </w:rPr>
              <w:t>III</w:t>
            </w:r>
            <w:proofErr w:type="gramStart"/>
            <w:r w:rsidRPr="00016395">
              <w:rPr>
                <w:rFonts w:ascii="Verdana" w:hAnsi="Verdana"/>
                <w:b/>
                <w:sz w:val="16"/>
                <w:szCs w:val="16"/>
                <w:lang w:val="en-US"/>
              </w:rPr>
              <w:t xml:space="preserve">. </w:t>
            </w:r>
            <w:r w:rsidRPr="00016395">
              <w:rPr>
                <w:rFonts w:ascii="Verdana" w:hAnsi="Verdana"/>
                <w:b/>
                <w:sz w:val="16"/>
                <w:szCs w:val="16"/>
                <w:lang w:val="en-US"/>
              </w:rPr>
              <w:tab/>
            </w:r>
            <w:r w:rsidRPr="00016395">
              <w:rPr>
                <w:rFonts w:ascii="Verdana" w:hAnsi="Verdana"/>
                <w:sz w:val="16"/>
                <w:szCs w:val="16"/>
                <w:lang w:val="en-US"/>
              </w:rPr>
              <w:t>For</w:t>
            </w:r>
            <w:proofErr w:type="gramEnd"/>
            <w:r w:rsidRPr="00016395">
              <w:rPr>
                <w:rFonts w:ascii="Verdana" w:hAnsi="Verdana"/>
                <w:sz w:val="16"/>
                <w:szCs w:val="16"/>
                <w:lang w:val="en-US"/>
              </w:rPr>
              <w:t xml:space="preserve"> fully constructed </w:t>
            </w:r>
            <w:r>
              <w:rPr>
                <w:rFonts w:ascii="Verdana" w:hAnsi="Verdana"/>
                <w:sz w:val="16"/>
                <w:szCs w:val="16"/>
                <w:lang w:val="en-US"/>
              </w:rPr>
              <w:t>power plant</w:t>
            </w:r>
            <w:r w:rsidRPr="00016395">
              <w:rPr>
                <w:rFonts w:ascii="Verdana" w:hAnsi="Verdana"/>
                <w:sz w:val="16"/>
                <w:szCs w:val="16"/>
                <w:lang w:val="en-US"/>
              </w:rPr>
              <w:t>s that are not in operation, the progress in the completion of the works program that they submitted to obtain the corresponding permit or modification, which must be accredited by submitting the appropriate documentation;</w:t>
            </w:r>
          </w:p>
        </w:tc>
      </w:tr>
      <w:tr w:rsidR="003A38FF" w:rsidRPr="00D83DA2" w14:paraId="08830038" w14:textId="190D766C" w:rsidTr="00FB5DAD">
        <w:tc>
          <w:tcPr>
            <w:tcW w:w="4706" w:type="dxa"/>
          </w:tcPr>
          <w:p w14:paraId="7995F272"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Para las Centrales Eléctricas en operación, se debe remitir el cronograma de actividades que señale, entre otros, la fecha en que va a entrar en operación comercial bajo la Ley del Sector Eléctrico, y</w:t>
            </w:r>
          </w:p>
        </w:tc>
        <w:tc>
          <w:tcPr>
            <w:tcW w:w="4644" w:type="dxa"/>
          </w:tcPr>
          <w:p w14:paraId="3484C6B5" w14:textId="68D3FC91" w:rsidR="003A38FF" w:rsidRPr="00D0180E" w:rsidRDefault="003A38FF" w:rsidP="003A38FF">
            <w:pPr>
              <w:pStyle w:val="Texto"/>
              <w:spacing w:line="236" w:lineRule="exact"/>
              <w:ind w:firstLine="0"/>
              <w:rPr>
                <w:rFonts w:ascii="Verdana" w:hAnsi="Verdana"/>
                <w:b/>
                <w:sz w:val="16"/>
                <w:szCs w:val="16"/>
                <w:lang w:val="en-US"/>
              </w:rPr>
            </w:pPr>
            <w:r w:rsidRPr="00016395">
              <w:rPr>
                <w:rFonts w:ascii="Verdana" w:hAnsi="Verdana"/>
                <w:b/>
                <w:sz w:val="16"/>
                <w:szCs w:val="16"/>
                <w:lang w:val="en-US"/>
              </w:rPr>
              <w:t xml:space="preserve">IV. </w:t>
            </w:r>
            <w:r w:rsidRPr="00016395">
              <w:rPr>
                <w:rFonts w:ascii="Verdana" w:hAnsi="Verdana"/>
                <w:b/>
                <w:sz w:val="16"/>
                <w:szCs w:val="16"/>
                <w:lang w:val="en-US"/>
              </w:rPr>
              <w:tab/>
            </w:r>
            <w:r w:rsidRPr="00016395">
              <w:rPr>
                <w:rFonts w:ascii="Verdana" w:hAnsi="Verdana"/>
                <w:sz w:val="16"/>
                <w:szCs w:val="16"/>
                <w:lang w:val="en-US"/>
              </w:rPr>
              <w:t xml:space="preserve">For </w:t>
            </w:r>
            <w:r>
              <w:rPr>
                <w:rFonts w:ascii="Verdana" w:hAnsi="Verdana"/>
                <w:sz w:val="16"/>
                <w:szCs w:val="16"/>
                <w:lang w:val="en-US"/>
              </w:rPr>
              <w:t>power plant</w:t>
            </w:r>
            <w:r w:rsidRPr="00016395">
              <w:rPr>
                <w:rFonts w:ascii="Verdana" w:hAnsi="Verdana"/>
                <w:sz w:val="16"/>
                <w:szCs w:val="16"/>
                <w:lang w:val="en-US"/>
              </w:rPr>
              <w:t xml:space="preserve">s in operation, the schedule of activities must be submitted, indicating, among others, the date on which it will </w:t>
            </w:r>
            <w:proofErr w:type="gramStart"/>
            <w:r w:rsidRPr="00016395">
              <w:rPr>
                <w:rFonts w:ascii="Verdana" w:hAnsi="Verdana"/>
                <w:sz w:val="16"/>
                <w:szCs w:val="16"/>
                <w:lang w:val="en-US"/>
              </w:rPr>
              <w:t>enter into</w:t>
            </w:r>
            <w:proofErr w:type="gramEnd"/>
            <w:r w:rsidRPr="00016395">
              <w:rPr>
                <w:rFonts w:ascii="Verdana" w:hAnsi="Verdana"/>
                <w:sz w:val="16"/>
                <w:szCs w:val="16"/>
                <w:lang w:val="en-US"/>
              </w:rPr>
              <w:t xml:space="preserve"> commercial operation under the </w:t>
            </w:r>
            <w:r>
              <w:rPr>
                <w:rFonts w:ascii="Verdana" w:hAnsi="Verdana"/>
                <w:sz w:val="16"/>
                <w:szCs w:val="16"/>
                <w:lang w:val="en-US"/>
              </w:rPr>
              <w:t>Law of the Electricity Sector</w:t>
            </w:r>
            <w:r w:rsidRPr="00016395">
              <w:rPr>
                <w:rFonts w:ascii="Verdana" w:hAnsi="Verdana"/>
                <w:sz w:val="16"/>
                <w:szCs w:val="16"/>
                <w:lang w:val="en-US"/>
              </w:rPr>
              <w:t>, and</w:t>
            </w:r>
          </w:p>
        </w:tc>
      </w:tr>
      <w:tr w:rsidR="003A38FF" w:rsidRPr="00D83DA2" w14:paraId="7A7F14EC" w14:textId="64C7CD71" w:rsidTr="00FB5DAD">
        <w:tc>
          <w:tcPr>
            <w:tcW w:w="4706" w:type="dxa"/>
          </w:tcPr>
          <w:p w14:paraId="24AC211D"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 xml:space="preserve">Para Centrales Eléctricas que no se encuentren construidas, demostrar fehacientemente, mediante la presentación de la documentación idónea, el avance en </w:t>
            </w:r>
            <w:r w:rsidRPr="00D0180E">
              <w:rPr>
                <w:rFonts w:ascii="Verdana" w:hAnsi="Verdana"/>
                <w:sz w:val="16"/>
                <w:szCs w:val="16"/>
              </w:rPr>
              <w:lastRenderedPageBreak/>
              <w:t>la construcción de la Central Eléctrica de acuerdo con el programa de obras autorizado.</w:t>
            </w:r>
          </w:p>
        </w:tc>
        <w:tc>
          <w:tcPr>
            <w:tcW w:w="4644" w:type="dxa"/>
          </w:tcPr>
          <w:p w14:paraId="60215106" w14:textId="2D360B3B" w:rsidR="003A38FF" w:rsidRPr="00D0180E" w:rsidRDefault="003A38FF" w:rsidP="003A38FF">
            <w:pPr>
              <w:pStyle w:val="Texto"/>
              <w:spacing w:line="236" w:lineRule="exact"/>
              <w:ind w:firstLine="0"/>
              <w:rPr>
                <w:rFonts w:ascii="Verdana" w:hAnsi="Verdana"/>
                <w:b/>
                <w:sz w:val="16"/>
                <w:szCs w:val="16"/>
                <w:lang w:val="en-US"/>
              </w:rPr>
            </w:pPr>
            <w:r w:rsidRPr="00016395">
              <w:rPr>
                <w:rFonts w:ascii="Verdana" w:hAnsi="Verdana"/>
                <w:b/>
                <w:sz w:val="16"/>
                <w:szCs w:val="16"/>
                <w:lang w:val="en-US"/>
              </w:rPr>
              <w:lastRenderedPageBreak/>
              <w:t>V</w:t>
            </w:r>
            <w:proofErr w:type="gramStart"/>
            <w:r w:rsidRPr="00016395">
              <w:rPr>
                <w:rFonts w:ascii="Verdana" w:hAnsi="Verdana"/>
                <w:b/>
                <w:sz w:val="16"/>
                <w:szCs w:val="16"/>
                <w:lang w:val="en-US"/>
              </w:rPr>
              <w:t xml:space="preserve">. </w:t>
            </w:r>
            <w:r w:rsidRPr="00016395">
              <w:rPr>
                <w:rFonts w:ascii="Verdana" w:hAnsi="Verdana"/>
                <w:b/>
                <w:sz w:val="16"/>
                <w:szCs w:val="16"/>
                <w:lang w:val="en-US"/>
              </w:rPr>
              <w:tab/>
            </w:r>
            <w:r w:rsidRPr="00016395">
              <w:rPr>
                <w:rFonts w:ascii="Verdana" w:hAnsi="Verdana"/>
                <w:sz w:val="16"/>
                <w:szCs w:val="16"/>
                <w:lang w:val="en-US"/>
              </w:rPr>
              <w:t>For</w:t>
            </w:r>
            <w:proofErr w:type="gramEnd"/>
            <w:r w:rsidRPr="00016395">
              <w:rPr>
                <w:rFonts w:ascii="Verdana" w:hAnsi="Verdana"/>
                <w:sz w:val="16"/>
                <w:szCs w:val="16"/>
                <w:lang w:val="en-US"/>
              </w:rPr>
              <w:t xml:space="preserve"> </w:t>
            </w:r>
            <w:r>
              <w:rPr>
                <w:rFonts w:ascii="Verdana" w:hAnsi="Verdana"/>
                <w:sz w:val="16"/>
                <w:szCs w:val="16"/>
                <w:lang w:val="en-US"/>
              </w:rPr>
              <w:t>power plant</w:t>
            </w:r>
            <w:r w:rsidRPr="00016395">
              <w:rPr>
                <w:rFonts w:ascii="Verdana" w:hAnsi="Verdana"/>
                <w:sz w:val="16"/>
                <w:szCs w:val="16"/>
                <w:lang w:val="en-US"/>
              </w:rPr>
              <w:t xml:space="preserve">s that are not yet built, demonstrate conclusively, by submitting the appropriate documentation, the progress in the </w:t>
            </w:r>
            <w:r w:rsidRPr="00016395">
              <w:rPr>
                <w:rFonts w:ascii="Verdana" w:hAnsi="Verdana"/>
                <w:sz w:val="16"/>
                <w:szCs w:val="16"/>
                <w:lang w:val="en-US"/>
              </w:rPr>
              <w:lastRenderedPageBreak/>
              <w:t xml:space="preserve">construction of the </w:t>
            </w:r>
            <w:r>
              <w:rPr>
                <w:rFonts w:ascii="Verdana" w:hAnsi="Verdana"/>
                <w:sz w:val="16"/>
                <w:szCs w:val="16"/>
                <w:lang w:val="en-US"/>
              </w:rPr>
              <w:t>power plant</w:t>
            </w:r>
            <w:r w:rsidRPr="00016395">
              <w:rPr>
                <w:rFonts w:ascii="Verdana" w:hAnsi="Verdana"/>
                <w:sz w:val="16"/>
                <w:szCs w:val="16"/>
                <w:lang w:val="en-US"/>
              </w:rPr>
              <w:t xml:space="preserve"> in accordance with the authorized works program.</w:t>
            </w:r>
          </w:p>
        </w:tc>
      </w:tr>
      <w:tr w:rsidR="003A38FF" w:rsidRPr="00D83DA2" w14:paraId="13329BEC" w14:textId="792E3F5F" w:rsidTr="00FB5DAD">
        <w:tc>
          <w:tcPr>
            <w:tcW w:w="4706" w:type="dxa"/>
          </w:tcPr>
          <w:p w14:paraId="78529532" w14:textId="77777777" w:rsidR="003A38FF" w:rsidRPr="00D0180E" w:rsidRDefault="003A38FF" w:rsidP="003A38FF">
            <w:pPr>
              <w:pStyle w:val="Texto"/>
              <w:spacing w:line="236" w:lineRule="exact"/>
              <w:ind w:firstLine="0"/>
              <w:rPr>
                <w:rFonts w:ascii="Verdana" w:hAnsi="Verdana"/>
                <w:sz w:val="16"/>
                <w:szCs w:val="16"/>
              </w:rPr>
            </w:pPr>
            <w:r w:rsidRPr="00D0180E">
              <w:rPr>
                <w:rFonts w:ascii="Verdana" w:hAnsi="Verdana"/>
                <w:sz w:val="16"/>
                <w:szCs w:val="16"/>
              </w:rPr>
              <w:lastRenderedPageBreak/>
              <w:t>De resultar necesario, la CNE puede requerir información y documentación adicional para resolver la solicitud.</w:t>
            </w:r>
          </w:p>
        </w:tc>
        <w:tc>
          <w:tcPr>
            <w:tcW w:w="4644" w:type="dxa"/>
          </w:tcPr>
          <w:p w14:paraId="7E422ACD" w14:textId="0A096CFE" w:rsidR="003A38FF" w:rsidRPr="00D0180E" w:rsidRDefault="003A38FF" w:rsidP="003A38FF">
            <w:pPr>
              <w:pStyle w:val="Texto"/>
              <w:spacing w:line="236" w:lineRule="exact"/>
              <w:ind w:firstLine="0"/>
              <w:rPr>
                <w:rFonts w:ascii="Verdana" w:hAnsi="Verdana"/>
                <w:sz w:val="16"/>
                <w:szCs w:val="16"/>
                <w:lang w:val="en-US"/>
              </w:rPr>
            </w:pPr>
            <w:r w:rsidRPr="00016395">
              <w:rPr>
                <w:rFonts w:ascii="Verdana" w:hAnsi="Verdana"/>
                <w:sz w:val="16"/>
                <w:szCs w:val="16"/>
                <w:lang w:val="en-US"/>
              </w:rPr>
              <w:t>If necessary, the CNE may request additional information and documentation to resolve the request.</w:t>
            </w:r>
          </w:p>
        </w:tc>
      </w:tr>
      <w:tr w:rsidR="003A38FF" w:rsidRPr="00D83DA2" w14:paraId="34B9EC94" w14:textId="4B70EE16" w:rsidTr="00FB5DAD">
        <w:tc>
          <w:tcPr>
            <w:tcW w:w="4706" w:type="dxa"/>
          </w:tcPr>
          <w:p w14:paraId="179470D9" w14:textId="77777777" w:rsidR="003A38FF" w:rsidRPr="00D0180E" w:rsidRDefault="003A38FF" w:rsidP="003A38FF">
            <w:pPr>
              <w:pStyle w:val="Texto"/>
              <w:spacing w:after="60" w:line="214" w:lineRule="exact"/>
              <w:ind w:firstLine="0"/>
              <w:rPr>
                <w:rFonts w:ascii="Verdana" w:hAnsi="Verdana"/>
                <w:sz w:val="16"/>
                <w:szCs w:val="16"/>
              </w:rPr>
            </w:pPr>
            <w:r w:rsidRPr="00D0180E">
              <w:rPr>
                <w:rFonts w:ascii="Verdana" w:hAnsi="Verdana"/>
                <w:sz w:val="16"/>
                <w:szCs w:val="16"/>
              </w:rPr>
              <w:t>En caso de la aprobación de la modificación solicitada, el nuevo permiso debe tener una vigencia de conformidad con los siguientes criterios:</w:t>
            </w:r>
          </w:p>
        </w:tc>
        <w:tc>
          <w:tcPr>
            <w:tcW w:w="4644" w:type="dxa"/>
          </w:tcPr>
          <w:p w14:paraId="466AA652" w14:textId="26A6F2F0" w:rsidR="003A38FF" w:rsidRPr="00D0180E" w:rsidRDefault="003A38FF" w:rsidP="003A38FF">
            <w:pPr>
              <w:pStyle w:val="Texto"/>
              <w:spacing w:after="60" w:line="214" w:lineRule="exact"/>
              <w:ind w:firstLine="0"/>
              <w:rPr>
                <w:rFonts w:ascii="Verdana" w:hAnsi="Verdana"/>
                <w:sz w:val="16"/>
                <w:szCs w:val="16"/>
                <w:lang w:val="en-US"/>
              </w:rPr>
            </w:pPr>
            <w:r w:rsidRPr="00016395">
              <w:rPr>
                <w:rFonts w:ascii="Verdana" w:hAnsi="Verdana"/>
                <w:sz w:val="16"/>
                <w:szCs w:val="16"/>
                <w:lang w:val="en-US"/>
              </w:rPr>
              <w:t>If the requested modification is approved, the new permit must be valid in accordance with the following criteria:</w:t>
            </w:r>
          </w:p>
        </w:tc>
      </w:tr>
      <w:tr w:rsidR="003A38FF" w:rsidRPr="00D83DA2" w14:paraId="67ECD9AB" w14:textId="047B79F3" w:rsidTr="00FB5DAD">
        <w:tc>
          <w:tcPr>
            <w:tcW w:w="4706" w:type="dxa"/>
          </w:tcPr>
          <w:p w14:paraId="5BB5C900" w14:textId="77777777" w:rsidR="003A38FF" w:rsidRPr="00D0180E" w:rsidRDefault="003A38FF" w:rsidP="003A38FF">
            <w:pPr>
              <w:pStyle w:val="Texto"/>
              <w:spacing w:after="60" w:line="214"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Para Centrales Eléctricas totalmente construidas y que no se encuentren en operación, la vigencia del permiso de generación debe estar condicionada a que la entrada en operación comercial, bajo el marco de la Ley del Sector Eléctrico, se concrete en un periodo de seis meses, contado a partir de la fecha de notificación de la resolución correspondiente;</w:t>
            </w:r>
          </w:p>
        </w:tc>
        <w:tc>
          <w:tcPr>
            <w:tcW w:w="4644" w:type="dxa"/>
          </w:tcPr>
          <w:p w14:paraId="100210CF" w14:textId="3E50B5E3" w:rsidR="003A38FF" w:rsidRPr="00D0180E" w:rsidRDefault="003A38FF" w:rsidP="003A38FF">
            <w:pPr>
              <w:pStyle w:val="Texto"/>
              <w:spacing w:after="60" w:line="214" w:lineRule="exact"/>
              <w:ind w:firstLine="0"/>
              <w:rPr>
                <w:rFonts w:ascii="Verdana" w:hAnsi="Verdana"/>
                <w:b/>
                <w:sz w:val="16"/>
                <w:szCs w:val="16"/>
                <w:lang w:val="en-US"/>
              </w:rPr>
            </w:pPr>
            <w:r w:rsidRPr="0082033C">
              <w:rPr>
                <w:rFonts w:ascii="Verdana" w:hAnsi="Verdana"/>
                <w:b/>
                <w:sz w:val="16"/>
                <w:szCs w:val="16"/>
                <w:lang w:val="en-US"/>
              </w:rPr>
              <w:t>I</w:t>
            </w:r>
            <w:proofErr w:type="gramStart"/>
            <w:r w:rsidRPr="0082033C">
              <w:rPr>
                <w:rFonts w:ascii="Verdana" w:hAnsi="Verdana"/>
                <w:b/>
                <w:sz w:val="16"/>
                <w:szCs w:val="16"/>
                <w:lang w:val="en-US"/>
              </w:rPr>
              <w:t xml:space="preserve">. </w:t>
            </w:r>
            <w:r w:rsidRPr="0082033C">
              <w:rPr>
                <w:rFonts w:ascii="Verdana" w:hAnsi="Verdana"/>
                <w:b/>
                <w:sz w:val="16"/>
                <w:szCs w:val="16"/>
                <w:lang w:val="en-US"/>
              </w:rPr>
              <w:tab/>
            </w:r>
            <w:r w:rsidRPr="0082033C">
              <w:rPr>
                <w:rFonts w:ascii="Verdana" w:hAnsi="Verdana"/>
                <w:sz w:val="16"/>
                <w:szCs w:val="16"/>
                <w:lang w:val="en-US"/>
              </w:rPr>
              <w:t>For</w:t>
            </w:r>
            <w:proofErr w:type="gramEnd"/>
            <w:r w:rsidRPr="0082033C">
              <w:rPr>
                <w:rFonts w:ascii="Verdana" w:hAnsi="Verdana"/>
                <w:sz w:val="16"/>
                <w:szCs w:val="16"/>
                <w:lang w:val="en-US"/>
              </w:rPr>
              <w:t xml:space="preserve"> fully constructed power plants that are not in operation, the validity of the generation permit must be conditional on the entry into commercial operation, under the framework of the </w:t>
            </w:r>
            <w:r>
              <w:rPr>
                <w:rFonts w:ascii="Verdana" w:hAnsi="Verdana"/>
                <w:sz w:val="16"/>
                <w:szCs w:val="16"/>
                <w:lang w:val="en-US"/>
              </w:rPr>
              <w:t>Law of the Electricity Sector</w:t>
            </w:r>
            <w:r w:rsidRPr="0082033C">
              <w:rPr>
                <w:rFonts w:ascii="Verdana" w:hAnsi="Verdana"/>
                <w:sz w:val="16"/>
                <w:szCs w:val="16"/>
                <w:lang w:val="en-US"/>
              </w:rPr>
              <w:t>, taking place within a period of six months, counted from the date of notification of the corresponding resolution;</w:t>
            </w:r>
          </w:p>
        </w:tc>
      </w:tr>
      <w:tr w:rsidR="003A38FF" w:rsidRPr="00D83DA2" w14:paraId="0BC2B43B" w14:textId="3A4B8B26" w:rsidTr="00FB5DAD">
        <w:tc>
          <w:tcPr>
            <w:tcW w:w="4706" w:type="dxa"/>
          </w:tcPr>
          <w:p w14:paraId="046758B4" w14:textId="77777777" w:rsidR="003A38FF" w:rsidRPr="00D0180E" w:rsidRDefault="003A38FF" w:rsidP="003A38FF">
            <w:pPr>
              <w:pStyle w:val="Texto"/>
              <w:spacing w:after="60" w:line="214"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Para Centrales Eléctricas en operación con solicitud de migración por el total de su capacidad, la vigencia del permiso debe estar condicionada al cumplimiento de las pruebas operativas con el CENACE para la entrada en operación comercial, así como a la firma del contrato de interconexión bajo el marco de la Ley del Sector Eléctrico, esta última se debe concretar por la persona permisionaria, en un máximo de seis meses contados a partir de la fecha de notificación de la resolución correspondiente;</w:t>
            </w:r>
          </w:p>
        </w:tc>
        <w:tc>
          <w:tcPr>
            <w:tcW w:w="4644" w:type="dxa"/>
          </w:tcPr>
          <w:p w14:paraId="7F260240" w14:textId="447602FB" w:rsidR="003A38FF" w:rsidRPr="00D0180E" w:rsidRDefault="003A38FF" w:rsidP="003A38FF">
            <w:pPr>
              <w:pStyle w:val="Texto"/>
              <w:spacing w:after="60" w:line="214" w:lineRule="exact"/>
              <w:ind w:firstLine="0"/>
              <w:rPr>
                <w:rFonts w:ascii="Verdana" w:hAnsi="Verdana"/>
                <w:b/>
                <w:sz w:val="16"/>
                <w:szCs w:val="16"/>
                <w:lang w:val="en-US"/>
              </w:rPr>
            </w:pPr>
            <w:r w:rsidRPr="0082033C">
              <w:rPr>
                <w:rFonts w:ascii="Verdana" w:hAnsi="Verdana"/>
                <w:b/>
                <w:sz w:val="16"/>
                <w:szCs w:val="16"/>
                <w:lang w:val="en-US"/>
              </w:rPr>
              <w:t xml:space="preserve">II. </w:t>
            </w:r>
            <w:r w:rsidRPr="0082033C">
              <w:rPr>
                <w:rFonts w:ascii="Verdana" w:hAnsi="Verdana"/>
                <w:b/>
                <w:sz w:val="16"/>
                <w:szCs w:val="16"/>
                <w:lang w:val="en-US"/>
              </w:rPr>
              <w:tab/>
            </w:r>
            <w:r w:rsidRPr="0082033C">
              <w:rPr>
                <w:rFonts w:ascii="Verdana" w:hAnsi="Verdana"/>
                <w:sz w:val="16"/>
                <w:szCs w:val="16"/>
                <w:lang w:val="en-US"/>
              </w:rPr>
              <w:t xml:space="preserve">For </w:t>
            </w:r>
            <w:r>
              <w:rPr>
                <w:rFonts w:ascii="Verdana" w:hAnsi="Verdana"/>
                <w:sz w:val="16"/>
                <w:szCs w:val="16"/>
                <w:lang w:val="en-US"/>
              </w:rPr>
              <w:t>power plant</w:t>
            </w:r>
            <w:r w:rsidRPr="0082033C">
              <w:rPr>
                <w:rFonts w:ascii="Verdana" w:hAnsi="Verdana"/>
                <w:sz w:val="16"/>
                <w:szCs w:val="16"/>
                <w:lang w:val="en-US"/>
              </w:rPr>
              <w:t xml:space="preserve">s in operation with a migration request for their total capacity, the validity of the permit must be conditioned to the fulfillment of the operational tests with CENACE for the entry into commercial operation, as well as to the signing of the interconnection contract under the framework of the </w:t>
            </w:r>
            <w:r>
              <w:rPr>
                <w:rFonts w:ascii="Verdana" w:hAnsi="Verdana"/>
                <w:sz w:val="16"/>
                <w:szCs w:val="16"/>
                <w:lang w:val="en-US"/>
              </w:rPr>
              <w:t>Law of the Electricity Sector</w:t>
            </w:r>
            <w:r w:rsidRPr="0082033C">
              <w:rPr>
                <w:rFonts w:ascii="Verdana" w:hAnsi="Verdana"/>
                <w:sz w:val="16"/>
                <w:szCs w:val="16"/>
                <w:lang w:val="en-US"/>
              </w:rPr>
              <w:t>, the latter must be finalized by the permit holder, within a maximum of six months counted from the date of notification of the corresponding resolution;</w:t>
            </w:r>
          </w:p>
        </w:tc>
      </w:tr>
      <w:tr w:rsidR="003A38FF" w:rsidRPr="00D83DA2" w14:paraId="6B64B0C3" w14:textId="70313C18" w:rsidTr="00FB5DAD">
        <w:tc>
          <w:tcPr>
            <w:tcW w:w="4706" w:type="dxa"/>
          </w:tcPr>
          <w:p w14:paraId="4788EFCF" w14:textId="77777777" w:rsidR="003A38FF" w:rsidRPr="00D0180E" w:rsidRDefault="003A38FF" w:rsidP="003A38FF">
            <w:pPr>
              <w:pStyle w:val="Texto"/>
              <w:spacing w:after="60" w:line="214"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Para Centrales Eléctricas que no se encuentren construidas, la vigencia del permiso de generación debe estar condicionada a que demuestre fehacientemente, mediante la presentación de la documentación idónea, el avance en la construcción de la Central Eléctrica cada tres meses, de acuerdo con el programa de obras declarado por la persona solicitante. Lo anterior, a partir de la fecha de notificación de la resolución correspondiente, y</w:t>
            </w:r>
          </w:p>
        </w:tc>
        <w:tc>
          <w:tcPr>
            <w:tcW w:w="4644" w:type="dxa"/>
          </w:tcPr>
          <w:p w14:paraId="2BDB65D2" w14:textId="2684A7D4" w:rsidR="003A38FF" w:rsidRPr="00D0180E" w:rsidRDefault="003A38FF" w:rsidP="003A38FF">
            <w:pPr>
              <w:pStyle w:val="Texto"/>
              <w:spacing w:after="60" w:line="214" w:lineRule="exact"/>
              <w:ind w:firstLine="0"/>
              <w:rPr>
                <w:rFonts w:ascii="Verdana" w:hAnsi="Verdana"/>
                <w:b/>
                <w:sz w:val="16"/>
                <w:szCs w:val="16"/>
                <w:lang w:val="en-US"/>
              </w:rPr>
            </w:pPr>
            <w:r w:rsidRPr="0082033C">
              <w:rPr>
                <w:rFonts w:ascii="Verdana" w:hAnsi="Verdana"/>
                <w:b/>
                <w:sz w:val="16"/>
                <w:szCs w:val="16"/>
                <w:lang w:val="en-US"/>
              </w:rPr>
              <w:t>III</w:t>
            </w:r>
            <w:proofErr w:type="gramStart"/>
            <w:r w:rsidRPr="0082033C">
              <w:rPr>
                <w:rFonts w:ascii="Verdana" w:hAnsi="Verdana"/>
                <w:b/>
                <w:sz w:val="16"/>
                <w:szCs w:val="16"/>
                <w:lang w:val="en-US"/>
              </w:rPr>
              <w:t xml:space="preserve">. </w:t>
            </w:r>
            <w:r w:rsidRPr="0082033C">
              <w:rPr>
                <w:rFonts w:ascii="Verdana" w:hAnsi="Verdana"/>
                <w:b/>
                <w:sz w:val="16"/>
                <w:szCs w:val="16"/>
                <w:lang w:val="en-US"/>
              </w:rPr>
              <w:tab/>
            </w:r>
            <w:r w:rsidRPr="0082033C">
              <w:rPr>
                <w:rFonts w:ascii="Verdana" w:hAnsi="Verdana"/>
                <w:sz w:val="16"/>
                <w:szCs w:val="16"/>
                <w:lang w:val="en-US"/>
              </w:rPr>
              <w:t>For</w:t>
            </w:r>
            <w:proofErr w:type="gramEnd"/>
            <w:r w:rsidRPr="0082033C">
              <w:rPr>
                <w:rFonts w:ascii="Verdana" w:hAnsi="Verdana"/>
                <w:sz w:val="16"/>
                <w:szCs w:val="16"/>
                <w:lang w:val="en-US"/>
              </w:rPr>
              <w:t xml:space="preserve"> power plants that have not been built, the validity of the generation permit must be conditional on reliable proof, through the submission of appropriate documentation, of progress in the construction of the power plant every three months, in accordance with the works program declared by the applicant. The foregoing, from the date of notification of the corresponding resolution, and</w:t>
            </w:r>
          </w:p>
        </w:tc>
      </w:tr>
      <w:tr w:rsidR="003A38FF" w:rsidRPr="00D83DA2" w14:paraId="341EB0A9" w14:textId="1ADE01EF" w:rsidTr="00FB5DAD">
        <w:tc>
          <w:tcPr>
            <w:tcW w:w="4706" w:type="dxa"/>
          </w:tcPr>
          <w:p w14:paraId="10DE1D82" w14:textId="77777777" w:rsidR="003A38FF" w:rsidRPr="00D0180E" w:rsidRDefault="003A38FF" w:rsidP="003A38FF">
            <w:pPr>
              <w:pStyle w:val="Texto"/>
              <w:spacing w:after="60" w:line="214"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Para el caso de solicitudes de migraciones parciales, toda vez que entran en conflicto legal con lo dispuesto en el Transitorio Octavo de la Ley del Sector Eléctrico, la CNE debe proceder a la terminación del procedimiento administrativo correspondiente, sin perjuicio del derecho de la interesada para solicitar la migración por el total de la capacidad de generación.</w:t>
            </w:r>
          </w:p>
        </w:tc>
        <w:tc>
          <w:tcPr>
            <w:tcW w:w="4644" w:type="dxa"/>
          </w:tcPr>
          <w:p w14:paraId="51FCDCBB" w14:textId="047CABDF" w:rsidR="003A38FF" w:rsidRPr="00D0180E" w:rsidRDefault="003A38FF" w:rsidP="003A38FF">
            <w:pPr>
              <w:pStyle w:val="Texto"/>
              <w:spacing w:after="60" w:line="214" w:lineRule="exact"/>
              <w:ind w:firstLine="0"/>
              <w:rPr>
                <w:rFonts w:ascii="Verdana" w:hAnsi="Verdana"/>
                <w:b/>
                <w:sz w:val="16"/>
                <w:szCs w:val="16"/>
                <w:lang w:val="en-US"/>
              </w:rPr>
            </w:pPr>
            <w:r w:rsidRPr="0082033C">
              <w:rPr>
                <w:rFonts w:ascii="Verdana" w:hAnsi="Verdana"/>
                <w:b/>
                <w:sz w:val="16"/>
                <w:szCs w:val="16"/>
                <w:lang w:val="en-US"/>
              </w:rPr>
              <w:t>IV</w:t>
            </w:r>
            <w:proofErr w:type="gramStart"/>
            <w:r w:rsidRPr="0082033C">
              <w:rPr>
                <w:rFonts w:ascii="Verdana" w:hAnsi="Verdana"/>
                <w:b/>
                <w:sz w:val="16"/>
                <w:szCs w:val="16"/>
                <w:lang w:val="en-US"/>
              </w:rPr>
              <w:t xml:space="preserve">. </w:t>
            </w:r>
            <w:r w:rsidRPr="0082033C">
              <w:rPr>
                <w:rFonts w:ascii="Verdana" w:hAnsi="Verdana"/>
                <w:b/>
                <w:sz w:val="16"/>
                <w:szCs w:val="16"/>
                <w:lang w:val="en-US"/>
              </w:rPr>
              <w:tab/>
            </w:r>
            <w:r w:rsidRPr="0082033C">
              <w:rPr>
                <w:rFonts w:ascii="Verdana" w:hAnsi="Verdana"/>
                <w:sz w:val="16"/>
                <w:szCs w:val="16"/>
                <w:lang w:val="en-US"/>
              </w:rPr>
              <w:t>In</w:t>
            </w:r>
            <w:proofErr w:type="gramEnd"/>
            <w:r w:rsidRPr="0082033C">
              <w:rPr>
                <w:rFonts w:ascii="Verdana" w:hAnsi="Verdana"/>
                <w:sz w:val="16"/>
                <w:szCs w:val="16"/>
                <w:lang w:val="en-US"/>
              </w:rPr>
              <w:t xml:space="preserve"> the case of requests for partial migrations, since they conflict with the provisions of the Eighth </w:t>
            </w:r>
            <w:r>
              <w:rPr>
                <w:rFonts w:ascii="Verdana" w:hAnsi="Verdana"/>
                <w:sz w:val="16"/>
                <w:szCs w:val="16"/>
                <w:lang w:val="en-US"/>
              </w:rPr>
              <w:t>Transitional Article</w:t>
            </w:r>
            <w:r w:rsidRPr="0082033C">
              <w:rPr>
                <w:rFonts w:ascii="Verdana" w:hAnsi="Verdana"/>
                <w:sz w:val="16"/>
                <w:szCs w:val="16"/>
                <w:lang w:val="en-US"/>
              </w:rPr>
              <w:t xml:space="preserve"> of the </w:t>
            </w:r>
            <w:r>
              <w:rPr>
                <w:rFonts w:ascii="Verdana" w:hAnsi="Verdana"/>
                <w:sz w:val="16"/>
                <w:szCs w:val="16"/>
                <w:lang w:val="en-US"/>
              </w:rPr>
              <w:t>Law of the Electricity Sector</w:t>
            </w:r>
            <w:r w:rsidRPr="0082033C">
              <w:rPr>
                <w:rFonts w:ascii="Verdana" w:hAnsi="Verdana"/>
                <w:sz w:val="16"/>
                <w:szCs w:val="16"/>
                <w:lang w:val="en-US"/>
              </w:rPr>
              <w:t>, the CNE must proceed to complete the corresponding administrative procedure, without prejudice to the interested party's right to request migration for the entire generation capacity.</w:t>
            </w:r>
          </w:p>
        </w:tc>
      </w:tr>
      <w:tr w:rsidR="003A38FF" w:rsidRPr="00D83DA2" w14:paraId="0503CB7C" w14:textId="6CACC088" w:rsidTr="00FB5DAD">
        <w:tc>
          <w:tcPr>
            <w:tcW w:w="4706" w:type="dxa"/>
          </w:tcPr>
          <w:p w14:paraId="186C1239" w14:textId="77777777" w:rsidR="003A38FF" w:rsidRPr="00D0180E" w:rsidRDefault="003A38FF" w:rsidP="003A38FF">
            <w:pPr>
              <w:pStyle w:val="Texto"/>
              <w:spacing w:after="60" w:line="214" w:lineRule="exact"/>
              <w:ind w:firstLine="0"/>
              <w:rPr>
                <w:rFonts w:ascii="Verdana" w:hAnsi="Verdana"/>
                <w:sz w:val="16"/>
                <w:szCs w:val="16"/>
              </w:rPr>
            </w:pPr>
            <w:r w:rsidRPr="00D0180E">
              <w:rPr>
                <w:rFonts w:ascii="Verdana" w:hAnsi="Verdana"/>
                <w:b/>
                <w:sz w:val="16"/>
                <w:szCs w:val="16"/>
              </w:rPr>
              <w:t xml:space="preserve">Vigésimo Cuarto. </w:t>
            </w:r>
            <w:r w:rsidRPr="00D0180E">
              <w:rPr>
                <w:rFonts w:ascii="Verdana" w:hAnsi="Verdana"/>
                <w:sz w:val="16"/>
                <w:szCs w:val="16"/>
              </w:rPr>
              <w:t>Las solicitudes de permisos de generación de energía eléctrica que se hayan presentado hasta el dieciocho de marzo de dos mil veinticinco, bajo la extinta Comisión Reguladora de Energía, que hayan sido ratificadas ante la CNE y continúen en evaluación a la entrada en vigor del presente reglamento, deben ser resueltas bajo el marco de la Ley del Sector Eléctrico, para lo cual se debe considerar lo siguiente:</w:t>
            </w:r>
          </w:p>
        </w:tc>
        <w:tc>
          <w:tcPr>
            <w:tcW w:w="4644" w:type="dxa"/>
          </w:tcPr>
          <w:p w14:paraId="3A631000" w14:textId="79084F7C" w:rsidR="003A38FF" w:rsidRPr="00D0180E" w:rsidRDefault="003A38FF" w:rsidP="003A38FF">
            <w:pPr>
              <w:pStyle w:val="Texto"/>
              <w:spacing w:after="60" w:line="214" w:lineRule="exact"/>
              <w:ind w:firstLine="0"/>
              <w:rPr>
                <w:rFonts w:ascii="Verdana" w:hAnsi="Verdana"/>
                <w:b/>
                <w:sz w:val="16"/>
                <w:szCs w:val="16"/>
                <w:lang w:val="en-US"/>
              </w:rPr>
            </w:pPr>
            <w:r w:rsidRPr="0082033C">
              <w:rPr>
                <w:rFonts w:ascii="Verdana" w:hAnsi="Verdana"/>
                <w:b/>
                <w:sz w:val="16"/>
                <w:szCs w:val="16"/>
                <w:lang w:val="en-US"/>
              </w:rPr>
              <w:t xml:space="preserve">Twenty-fourth. </w:t>
            </w:r>
            <w:r w:rsidRPr="0082033C">
              <w:rPr>
                <w:rFonts w:ascii="Verdana" w:hAnsi="Verdana"/>
                <w:sz w:val="16"/>
                <w:szCs w:val="16"/>
                <w:lang w:val="en-US"/>
              </w:rPr>
              <w:t xml:space="preserve">Applications for electricity generation permits submitted by March 18, 2025, under the defunct Energy Regulatory Commission, which have been ratified by the CNE and are still under evaluation upon the entry into force of this regulation, must be resolved within the framework of the </w:t>
            </w:r>
            <w:r>
              <w:rPr>
                <w:rFonts w:ascii="Verdana" w:hAnsi="Verdana"/>
                <w:sz w:val="16"/>
                <w:szCs w:val="16"/>
                <w:lang w:val="en-US"/>
              </w:rPr>
              <w:t>Law of the Electricity Sector</w:t>
            </w:r>
            <w:r w:rsidRPr="0082033C">
              <w:rPr>
                <w:rFonts w:ascii="Verdana" w:hAnsi="Verdana"/>
                <w:sz w:val="16"/>
                <w:szCs w:val="16"/>
                <w:lang w:val="en-US"/>
              </w:rPr>
              <w:t>, for which the following must be considered:</w:t>
            </w:r>
          </w:p>
        </w:tc>
      </w:tr>
      <w:tr w:rsidR="003A38FF" w:rsidRPr="00D83DA2" w14:paraId="4AC29FF7" w14:textId="0569ADBD" w:rsidTr="00FB5DAD">
        <w:tc>
          <w:tcPr>
            <w:tcW w:w="4706" w:type="dxa"/>
          </w:tcPr>
          <w:p w14:paraId="7DA1FF0D" w14:textId="77777777" w:rsidR="003A38FF" w:rsidRPr="00D0180E" w:rsidRDefault="003A38FF" w:rsidP="003A38FF">
            <w:pPr>
              <w:pStyle w:val="Texto"/>
              <w:spacing w:after="60" w:line="214"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Para proyectos de generación de energía eléctrica en abasto aislado, se deben resolver conforme a la figura de autoconsumo, ya sea aislado o interconectado;</w:t>
            </w:r>
          </w:p>
        </w:tc>
        <w:tc>
          <w:tcPr>
            <w:tcW w:w="4644" w:type="dxa"/>
          </w:tcPr>
          <w:p w14:paraId="423AE80D" w14:textId="506A47FD" w:rsidR="003A38FF" w:rsidRPr="00D0180E" w:rsidRDefault="003A38FF" w:rsidP="003A38FF">
            <w:pPr>
              <w:pStyle w:val="Texto"/>
              <w:spacing w:after="60" w:line="214" w:lineRule="exact"/>
              <w:ind w:firstLine="0"/>
              <w:rPr>
                <w:rFonts w:ascii="Verdana" w:hAnsi="Verdana"/>
                <w:b/>
                <w:sz w:val="16"/>
                <w:szCs w:val="16"/>
                <w:lang w:val="en-US"/>
              </w:rPr>
            </w:pPr>
            <w:r w:rsidRPr="0082033C">
              <w:rPr>
                <w:rFonts w:ascii="Verdana" w:hAnsi="Verdana"/>
                <w:b/>
                <w:sz w:val="16"/>
                <w:szCs w:val="16"/>
                <w:lang w:val="en-US"/>
              </w:rPr>
              <w:t>I</w:t>
            </w:r>
            <w:proofErr w:type="gramStart"/>
            <w:r w:rsidRPr="0082033C">
              <w:rPr>
                <w:rFonts w:ascii="Verdana" w:hAnsi="Verdana"/>
                <w:b/>
                <w:sz w:val="16"/>
                <w:szCs w:val="16"/>
                <w:lang w:val="en-US"/>
              </w:rPr>
              <w:t xml:space="preserve">. </w:t>
            </w:r>
            <w:r w:rsidRPr="0082033C">
              <w:rPr>
                <w:rFonts w:ascii="Verdana" w:hAnsi="Verdana"/>
                <w:b/>
                <w:sz w:val="16"/>
                <w:szCs w:val="16"/>
                <w:lang w:val="en-US"/>
              </w:rPr>
              <w:tab/>
            </w:r>
            <w:r w:rsidRPr="0082033C">
              <w:rPr>
                <w:rFonts w:ascii="Verdana" w:hAnsi="Verdana"/>
                <w:sz w:val="16"/>
                <w:szCs w:val="16"/>
                <w:lang w:val="en-US"/>
              </w:rPr>
              <w:t>For</w:t>
            </w:r>
            <w:proofErr w:type="gramEnd"/>
            <w:r w:rsidRPr="0082033C">
              <w:rPr>
                <w:rFonts w:ascii="Verdana" w:hAnsi="Verdana"/>
                <w:sz w:val="16"/>
                <w:szCs w:val="16"/>
                <w:lang w:val="en-US"/>
              </w:rPr>
              <w:t xml:space="preserve"> </w:t>
            </w:r>
            <w:proofErr w:type="gramStart"/>
            <w:r w:rsidRPr="0082033C">
              <w:rPr>
                <w:rFonts w:ascii="Verdana" w:hAnsi="Verdana"/>
                <w:sz w:val="16"/>
                <w:szCs w:val="16"/>
                <w:lang w:val="en-US"/>
              </w:rPr>
              <w:t>isolated supply</w:t>
            </w:r>
            <w:proofErr w:type="gramEnd"/>
            <w:r w:rsidRPr="0082033C">
              <w:rPr>
                <w:rFonts w:ascii="Verdana" w:hAnsi="Verdana"/>
                <w:sz w:val="16"/>
                <w:szCs w:val="16"/>
                <w:lang w:val="en-US"/>
              </w:rPr>
              <w:t xml:space="preserve"> electricity generation projects, they must be resolved according to the self-consumption figure, whether isolated or interconnected;</w:t>
            </w:r>
          </w:p>
        </w:tc>
      </w:tr>
      <w:tr w:rsidR="003A38FF" w:rsidRPr="00D83DA2" w14:paraId="66FD8A2C" w14:textId="68E523FF" w:rsidTr="00FB5DAD">
        <w:tc>
          <w:tcPr>
            <w:tcW w:w="4706" w:type="dxa"/>
          </w:tcPr>
          <w:p w14:paraId="277FA584" w14:textId="77777777" w:rsidR="003A38FF" w:rsidRPr="00D0180E" w:rsidRDefault="003A38FF" w:rsidP="003A38FF">
            <w:pPr>
              <w:pStyle w:val="Texto"/>
              <w:spacing w:after="60" w:line="214" w:lineRule="exact"/>
              <w:ind w:firstLine="0"/>
              <w:rPr>
                <w:rFonts w:ascii="Verdana" w:hAnsi="Verdana"/>
                <w:sz w:val="16"/>
                <w:szCs w:val="16"/>
              </w:rPr>
            </w:pPr>
            <w:r w:rsidRPr="00D0180E">
              <w:rPr>
                <w:rFonts w:ascii="Verdana" w:hAnsi="Verdana"/>
                <w:b/>
                <w:sz w:val="16"/>
                <w:szCs w:val="16"/>
              </w:rPr>
              <w:lastRenderedPageBreak/>
              <w:t>II.</w:t>
            </w:r>
            <w:r w:rsidRPr="00D0180E">
              <w:rPr>
                <w:rFonts w:ascii="Verdana" w:hAnsi="Verdana"/>
                <w:b/>
                <w:sz w:val="16"/>
                <w:szCs w:val="16"/>
              </w:rPr>
              <w:tab/>
            </w:r>
            <w:r w:rsidRPr="00D0180E">
              <w:rPr>
                <w:rFonts w:ascii="Verdana" w:hAnsi="Verdana"/>
                <w:sz w:val="16"/>
                <w:szCs w:val="16"/>
              </w:rPr>
              <w:t>Para proyectos de generación que tengan como finalidad atender la actividad de exportación de energía eléctrica, se debe continuar su evaluación en los mismos términos, y</w:t>
            </w:r>
          </w:p>
        </w:tc>
        <w:tc>
          <w:tcPr>
            <w:tcW w:w="4644" w:type="dxa"/>
          </w:tcPr>
          <w:p w14:paraId="39A2CF58" w14:textId="1858950C" w:rsidR="003A38FF" w:rsidRPr="00D0180E" w:rsidRDefault="003A38FF" w:rsidP="003A38FF">
            <w:pPr>
              <w:pStyle w:val="Texto"/>
              <w:spacing w:after="60" w:line="214" w:lineRule="exact"/>
              <w:ind w:firstLine="0"/>
              <w:rPr>
                <w:rFonts w:ascii="Verdana" w:hAnsi="Verdana"/>
                <w:b/>
                <w:sz w:val="16"/>
                <w:szCs w:val="16"/>
                <w:lang w:val="en-US"/>
              </w:rPr>
            </w:pPr>
            <w:r w:rsidRPr="0082033C">
              <w:rPr>
                <w:rFonts w:ascii="Verdana" w:hAnsi="Verdana"/>
                <w:b/>
                <w:sz w:val="16"/>
                <w:szCs w:val="16"/>
                <w:lang w:val="en-US"/>
              </w:rPr>
              <w:t>II</w:t>
            </w:r>
            <w:proofErr w:type="gramStart"/>
            <w:r w:rsidRPr="0082033C">
              <w:rPr>
                <w:rFonts w:ascii="Verdana" w:hAnsi="Verdana"/>
                <w:b/>
                <w:sz w:val="16"/>
                <w:szCs w:val="16"/>
                <w:lang w:val="en-US"/>
              </w:rPr>
              <w:t xml:space="preserve">. </w:t>
            </w:r>
            <w:r w:rsidRPr="0082033C">
              <w:rPr>
                <w:rFonts w:ascii="Verdana" w:hAnsi="Verdana"/>
                <w:b/>
                <w:sz w:val="16"/>
                <w:szCs w:val="16"/>
                <w:lang w:val="en-US"/>
              </w:rPr>
              <w:tab/>
            </w:r>
            <w:r w:rsidRPr="0082033C">
              <w:rPr>
                <w:rFonts w:ascii="Verdana" w:hAnsi="Verdana"/>
                <w:sz w:val="16"/>
                <w:szCs w:val="16"/>
                <w:lang w:val="en-US"/>
              </w:rPr>
              <w:t>For</w:t>
            </w:r>
            <w:proofErr w:type="gramEnd"/>
            <w:r w:rsidRPr="0082033C">
              <w:rPr>
                <w:rFonts w:ascii="Verdana" w:hAnsi="Verdana"/>
                <w:sz w:val="16"/>
                <w:szCs w:val="16"/>
                <w:lang w:val="en-US"/>
              </w:rPr>
              <w:t xml:space="preserve"> generation projects that are intended to serve the activity of exporting electric energy, their evaluation must continue under the same terms, and</w:t>
            </w:r>
          </w:p>
        </w:tc>
      </w:tr>
      <w:tr w:rsidR="003A38FF" w:rsidRPr="00D83DA2" w14:paraId="5B201BD5" w14:textId="35F9376A" w:rsidTr="00FB5DAD">
        <w:tc>
          <w:tcPr>
            <w:tcW w:w="4706" w:type="dxa"/>
          </w:tcPr>
          <w:p w14:paraId="27AAB64B" w14:textId="77777777" w:rsidR="003A38FF" w:rsidRPr="00D0180E" w:rsidRDefault="003A38FF" w:rsidP="003A38FF">
            <w:pPr>
              <w:pStyle w:val="Texto"/>
              <w:spacing w:after="60" w:line="214"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Todas aquellas solicitudes que no se encuentren en lo previsto en los numerales anteriores, se deben resolver conforme a la figura de generación para el Mercado Eléctrico Mayorista, o la que corresponda.</w:t>
            </w:r>
          </w:p>
        </w:tc>
        <w:tc>
          <w:tcPr>
            <w:tcW w:w="4644" w:type="dxa"/>
          </w:tcPr>
          <w:p w14:paraId="34CFAC2F" w14:textId="195AA290" w:rsidR="003A38FF" w:rsidRPr="00D0180E" w:rsidRDefault="003A38FF" w:rsidP="003A38FF">
            <w:pPr>
              <w:pStyle w:val="Texto"/>
              <w:spacing w:after="60" w:line="214" w:lineRule="exact"/>
              <w:ind w:firstLine="0"/>
              <w:rPr>
                <w:rFonts w:ascii="Verdana" w:hAnsi="Verdana"/>
                <w:b/>
                <w:sz w:val="16"/>
                <w:szCs w:val="16"/>
                <w:lang w:val="en-US"/>
              </w:rPr>
            </w:pPr>
            <w:r w:rsidRPr="00016395">
              <w:rPr>
                <w:rFonts w:ascii="Verdana" w:hAnsi="Verdana"/>
                <w:b/>
                <w:sz w:val="16"/>
                <w:szCs w:val="16"/>
                <w:lang w:val="en-US"/>
              </w:rPr>
              <w:t>III</w:t>
            </w:r>
            <w:proofErr w:type="gramStart"/>
            <w:r w:rsidRPr="00016395">
              <w:rPr>
                <w:rFonts w:ascii="Verdana" w:hAnsi="Verdana"/>
                <w:b/>
                <w:sz w:val="16"/>
                <w:szCs w:val="16"/>
                <w:lang w:val="en-US"/>
              </w:rPr>
              <w:t xml:space="preserve">. </w:t>
            </w:r>
            <w:r w:rsidRPr="00016395">
              <w:rPr>
                <w:rFonts w:ascii="Verdana" w:hAnsi="Verdana"/>
                <w:b/>
                <w:sz w:val="16"/>
                <w:szCs w:val="16"/>
                <w:lang w:val="en-US"/>
              </w:rPr>
              <w:tab/>
            </w:r>
            <w:r w:rsidRPr="00016395">
              <w:rPr>
                <w:rFonts w:ascii="Verdana" w:hAnsi="Verdana"/>
                <w:sz w:val="16"/>
                <w:szCs w:val="16"/>
                <w:lang w:val="en-US"/>
              </w:rPr>
              <w:t>All</w:t>
            </w:r>
            <w:proofErr w:type="gramEnd"/>
            <w:r w:rsidRPr="00016395">
              <w:rPr>
                <w:rFonts w:ascii="Verdana" w:hAnsi="Verdana"/>
                <w:sz w:val="16"/>
                <w:szCs w:val="16"/>
                <w:lang w:val="en-US"/>
              </w:rPr>
              <w:t xml:space="preserve"> applications that do not fall within the provisions of the preceding paragraphs must be resolved in accordance with the generation figure for the Wholesale Electricity Market, or the corresponding one.</w:t>
            </w:r>
          </w:p>
        </w:tc>
      </w:tr>
      <w:tr w:rsidR="003A38FF" w:rsidRPr="00D83DA2" w14:paraId="080813FF" w14:textId="1E0D5647" w:rsidTr="00FB5DAD">
        <w:tc>
          <w:tcPr>
            <w:tcW w:w="4706" w:type="dxa"/>
          </w:tcPr>
          <w:p w14:paraId="79D8AA3E" w14:textId="77777777" w:rsidR="003A38FF" w:rsidRPr="00D0180E" w:rsidRDefault="003A38FF" w:rsidP="003A38FF">
            <w:pPr>
              <w:pStyle w:val="Texto"/>
              <w:spacing w:after="60" w:line="214" w:lineRule="exact"/>
              <w:ind w:firstLine="0"/>
              <w:rPr>
                <w:rFonts w:ascii="Verdana" w:hAnsi="Verdana"/>
                <w:sz w:val="16"/>
                <w:szCs w:val="16"/>
              </w:rPr>
            </w:pPr>
            <w:r w:rsidRPr="00D0180E">
              <w:rPr>
                <w:rFonts w:ascii="Verdana" w:hAnsi="Verdana"/>
                <w:sz w:val="16"/>
                <w:szCs w:val="16"/>
              </w:rPr>
              <w:t>En caso de ser necesario, la CNE puede requerir información para poder resolver la solicitud.</w:t>
            </w:r>
          </w:p>
        </w:tc>
        <w:tc>
          <w:tcPr>
            <w:tcW w:w="4644" w:type="dxa"/>
          </w:tcPr>
          <w:p w14:paraId="00B3950C" w14:textId="451B2071" w:rsidR="003A38FF" w:rsidRPr="00D0180E" w:rsidRDefault="003A38FF" w:rsidP="003A38FF">
            <w:pPr>
              <w:pStyle w:val="Texto"/>
              <w:spacing w:after="60" w:line="214" w:lineRule="exact"/>
              <w:ind w:firstLine="0"/>
              <w:rPr>
                <w:rFonts w:ascii="Verdana" w:hAnsi="Verdana"/>
                <w:sz w:val="16"/>
                <w:szCs w:val="16"/>
                <w:lang w:val="en-US"/>
              </w:rPr>
            </w:pPr>
            <w:r w:rsidRPr="00016395">
              <w:rPr>
                <w:rFonts w:ascii="Verdana" w:hAnsi="Verdana"/>
                <w:sz w:val="16"/>
                <w:szCs w:val="16"/>
                <w:lang w:val="en-US"/>
              </w:rPr>
              <w:t>If necessary, the CNE may request information to resolve the request.</w:t>
            </w:r>
          </w:p>
        </w:tc>
      </w:tr>
      <w:tr w:rsidR="003A38FF" w:rsidRPr="00D83DA2" w14:paraId="7EFFFC4E" w14:textId="0469AA21" w:rsidTr="00FB5DAD">
        <w:tc>
          <w:tcPr>
            <w:tcW w:w="4706" w:type="dxa"/>
          </w:tcPr>
          <w:p w14:paraId="38F3E0B3" w14:textId="77777777" w:rsidR="003A38FF" w:rsidRPr="00D0180E" w:rsidRDefault="003A38FF" w:rsidP="003A38FF">
            <w:pPr>
              <w:pStyle w:val="Texto"/>
              <w:spacing w:after="60" w:line="214" w:lineRule="exact"/>
              <w:ind w:firstLine="0"/>
              <w:rPr>
                <w:rFonts w:ascii="Verdana" w:hAnsi="Verdana"/>
                <w:sz w:val="16"/>
                <w:szCs w:val="16"/>
              </w:rPr>
            </w:pPr>
            <w:r w:rsidRPr="00D0180E">
              <w:rPr>
                <w:rFonts w:ascii="Verdana" w:hAnsi="Verdana"/>
                <w:sz w:val="16"/>
                <w:szCs w:val="16"/>
              </w:rPr>
              <w:t>Lo anterior no se considera como efecto retroactivo en perjuicio de las personas solicitantes toda vez que, al no estar resueltas, no confirieron ningún derecho adquirido previo.</w:t>
            </w:r>
          </w:p>
        </w:tc>
        <w:tc>
          <w:tcPr>
            <w:tcW w:w="4644" w:type="dxa"/>
          </w:tcPr>
          <w:p w14:paraId="64B07360" w14:textId="3CB85662" w:rsidR="003A38FF" w:rsidRPr="00D0180E" w:rsidRDefault="003A38FF" w:rsidP="003A38FF">
            <w:pPr>
              <w:pStyle w:val="Texto"/>
              <w:spacing w:after="60" w:line="214" w:lineRule="exact"/>
              <w:ind w:firstLine="0"/>
              <w:rPr>
                <w:rFonts w:ascii="Verdana" w:hAnsi="Verdana"/>
                <w:sz w:val="16"/>
                <w:szCs w:val="16"/>
                <w:lang w:val="en-US"/>
              </w:rPr>
            </w:pPr>
            <w:r w:rsidRPr="00016395">
              <w:rPr>
                <w:rFonts w:ascii="Verdana" w:hAnsi="Verdana"/>
                <w:sz w:val="16"/>
                <w:szCs w:val="16"/>
                <w:lang w:val="en-US"/>
              </w:rPr>
              <w:t>The above is not considered to have a retroactive effect to the detriment of the applicants since, since they were not resolved, they did not confer any previously acquired rights.</w:t>
            </w:r>
          </w:p>
        </w:tc>
      </w:tr>
      <w:tr w:rsidR="003A38FF" w:rsidRPr="00D83DA2" w14:paraId="5337236B" w14:textId="604728D6" w:rsidTr="00FB5DAD">
        <w:tc>
          <w:tcPr>
            <w:tcW w:w="4706" w:type="dxa"/>
          </w:tcPr>
          <w:p w14:paraId="3D7F2EE7" w14:textId="77777777" w:rsidR="003A38FF" w:rsidRPr="00D0180E" w:rsidRDefault="003A38FF" w:rsidP="003A38FF">
            <w:pPr>
              <w:pStyle w:val="Texto"/>
              <w:spacing w:after="60" w:line="214" w:lineRule="exact"/>
              <w:ind w:firstLine="0"/>
              <w:rPr>
                <w:rFonts w:ascii="Verdana" w:hAnsi="Verdana"/>
                <w:sz w:val="16"/>
                <w:szCs w:val="16"/>
              </w:rPr>
            </w:pPr>
            <w:r w:rsidRPr="00D0180E">
              <w:rPr>
                <w:rFonts w:ascii="Verdana" w:hAnsi="Verdana"/>
                <w:b/>
                <w:sz w:val="16"/>
                <w:szCs w:val="16"/>
              </w:rPr>
              <w:t xml:space="preserve">Vigésimo Quinto. </w:t>
            </w:r>
            <w:r w:rsidRPr="00D0180E">
              <w:rPr>
                <w:rFonts w:ascii="Verdana" w:hAnsi="Verdana"/>
                <w:sz w:val="16"/>
                <w:szCs w:val="16"/>
              </w:rPr>
              <w:t>Para las solicitudes de permisos de suministro de energía eléctrica que se hayan presentado hasta el dieciocho de marzo de dos mil veinticinco, bajo la extinta Comisión Reguladora de Energía, que hayan sido ratificadas ante la CNE y admitidas a trámite, deben ser resueltas bajo el marco de la Ley del Sector Eléctrico.</w:t>
            </w:r>
          </w:p>
        </w:tc>
        <w:tc>
          <w:tcPr>
            <w:tcW w:w="4644" w:type="dxa"/>
          </w:tcPr>
          <w:p w14:paraId="24F6771B" w14:textId="3DB51162" w:rsidR="003A38FF" w:rsidRPr="00D0180E" w:rsidRDefault="003A38FF" w:rsidP="003A38FF">
            <w:pPr>
              <w:pStyle w:val="Texto"/>
              <w:spacing w:after="60" w:line="214" w:lineRule="exact"/>
              <w:ind w:firstLine="0"/>
              <w:rPr>
                <w:rFonts w:ascii="Verdana" w:hAnsi="Verdana"/>
                <w:b/>
                <w:sz w:val="16"/>
                <w:szCs w:val="16"/>
                <w:lang w:val="en-US"/>
              </w:rPr>
            </w:pPr>
            <w:r w:rsidRPr="00016395">
              <w:rPr>
                <w:rFonts w:ascii="Verdana" w:hAnsi="Verdana"/>
                <w:b/>
                <w:sz w:val="16"/>
                <w:szCs w:val="16"/>
                <w:lang w:val="en-US"/>
              </w:rPr>
              <w:t xml:space="preserve">Twenty-Fifth. </w:t>
            </w:r>
            <w:r w:rsidRPr="00016395">
              <w:rPr>
                <w:rFonts w:ascii="Verdana" w:hAnsi="Verdana"/>
                <w:sz w:val="16"/>
                <w:szCs w:val="16"/>
                <w:lang w:val="en-US"/>
              </w:rPr>
              <w:t xml:space="preserve">Applications for electricity supply permits submitted by March 18, 2025, under the now-defunct Energy Regulatory Commission, which have been ratified by the CNE and admitted for processing, must be resolved within the framework of the </w:t>
            </w:r>
            <w:r>
              <w:rPr>
                <w:rFonts w:ascii="Verdana" w:hAnsi="Verdana"/>
                <w:sz w:val="16"/>
                <w:szCs w:val="16"/>
                <w:lang w:val="en-US"/>
              </w:rPr>
              <w:t>Law of the Electricity Sector</w:t>
            </w:r>
            <w:r w:rsidRPr="00016395">
              <w:rPr>
                <w:rFonts w:ascii="Verdana" w:hAnsi="Verdana"/>
                <w:sz w:val="16"/>
                <w:szCs w:val="16"/>
                <w:lang w:val="en-US"/>
              </w:rPr>
              <w:t>.</w:t>
            </w:r>
          </w:p>
        </w:tc>
      </w:tr>
      <w:tr w:rsidR="003A38FF" w:rsidRPr="00D83DA2" w14:paraId="64B89F48" w14:textId="1E4406BA" w:rsidTr="00FB5DAD">
        <w:tc>
          <w:tcPr>
            <w:tcW w:w="4706" w:type="dxa"/>
          </w:tcPr>
          <w:p w14:paraId="05568F00" w14:textId="77777777" w:rsidR="003A38FF" w:rsidRPr="00D0180E" w:rsidRDefault="003A38FF" w:rsidP="003A38FF">
            <w:pPr>
              <w:pStyle w:val="Texto"/>
              <w:spacing w:after="60" w:line="214" w:lineRule="exact"/>
              <w:ind w:firstLine="0"/>
              <w:rPr>
                <w:rFonts w:ascii="Verdana" w:hAnsi="Verdana"/>
                <w:sz w:val="16"/>
                <w:szCs w:val="16"/>
              </w:rPr>
            </w:pPr>
            <w:r w:rsidRPr="00D0180E">
              <w:rPr>
                <w:rFonts w:ascii="Verdana" w:hAnsi="Verdana"/>
                <w:sz w:val="16"/>
                <w:szCs w:val="16"/>
              </w:rPr>
              <w:t>En caso de ser necesario, la CNE puede requerir información para poder resolver la solicitud.</w:t>
            </w:r>
          </w:p>
        </w:tc>
        <w:tc>
          <w:tcPr>
            <w:tcW w:w="4644" w:type="dxa"/>
          </w:tcPr>
          <w:p w14:paraId="32C2BEB9" w14:textId="783B10E4" w:rsidR="003A38FF" w:rsidRPr="00D0180E" w:rsidRDefault="003A38FF" w:rsidP="003A38FF">
            <w:pPr>
              <w:pStyle w:val="Texto"/>
              <w:spacing w:after="60" w:line="214" w:lineRule="exact"/>
              <w:ind w:firstLine="0"/>
              <w:rPr>
                <w:rFonts w:ascii="Verdana" w:hAnsi="Verdana"/>
                <w:sz w:val="16"/>
                <w:szCs w:val="16"/>
                <w:lang w:val="en-US"/>
              </w:rPr>
            </w:pPr>
            <w:r w:rsidRPr="00016395">
              <w:rPr>
                <w:rFonts w:ascii="Verdana" w:hAnsi="Verdana"/>
                <w:sz w:val="16"/>
                <w:szCs w:val="16"/>
                <w:lang w:val="en-US"/>
              </w:rPr>
              <w:t>If necessary, the CNE may request information to resolve the request.</w:t>
            </w:r>
          </w:p>
        </w:tc>
      </w:tr>
      <w:tr w:rsidR="003A38FF" w:rsidRPr="00D83DA2" w14:paraId="7A559F28" w14:textId="741B9F0A" w:rsidTr="00FB5DAD">
        <w:tc>
          <w:tcPr>
            <w:tcW w:w="4706" w:type="dxa"/>
          </w:tcPr>
          <w:p w14:paraId="19C37469" w14:textId="77777777" w:rsidR="003A38FF" w:rsidRPr="00D0180E" w:rsidRDefault="003A38FF" w:rsidP="003A38FF">
            <w:pPr>
              <w:pStyle w:val="Texto"/>
              <w:spacing w:after="60" w:line="214" w:lineRule="exact"/>
              <w:ind w:firstLine="0"/>
              <w:rPr>
                <w:rFonts w:ascii="Verdana" w:hAnsi="Verdana"/>
                <w:sz w:val="16"/>
                <w:szCs w:val="16"/>
              </w:rPr>
            </w:pPr>
            <w:r w:rsidRPr="00D0180E">
              <w:rPr>
                <w:rFonts w:ascii="Verdana" w:hAnsi="Verdana"/>
                <w:sz w:val="16"/>
                <w:szCs w:val="16"/>
              </w:rPr>
              <w:t>Lo anterior no se considera como efecto retroactivo toda vez que, las personas solicitantes no contaban con derechos adquiridos previos.</w:t>
            </w:r>
          </w:p>
        </w:tc>
        <w:tc>
          <w:tcPr>
            <w:tcW w:w="4644" w:type="dxa"/>
          </w:tcPr>
          <w:p w14:paraId="62B128AF" w14:textId="0D0405F9" w:rsidR="003A38FF" w:rsidRPr="00D0180E" w:rsidRDefault="003A38FF" w:rsidP="003A38FF">
            <w:pPr>
              <w:pStyle w:val="Texto"/>
              <w:spacing w:after="60" w:line="214" w:lineRule="exact"/>
              <w:ind w:firstLine="0"/>
              <w:rPr>
                <w:rFonts w:ascii="Verdana" w:hAnsi="Verdana"/>
                <w:sz w:val="16"/>
                <w:szCs w:val="16"/>
                <w:lang w:val="en-US"/>
              </w:rPr>
            </w:pPr>
            <w:r w:rsidRPr="00016395">
              <w:rPr>
                <w:rFonts w:ascii="Verdana" w:hAnsi="Verdana"/>
                <w:sz w:val="16"/>
                <w:szCs w:val="16"/>
                <w:lang w:val="en-US"/>
              </w:rPr>
              <w:t>The above is not considered a retroactive effect since the applicants did not have prior acquired rights.</w:t>
            </w:r>
          </w:p>
        </w:tc>
      </w:tr>
      <w:tr w:rsidR="003A38FF" w:rsidRPr="00D83DA2" w14:paraId="25FE8AE1" w14:textId="4172AAB3" w:rsidTr="00FB5DAD">
        <w:tc>
          <w:tcPr>
            <w:tcW w:w="4706" w:type="dxa"/>
          </w:tcPr>
          <w:p w14:paraId="41C7B885" w14:textId="77777777" w:rsidR="003A38FF" w:rsidRPr="00D0180E" w:rsidRDefault="003A38FF" w:rsidP="003A38FF">
            <w:pPr>
              <w:pStyle w:val="Texto"/>
              <w:spacing w:after="60" w:line="214" w:lineRule="exact"/>
              <w:ind w:firstLine="0"/>
              <w:rPr>
                <w:rFonts w:ascii="Verdana" w:hAnsi="Verdana"/>
                <w:sz w:val="16"/>
                <w:szCs w:val="16"/>
              </w:rPr>
            </w:pPr>
            <w:r w:rsidRPr="00D0180E">
              <w:rPr>
                <w:rFonts w:ascii="Verdana" w:hAnsi="Verdana"/>
                <w:b/>
                <w:sz w:val="16"/>
                <w:szCs w:val="16"/>
              </w:rPr>
              <w:t>Vigésimo Sexto.</w:t>
            </w:r>
            <w:r w:rsidRPr="00D0180E">
              <w:rPr>
                <w:rFonts w:ascii="Verdana" w:hAnsi="Verdana"/>
                <w:sz w:val="16"/>
                <w:szCs w:val="16"/>
              </w:rPr>
              <w:t xml:space="preserve"> En tanto la Secretaría fija los niveles requeridos de consumo o demanda para que un Centro de Carga pueda ser registrado como Usuario Calificado a los que se refiere el artículo 73 de la Ley, pueden incluirse en el registro de Usuarios Calificados a los que hace referencia el artículo 153 del presente reglamento, aquellos Centros de Carga que tengan una demanda igual o mayor a 1 MW, el nivel requerido de demanda para que los Usuarios Calificados participen en el Mercado Eléctrico Mayorista a los que se refiere el artículo 76 de la Ley debe ser igual o mayor 5 MW.</w:t>
            </w:r>
          </w:p>
        </w:tc>
        <w:tc>
          <w:tcPr>
            <w:tcW w:w="4644" w:type="dxa"/>
          </w:tcPr>
          <w:p w14:paraId="670B68CC" w14:textId="6E7FBF01" w:rsidR="003A38FF" w:rsidRPr="00D0180E" w:rsidRDefault="003A38FF" w:rsidP="003A38FF">
            <w:pPr>
              <w:pStyle w:val="Texto"/>
              <w:spacing w:after="60" w:line="214" w:lineRule="exact"/>
              <w:ind w:firstLine="0"/>
              <w:rPr>
                <w:rFonts w:ascii="Verdana" w:hAnsi="Verdana"/>
                <w:b/>
                <w:sz w:val="16"/>
                <w:szCs w:val="16"/>
                <w:lang w:val="en-US"/>
              </w:rPr>
            </w:pPr>
            <w:r w:rsidRPr="00016395">
              <w:rPr>
                <w:rFonts w:ascii="Verdana" w:hAnsi="Verdana"/>
                <w:b/>
                <w:sz w:val="16"/>
                <w:szCs w:val="16"/>
                <w:lang w:val="en-US"/>
              </w:rPr>
              <w:t xml:space="preserve">Twenty-sixth. </w:t>
            </w:r>
            <w:r w:rsidRPr="00016395">
              <w:rPr>
                <w:rFonts w:ascii="Verdana" w:hAnsi="Verdana"/>
                <w:sz w:val="16"/>
                <w:szCs w:val="16"/>
                <w:lang w:val="en-US"/>
              </w:rPr>
              <w:t xml:space="preserve">While the </w:t>
            </w:r>
            <w:r>
              <w:rPr>
                <w:rFonts w:ascii="Verdana" w:hAnsi="Verdana"/>
                <w:sz w:val="16"/>
                <w:szCs w:val="16"/>
                <w:lang w:val="en-US"/>
              </w:rPr>
              <w:t>Secretary</w:t>
            </w:r>
            <w:r w:rsidRPr="00016395">
              <w:rPr>
                <w:rFonts w:ascii="Verdana" w:hAnsi="Verdana"/>
                <w:sz w:val="16"/>
                <w:szCs w:val="16"/>
                <w:lang w:val="en-US"/>
              </w:rPr>
              <w:t xml:space="preserve"> establishes the required consumption or demand levels for a Load Center to be registered as a Qualified User, as referred to in Article 73 of the Law, those Load Centers with a demand equal to or greater than 1 MW may be included in the </w:t>
            </w:r>
            <w:r>
              <w:rPr>
                <w:rFonts w:ascii="Verdana" w:hAnsi="Verdana"/>
                <w:sz w:val="16"/>
                <w:szCs w:val="16"/>
                <w:lang w:val="en-US"/>
              </w:rPr>
              <w:t>R</w:t>
            </w:r>
            <w:r w:rsidRPr="00016395">
              <w:rPr>
                <w:rFonts w:ascii="Verdana" w:hAnsi="Verdana"/>
                <w:sz w:val="16"/>
                <w:szCs w:val="16"/>
                <w:lang w:val="en-US"/>
              </w:rPr>
              <w:t xml:space="preserve">egistry of Qualified Users referred to in Article 153 of </w:t>
            </w:r>
            <w:r>
              <w:rPr>
                <w:rFonts w:ascii="Verdana" w:hAnsi="Verdana"/>
                <w:sz w:val="16"/>
                <w:szCs w:val="16"/>
                <w:lang w:val="en-US"/>
              </w:rPr>
              <w:t>this Regulation</w:t>
            </w:r>
            <w:r w:rsidRPr="00016395">
              <w:rPr>
                <w:rFonts w:ascii="Verdana" w:hAnsi="Verdana"/>
                <w:sz w:val="16"/>
                <w:szCs w:val="16"/>
                <w:lang w:val="en-US"/>
              </w:rPr>
              <w:t>. The required level of demand for qualified users to participate in the wholesale electricity market, as referred to in Article 76 of the Law, must be equal to or greater than 5 MW.</w:t>
            </w:r>
          </w:p>
        </w:tc>
      </w:tr>
      <w:tr w:rsidR="003A38FF" w:rsidRPr="00D83DA2" w14:paraId="16B85B56" w14:textId="3BC036CC" w:rsidTr="00FB5DAD">
        <w:tc>
          <w:tcPr>
            <w:tcW w:w="4706" w:type="dxa"/>
          </w:tcPr>
          <w:p w14:paraId="312294EF" w14:textId="77777777" w:rsidR="003A38FF" w:rsidRPr="00D0180E" w:rsidRDefault="003A38FF" w:rsidP="003A38FF">
            <w:pPr>
              <w:pStyle w:val="Texto"/>
              <w:spacing w:after="60" w:line="214" w:lineRule="exact"/>
              <w:ind w:firstLine="0"/>
              <w:rPr>
                <w:rFonts w:ascii="Verdana" w:hAnsi="Verdana"/>
                <w:sz w:val="16"/>
                <w:szCs w:val="16"/>
              </w:rPr>
            </w:pPr>
            <w:r w:rsidRPr="00D0180E">
              <w:rPr>
                <w:rFonts w:ascii="Verdana" w:hAnsi="Verdana"/>
                <w:b/>
                <w:sz w:val="16"/>
                <w:szCs w:val="16"/>
              </w:rPr>
              <w:t>Vigésimo Séptimo.</w:t>
            </w:r>
            <w:r w:rsidRPr="00D0180E">
              <w:rPr>
                <w:rFonts w:ascii="Verdana" w:hAnsi="Verdana"/>
                <w:sz w:val="16"/>
                <w:szCs w:val="16"/>
              </w:rPr>
              <w:t xml:space="preserve"> Las erogaciones que se generen con motivo de la aplicación del presente Decreto se deben realizar con cargo a los presupuestos autorizados a los ejecutores del gasto que intervienen en la implementación </w:t>
            </w:r>
            <w:proofErr w:type="gramStart"/>
            <w:r w:rsidRPr="00D0180E">
              <w:rPr>
                <w:rFonts w:ascii="Verdana" w:hAnsi="Verdana"/>
                <w:sz w:val="16"/>
                <w:szCs w:val="16"/>
              </w:rPr>
              <w:t>del mismo</w:t>
            </w:r>
            <w:proofErr w:type="gramEnd"/>
            <w:r w:rsidRPr="00D0180E">
              <w:rPr>
                <w:rFonts w:ascii="Verdana" w:hAnsi="Verdana"/>
                <w:sz w:val="16"/>
                <w:szCs w:val="16"/>
              </w:rPr>
              <w:t>, por lo que no se autorizan ampliaciones líquidas a sus presupuestos para tal fin en el presente ejercicio fiscal, ni se puede incrementar el presupuesto regularizable de dichos ejecutores de gasto para tales efectos.</w:t>
            </w:r>
          </w:p>
        </w:tc>
        <w:tc>
          <w:tcPr>
            <w:tcW w:w="4644" w:type="dxa"/>
          </w:tcPr>
          <w:p w14:paraId="5802FE09" w14:textId="556CD210" w:rsidR="003A38FF" w:rsidRPr="00D0180E" w:rsidRDefault="003A38FF" w:rsidP="003A38FF">
            <w:pPr>
              <w:pStyle w:val="Texto"/>
              <w:spacing w:after="60" w:line="214" w:lineRule="exact"/>
              <w:ind w:firstLine="0"/>
              <w:rPr>
                <w:rFonts w:ascii="Verdana" w:hAnsi="Verdana"/>
                <w:b/>
                <w:sz w:val="16"/>
                <w:szCs w:val="16"/>
                <w:lang w:val="en-US"/>
              </w:rPr>
            </w:pPr>
            <w:r w:rsidRPr="00016395">
              <w:rPr>
                <w:rFonts w:ascii="Verdana" w:hAnsi="Verdana"/>
                <w:b/>
                <w:sz w:val="16"/>
                <w:szCs w:val="16"/>
                <w:lang w:val="en-US"/>
              </w:rPr>
              <w:t xml:space="preserve">Twenty-seventh. </w:t>
            </w:r>
            <w:r w:rsidRPr="00016395">
              <w:rPr>
                <w:rFonts w:ascii="Verdana" w:hAnsi="Verdana"/>
                <w:sz w:val="16"/>
                <w:szCs w:val="16"/>
                <w:lang w:val="en-US"/>
              </w:rPr>
              <w:t xml:space="preserve">The </w:t>
            </w:r>
            <w:proofErr w:type="gramStart"/>
            <w:r w:rsidRPr="00016395">
              <w:rPr>
                <w:rFonts w:ascii="Verdana" w:hAnsi="Verdana"/>
                <w:sz w:val="16"/>
                <w:szCs w:val="16"/>
                <w:lang w:val="en-US"/>
              </w:rPr>
              <w:t>expenditures</w:t>
            </w:r>
            <w:proofErr w:type="gramEnd"/>
            <w:r w:rsidRPr="00016395">
              <w:rPr>
                <w:rFonts w:ascii="Verdana" w:hAnsi="Verdana"/>
                <w:sz w:val="16"/>
                <w:szCs w:val="16"/>
                <w:lang w:val="en-US"/>
              </w:rPr>
              <w:t xml:space="preserve"> generated by the application of this Decree must be charged to the budgets authorized for the expenditure executors involved in its implementation. Therefore, no net increases to their budgets are authorized for this purpose in the current fiscal year, nor may the regularizable budget of said expenditure executors be increased for such purposes.</w:t>
            </w:r>
          </w:p>
        </w:tc>
      </w:tr>
      <w:tr w:rsidR="003A38FF" w:rsidRPr="00C573CB" w14:paraId="16363A90" w14:textId="05D87584" w:rsidTr="00FB5DAD">
        <w:tc>
          <w:tcPr>
            <w:tcW w:w="4706" w:type="dxa"/>
          </w:tcPr>
          <w:p w14:paraId="3994A2CC" w14:textId="77777777" w:rsidR="003A38FF" w:rsidRPr="00C573CB" w:rsidRDefault="003A38FF" w:rsidP="003A38FF">
            <w:pPr>
              <w:pStyle w:val="Texto"/>
              <w:spacing w:after="60" w:line="214" w:lineRule="exact"/>
              <w:ind w:firstLine="0"/>
              <w:rPr>
                <w:rFonts w:ascii="Verdana" w:hAnsi="Verdana"/>
                <w:sz w:val="16"/>
                <w:szCs w:val="16"/>
                <w:lang w:val="es-ES_tradnl"/>
              </w:rPr>
            </w:pPr>
            <w:r w:rsidRPr="00D0180E">
              <w:rPr>
                <w:rFonts w:ascii="Verdana" w:hAnsi="Verdana"/>
                <w:sz w:val="16"/>
                <w:szCs w:val="16"/>
                <w:lang w:val="es-ES_tradnl"/>
              </w:rPr>
              <w:t xml:space="preserve">Dado en la residencia del Poder Ejecutivo Federal, en Ciudad de México a 29 de septiembre de 2025.- </w:t>
            </w:r>
            <w:proofErr w:type="gramStart"/>
            <w:r w:rsidRPr="00D0180E">
              <w:rPr>
                <w:rFonts w:ascii="Verdana" w:hAnsi="Verdana"/>
                <w:sz w:val="16"/>
                <w:szCs w:val="16"/>
                <w:lang w:val="es-ES_tradnl"/>
              </w:rPr>
              <w:t>Presidenta</w:t>
            </w:r>
            <w:proofErr w:type="gramEnd"/>
            <w:r w:rsidRPr="00D0180E">
              <w:rPr>
                <w:rFonts w:ascii="Verdana" w:hAnsi="Verdana"/>
                <w:sz w:val="16"/>
                <w:szCs w:val="16"/>
                <w:lang w:val="es-ES_tradnl"/>
              </w:rPr>
              <w:t xml:space="preserve"> de los Estados Unidos Mexicanos, </w:t>
            </w:r>
            <w:r w:rsidRPr="00D0180E">
              <w:rPr>
                <w:rFonts w:ascii="Verdana" w:hAnsi="Verdana"/>
                <w:b/>
                <w:sz w:val="16"/>
                <w:szCs w:val="16"/>
                <w:lang w:val="es-ES_tradnl"/>
              </w:rPr>
              <w:t xml:space="preserve">Claudia Sheinbaum </w:t>
            </w:r>
            <w:proofErr w:type="gramStart"/>
            <w:r w:rsidRPr="00D0180E">
              <w:rPr>
                <w:rFonts w:ascii="Verdana" w:hAnsi="Verdana"/>
                <w:b/>
                <w:sz w:val="16"/>
                <w:szCs w:val="16"/>
                <w:lang w:val="es-ES_tradnl"/>
              </w:rPr>
              <w:t>Pardo</w:t>
            </w:r>
            <w:r w:rsidRPr="00D0180E">
              <w:rPr>
                <w:rFonts w:ascii="Verdana" w:hAnsi="Verdana"/>
                <w:sz w:val="16"/>
                <w:szCs w:val="16"/>
                <w:lang w:val="es-ES_tradnl"/>
              </w:rPr>
              <w:t>.-</w:t>
            </w:r>
            <w:proofErr w:type="gramEnd"/>
            <w:r w:rsidRPr="00D0180E">
              <w:rPr>
                <w:rFonts w:ascii="Verdana" w:hAnsi="Verdana"/>
                <w:sz w:val="16"/>
                <w:szCs w:val="16"/>
                <w:lang w:val="es-ES_tradnl"/>
              </w:rPr>
              <w:t xml:space="preserve"> </w:t>
            </w:r>
            <w:proofErr w:type="gramStart"/>
            <w:r w:rsidRPr="00D0180E">
              <w:rPr>
                <w:rFonts w:ascii="Verdana" w:hAnsi="Verdana"/>
                <w:sz w:val="16"/>
                <w:szCs w:val="16"/>
                <w:lang w:val="es-ES_tradnl"/>
              </w:rPr>
              <w:t>Rúbrica.-</w:t>
            </w:r>
            <w:proofErr w:type="gramEnd"/>
            <w:r w:rsidRPr="00D0180E">
              <w:rPr>
                <w:rFonts w:ascii="Verdana" w:hAnsi="Verdana"/>
                <w:sz w:val="16"/>
                <w:szCs w:val="16"/>
                <w:lang w:val="es-ES_tradnl"/>
              </w:rPr>
              <w:t xml:space="preserve"> </w:t>
            </w:r>
            <w:proofErr w:type="gramStart"/>
            <w:r w:rsidRPr="00D0180E">
              <w:rPr>
                <w:rFonts w:ascii="Verdana" w:hAnsi="Verdana"/>
                <w:sz w:val="16"/>
                <w:szCs w:val="16"/>
                <w:lang w:val="es-ES_tradnl"/>
              </w:rPr>
              <w:t>Secretario</w:t>
            </w:r>
            <w:proofErr w:type="gramEnd"/>
            <w:r w:rsidRPr="00D0180E">
              <w:rPr>
                <w:rFonts w:ascii="Verdana" w:hAnsi="Verdana"/>
                <w:sz w:val="16"/>
                <w:szCs w:val="16"/>
                <w:lang w:val="es-ES_tradnl"/>
              </w:rPr>
              <w:t xml:space="preserve"> de Hacienda y Crédito Público, </w:t>
            </w:r>
            <w:r w:rsidRPr="00D0180E">
              <w:rPr>
                <w:rFonts w:ascii="Verdana" w:hAnsi="Verdana"/>
                <w:b/>
                <w:sz w:val="16"/>
                <w:szCs w:val="16"/>
                <w:lang w:val="es-ES_tradnl"/>
              </w:rPr>
              <w:t xml:space="preserve">Édgar Abraham Amador </w:t>
            </w:r>
            <w:proofErr w:type="gramStart"/>
            <w:r w:rsidRPr="00D0180E">
              <w:rPr>
                <w:rFonts w:ascii="Verdana" w:hAnsi="Verdana"/>
                <w:b/>
                <w:sz w:val="16"/>
                <w:szCs w:val="16"/>
                <w:lang w:val="es-ES_tradnl"/>
              </w:rPr>
              <w:t>Zamora</w:t>
            </w:r>
            <w:r w:rsidRPr="00D0180E">
              <w:rPr>
                <w:rFonts w:ascii="Verdana" w:hAnsi="Verdana"/>
                <w:sz w:val="16"/>
                <w:szCs w:val="16"/>
                <w:lang w:val="es-ES_tradnl"/>
              </w:rPr>
              <w:t>.-</w:t>
            </w:r>
            <w:proofErr w:type="gramEnd"/>
            <w:r w:rsidRPr="00D0180E">
              <w:rPr>
                <w:rFonts w:ascii="Verdana" w:hAnsi="Verdana"/>
                <w:sz w:val="16"/>
                <w:szCs w:val="16"/>
                <w:lang w:val="es-ES_tradnl"/>
              </w:rPr>
              <w:t xml:space="preserve"> </w:t>
            </w:r>
            <w:proofErr w:type="gramStart"/>
            <w:r w:rsidRPr="00D0180E">
              <w:rPr>
                <w:rFonts w:ascii="Verdana" w:hAnsi="Verdana"/>
                <w:sz w:val="16"/>
                <w:szCs w:val="16"/>
                <w:lang w:val="es-ES_tradnl"/>
              </w:rPr>
              <w:t>Rúbrica.-</w:t>
            </w:r>
            <w:proofErr w:type="gramEnd"/>
            <w:r w:rsidRPr="00D0180E">
              <w:rPr>
                <w:rFonts w:ascii="Verdana" w:hAnsi="Verdana"/>
                <w:sz w:val="16"/>
                <w:szCs w:val="16"/>
                <w:lang w:val="es-ES_tradnl"/>
              </w:rPr>
              <w:t xml:space="preserve"> </w:t>
            </w:r>
            <w:proofErr w:type="gramStart"/>
            <w:r w:rsidRPr="00D0180E">
              <w:rPr>
                <w:rFonts w:ascii="Verdana" w:hAnsi="Verdana"/>
                <w:sz w:val="16"/>
                <w:szCs w:val="16"/>
              </w:rPr>
              <w:t>Secretaria</w:t>
            </w:r>
            <w:proofErr w:type="gramEnd"/>
            <w:r w:rsidRPr="00D0180E">
              <w:rPr>
                <w:rFonts w:ascii="Verdana" w:hAnsi="Verdana"/>
                <w:sz w:val="16"/>
                <w:szCs w:val="16"/>
              </w:rPr>
              <w:t xml:space="preserve"> de Energía, </w:t>
            </w:r>
            <w:r w:rsidRPr="00D0180E">
              <w:rPr>
                <w:rFonts w:ascii="Verdana" w:hAnsi="Verdana"/>
                <w:b/>
                <w:sz w:val="16"/>
                <w:szCs w:val="16"/>
              </w:rPr>
              <w:t xml:space="preserve">Luz Elena González </w:t>
            </w:r>
            <w:proofErr w:type="gramStart"/>
            <w:r w:rsidRPr="00D0180E">
              <w:rPr>
                <w:rFonts w:ascii="Verdana" w:hAnsi="Verdana"/>
                <w:b/>
                <w:sz w:val="16"/>
                <w:szCs w:val="16"/>
              </w:rPr>
              <w:t>Escobar</w:t>
            </w:r>
            <w:r w:rsidRPr="00D0180E">
              <w:rPr>
                <w:rFonts w:ascii="Verdana" w:hAnsi="Verdana"/>
                <w:sz w:val="16"/>
                <w:szCs w:val="16"/>
              </w:rPr>
              <w:t>.-</w:t>
            </w:r>
            <w:proofErr w:type="gramEnd"/>
            <w:r w:rsidRPr="00D0180E">
              <w:rPr>
                <w:rFonts w:ascii="Verdana" w:hAnsi="Verdana"/>
                <w:sz w:val="16"/>
                <w:szCs w:val="16"/>
              </w:rPr>
              <w:t xml:space="preserve"> </w:t>
            </w:r>
            <w:proofErr w:type="gramStart"/>
            <w:r w:rsidRPr="00D0180E">
              <w:rPr>
                <w:rFonts w:ascii="Verdana" w:hAnsi="Verdana"/>
                <w:sz w:val="16"/>
                <w:szCs w:val="16"/>
              </w:rPr>
              <w:t>Rúbrica.-</w:t>
            </w:r>
            <w:proofErr w:type="gramEnd"/>
            <w:r w:rsidRPr="00D0180E">
              <w:rPr>
                <w:rFonts w:ascii="Verdana" w:hAnsi="Verdana"/>
                <w:sz w:val="16"/>
                <w:szCs w:val="16"/>
              </w:rPr>
              <w:t xml:space="preserve"> </w:t>
            </w:r>
            <w:proofErr w:type="gramStart"/>
            <w:r w:rsidRPr="00D0180E">
              <w:rPr>
                <w:rFonts w:ascii="Verdana" w:hAnsi="Verdana"/>
                <w:sz w:val="16"/>
                <w:szCs w:val="16"/>
                <w:lang w:val="es-ES_tradnl"/>
              </w:rPr>
              <w:t>Secretario</w:t>
            </w:r>
            <w:proofErr w:type="gramEnd"/>
            <w:r w:rsidRPr="00D0180E">
              <w:rPr>
                <w:rFonts w:ascii="Verdana" w:hAnsi="Verdana"/>
                <w:sz w:val="16"/>
                <w:szCs w:val="16"/>
                <w:lang w:val="es-ES_tradnl"/>
              </w:rPr>
              <w:t xml:space="preserve"> de Economía, </w:t>
            </w:r>
            <w:r w:rsidRPr="00D0180E">
              <w:rPr>
                <w:rFonts w:ascii="Verdana" w:hAnsi="Verdana"/>
                <w:b/>
                <w:sz w:val="16"/>
                <w:szCs w:val="16"/>
                <w:lang w:val="es-ES_tradnl"/>
              </w:rPr>
              <w:t xml:space="preserve">Marcelo Luis Ebrard </w:t>
            </w:r>
            <w:proofErr w:type="gramStart"/>
            <w:r w:rsidRPr="00D0180E">
              <w:rPr>
                <w:rFonts w:ascii="Verdana" w:hAnsi="Verdana"/>
                <w:b/>
                <w:sz w:val="16"/>
                <w:szCs w:val="16"/>
                <w:lang w:val="es-ES_tradnl"/>
              </w:rPr>
              <w:t>Casaubon</w:t>
            </w:r>
            <w:r w:rsidRPr="00D0180E">
              <w:rPr>
                <w:rFonts w:ascii="Verdana" w:hAnsi="Verdana"/>
                <w:sz w:val="16"/>
                <w:szCs w:val="16"/>
                <w:lang w:val="es-ES_tradnl"/>
              </w:rPr>
              <w:t>.-</w:t>
            </w:r>
            <w:proofErr w:type="gramEnd"/>
            <w:r w:rsidRPr="00D0180E">
              <w:rPr>
                <w:rFonts w:ascii="Verdana" w:hAnsi="Verdana"/>
                <w:sz w:val="16"/>
                <w:szCs w:val="16"/>
                <w:lang w:val="es-ES_tradnl"/>
              </w:rPr>
              <w:t xml:space="preserve"> Rúbrica</w:t>
            </w:r>
          </w:p>
        </w:tc>
        <w:tc>
          <w:tcPr>
            <w:tcW w:w="4644" w:type="dxa"/>
          </w:tcPr>
          <w:p w14:paraId="5C20FF0D" w14:textId="4976FB08" w:rsidR="003A38FF" w:rsidRPr="00D0180E" w:rsidRDefault="003A38FF" w:rsidP="003A38FF">
            <w:pPr>
              <w:pStyle w:val="Texto"/>
              <w:spacing w:after="60" w:line="214" w:lineRule="exact"/>
              <w:ind w:firstLine="0"/>
              <w:rPr>
                <w:rFonts w:ascii="Verdana" w:hAnsi="Verdana"/>
                <w:sz w:val="16"/>
                <w:szCs w:val="16"/>
                <w:lang w:val="en-US"/>
              </w:rPr>
            </w:pPr>
            <w:r w:rsidRPr="00016395">
              <w:rPr>
                <w:rFonts w:ascii="Verdana" w:hAnsi="Verdana"/>
                <w:sz w:val="16"/>
                <w:szCs w:val="16"/>
                <w:lang w:val="en-US"/>
              </w:rPr>
              <w:t xml:space="preserve">Given at the residence of the Federal Executive Power, in Mexico City on September 29, 2025.- President of the United Mexican States, </w:t>
            </w:r>
            <w:r w:rsidRPr="00016395">
              <w:rPr>
                <w:rFonts w:ascii="Verdana" w:hAnsi="Verdana"/>
                <w:b/>
                <w:sz w:val="16"/>
                <w:szCs w:val="16"/>
                <w:lang w:val="en-US"/>
              </w:rPr>
              <w:t xml:space="preserve">Claudia Sheinbaum </w:t>
            </w:r>
            <w:proofErr w:type="gramStart"/>
            <w:r w:rsidRPr="00016395">
              <w:rPr>
                <w:rFonts w:ascii="Verdana" w:hAnsi="Verdana"/>
                <w:b/>
                <w:sz w:val="16"/>
                <w:szCs w:val="16"/>
                <w:lang w:val="en-US"/>
              </w:rPr>
              <w:t>Pardo</w:t>
            </w:r>
            <w:r>
              <w:rPr>
                <w:rFonts w:ascii="Verdana" w:hAnsi="Verdana"/>
                <w:b/>
                <w:sz w:val="16"/>
                <w:szCs w:val="16"/>
                <w:lang w:val="en-US"/>
              </w:rPr>
              <w:t>.</w:t>
            </w:r>
            <w:r w:rsidRPr="00016395">
              <w:rPr>
                <w:rFonts w:ascii="Verdana" w:hAnsi="Verdana"/>
                <w:sz w:val="16"/>
                <w:szCs w:val="16"/>
                <w:lang w:val="en-US"/>
              </w:rPr>
              <w:t>-</w:t>
            </w:r>
            <w:proofErr w:type="gramEnd"/>
            <w:r w:rsidRPr="00016395">
              <w:rPr>
                <w:rFonts w:ascii="Verdana" w:hAnsi="Verdana"/>
                <w:sz w:val="16"/>
                <w:szCs w:val="16"/>
                <w:lang w:val="en-US"/>
              </w:rPr>
              <w:t xml:space="preserve"> </w:t>
            </w:r>
            <w:proofErr w:type="gramStart"/>
            <w:r>
              <w:rPr>
                <w:rFonts w:ascii="Verdana" w:hAnsi="Verdana"/>
                <w:sz w:val="16"/>
                <w:szCs w:val="16"/>
                <w:lang w:val="en-US"/>
              </w:rPr>
              <w:t>Signed</w:t>
            </w:r>
            <w:r w:rsidRPr="00016395">
              <w:rPr>
                <w:rFonts w:ascii="Verdana" w:hAnsi="Verdana"/>
                <w:sz w:val="16"/>
                <w:szCs w:val="16"/>
                <w:lang w:val="en-US"/>
              </w:rPr>
              <w:t>.-</w:t>
            </w:r>
            <w:proofErr w:type="gramEnd"/>
            <w:r w:rsidRPr="00016395">
              <w:rPr>
                <w:rFonts w:ascii="Verdana" w:hAnsi="Verdana"/>
                <w:sz w:val="16"/>
                <w:szCs w:val="16"/>
                <w:lang w:val="en-US"/>
              </w:rPr>
              <w:t xml:space="preserve"> Secretary of Finance and Public Credit, </w:t>
            </w:r>
            <w:r w:rsidRPr="00016395">
              <w:rPr>
                <w:rFonts w:ascii="Verdana" w:hAnsi="Verdana"/>
                <w:b/>
                <w:sz w:val="16"/>
                <w:szCs w:val="16"/>
                <w:lang w:val="en-US"/>
              </w:rPr>
              <w:t xml:space="preserve">Édgar Abraham Amador </w:t>
            </w:r>
            <w:proofErr w:type="gramStart"/>
            <w:r w:rsidRPr="00016395">
              <w:rPr>
                <w:rFonts w:ascii="Verdana" w:hAnsi="Verdana"/>
                <w:b/>
                <w:sz w:val="16"/>
                <w:szCs w:val="16"/>
                <w:lang w:val="en-US"/>
              </w:rPr>
              <w:t>Zamora</w:t>
            </w:r>
            <w:r>
              <w:rPr>
                <w:rFonts w:ascii="Verdana" w:hAnsi="Verdana"/>
                <w:b/>
                <w:sz w:val="16"/>
                <w:szCs w:val="16"/>
                <w:lang w:val="en-US"/>
              </w:rPr>
              <w:t>.</w:t>
            </w:r>
            <w:r w:rsidRPr="00016395">
              <w:rPr>
                <w:rFonts w:ascii="Verdana" w:hAnsi="Verdana"/>
                <w:sz w:val="16"/>
                <w:szCs w:val="16"/>
                <w:lang w:val="en-US"/>
              </w:rPr>
              <w:t>-</w:t>
            </w:r>
            <w:proofErr w:type="gramEnd"/>
            <w:r w:rsidRPr="00016395">
              <w:rPr>
                <w:rFonts w:ascii="Verdana" w:hAnsi="Verdana"/>
                <w:sz w:val="16"/>
                <w:szCs w:val="16"/>
                <w:lang w:val="en-US"/>
              </w:rPr>
              <w:t xml:space="preserve"> </w:t>
            </w:r>
            <w:proofErr w:type="gramStart"/>
            <w:r>
              <w:rPr>
                <w:rFonts w:ascii="Verdana" w:hAnsi="Verdana"/>
                <w:sz w:val="16"/>
                <w:szCs w:val="16"/>
                <w:lang w:val="es-ES_tradnl"/>
              </w:rPr>
              <w:t>Signed</w:t>
            </w:r>
            <w:r w:rsidRPr="00D0180E">
              <w:rPr>
                <w:rFonts w:ascii="Verdana" w:hAnsi="Verdana"/>
                <w:sz w:val="16"/>
                <w:szCs w:val="16"/>
                <w:lang w:val="es-ES_tradnl"/>
              </w:rPr>
              <w:t>.-</w:t>
            </w:r>
            <w:proofErr w:type="gramEnd"/>
            <w:r w:rsidRPr="00D0180E">
              <w:rPr>
                <w:rFonts w:ascii="Verdana" w:hAnsi="Verdana"/>
                <w:sz w:val="16"/>
                <w:szCs w:val="16"/>
                <w:lang w:val="es-ES_tradnl"/>
              </w:rPr>
              <w:t xml:space="preserve"> </w:t>
            </w:r>
            <w:r w:rsidRPr="00D0180E">
              <w:rPr>
                <w:rFonts w:ascii="Verdana" w:hAnsi="Verdana"/>
                <w:sz w:val="16"/>
                <w:szCs w:val="16"/>
              </w:rPr>
              <w:t xml:space="preserve">Secretary of Energy, </w:t>
            </w:r>
            <w:r w:rsidRPr="00D0180E">
              <w:rPr>
                <w:rFonts w:ascii="Verdana" w:hAnsi="Verdana"/>
                <w:b/>
                <w:sz w:val="16"/>
                <w:szCs w:val="16"/>
              </w:rPr>
              <w:t xml:space="preserve">Luz Elena González </w:t>
            </w:r>
            <w:proofErr w:type="gramStart"/>
            <w:r w:rsidRPr="00D0180E">
              <w:rPr>
                <w:rFonts w:ascii="Verdana" w:hAnsi="Verdana"/>
                <w:b/>
                <w:sz w:val="16"/>
                <w:szCs w:val="16"/>
              </w:rPr>
              <w:t>Escobar</w:t>
            </w:r>
            <w:r>
              <w:rPr>
                <w:rFonts w:ascii="Verdana" w:hAnsi="Verdana"/>
                <w:b/>
                <w:sz w:val="16"/>
                <w:szCs w:val="16"/>
              </w:rPr>
              <w:t>.</w:t>
            </w:r>
            <w:r w:rsidRPr="00D0180E">
              <w:rPr>
                <w:rFonts w:ascii="Verdana" w:hAnsi="Verdana"/>
                <w:sz w:val="16"/>
                <w:szCs w:val="16"/>
              </w:rPr>
              <w:t>-</w:t>
            </w:r>
            <w:proofErr w:type="gramEnd"/>
            <w:r w:rsidRPr="00D0180E">
              <w:rPr>
                <w:rFonts w:ascii="Verdana" w:hAnsi="Verdana"/>
                <w:sz w:val="16"/>
                <w:szCs w:val="16"/>
              </w:rPr>
              <w:t xml:space="preserve"> </w:t>
            </w:r>
            <w:proofErr w:type="gramStart"/>
            <w:r>
              <w:rPr>
                <w:rFonts w:ascii="Verdana" w:hAnsi="Verdana"/>
                <w:sz w:val="16"/>
                <w:szCs w:val="16"/>
              </w:rPr>
              <w:t>Signed</w:t>
            </w:r>
            <w:r w:rsidRPr="00D0180E">
              <w:rPr>
                <w:rFonts w:ascii="Verdana" w:hAnsi="Verdana"/>
                <w:sz w:val="16"/>
                <w:szCs w:val="16"/>
              </w:rPr>
              <w:t>.-</w:t>
            </w:r>
            <w:proofErr w:type="gramEnd"/>
            <w:r w:rsidRPr="00D0180E">
              <w:rPr>
                <w:rFonts w:ascii="Verdana" w:hAnsi="Verdana"/>
                <w:sz w:val="16"/>
                <w:szCs w:val="16"/>
              </w:rPr>
              <w:t xml:space="preserve"> </w:t>
            </w:r>
            <w:r w:rsidRPr="00D0180E">
              <w:rPr>
                <w:rFonts w:ascii="Verdana" w:hAnsi="Verdana"/>
                <w:sz w:val="16"/>
                <w:szCs w:val="16"/>
                <w:lang w:val="es-ES_tradnl"/>
              </w:rPr>
              <w:t xml:space="preserve">Secretary of Economy, </w:t>
            </w:r>
            <w:r w:rsidRPr="00D0180E">
              <w:rPr>
                <w:rFonts w:ascii="Verdana" w:hAnsi="Verdana"/>
                <w:b/>
                <w:sz w:val="16"/>
                <w:szCs w:val="16"/>
                <w:lang w:val="es-ES_tradnl"/>
              </w:rPr>
              <w:t xml:space="preserve">Marcelo Luis Ebrard </w:t>
            </w:r>
            <w:proofErr w:type="gramStart"/>
            <w:r w:rsidRPr="00D0180E">
              <w:rPr>
                <w:rFonts w:ascii="Verdana" w:hAnsi="Verdana"/>
                <w:b/>
                <w:sz w:val="16"/>
                <w:szCs w:val="16"/>
                <w:lang w:val="es-ES_tradnl"/>
              </w:rPr>
              <w:t>Casaubon</w:t>
            </w:r>
            <w:r>
              <w:rPr>
                <w:rFonts w:ascii="Verdana" w:hAnsi="Verdana"/>
                <w:b/>
                <w:sz w:val="16"/>
                <w:szCs w:val="16"/>
                <w:lang w:val="es-ES_tradnl"/>
              </w:rPr>
              <w:t>.</w:t>
            </w:r>
            <w:r w:rsidRPr="00D0180E">
              <w:rPr>
                <w:rFonts w:ascii="Verdana" w:hAnsi="Verdana"/>
                <w:sz w:val="16"/>
                <w:szCs w:val="16"/>
                <w:lang w:val="es-ES_tradnl"/>
              </w:rPr>
              <w:t>-</w:t>
            </w:r>
            <w:proofErr w:type="gramEnd"/>
            <w:r w:rsidRPr="00D0180E">
              <w:rPr>
                <w:rFonts w:ascii="Verdana" w:hAnsi="Verdana"/>
                <w:sz w:val="16"/>
                <w:szCs w:val="16"/>
                <w:lang w:val="es-ES_tradnl"/>
              </w:rPr>
              <w:t xml:space="preserve"> </w:t>
            </w:r>
            <w:r>
              <w:rPr>
                <w:rFonts w:ascii="Verdana" w:hAnsi="Verdana"/>
                <w:sz w:val="16"/>
                <w:szCs w:val="16"/>
                <w:lang w:val="es-ES_tradnl"/>
              </w:rPr>
              <w:t>Signed</w:t>
            </w:r>
          </w:p>
        </w:tc>
      </w:tr>
    </w:tbl>
    <w:p w14:paraId="678864EC" w14:textId="656549C0" w:rsidR="00AC64B3" w:rsidRPr="00C573CB" w:rsidRDefault="00AC64B3" w:rsidP="000E23B0">
      <w:pPr>
        <w:pStyle w:val="Texto"/>
        <w:spacing w:after="60" w:line="214" w:lineRule="exact"/>
        <w:rPr>
          <w:rFonts w:ascii="Verdana" w:hAnsi="Verdana"/>
          <w:sz w:val="16"/>
          <w:szCs w:val="16"/>
          <w:lang w:val="es-ES_tradnl"/>
        </w:rPr>
      </w:pPr>
      <w:r w:rsidRPr="00C573CB">
        <w:rPr>
          <w:rFonts w:ascii="Verdana" w:hAnsi="Verdana"/>
          <w:sz w:val="16"/>
          <w:szCs w:val="16"/>
          <w:lang w:val="es-ES_tradnl"/>
        </w:rPr>
        <w:t>.</w:t>
      </w:r>
    </w:p>
    <w:p w14:paraId="42C20C93" w14:textId="77777777" w:rsidR="00D0180E" w:rsidRDefault="00D0180E" w:rsidP="00C573CB">
      <w:pPr>
        <w:pStyle w:val="Titulo1"/>
        <w:pBdr>
          <w:bottom w:val="none" w:sz="0" w:space="0" w:color="auto"/>
        </w:pBdr>
        <w:rPr>
          <w:rFonts w:ascii="Verdana" w:hAnsi="Verdana" w:cs="Times New Roman"/>
          <w:sz w:val="16"/>
          <w:szCs w:val="16"/>
        </w:rPr>
      </w:pPr>
    </w:p>
    <w:p w14:paraId="253C31BF" w14:textId="77777777" w:rsidR="006E55D8" w:rsidRDefault="006E55D8" w:rsidP="00C573CB">
      <w:pPr>
        <w:pStyle w:val="Titulo1"/>
        <w:pBdr>
          <w:bottom w:val="none" w:sz="0" w:space="0" w:color="auto"/>
        </w:pBdr>
        <w:rPr>
          <w:rFonts w:ascii="Verdana" w:hAnsi="Verdana" w:cs="Times New Roman"/>
          <w:sz w:val="16"/>
          <w:szCs w:val="16"/>
        </w:rPr>
      </w:pPr>
    </w:p>
    <w:p w14:paraId="4665E276" w14:textId="77777777" w:rsidR="00D0180E" w:rsidRDefault="00D0180E" w:rsidP="000E23B0">
      <w:pPr>
        <w:pStyle w:val="Texto"/>
        <w:spacing w:line="218" w:lineRule="exact"/>
        <w:rPr>
          <w:rFonts w:ascii="Verdana" w:hAnsi="Verdana" w:cs="Times New Roman"/>
          <w:sz w:val="16"/>
          <w:szCs w:val="16"/>
        </w:rPr>
      </w:pPr>
    </w:p>
    <w:p w14:paraId="3AF49627" w14:textId="77777777" w:rsidR="00D0180E" w:rsidRDefault="00D0180E" w:rsidP="000E23B0">
      <w:pPr>
        <w:pStyle w:val="Texto"/>
        <w:spacing w:line="218" w:lineRule="exact"/>
        <w:rPr>
          <w:rFonts w:ascii="Verdana" w:hAnsi="Verdana" w:cs="Times New Roman"/>
          <w:sz w:val="16"/>
          <w:szCs w:val="16"/>
        </w:rPr>
      </w:pPr>
    </w:p>
    <w:p w14:paraId="5CA10B4A" w14:textId="7C3B2ACA" w:rsidR="00AC64B3" w:rsidRPr="00C573CB" w:rsidRDefault="00AC64B3" w:rsidP="00D0180E">
      <w:pPr>
        <w:pStyle w:val="Texto"/>
        <w:spacing w:line="220" w:lineRule="exact"/>
        <w:ind w:firstLine="0"/>
        <w:rPr>
          <w:rFonts w:ascii="Verdana" w:hAnsi="Verdana"/>
          <w:sz w:val="16"/>
          <w:szCs w:val="16"/>
        </w:rPr>
      </w:pPr>
    </w:p>
    <w:sectPr w:rsidR="00AC64B3" w:rsidRPr="00C573CB" w:rsidSect="00307396">
      <w:headerReference w:type="even" r:id="rId8"/>
      <w:headerReference w:type="default" r:id="rId9"/>
      <w:footerReference w:type="default" r:id="rId10"/>
      <w:pgSz w:w="12240" w:h="15840"/>
      <w:pgMar w:top="1440" w:right="1440" w:bottom="1440" w:left="1440" w:header="706" w:footer="706"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32369" w14:textId="77777777" w:rsidR="000C3C1B" w:rsidRDefault="000C3C1B">
      <w:r>
        <w:separator/>
      </w:r>
    </w:p>
  </w:endnote>
  <w:endnote w:type="continuationSeparator" w:id="0">
    <w:p w14:paraId="697F536A" w14:textId="77777777" w:rsidR="000C3C1B" w:rsidRDefault="000C3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pAos">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Aal Black">
    <w:panose1 w:val="00000000000000000000"/>
    <w:charset w:val="00"/>
    <w:family w:val="swiss"/>
    <w:notTrueType/>
    <w:pitch w:val="default"/>
    <w:sig w:usb0="00000003" w:usb1="00000000" w:usb2="00000000" w:usb3="00000000" w:csb0="00000001" w:csb1="00000000"/>
  </w:font>
  <w:font w:name="ArAal">
    <w:panose1 w:val="00000000000000000000"/>
    <w:charset w:val="00"/>
    <w:family w:val="swiss"/>
    <w:notTrueType/>
    <w:pitch w:val="default"/>
    <w:sig w:usb0="00000003" w:usb1="00000000" w:usb2="00000000" w:usb3="00000000" w:csb0="00000001" w:csb1="00000000"/>
  </w:font>
  <w:font w:name="SeAoe UI">
    <w:panose1 w:val="00000000000000000000"/>
    <w:charset w:val="00"/>
    <w:family w:val="swiss"/>
    <w:notTrueType/>
    <w:pitch w:val="default"/>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ApAos Display">
    <w:panose1 w:val="00000000000000000000"/>
    <w:charset w:val="00"/>
    <w:family w:val="swiss"/>
    <w:notTrueType/>
    <w:pitch w:val="default"/>
    <w:sig w:usb0="00000003" w:usb1="00000000" w:usb2="00000000" w:usb3="00000000" w:csb0="00000001" w:csb1="00000000"/>
  </w:font>
  <w:font w:name="CoArier New">
    <w:panose1 w:val="00000000000000000000"/>
    <w:charset w:val="00"/>
    <w:family w:val="modern"/>
    <w:notTrueType/>
    <w:pitch w:val="default"/>
    <w:sig w:usb0="00000003" w:usb1="00000000" w:usb2="00000000" w:usb3="00000000" w:csb0="00000001" w:csb1="00000000"/>
  </w:font>
  <w:font w:name="TaAoma">
    <w:panose1 w:val="00000000000000000000"/>
    <w:charset w:val="00"/>
    <w:family w:val="swiss"/>
    <w:notTrueType/>
    <w:pitch w:val="default"/>
    <w:sig w:usb0="00000003" w:usb1="00000000" w:usb2="00000000" w:usb3="00000000" w:csb0="00000001" w:csb1="00000000"/>
  </w:font>
  <w:font w:name="CaAbria">
    <w:altName w:val="Cambria"/>
    <w:panose1 w:val="00000000000000000000"/>
    <w:charset w:val="00"/>
    <w:family w:val="roman"/>
    <w:notTrueType/>
    <w:pitch w:val="default"/>
    <w:sig w:usb0="00000003" w:usb1="00000000" w:usb2="00000000" w:usb3="00000000" w:csb0="00000001" w:csb1="00000000"/>
  </w:font>
  <w:font w:name="HeAvetica">
    <w:panose1 w:val="00000000000000000000"/>
    <w:charset w:val="00"/>
    <w:family w:val="swiss"/>
    <w:notTrueType/>
    <w:pitch w:val="default"/>
    <w:sig w:usb0="00000003" w:usb1="00000000" w:usb2="00000000" w:usb3="00000000" w:csb0="00000001" w:csb1="00000000"/>
  </w:font>
  <w:font w:name="TiAes">
    <w:panose1 w:val="00000000000000000000"/>
    <w:charset w:val="00"/>
    <w:family w:val="roman"/>
    <w:notTrueType/>
    <w:pitch w:val="default"/>
    <w:sig w:usb0="00000003" w:usb1="00000000" w:usb2="00000000" w:usb3="00000000" w:csb0="00000001" w:csb1="00000000"/>
  </w:font>
  <w:font w:name="ArAal Negrita">
    <w:altName w:val="Cambria"/>
    <w:charset w:val="00"/>
    <w:family w:val="roman"/>
    <w:pitch w:val="default"/>
    <w:sig w:usb0="00000003" w:usb1="00000000" w:usb2="00000000" w:usb3="00000000" w:csb0="00000001" w:csb1="00000000"/>
  </w:font>
  <w:font w:name="CaAibri Light">
    <w:altName w:val="Calibri"/>
    <w:panose1 w:val="00000000000000000000"/>
    <w:charset w:val="00"/>
    <w:family w:val="swiss"/>
    <w:notTrueType/>
    <w:pitch w:val="default"/>
    <w:sig w:usb0="00000003" w:usb1="00000000" w:usb2="00000000" w:usb3="00000000" w:csb0="00000001" w:csb1="00000000"/>
  </w:font>
  <w:font w:name="ArAal Unicode MS">
    <w:panose1 w:val="00000000000000000000"/>
    <w:charset w:val="00"/>
    <w:family w:val="swiss"/>
    <w:notTrueType/>
    <w:pitch w:val="default"/>
    <w:sig w:usb0="00000003" w:usb1="00000000" w:usb2="00000000" w:usb3="00000000" w:csb0="00000001" w:csb1="00000000"/>
  </w:font>
  <w:font w:name="UnAvers">
    <w:panose1 w:val="00000000000000000000"/>
    <w:charset w:val="00"/>
    <w:family w:val="swiss"/>
    <w:notTrueType/>
    <w:pitch w:val="default"/>
    <w:sig w:usb0="00000003" w:usb1="00000000" w:usb2="00000000" w:usb3="00000000" w:csb0="00000001" w:csb1="00000000"/>
  </w:font>
  <w:font w:name="NoAo San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27B46" w14:textId="5F78863F" w:rsidR="00337691" w:rsidRPr="00307396" w:rsidRDefault="00307396" w:rsidP="00307396">
    <w:pPr>
      <w:pStyle w:val="Footer"/>
      <w:jc w:val="both"/>
      <w:rPr>
        <w:rFonts w:ascii="Verdana" w:hAnsi="Verdana"/>
        <w:b/>
        <w:bCs/>
        <w:sz w:val="16"/>
        <w:szCs w:val="16"/>
        <w:lang w:val="es-MX"/>
      </w:rPr>
    </w:pPr>
    <w:r w:rsidRPr="00307396">
      <w:rPr>
        <w:rFonts w:ascii="Verdana" w:hAnsi="Verdana"/>
        <w:b/>
        <w:bCs/>
        <w:sz w:val="16"/>
        <w:szCs w:val="16"/>
        <w:lang w:val="es-MX"/>
      </w:rPr>
      <w:t>Derechos Reservados © 2025 Lic Glenn Louis McBride</w:t>
    </w:r>
    <w:r>
      <w:rPr>
        <w:rFonts w:ascii="Verdana" w:hAnsi="Verdana"/>
        <w:b/>
        <w:bCs/>
        <w:sz w:val="16"/>
        <w:szCs w:val="16"/>
        <w:lang w:val="es-MX"/>
      </w:rPr>
      <w:t xml:space="preserve">                   </w:t>
    </w:r>
    <w:r w:rsidRPr="00307396">
      <w:rPr>
        <w:rFonts w:ascii="Verdana" w:hAnsi="Verdana"/>
        <w:b/>
        <w:bCs/>
        <w:sz w:val="16"/>
        <w:szCs w:val="16"/>
        <w:lang w:val="es-MX"/>
      </w:rPr>
      <w:t xml:space="preserve">                                                 </w:t>
    </w:r>
    <w:r w:rsidRPr="00307396">
      <w:rPr>
        <w:rFonts w:ascii="Verdana" w:hAnsi="Verdana"/>
        <w:b/>
        <w:bCs/>
        <w:sz w:val="16"/>
        <w:szCs w:val="16"/>
        <w:lang w:val="en-US"/>
      </w:rPr>
      <w:fldChar w:fldCharType="begin"/>
    </w:r>
    <w:r w:rsidRPr="00307396">
      <w:rPr>
        <w:rFonts w:ascii="Verdana" w:hAnsi="Verdana"/>
        <w:b/>
        <w:bCs/>
        <w:sz w:val="16"/>
        <w:szCs w:val="16"/>
        <w:lang w:val="es-MX"/>
      </w:rPr>
      <w:instrText xml:space="preserve"> PAGE   \* MERGEFORMAT </w:instrText>
    </w:r>
    <w:r w:rsidRPr="00307396">
      <w:rPr>
        <w:rFonts w:ascii="Verdana" w:hAnsi="Verdana"/>
        <w:b/>
        <w:bCs/>
        <w:sz w:val="16"/>
        <w:szCs w:val="16"/>
        <w:lang w:val="en-US"/>
      </w:rPr>
      <w:fldChar w:fldCharType="separate"/>
    </w:r>
    <w:r w:rsidRPr="00307396">
      <w:rPr>
        <w:rFonts w:ascii="Verdana" w:hAnsi="Verdana"/>
        <w:b/>
        <w:bCs/>
        <w:noProof/>
        <w:sz w:val="16"/>
        <w:szCs w:val="16"/>
        <w:lang w:val="es-MX"/>
      </w:rPr>
      <w:t>1</w:t>
    </w:r>
    <w:r w:rsidRPr="00307396">
      <w:rPr>
        <w:rFonts w:ascii="Verdana" w:hAnsi="Verdana"/>
        <w:b/>
        <w:bCs/>
        <w:noProof/>
        <w:sz w:val="16"/>
        <w:szCs w:val="16"/>
        <w:lang w:val="en-US"/>
      </w:rPr>
      <w:fldChar w:fldCharType="end"/>
    </w:r>
    <w:r w:rsidRPr="00307396">
      <w:rPr>
        <w:rFonts w:ascii="Verdana" w:hAnsi="Verdana"/>
        <w:b/>
        <w:bCs/>
        <w:sz w:val="16"/>
        <w:szCs w:val="16"/>
        <w:lang w:val="es-MX"/>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B637B" w14:textId="77777777" w:rsidR="000C3C1B" w:rsidRDefault="000C3C1B">
      <w:r>
        <w:separator/>
      </w:r>
    </w:p>
  </w:footnote>
  <w:footnote w:type="continuationSeparator" w:id="0">
    <w:p w14:paraId="090FB47E" w14:textId="77777777" w:rsidR="000C3C1B" w:rsidRDefault="000C3C1B">
      <w:r>
        <w:continuationSeparator/>
      </w:r>
    </w:p>
  </w:footnote>
  <w:footnote w:id="1">
    <w:p w14:paraId="667AA1BA" w14:textId="77777777" w:rsidR="003A38FF" w:rsidRDefault="003A38FF" w:rsidP="005A428F">
      <w:pPr>
        <w:rPr>
          <w:lang w:val="en-US"/>
        </w:rPr>
      </w:pPr>
      <w:r>
        <w:rPr>
          <w:rStyle w:val="FootnoteReference"/>
        </w:rPr>
        <w:footnoteRef/>
      </w:r>
      <w:r>
        <w:rPr>
          <w:lang w:val="en-US"/>
        </w:rPr>
        <w:t xml:space="preserve"> </w:t>
      </w:r>
      <w:r>
        <w:rPr>
          <w:rFonts w:ascii="Verdana" w:hAnsi="Verdana"/>
          <w:sz w:val="16"/>
          <w:lang w:val="en-US"/>
        </w:rPr>
        <w:t xml:space="preserve">A </w:t>
      </w:r>
      <w:r>
        <w:rPr>
          <w:rFonts w:ascii="Verdana" w:hAnsi="Verdana"/>
          <w:i/>
          <w:sz w:val="16"/>
          <w:lang w:val="en-US"/>
        </w:rPr>
        <w:t>“requerimiento,”</w:t>
      </w:r>
      <w:r>
        <w:rPr>
          <w:rFonts w:ascii="Verdana" w:hAnsi="Verdana"/>
          <w:sz w:val="16"/>
          <w:lang w:val="en-US"/>
        </w:rPr>
        <w:t xml:space="preserve"> which literally translates as a requirement is a legal term. A </w:t>
      </w:r>
      <w:r>
        <w:rPr>
          <w:rFonts w:ascii="Verdana" w:hAnsi="Verdana"/>
          <w:i/>
          <w:sz w:val="16"/>
          <w:lang w:val="en-US"/>
        </w:rPr>
        <w:t xml:space="preserve">“requerimiento” </w:t>
      </w:r>
      <w:r>
        <w:rPr>
          <w:rFonts w:ascii="Verdana" w:hAnsi="Verdana"/>
          <w:sz w:val="16"/>
          <w:lang w:val="en-US"/>
        </w:rPr>
        <w:t>is a legal notice that is delivered by messenger and states what is required and a time period for complying and a citation of the applicable law, regulation or standard.</w:t>
      </w:r>
    </w:p>
    <w:p w14:paraId="099B3849" w14:textId="77777777" w:rsidR="003A38FF" w:rsidRDefault="003A38FF" w:rsidP="005A428F">
      <w:pPr>
        <w:pStyle w:val="FootnoteText"/>
      </w:pPr>
    </w:p>
  </w:footnote>
  <w:footnote w:id="2">
    <w:p w14:paraId="7780192D" w14:textId="77777777" w:rsidR="003A38FF" w:rsidRPr="008D3FFD" w:rsidRDefault="003A38FF" w:rsidP="008D3FFD">
      <w:pPr>
        <w:rPr>
          <w:lang w:val="en-US"/>
        </w:rPr>
      </w:pPr>
      <w:r>
        <w:rPr>
          <w:rStyle w:val="FootnoteReference"/>
        </w:rPr>
        <w:footnoteRef/>
      </w:r>
      <w:r w:rsidRPr="008D3FFD">
        <w:rPr>
          <w:lang w:val="en-US"/>
        </w:rPr>
        <w:t xml:space="preserve"> </w:t>
      </w:r>
      <w:r w:rsidRPr="008D3FFD">
        <w:rPr>
          <w:rFonts w:ascii="Verdana" w:hAnsi="Verdana"/>
          <w:i/>
          <w:color w:val="000000"/>
          <w:sz w:val="16"/>
          <w:szCs w:val="16"/>
          <w:lang w:val="en-US"/>
        </w:rPr>
        <w:t>“Municipios”</w:t>
      </w:r>
      <w:r w:rsidRPr="008D3FFD">
        <w:rPr>
          <w:rFonts w:ascii="Verdana" w:hAnsi="Verdana"/>
          <w:color w:val="000000"/>
          <w:sz w:val="16"/>
          <w:szCs w:val="16"/>
          <w:lang w:val="en-US"/>
        </w:rPr>
        <w:t xml:space="preserve"> more accurately are translated into US terminology as “counties or parishes,” the word “</w:t>
      </w:r>
      <w:r w:rsidRPr="008D3FFD">
        <w:rPr>
          <w:rFonts w:ascii="Verdana" w:hAnsi="Verdana"/>
          <w:i/>
          <w:color w:val="000000"/>
          <w:sz w:val="16"/>
          <w:szCs w:val="16"/>
          <w:lang w:val="en-US"/>
        </w:rPr>
        <w:t>ayuntamientos”</w:t>
      </w:r>
      <w:r w:rsidRPr="008D3FFD">
        <w:rPr>
          <w:rFonts w:ascii="Verdana" w:hAnsi="Verdana"/>
          <w:color w:val="000000"/>
          <w:sz w:val="16"/>
          <w:szCs w:val="16"/>
          <w:lang w:val="en-US"/>
        </w:rPr>
        <w:t xml:space="preserve"> more accurately corresponds to “municipalities.”</w:t>
      </w:r>
    </w:p>
    <w:p w14:paraId="573A6FFE" w14:textId="0852CC5C" w:rsidR="003A38FF" w:rsidRDefault="003A38FF">
      <w:pPr>
        <w:pStyle w:val="FootnoteText"/>
      </w:pPr>
    </w:p>
  </w:footnote>
  <w:footnote w:id="3">
    <w:p w14:paraId="0D41A768" w14:textId="62F4FA21" w:rsidR="003A38FF" w:rsidRDefault="003A38FF">
      <w:pPr>
        <w:pStyle w:val="FootnoteText"/>
      </w:pPr>
      <w:r>
        <w:rPr>
          <w:rStyle w:val="FootnoteReference"/>
        </w:rPr>
        <w:footnoteRef/>
      </w:r>
      <w:r>
        <w:t xml:space="preserve"> </w:t>
      </w:r>
      <w:r w:rsidRPr="00701896">
        <w:t>“Prevención”  (Prevention) is a legal term used when an Authority (Judge or Government Department) finds that the requirements to complete a procedure, process or application are incomplete they formulate a “prevención” that states what is required to continue the process or application.</w:t>
      </w:r>
    </w:p>
  </w:footnote>
  <w:footnote w:id="4">
    <w:p w14:paraId="6ED23494" w14:textId="77777777" w:rsidR="003A38FF" w:rsidRPr="00A76BE2" w:rsidRDefault="003A38FF" w:rsidP="00A76BE2">
      <w:pPr>
        <w:rPr>
          <w:lang w:val="en-US"/>
        </w:rPr>
      </w:pPr>
      <w:r>
        <w:rPr>
          <w:rStyle w:val="FootnoteReference"/>
        </w:rPr>
        <w:footnoteRef/>
      </w:r>
      <w:r w:rsidRPr="00A76BE2">
        <w:rPr>
          <w:lang w:val="en-US"/>
        </w:rPr>
        <w:t xml:space="preserve"> </w:t>
      </w:r>
      <w:r w:rsidRPr="00A76BE2">
        <w:rPr>
          <w:rFonts w:ascii="Verdana" w:hAnsi="Verdana"/>
          <w:sz w:val="16"/>
          <w:lang w:val="en-US"/>
        </w:rPr>
        <w:t xml:space="preserve">A </w:t>
      </w:r>
      <w:r w:rsidRPr="00A76BE2">
        <w:rPr>
          <w:rFonts w:ascii="Verdana" w:hAnsi="Verdana"/>
          <w:i/>
          <w:sz w:val="16"/>
          <w:lang w:val="en-US"/>
        </w:rPr>
        <w:t>“requerimiento,”</w:t>
      </w:r>
      <w:r w:rsidRPr="00A76BE2">
        <w:rPr>
          <w:rFonts w:ascii="Verdana" w:hAnsi="Verdana"/>
          <w:sz w:val="16"/>
          <w:lang w:val="en-US"/>
        </w:rPr>
        <w:t xml:space="preserve"> which literally translates as a requirement is a legal term. A </w:t>
      </w:r>
      <w:r w:rsidRPr="00A76BE2">
        <w:rPr>
          <w:rFonts w:ascii="Verdana" w:hAnsi="Verdana"/>
          <w:i/>
          <w:sz w:val="16"/>
          <w:lang w:val="en-US"/>
        </w:rPr>
        <w:t xml:space="preserve">“requerimiento” </w:t>
      </w:r>
      <w:r w:rsidRPr="00A76BE2">
        <w:rPr>
          <w:rFonts w:ascii="Verdana" w:hAnsi="Verdana"/>
          <w:sz w:val="16"/>
          <w:lang w:val="en-US"/>
        </w:rPr>
        <w:t>is a legal notice that is delivered by messenger and states what is required and a time period for complying and a citation of the applicable law, regulation or standard.</w:t>
      </w:r>
    </w:p>
    <w:p w14:paraId="73A2F370" w14:textId="1137F174" w:rsidR="003A38FF" w:rsidRDefault="003A38F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EEECE" w14:textId="77777777" w:rsidR="00A82CF8" w:rsidRPr="00A0381A" w:rsidRDefault="00A0381A" w:rsidP="002B2457">
    <w:pPr>
      <w:pStyle w:val="Fechas"/>
      <w:rPr>
        <w:rFonts w:cs="Times New Roman"/>
      </w:rPr>
    </w:pPr>
    <w:r>
      <w:rPr>
        <w:rFonts w:cs="Times New Roman"/>
      </w:rPr>
      <w:t xml:space="preserve"> </w:t>
    </w:r>
    <w:r w:rsidR="00A82CF8" w:rsidRPr="00A0381A">
      <w:rPr>
        <w:rFonts w:cs="Times New Roman"/>
      </w:rPr>
      <w:t xml:space="preserve">     (Edición Vespertina)</w:t>
    </w:r>
    <w:r w:rsidR="00A82CF8" w:rsidRPr="00A0381A">
      <w:rPr>
        <w:rFonts w:cs="Times New Roman"/>
      </w:rPr>
      <w:tab/>
      <w:t>DIARIO OFICIAL</w:t>
    </w:r>
    <w:r w:rsidR="00A82CF8" w:rsidRPr="00A0381A">
      <w:rPr>
        <w:rFonts w:cs="Times New Roman"/>
      </w:rPr>
      <w:tab/>
    </w:r>
    <w:proofErr w:type="gramStart"/>
    <w:r w:rsidR="00A82CF8" w:rsidRPr="00A0381A">
      <w:rPr>
        <w:rFonts w:cs="Times New Roman"/>
      </w:rPr>
      <w:t>Viernes</w:t>
    </w:r>
    <w:proofErr w:type="gramEnd"/>
    <w:r w:rsidR="00A82CF8" w:rsidRPr="00A0381A">
      <w:rPr>
        <w:rFonts w:cs="Times New Roman"/>
      </w:rPr>
      <w:t xml:space="preserve"> 3 de octubre de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6F824" w14:textId="5D2B2FEC" w:rsidR="00A82CF8" w:rsidRPr="00307396" w:rsidRDefault="00307396" w:rsidP="00307396">
    <w:pPr>
      <w:pStyle w:val="Header"/>
      <w:rPr>
        <w:lang w:val="en-US"/>
      </w:rPr>
    </w:pPr>
    <w:r w:rsidRPr="00307396">
      <w:rPr>
        <w:rFonts w:ascii="Verdana" w:hAnsi="Verdana"/>
        <w:b/>
        <w:bCs/>
        <w:snapToGrid w:val="0"/>
        <w:sz w:val="16"/>
        <w:szCs w:val="16"/>
        <w:lang w:val="en-US" w:eastAsia="es-MX"/>
      </w:rPr>
      <w:t xml:space="preserve">Regulation of the Law of the Electricity Sector. </w:t>
    </w:r>
    <w:r w:rsidRPr="00307396">
      <w:rPr>
        <w:rFonts w:ascii="Verdana" w:hAnsi="Verdana"/>
        <w:snapToGrid w:val="0"/>
        <w:sz w:val="16"/>
        <w:szCs w:val="16"/>
        <w:lang w:val="en-US" w:eastAsia="es-MX"/>
      </w:rPr>
      <w:t>Published in the DOF on October 3, 2025</w:t>
    </w:r>
    <w:r w:rsidRPr="00307396">
      <w:rPr>
        <w:snapToGrid w:val="0"/>
        <w:sz w:val="18"/>
        <w:szCs w:val="20"/>
        <w:lang w:val="en-US" w:eastAsia="es-MX"/>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1585215511">
    <w:abstractNumId w:val="1"/>
  </w:num>
  <w:num w:numId="2" w16cid:durableId="1673872764">
    <w:abstractNumId w:val="2"/>
  </w:num>
  <w:num w:numId="3" w16cid:durableId="1516577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C9F"/>
    <w:rsid w:val="0000036A"/>
    <w:rsid w:val="0000049C"/>
    <w:rsid w:val="000005E3"/>
    <w:rsid w:val="00001E41"/>
    <w:rsid w:val="00002873"/>
    <w:rsid w:val="00002BAA"/>
    <w:rsid w:val="0000418A"/>
    <w:rsid w:val="00004815"/>
    <w:rsid w:val="00005BD6"/>
    <w:rsid w:val="00007D5B"/>
    <w:rsid w:val="00010B58"/>
    <w:rsid w:val="000144CB"/>
    <w:rsid w:val="00014572"/>
    <w:rsid w:val="000150F5"/>
    <w:rsid w:val="00015C34"/>
    <w:rsid w:val="00016395"/>
    <w:rsid w:val="000212E1"/>
    <w:rsid w:val="00023EA0"/>
    <w:rsid w:val="00023FDE"/>
    <w:rsid w:val="00024C59"/>
    <w:rsid w:val="00025505"/>
    <w:rsid w:val="00025A7D"/>
    <w:rsid w:val="00026376"/>
    <w:rsid w:val="00026F18"/>
    <w:rsid w:val="0003075D"/>
    <w:rsid w:val="00030FA7"/>
    <w:rsid w:val="000325C3"/>
    <w:rsid w:val="00034107"/>
    <w:rsid w:val="00035023"/>
    <w:rsid w:val="00036093"/>
    <w:rsid w:val="00042192"/>
    <w:rsid w:val="000433ED"/>
    <w:rsid w:val="00044B41"/>
    <w:rsid w:val="00044E23"/>
    <w:rsid w:val="00044F8D"/>
    <w:rsid w:val="00045558"/>
    <w:rsid w:val="0004638E"/>
    <w:rsid w:val="000468AF"/>
    <w:rsid w:val="00046AF3"/>
    <w:rsid w:val="00047AFF"/>
    <w:rsid w:val="00050B09"/>
    <w:rsid w:val="000513DC"/>
    <w:rsid w:val="0005227E"/>
    <w:rsid w:val="000522DF"/>
    <w:rsid w:val="0005358B"/>
    <w:rsid w:val="00053E86"/>
    <w:rsid w:val="00054AE9"/>
    <w:rsid w:val="00057E14"/>
    <w:rsid w:val="00060C7A"/>
    <w:rsid w:val="000618EF"/>
    <w:rsid w:val="000643A3"/>
    <w:rsid w:val="00065711"/>
    <w:rsid w:val="0006622A"/>
    <w:rsid w:val="000674A0"/>
    <w:rsid w:val="00067E05"/>
    <w:rsid w:val="00070CD9"/>
    <w:rsid w:val="00070CDB"/>
    <w:rsid w:val="000712DA"/>
    <w:rsid w:val="00071479"/>
    <w:rsid w:val="000723C0"/>
    <w:rsid w:val="000725A4"/>
    <w:rsid w:val="000738F2"/>
    <w:rsid w:val="00075461"/>
    <w:rsid w:val="00081964"/>
    <w:rsid w:val="000832FB"/>
    <w:rsid w:val="0008366A"/>
    <w:rsid w:val="00083B96"/>
    <w:rsid w:val="00084125"/>
    <w:rsid w:val="0008415E"/>
    <w:rsid w:val="00084217"/>
    <w:rsid w:val="000845AF"/>
    <w:rsid w:val="00085CFF"/>
    <w:rsid w:val="00086AAA"/>
    <w:rsid w:val="000905C5"/>
    <w:rsid w:val="00090755"/>
    <w:rsid w:val="0009100F"/>
    <w:rsid w:val="0009164E"/>
    <w:rsid w:val="00091BBF"/>
    <w:rsid w:val="000923D8"/>
    <w:rsid w:val="00092726"/>
    <w:rsid w:val="000934C4"/>
    <w:rsid w:val="00093C25"/>
    <w:rsid w:val="00094C45"/>
    <w:rsid w:val="000A09D9"/>
    <w:rsid w:val="000A276D"/>
    <w:rsid w:val="000A43B2"/>
    <w:rsid w:val="000A6730"/>
    <w:rsid w:val="000A726C"/>
    <w:rsid w:val="000A74B0"/>
    <w:rsid w:val="000B03CF"/>
    <w:rsid w:val="000B2BF0"/>
    <w:rsid w:val="000B325B"/>
    <w:rsid w:val="000B3B08"/>
    <w:rsid w:val="000B42E5"/>
    <w:rsid w:val="000B4BD6"/>
    <w:rsid w:val="000B5696"/>
    <w:rsid w:val="000B6308"/>
    <w:rsid w:val="000B698E"/>
    <w:rsid w:val="000C07F6"/>
    <w:rsid w:val="000C18D7"/>
    <w:rsid w:val="000C3C1B"/>
    <w:rsid w:val="000C4426"/>
    <w:rsid w:val="000C4813"/>
    <w:rsid w:val="000C50D4"/>
    <w:rsid w:val="000C518D"/>
    <w:rsid w:val="000C632A"/>
    <w:rsid w:val="000C659E"/>
    <w:rsid w:val="000C7EB9"/>
    <w:rsid w:val="000D352F"/>
    <w:rsid w:val="000D49E9"/>
    <w:rsid w:val="000D730D"/>
    <w:rsid w:val="000D7C52"/>
    <w:rsid w:val="000E23B0"/>
    <w:rsid w:val="000E2799"/>
    <w:rsid w:val="000E3D77"/>
    <w:rsid w:val="000E5A7E"/>
    <w:rsid w:val="000E6BF1"/>
    <w:rsid w:val="000E7A69"/>
    <w:rsid w:val="000E7D05"/>
    <w:rsid w:val="000E7D77"/>
    <w:rsid w:val="000F0C31"/>
    <w:rsid w:val="000F0FA3"/>
    <w:rsid w:val="000F101A"/>
    <w:rsid w:val="000F3ABE"/>
    <w:rsid w:val="000F3F70"/>
    <w:rsid w:val="000F4916"/>
    <w:rsid w:val="000F4A51"/>
    <w:rsid w:val="000F706A"/>
    <w:rsid w:val="000F711F"/>
    <w:rsid w:val="00100372"/>
    <w:rsid w:val="0010099D"/>
    <w:rsid w:val="0010703B"/>
    <w:rsid w:val="00112540"/>
    <w:rsid w:val="00112664"/>
    <w:rsid w:val="001129F8"/>
    <w:rsid w:val="001132FE"/>
    <w:rsid w:val="001166FF"/>
    <w:rsid w:val="00116C36"/>
    <w:rsid w:val="0012065B"/>
    <w:rsid w:val="001211F2"/>
    <w:rsid w:val="00121E69"/>
    <w:rsid w:val="00121F03"/>
    <w:rsid w:val="001222BC"/>
    <w:rsid w:val="001233AF"/>
    <w:rsid w:val="00123EC8"/>
    <w:rsid w:val="00124A2C"/>
    <w:rsid w:val="001303A7"/>
    <w:rsid w:val="001314DD"/>
    <w:rsid w:val="00132EA8"/>
    <w:rsid w:val="00134960"/>
    <w:rsid w:val="0013614E"/>
    <w:rsid w:val="00136A02"/>
    <w:rsid w:val="00136D02"/>
    <w:rsid w:val="00140A5C"/>
    <w:rsid w:val="00141524"/>
    <w:rsid w:val="00141A11"/>
    <w:rsid w:val="001433F3"/>
    <w:rsid w:val="0014576F"/>
    <w:rsid w:val="001528F7"/>
    <w:rsid w:val="00153202"/>
    <w:rsid w:val="00155A7E"/>
    <w:rsid w:val="001574EC"/>
    <w:rsid w:val="00160A11"/>
    <w:rsid w:val="0016260B"/>
    <w:rsid w:val="00163AE3"/>
    <w:rsid w:val="001642EF"/>
    <w:rsid w:val="001655E7"/>
    <w:rsid w:val="00165AD6"/>
    <w:rsid w:val="0017119D"/>
    <w:rsid w:val="0017160B"/>
    <w:rsid w:val="00173B17"/>
    <w:rsid w:val="00173C70"/>
    <w:rsid w:val="00173E9D"/>
    <w:rsid w:val="001748E8"/>
    <w:rsid w:val="00174D6D"/>
    <w:rsid w:val="00176B02"/>
    <w:rsid w:val="00181964"/>
    <w:rsid w:val="001826BE"/>
    <w:rsid w:val="00182E18"/>
    <w:rsid w:val="001866BB"/>
    <w:rsid w:val="001874B0"/>
    <w:rsid w:val="00187821"/>
    <w:rsid w:val="0019517D"/>
    <w:rsid w:val="00195422"/>
    <w:rsid w:val="00197813"/>
    <w:rsid w:val="00197CC3"/>
    <w:rsid w:val="001A0984"/>
    <w:rsid w:val="001A14C2"/>
    <w:rsid w:val="001A1CAD"/>
    <w:rsid w:val="001A2BCE"/>
    <w:rsid w:val="001A3085"/>
    <w:rsid w:val="001A36F9"/>
    <w:rsid w:val="001A3833"/>
    <w:rsid w:val="001A4FEF"/>
    <w:rsid w:val="001A5E39"/>
    <w:rsid w:val="001A66A6"/>
    <w:rsid w:val="001B00E5"/>
    <w:rsid w:val="001B05AB"/>
    <w:rsid w:val="001B0D71"/>
    <w:rsid w:val="001B1144"/>
    <w:rsid w:val="001B58BD"/>
    <w:rsid w:val="001B6981"/>
    <w:rsid w:val="001C0170"/>
    <w:rsid w:val="001C145E"/>
    <w:rsid w:val="001C1847"/>
    <w:rsid w:val="001C1DC9"/>
    <w:rsid w:val="001C1E46"/>
    <w:rsid w:val="001C55B6"/>
    <w:rsid w:val="001C7D83"/>
    <w:rsid w:val="001D1766"/>
    <w:rsid w:val="001D3CE9"/>
    <w:rsid w:val="001D4134"/>
    <w:rsid w:val="001D4345"/>
    <w:rsid w:val="001D4FE9"/>
    <w:rsid w:val="001D712E"/>
    <w:rsid w:val="001D73EC"/>
    <w:rsid w:val="001E0D6B"/>
    <w:rsid w:val="001E25D6"/>
    <w:rsid w:val="001E3DFF"/>
    <w:rsid w:val="001E598D"/>
    <w:rsid w:val="001E5FA6"/>
    <w:rsid w:val="001E6528"/>
    <w:rsid w:val="001E6CB1"/>
    <w:rsid w:val="001F09BB"/>
    <w:rsid w:val="001F15C3"/>
    <w:rsid w:val="001F1B33"/>
    <w:rsid w:val="001F34E1"/>
    <w:rsid w:val="001F42A5"/>
    <w:rsid w:val="001F44CD"/>
    <w:rsid w:val="001F5E50"/>
    <w:rsid w:val="001F6139"/>
    <w:rsid w:val="001F6325"/>
    <w:rsid w:val="002003EF"/>
    <w:rsid w:val="00201ABD"/>
    <w:rsid w:val="0020245C"/>
    <w:rsid w:val="00202998"/>
    <w:rsid w:val="002038A6"/>
    <w:rsid w:val="00205308"/>
    <w:rsid w:val="002054EE"/>
    <w:rsid w:val="00205DD3"/>
    <w:rsid w:val="00212BFD"/>
    <w:rsid w:val="00213226"/>
    <w:rsid w:val="002132CE"/>
    <w:rsid w:val="00214A40"/>
    <w:rsid w:val="0021558C"/>
    <w:rsid w:val="00215851"/>
    <w:rsid w:val="002173D2"/>
    <w:rsid w:val="00220A61"/>
    <w:rsid w:val="002210FD"/>
    <w:rsid w:val="002214D8"/>
    <w:rsid w:val="00221FC4"/>
    <w:rsid w:val="0022367F"/>
    <w:rsid w:val="00224779"/>
    <w:rsid w:val="002250CF"/>
    <w:rsid w:val="00226052"/>
    <w:rsid w:val="00226E85"/>
    <w:rsid w:val="00227B41"/>
    <w:rsid w:val="0023002E"/>
    <w:rsid w:val="002314E3"/>
    <w:rsid w:val="002349F6"/>
    <w:rsid w:val="002445BA"/>
    <w:rsid w:val="00244E69"/>
    <w:rsid w:val="002469E7"/>
    <w:rsid w:val="0025082C"/>
    <w:rsid w:val="0025162C"/>
    <w:rsid w:val="00251946"/>
    <w:rsid w:val="0025248C"/>
    <w:rsid w:val="00254852"/>
    <w:rsid w:val="00254C7A"/>
    <w:rsid w:val="00255299"/>
    <w:rsid w:val="0025596D"/>
    <w:rsid w:val="002575C8"/>
    <w:rsid w:val="0025762E"/>
    <w:rsid w:val="002603ED"/>
    <w:rsid w:val="00260684"/>
    <w:rsid w:val="00261ACB"/>
    <w:rsid w:val="00261B8D"/>
    <w:rsid w:val="00261EB8"/>
    <w:rsid w:val="0026400A"/>
    <w:rsid w:val="002645B3"/>
    <w:rsid w:val="002673E6"/>
    <w:rsid w:val="00267784"/>
    <w:rsid w:val="0027138C"/>
    <w:rsid w:val="0028020C"/>
    <w:rsid w:val="00280A36"/>
    <w:rsid w:val="002811AC"/>
    <w:rsid w:val="00282554"/>
    <w:rsid w:val="0028318A"/>
    <w:rsid w:val="0028382C"/>
    <w:rsid w:val="00284931"/>
    <w:rsid w:val="00285BE5"/>
    <w:rsid w:val="0028602C"/>
    <w:rsid w:val="00286668"/>
    <w:rsid w:val="00286818"/>
    <w:rsid w:val="00290296"/>
    <w:rsid w:val="0029033A"/>
    <w:rsid w:val="002905EE"/>
    <w:rsid w:val="002912CC"/>
    <w:rsid w:val="002918AD"/>
    <w:rsid w:val="00291A33"/>
    <w:rsid w:val="00291CA7"/>
    <w:rsid w:val="00292AE4"/>
    <w:rsid w:val="0029306D"/>
    <w:rsid w:val="002938C8"/>
    <w:rsid w:val="002940B6"/>
    <w:rsid w:val="00295323"/>
    <w:rsid w:val="002955DD"/>
    <w:rsid w:val="00295D56"/>
    <w:rsid w:val="00296B26"/>
    <w:rsid w:val="002A0C80"/>
    <w:rsid w:val="002A68C1"/>
    <w:rsid w:val="002A7A50"/>
    <w:rsid w:val="002A7BDA"/>
    <w:rsid w:val="002B00EE"/>
    <w:rsid w:val="002B1182"/>
    <w:rsid w:val="002B127D"/>
    <w:rsid w:val="002B2034"/>
    <w:rsid w:val="002B2457"/>
    <w:rsid w:val="002B301C"/>
    <w:rsid w:val="002B37B4"/>
    <w:rsid w:val="002B3857"/>
    <w:rsid w:val="002B4567"/>
    <w:rsid w:val="002B5AAE"/>
    <w:rsid w:val="002B5BB8"/>
    <w:rsid w:val="002B6609"/>
    <w:rsid w:val="002C0F16"/>
    <w:rsid w:val="002C15EB"/>
    <w:rsid w:val="002C1902"/>
    <w:rsid w:val="002C210D"/>
    <w:rsid w:val="002C258D"/>
    <w:rsid w:val="002C341D"/>
    <w:rsid w:val="002C3644"/>
    <w:rsid w:val="002C3D0E"/>
    <w:rsid w:val="002C47CE"/>
    <w:rsid w:val="002C7D83"/>
    <w:rsid w:val="002D476D"/>
    <w:rsid w:val="002D5D89"/>
    <w:rsid w:val="002D7AFF"/>
    <w:rsid w:val="002E0094"/>
    <w:rsid w:val="002E4C36"/>
    <w:rsid w:val="002E5899"/>
    <w:rsid w:val="002F09C8"/>
    <w:rsid w:val="002F2BA6"/>
    <w:rsid w:val="002F6279"/>
    <w:rsid w:val="002F666A"/>
    <w:rsid w:val="002F6847"/>
    <w:rsid w:val="002F6CB6"/>
    <w:rsid w:val="002F7028"/>
    <w:rsid w:val="00301AF9"/>
    <w:rsid w:val="0030321A"/>
    <w:rsid w:val="003035AE"/>
    <w:rsid w:val="003068D2"/>
    <w:rsid w:val="00306951"/>
    <w:rsid w:val="00307396"/>
    <w:rsid w:val="00307F2D"/>
    <w:rsid w:val="00313442"/>
    <w:rsid w:val="00314C65"/>
    <w:rsid w:val="00322AB5"/>
    <w:rsid w:val="00322BD5"/>
    <w:rsid w:val="00323864"/>
    <w:rsid w:val="0032394E"/>
    <w:rsid w:val="003257CB"/>
    <w:rsid w:val="00325898"/>
    <w:rsid w:val="003264DE"/>
    <w:rsid w:val="00326B04"/>
    <w:rsid w:val="0032760F"/>
    <w:rsid w:val="00330780"/>
    <w:rsid w:val="00331321"/>
    <w:rsid w:val="00332912"/>
    <w:rsid w:val="003340A4"/>
    <w:rsid w:val="00337691"/>
    <w:rsid w:val="00340FC3"/>
    <w:rsid w:val="00341B6D"/>
    <w:rsid w:val="003437E4"/>
    <w:rsid w:val="003442DF"/>
    <w:rsid w:val="00345A36"/>
    <w:rsid w:val="00347248"/>
    <w:rsid w:val="00350746"/>
    <w:rsid w:val="00350F88"/>
    <w:rsid w:val="0035206E"/>
    <w:rsid w:val="00357A6B"/>
    <w:rsid w:val="00357AB8"/>
    <w:rsid w:val="003608C4"/>
    <w:rsid w:val="0036180B"/>
    <w:rsid w:val="003618AF"/>
    <w:rsid w:val="00363715"/>
    <w:rsid w:val="0036410B"/>
    <w:rsid w:val="00364775"/>
    <w:rsid w:val="003656C6"/>
    <w:rsid w:val="00365DA9"/>
    <w:rsid w:val="00372510"/>
    <w:rsid w:val="00372C10"/>
    <w:rsid w:val="00373DFE"/>
    <w:rsid w:val="00374F70"/>
    <w:rsid w:val="00376D18"/>
    <w:rsid w:val="00377162"/>
    <w:rsid w:val="003771FF"/>
    <w:rsid w:val="0038195D"/>
    <w:rsid w:val="00383BD4"/>
    <w:rsid w:val="00383F92"/>
    <w:rsid w:val="00385481"/>
    <w:rsid w:val="00385CDD"/>
    <w:rsid w:val="00387F00"/>
    <w:rsid w:val="00390B00"/>
    <w:rsid w:val="0039202C"/>
    <w:rsid w:val="00392139"/>
    <w:rsid w:val="00394ECB"/>
    <w:rsid w:val="003958AA"/>
    <w:rsid w:val="003967FE"/>
    <w:rsid w:val="003A01D6"/>
    <w:rsid w:val="003A0316"/>
    <w:rsid w:val="003A09A3"/>
    <w:rsid w:val="003A1D29"/>
    <w:rsid w:val="003A2B1C"/>
    <w:rsid w:val="003A38FF"/>
    <w:rsid w:val="003A62C5"/>
    <w:rsid w:val="003A6A7B"/>
    <w:rsid w:val="003A7A02"/>
    <w:rsid w:val="003B1066"/>
    <w:rsid w:val="003B2214"/>
    <w:rsid w:val="003B46F2"/>
    <w:rsid w:val="003B50E3"/>
    <w:rsid w:val="003B5168"/>
    <w:rsid w:val="003B5752"/>
    <w:rsid w:val="003B5E32"/>
    <w:rsid w:val="003B719D"/>
    <w:rsid w:val="003C1294"/>
    <w:rsid w:val="003C5A50"/>
    <w:rsid w:val="003C5EB9"/>
    <w:rsid w:val="003C6396"/>
    <w:rsid w:val="003D2901"/>
    <w:rsid w:val="003D3A40"/>
    <w:rsid w:val="003D3E86"/>
    <w:rsid w:val="003D3ED8"/>
    <w:rsid w:val="003D49A5"/>
    <w:rsid w:val="003D5E20"/>
    <w:rsid w:val="003D6457"/>
    <w:rsid w:val="003E0343"/>
    <w:rsid w:val="003E22BD"/>
    <w:rsid w:val="003E24FD"/>
    <w:rsid w:val="003E27ED"/>
    <w:rsid w:val="003E2BDF"/>
    <w:rsid w:val="003E328E"/>
    <w:rsid w:val="003E3DE9"/>
    <w:rsid w:val="003E5783"/>
    <w:rsid w:val="003E64BC"/>
    <w:rsid w:val="003E7472"/>
    <w:rsid w:val="003F0253"/>
    <w:rsid w:val="003F7B57"/>
    <w:rsid w:val="004020A4"/>
    <w:rsid w:val="0040433F"/>
    <w:rsid w:val="00405099"/>
    <w:rsid w:val="00406436"/>
    <w:rsid w:val="00410B8C"/>
    <w:rsid w:val="00412750"/>
    <w:rsid w:val="00412C58"/>
    <w:rsid w:val="00412ED6"/>
    <w:rsid w:val="00413832"/>
    <w:rsid w:val="004142D5"/>
    <w:rsid w:val="00414EA8"/>
    <w:rsid w:val="0041568F"/>
    <w:rsid w:val="00415979"/>
    <w:rsid w:val="0041773B"/>
    <w:rsid w:val="00417FAA"/>
    <w:rsid w:val="0042164E"/>
    <w:rsid w:val="00423902"/>
    <w:rsid w:val="00426B03"/>
    <w:rsid w:val="00426F04"/>
    <w:rsid w:val="00426F0B"/>
    <w:rsid w:val="004273D0"/>
    <w:rsid w:val="0042779F"/>
    <w:rsid w:val="00431411"/>
    <w:rsid w:val="00431426"/>
    <w:rsid w:val="00431AC2"/>
    <w:rsid w:val="00432BF2"/>
    <w:rsid w:val="0043346C"/>
    <w:rsid w:val="004352A9"/>
    <w:rsid w:val="0043533A"/>
    <w:rsid w:val="004360A5"/>
    <w:rsid w:val="004370A2"/>
    <w:rsid w:val="00440349"/>
    <w:rsid w:val="004403DF"/>
    <w:rsid w:val="004410E9"/>
    <w:rsid w:val="00442985"/>
    <w:rsid w:val="0044530C"/>
    <w:rsid w:val="0044575F"/>
    <w:rsid w:val="004466A2"/>
    <w:rsid w:val="00451845"/>
    <w:rsid w:val="00453D17"/>
    <w:rsid w:val="00453D86"/>
    <w:rsid w:val="00454ABE"/>
    <w:rsid w:val="004550C4"/>
    <w:rsid w:val="00455A03"/>
    <w:rsid w:val="004573B7"/>
    <w:rsid w:val="00460A15"/>
    <w:rsid w:val="004621A0"/>
    <w:rsid w:val="004624E8"/>
    <w:rsid w:val="00463286"/>
    <w:rsid w:val="00463F9D"/>
    <w:rsid w:val="0046400A"/>
    <w:rsid w:val="00464085"/>
    <w:rsid w:val="004643C7"/>
    <w:rsid w:val="004647EC"/>
    <w:rsid w:val="004652D9"/>
    <w:rsid w:val="00465E99"/>
    <w:rsid w:val="00470F4E"/>
    <w:rsid w:val="004721DF"/>
    <w:rsid w:val="0047371F"/>
    <w:rsid w:val="00473E81"/>
    <w:rsid w:val="004746CA"/>
    <w:rsid w:val="00475BE2"/>
    <w:rsid w:val="00475F02"/>
    <w:rsid w:val="004770A5"/>
    <w:rsid w:val="00480105"/>
    <w:rsid w:val="00483AA1"/>
    <w:rsid w:val="00485446"/>
    <w:rsid w:val="0048572C"/>
    <w:rsid w:val="004859E8"/>
    <w:rsid w:val="00485BB8"/>
    <w:rsid w:val="00490665"/>
    <w:rsid w:val="00490949"/>
    <w:rsid w:val="00491122"/>
    <w:rsid w:val="00491FF9"/>
    <w:rsid w:val="004934B4"/>
    <w:rsid w:val="00493B32"/>
    <w:rsid w:val="00495E9A"/>
    <w:rsid w:val="004A1FFE"/>
    <w:rsid w:val="004A2321"/>
    <w:rsid w:val="004A24D4"/>
    <w:rsid w:val="004A3438"/>
    <w:rsid w:val="004A4119"/>
    <w:rsid w:val="004A4E0F"/>
    <w:rsid w:val="004A59BB"/>
    <w:rsid w:val="004A5DBF"/>
    <w:rsid w:val="004A7426"/>
    <w:rsid w:val="004B00E3"/>
    <w:rsid w:val="004B2F2C"/>
    <w:rsid w:val="004B33CD"/>
    <w:rsid w:val="004B4DC0"/>
    <w:rsid w:val="004B58A7"/>
    <w:rsid w:val="004B7063"/>
    <w:rsid w:val="004B765B"/>
    <w:rsid w:val="004C0045"/>
    <w:rsid w:val="004C174C"/>
    <w:rsid w:val="004C1DCE"/>
    <w:rsid w:val="004C2BAC"/>
    <w:rsid w:val="004C2D89"/>
    <w:rsid w:val="004C3867"/>
    <w:rsid w:val="004C46E0"/>
    <w:rsid w:val="004C49C6"/>
    <w:rsid w:val="004C62F5"/>
    <w:rsid w:val="004C7364"/>
    <w:rsid w:val="004D17B3"/>
    <w:rsid w:val="004D19B8"/>
    <w:rsid w:val="004D49DF"/>
    <w:rsid w:val="004D4A72"/>
    <w:rsid w:val="004D6FFD"/>
    <w:rsid w:val="004D713A"/>
    <w:rsid w:val="004E12E8"/>
    <w:rsid w:val="004E5948"/>
    <w:rsid w:val="004E6B1F"/>
    <w:rsid w:val="004E77FB"/>
    <w:rsid w:val="004F218A"/>
    <w:rsid w:val="004F3FE9"/>
    <w:rsid w:val="004F6439"/>
    <w:rsid w:val="004F6559"/>
    <w:rsid w:val="00502367"/>
    <w:rsid w:val="005028DD"/>
    <w:rsid w:val="005066C7"/>
    <w:rsid w:val="00507FB4"/>
    <w:rsid w:val="00510176"/>
    <w:rsid w:val="005124DB"/>
    <w:rsid w:val="00512855"/>
    <w:rsid w:val="0051296C"/>
    <w:rsid w:val="00512CDB"/>
    <w:rsid w:val="00514993"/>
    <w:rsid w:val="00517004"/>
    <w:rsid w:val="0052165C"/>
    <w:rsid w:val="005216E0"/>
    <w:rsid w:val="00522551"/>
    <w:rsid w:val="00523714"/>
    <w:rsid w:val="005241A0"/>
    <w:rsid w:val="00524712"/>
    <w:rsid w:val="00526356"/>
    <w:rsid w:val="00526B87"/>
    <w:rsid w:val="00527B3C"/>
    <w:rsid w:val="005320E1"/>
    <w:rsid w:val="00534337"/>
    <w:rsid w:val="00534A44"/>
    <w:rsid w:val="0053581A"/>
    <w:rsid w:val="00535845"/>
    <w:rsid w:val="00536988"/>
    <w:rsid w:val="00542A2E"/>
    <w:rsid w:val="0054345D"/>
    <w:rsid w:val="005438AB"/>
    <w:rsid w:val="00543991"/>
    <w:rsid w:val="005457DC"/>
    <w:rsid w:val="00546CDC"/>
    <w:rsid w:val="0054733E"/>
    <w:rsid w:val="00547791"/>
    <w:rsid w:val="00547E51"/>
    <w:rsid w:val="00550DD1"/>
    <w:rsid w:val="00550F8A"/>
    <w:rsid w:val="0055349C"/>
    <w:rsid w:val="0055382E"/>
    <w:rsid w:val="00554120"/>
    <w:rsid w:val="00556022"/>
    <w:rsid w:val="005613E1"/>
    <w:rsid w:val="00564C73"/>
    <w:rsid w:val="00564D7A"/>
    <w:rsid w:val="00566147"/>
    <w:rsid w:val="0056723B"/>
    <w:rsid w:val="00567317"/>
    <w:rsid w:val="005724B9"/>
    <w:rsid w:val="005727F4"/>
    <w:rsid w:val="005732EA"/>
    <w:rsid w:val="0057727A"/>
    <w:rsid w:val="005856AB"/>
    <w:rsid w:val="0058727B"/>
    <w:rsid w:val="00587D41"/>
    <w:rsid w:val="00590047"/>
    <w:rsid w:val="005908F2"/>
    <w:rsid w:val="00590943"/>
    <w:rsid w:val="00591027"/>
    <w:rsid w:val="00591633"/>
    <w:rsid w:val="005921FE"/>
    <w:rsid w:val="005958A3"/>
    <w:rsid w:val="00597593"/>
    <w:rsid w:val="005A0268"/>
    <w:rsid w:val="005A0954"/>
    <w:rsid w:val="005A169F"/>
    <w:rsid w:val="005A2A92"/>
    <w:rsid w:val="005B3144"/>
    <w:rsid w:val="005B3A49"/>
    <w:rsid w:val="005B5BAE"/>
    <w:rsid w:val="005B6896"/>
    <w:rsid w:val="005C1C14"/>
    <w:rsid w:val="005C204B"/>
    <w:rsid w:val="005C3820"/>
    <w:rsid w:val="005C4019"/>
    <w:rsid w:val="005C536F"/>
    <w:rsid w:val="005C75DE"/>
    <w:rsid w:val="005D3024"/>
    <w:rsid w:val="005D4388"/>
    <w:rsid w:val="005D44D2"/>
    <w:rsid w:val="005D5BE7"/>
    <w:rsid w:val="005D7D14"/>
    <w:rsid w:val="005E714D"/>
    <w:rsid w:val="005E7EFB"/>
    <w:rsid w:val="005F32DD"/>
    <w:rsid w:val="005F3A5F"/>
    <w:rsid w:val="005F48AB"/>
    <w:rsid w:val="005F4AC0"/>
    <w:rsid w:val="005F6D66"/>
    <w:rsid w:val="006013FE"/>
    <w:rsid w:val="00602BF3"/>
    <w:rsid w:val="00604AF0"/>
    <w:rsid w:val="00604D06"/>
    <w:rsid w:val="0060593F"/>
    <w:rsid w:val="00607B74"/>
    <w:rsid w:val="00610918"/>
    <w:rsid w:val="00611FF2"/>
    <w:rsid w:val="0061696C"/>
    <w:rsid w:val="00616BA7"/>
    <w:rsid w:val="006212FF"/>
    <w:rsid w:val="00621DE5"/>
    <w:rsid w:val="00622EA3"/>
    <w:rsid w:val="00623110"/>
    <w:rsid w:val="006231E1"/>
    <w:rsid w:val="00623275"/>
    <w:rsid w:val="00625BDB"/>
    <w:rsid w:val="00626055"/>
    <w:rsid w:val="00627360"/>
    <w:rsid w:val="006275E8"/>
    <w:rsid w:val="00627D1A"/>
    <w:rsid w:val="00630303"/>
    <w:rsid w:val="006335A2"/>
    <w:rsid w:val="0063495E"/>
    <w:rsid w:val="00634C63"/>
    <w:rsid w:val="00635142"/>
    <w:rsid w:val="00635DE3"/>
    <w:rsid w:val="00636761"/>
    <w:rsid w:val="006369F8"/>
    <w:rsid w:val="00637410"/>
    <w:rsid w:val="00641089"/>
    <w:rsid w:val="00645A53"/>
    <w:rsid w:val="00646272"/>
    <w:rsid w:val="006500E8"/>
    <w:rsid w:val="00651A7D"/>
    <w:rsid w:val="006540ED"/>
    <w:rsid w:val="00654B6D"/>
    <w:rsid w:val="00654E6C"/>
    <w:rsid w:val="00654F6C"/>
    <w:rsid w:val="00656CFF"/>
    <w:rsid w:val="0065766F"/>
    <w:rsid w:val="00660E10"/>
    <w:rsid w:val="00663C44"/>
    <w:rsid w:val="00664B98"/>
    <w:rsid w:val="00666A6F"/>
    <w:rsid w:val="006676EE"/>
    <w:rsid w:val="00670946"/>
    <w:rsid w:val="00670DA5"/>
    <w:rsid w:val="006711A8"/>
    <w:rsid w:val="0067178C"/>
    <w:rsid w:val="0067378A"/>
    <w:rsid w:val="00674139"/>
    <w:rsid w:val="0067507A"/>
    <w:rsid w:val="006756E8"/>
    <w:rsid w:val="006758A6"/>
    <w:rsid w:val="00675D6C"/>
    <w:rsid w:val="00680351"/>
    <w:rsid w:val="006815C5"/>
    <w:rsid w:val="00681BC5"/>
    <w:rsid w:val="00683B9B"/>
    <w:rsid w:val="00684F77"/>
    <w:rsid w:val="00685DC5"/>
    <w:rsid w:val="006861E7"/>
    <w:rsid w:val="00686752"/>
    <w:rsid w:val="006871D6"/>
    <w:rsid w:val="00691836"/>
    <w:rsid w:val="006920D1"/>
    <w:rsid w:val="006927B0"/>
    <w:rsid w:val="00692FFD"/>
    <w:rsid w:val="0069357B"/>
    <w:rsid w:val="00694D1D"/>
    <w:rsid w:val="00695D57"/>
    <w:rsid w:val="006974BF"/>
    <w:rsid w:val="00697900"/>
    <w:rsid w:val="00697B7C"/>
    <w:rsid w:val="00697CE5"/>
    <w:rsid w:val="006A050E"/>
    <w:rsid w:val="006A299F"/>
    <w:rsid w:val="006A2D0E"/>
    <w:rsid w:val="006A3972"/>
    <w:rsid w:val="006A3CFD"/>
    <w:rsid w:val="006A6EA0"/>
    <w:rsid w:val="006A7CA6"/>
    <w:rsid w:val="006B0EB5"/>
    <w:rsid w:val="006B2739"/>
    <w:rsid w:val="006B3712"/>
    <w:rsid w:val="006B3D4E"/>
    <w:rsid w:val="006B3F46"/>
    <w:rsid w:val="006B7539"/>
    <w:rsid w:val="006C1400"/>
    <w:rsid w:val="006C2B8F"/>
    <w:rsid w:val="006C30AE"/>
    <w:rsid w:val="006C7931"/>
    <w:rsid w:val="006D0391"/>
    <w:rsid w:val="006D0717"/>
    <w:rsid w:val="006D1D44"/>
    <w:rsid w:val="006D2100"/>
    <w:rsid w:val="006D2710"/>
    <w:rsid w:val="006D2E40"/>
    <w:rsid w:val="006D3E3B"/>
    <w:rsid w:val="006D4B3C"/>
    <w:rsid w:val="006D5E57"/>
    <w:rsid w:val="006D6294"/>
    <w:rsid w:val="006D7AE8"/>
    <w:rsid w:val="006E1093"/>
    <w:rsid w:val="006E2487"/>
    <w:rsid w:val="006E30FD"/>
    <w:rsid w:val="006E42C5"/>
    <w:rsid w:val="006E4EE3"/>
    <w:rsid w:val="006E501A"/>
    <w:rsid w:val="006E54B7"/>
    <w:rsid w:val="006E55D8"/>
    <w:rsid w:val="006E66EC"/>
    <w:rsid w:val="006F08BC"/>
    <w:rsid w:val="006F3BC2"/>
    <w:rsid w:val="006F3F8C"/>
    <w:rsid w:val="006F4B4B"/>
    <w:rsid w:val="006F4C33"/>
    <w:rsid w:val="006F785A"/>
    <w:rsid w:val="006F7CCE"/>
    <w:rsid w:val="0070180B"/>
    <w:rsid w:val="00701896"/>
    <w:rsid w:val="007019E2"/>
    <w:rsid w:val="00702395"/>
    <w:rsid w:val="007023A7"/>
    <w:rsid w:val="00703804"/>
    <w:rsid w:val="0070415B"/>
    <w:rsid w:val="00704A36"/>
    <w:rsid w:val="007051F6"/>
    <w:rsid w:val="00705287"/>
    <w:rsid w:val="00705559"/>
    <w:rsid w:val="00707597"/>
    <w:rsid w:val="00710BFD"/>
    <w:rsid w:val="00711972"/>
    <w:rsid w:val="00711CC1"/>
    <w:rsid w:val="007133E9"/>
    <w:rsid w:val="007170BC"/>
    <w:rsid w:val="00717A6D"/>
    <w:rsid w:val="00721239"/>
    <w:rsid w:val="007232E3"/>
    <w:rsid w:val="007238AD"/>
    <w:rsid w:val="00723DBE"/>
    <w:rsid w:val="00724703"/>
    <w:rsid w:val="00725521"/>
    <w:rsid w:val="00725C5A"/>
    <w:rsid w:val="007300FE"/>
    <w:rsid w:val="00730EF9"/>
    <w:rsid w:val="00735E9D"/>
    <w:rsid w:val="00737435"/>
    <w:rsid w:val="00737AA6"/>
    <w:rsid w:val="00737DEC"/>
    <w:rsid w:val="00740EB9"/>
    <w:rsid w:val="00741ABD"/>
    <w:rsid w:val="00741D73"/>
    <w:rsid w:val="00744363"/>
    <w:rsid w:val="00745648"/>
    <w:rsid w:val="00745F45"/>
    <w:rsid w:val="00746AF3"/>
    <w:rsid w:val="00746FC8"/>
    <w:rsid w:val="007474AD"/>
    <w:rsid w:val="00750073"/>
    <w:rsid w:val="007516A7"/>
    <w:rsid w:val="00751A9B"/>
    <w:rsid w:val="0075300D"/>
    <w:rsid w:val="00755DE8"/>
    <w:rsid w:val="007570C1"/>
    <w:rsid w:val="007578BE"/>
    <w:rsid w:val="007579E7"/>
    <w:rsid w:val="00761752"/>
    <w:rsid w:val="00762365"/>
    <w:rsid w:val="00764D43"/>
    <w:rsid w:val="007676AC"/>
    <w:rsid w:val="0077075E"/>
    <w:rsid w:val="00770953"/>
    <w:rsid w:val="007713CC"/>
    <w:rsid w:val="007717E3"/>
    <w:rsid w:val="00777D85"/>
    <w:rsid w:val="007846EF"/>
    <w:rsid w:val="00786E8F"/>
    <w:rsid w:val="00791538"/>
    <w:rsid w:val="007937C6"/>
    <w:rsid w:val="00793D07"/>
    <w:rsid w:val="00794CFE"/>
    <w:rsid w:val="00797AB4"/>
    <w:rsid w:val="00797DCB"/>
    <w:rsid w:val="007A0956"/>
    <w:rsid w:val="007A41F5"/>
    <w:rsid w:val="007A5465"/>
    <w:rsid w:val="007A5ADD"/>
    <w:rsid w:val="007A5D00"/>
    <w:rsid w:val="007A5F5C"/>
    <w:rsid w:val="007A7CF9"/>
    <w:rsid w:val="007A7F0A"/>
    <w:rsid w:val="007B2C2C"/>
    <w:rsid w:val="007B4FA8"/>
    <w:rsid w:val="007B5C7C"/>
    <w:rsid w:val="007B6CAC"/>
    <w:rsid w:val="007C0E3A"/>
    <w:rsid w:val="007C1EED"/>
    <w:rsid w:val="007C398F"/>
    <w:rsid w:val="007C4D36"/>
    <w:rsid w:val="007C7FAD"/>
    <w:rsid w:val="007D00B8"/>
    <w:rsid w:val="007D0331"/>
    <w:rsid w:val="007D0C3B"/>
    <w:rsid w:val="007D286A"/>
    <w:rsid w:val="007D55F4"/>
    <w:rsid w:val="007D721B"/>
    <w:rsid w:val="007E0CCF"/>
    <w:rsid w:val="007E1E4F"/>
    <w:rsid w:val="007E2193"/>
    <w:rsid w:val="007E2D1D"/>
    <w:rsid w:val="007E32AC"/>
    <w:rsid w:val="007E3DEB"/>
    <w:rsid w:val="007E4139"/>
    <w:rsid w:val="007E41C5"/>
    <w:rsid w:val="007E59CA"/>
    <w:rsid w:val="007E5C2D"/>
    <w:rsid w:val="007E6014"/>
    <w:rsid w:val="007F432C"/>
    <w:rsid w:val="007F4952"/>
    <w:rsid w:val="008015FE"/>
    <w:rsid w:val="008018AF"/>
    <w:rsid w:val="008019C7"/>
    <w:rsid w:val="00801E08"/>
    <w:rsid w:val="0080218F"/>
    <w:rsid w:val="00802DB4"/>
    <w:rsid w:val="00804B48"/>
    <w:rsid w:val="008118FF"/>
    <w:rsid w:val="0081340E"/>
    <w:rsid w:val="00816C4D"/>
    <w:rsid w:val="00817CE3"/>
    <w:rsid w:val="00817F71"/>
    <w:rsid w:val="0082033C"/>
    <w:rsid w:val="008216E8"/>
    <w:rsid w:val="00822F97"/>
    <w:rsid w:val="0082551E"/>
    <w:rsid w:val="00827CE1"/>
    <w:rsid w:val="0083080F"/>
    <w:rsid w:val="00831ED5"/>
    <w:rsid w:val="00832E88"/>
    <w:rsid w:val="00834C02"/>
    <w:rsid w:val="00835006"/>
    <w:rsid w:val="00837D4A"/>
    <w:rsid w:val="008412BC"/>
    <w:rsid w:val="008416D9"/>
    <w:rsid w:val="0084251B"/>
    <w:rsid w:val="00842A36"/>
    <w:rsid w:val="00842BE6"/>
    <w:rsid w:val="00842FB8"/>
    <w:rsid w:val="00845F9F"/>
    <w:rsid w:val="00846CB5"/>
    <w:rsid w:val="00846FD9"/>
    <w:rsid w:val="008506BA"/>
    <w:rsid w:val="00850E95"/>
    <w:rsid w:val="00851578"/>
    <w:rsid w:val="00851D61"/>
    <w:rsid w:val="0085291A"/>
    <w:rsid w:val="0085312A"/>
    <w:rsid w:val="00854A41"/>
    <w:rsid w:val="008563C4"/>
    <w:rsid w:val="008622E3"/>
    <w:rsid w:val="008630DE"/>
    <w:rsid w:val="0086461B"/>
    <w:rsid w:val="00864F91"/>
    <w:rsid w:val="008651ED"/>
    <w:rsid w:val="008675BB"/>
    <w:rsid w:val="00871212"/>
    <w:rsid w:val="00872404"/>
    <w:rsid w:val="008729A0"/>
    <w:rsid w:val="00875A59"/>
    <w:rsid w:val="00875D0F"/>
    <w:rsid w:val="008765E7"/>
    <w:rsid w:val="00877B39"/>
    <w:rsid w:val="00881F4C"/>
    <w:rsid w:val="0088363C"/>
    <w:rsid w:val="00885EF6"/>
    <w:rsid w:val="00891004"/>
    <w:rsid w:val="00891462"/>
    <w:rsid w:val="008917EF"/>
    <w:rsid w:val="008918DC"/>
    <w:rsid w:val="00891C19"/>
    <w:rsid w:val="008922B8"/>
    <w:rsid w:val="00892CFC"/>
    <w:rsid w:val="00892E8F"/>
    <w:rsid w:val="00893337"/>
    <w:rsid w:val="00894415"/>
    <w:rsid w:val="0089558E"/>
    <w:rsid w:val="00897F4B"/>
    <w:rsid w:val="008A0F8C"/>
    <w:rsid w:val="008A23F3"/>
    <w:rsid w:val="008A58D6"/>
    <w:rsid w:val="008A6F86"/>
    <w:rsid w:val="008A779B"/>
    <w:rsid w:val="008B4EEF"/>
    <w:rsid w:val="008B5BD2"/>
    <w:rsid w:val="008B5EE3"/>
    <w:rsid w:val="008B61CC"/>
    <w:rsid w:val="008B71C8"/>
    <w:rsid w:val="008C1265"/>
    <w:rsid w:val="008C2DB2"/>
    <w:rsid w:val="008C46C1"/>
    <w:rsid w:val="008C57A8"/>
    <w:rsid w:val="008C74BA"/>
    <w:rsid w:val="008D06EA"/>
    <w:rsid w:val="008D17A5"/>
    <w:rsid w:val="008D28A1"/>
    <w:rsid w:val="008D3A9D"/>
    <w:rsid w:val="008D3FFD"/>
    <w:rsid w:val="008D6750"/>
    <w:rsid w:val="008D7145"/>
    <w:rsid w:val="008E1AEF"/>
    <w:rsid w:val="008E3329"/>
    <w:rsid w:val="008E35DF"/>
    <w:rsid w:val="008E7DBC"/>
    <w:rsid w:val="008F06A2"/>
    <w:rsid w:val="008F5142"/>
    <w:rsid w:val="008F6ACF"/>
    <w:rsid w:val="008F74BF"/>
    <w:rsid w:val="008F7773"/>
    <w:rsid w:val="008F7A18"/>
    <w:rsid w:val="008F7F4C"/>
    <w:rsid w:val="00900031"/>
    <w:rsid w:val="0090170D"/>
    <w:rsid w:val="009055C6"/>
    <w:rsid w:val="0090795A"/>
    <w:rsid w:val="00911BAB"/>
    <w:rsid w:val="00911D41"/>
    <w:rsid w:val="00913574"/>
    <w:rsid w:val="0091360F"/>
    <w:rsid w:val="0091394F"/>
    <w:rsid w:val="00913D77"/>
    <w:rsid w:val="00914191"/>
    <w:rsid w:val="00914C61"/>
    <w:rsid w:val="0091666F"/>
    <w:rsid w:val="009167A0"/>
    <w:rsid w:val="0091685B"/>
    <w:rsid w:val="009200A2"/>
    <w:rsid w:val="00920688"/>
    <w:rsid w:val="009227F0"/>
    <w:rsid w:val="00922964"/>
    <w:rsid w:val="00927AEE"/>
    <w:rsid w:val="009329FB"/>
    <w:rsid w:val="00934A4A"/>
    <w:rsid w:val="00934D51"/>
    <w:rsid w:val="00941FA6"/>
    <w:rsid w:val="00945379"/>
    <w:rsid w:val="009456A1"/>
    <w:rsid w:val="00945F33"/>
    <w:rsid w:val="009467E8"/>
    <w:rsid w:val="00947152"/>
    <w:rsid w:val="00950A2E"/>
    <w:rsid w:val="00951595"/>
    <w:rsid w:val="00952577"/>
    <w:rsid w:val="00954C95"/>
    <w:rsid w:val="00954DCD"/>
    <w:rsid w:val="0095581B"/>
    <w:rsid w:val="009568DE"/>
    <w:rsid w:val="00960CF4"/>
    <w:rsid w:val="0096109E"/>
    <w:rsid w:val="0096129A"/>
    <w:rsid w:val="009634A0"/>
    <w:rsid w:val="0097051F"/>
    <w:rsid w:val="00970B2F"/>
    <w:rsid w:val="00972EF7"/>
    <w:rsid w:val="00973D9D"/>
    <w:rsid w:val="00975511"/>
    <w:rsid w:val="00976A58"/>
    <w:rsid w:val="00981257"/>
    <w:rsid w:val="00983CD5"/>
    <w:rsid w:val="009849AC"/>
    <w:rsid w:val="00985440"/>
    <w:rsid w:val="009855BF"/>
    <w:rsid w:val="00985E48"/>
    <w:rsid w:val="0098709A"/>
    <w:rsid w:val="009870AF"/>
    <w:rsid w:val="00992AD1"/>
    <w:rsid w:val="009932CA"/>
    <w:rsid w:val="0099467F"/>
    <w:rsid w:val="00994CC0"/>
    <w:rsid w:val="00997570"/>
    <w:rsid w:val="009A029D"/>
    <w:rsid w:val="009A03F4"/>
    <w:rsid w:val="009A0B3D"/>
    <w:rsid w:val="009A1FC4"/>
    <w:rsid w:val="009A5376"/>
    <w:rsid w:val="009A7654"/>
    <w:rsid w:val="009B1EDB"/>
    <w:rsid w:val="009B2D5A"/>
    <w:rsid w:val="009B3DC1"/>
    <w:rsid w:val="009B4FCE"/>
    <w:rsid w:val="009C02DA"/>
    <w:rsid w:val="009C1580"/>
    <w:rsid w:val="009C4485"/>
    <w:rsid w:val="009D17A7"/>
    <w:rsid w:val="009D1F2C"/>
    <w:rsid w:val="009D2C78"/>
    <w:rsid w:val="009D32B6"/>
    <w:rsid w:val="009D503A"/>
    <w:rsid w:val="009D6B00"/>
    <w:rsid w:val="009D707C"/>
    <w:rsid w:val="009D7438"/>
    <w:rsid w:val="009E0951"/>
    <w:rsid w:val="009E0FF7"/>
    <w:rsid w:val="009E1274"/>
    <w:rsid w:val="009E1AC6"/>
    <w:rsid w:val="009E1FA8"/>
    <w:rsid w:val="009E2B03"/>
    <w:rsid w:val="009E36E0"/>
    <w:rsid w:val="009E3B35"/>
    <w:rsid w:val="009E3C50"/>
    <w:rsid w:val="009E63EA"/>
    <w:rsid w:val="009E69D6"/>
    <w:rsid w:val="009F050F"/>
    <w:rsid w:val="009F0E02"/>
    <w:rsid w:val="009F3158"/>
    <w:rsid w:val="009F58DA"/>
    <w:rsid w:val="009F5C55"/>
    <w:rsid w:val="009F69EC"/>
    <w:rsid w:val="009F6F39"/>
    <w:rsid w:val="009F7F1F"/>
    <w:rsid w:val="00A0052B"/>
    <w:rsid w:val="00A01EEB"/>
    <w:rsid w:val="00A023F8"/>
    <w:rsid w:val="00A0381A"/>
    <w:rsid w:val="00A06863"/>
    <w:rsid w:val="00A07541"/>
    <w:rsid w:val="00A07696"/>
    <w:rsid w:val="00A12486"/>
    <w:rsid w:val="00A13044"/>
    <w:rsid w:val="00A13F7E"/>
    <w:rsid w:val="00A1403F"/>
    <w:rsid w:val="00A16ACF"/>
    <w:rsid w:val="00A178B9"/>
    <w:rsid w:val="00A2167F"/>
    <w:rsid w:val="00A22671"/>
    <w:rsid w:val="00A27A84"/>
    <w:rsid w:val="00A3116C"/>
    <w:rsid w:val="00A31E9B"/>
    <w:rsid w:val="00A333DC"/>
    <w:rsid w:val="00A33E13"/>
    <w:rsid w:val="00A35A4B"/>
    <w:rsid w:val="00A4058E"/>
    <w:rsid w:val="00A40F7B"/>
    <w:rsid w:val="00A41420"/>
    <w:rsid w:val="00A427C2"/>
    <w:rsid w:val="00A43B69"/>
    <w:rsid w:val="00A44959"/>
    <w:rsid w:val="00A47F9E"/>
    <w:rsid w:val="00A522B9"/>
    <w:rsid w:val="00A536FE"/>
    <w:rsid w:val="00A53D31"/>
    <w:rsid w:val="00A5438B"/>
    <w:rsid w:val="00A5452D"/>
    <w:rsid w:val="00A56794"/>
    <w:rsid w:val="00A611B0"/>
    <w:rsid w:val="00A61C50"/>
    <w:rsid w:val="00A63B39"/>
    <w:rsid w:val="00A64ABF"/>
    <w:rsid w:val="00A65E3B"/>
    <w:rsid w:val="00A66135"/>
    <w:rsid w:val="00A66FD8"/>
    <w:rsid w:val="00A670A2"/>
    <w:rsid w:val="00A673EE"/>
    <w:rsid w:val="00A677AA"/>
    <w:rsid w:val="00A67A8E"/>
    <w:rsid w:val="00A7010C"/>
    <w:rsid w:val="00A705AB"/>
    <w:rsid w:val="00A70A6A"/>
    <w:rsid w:val="00A73B9B"/>
    <w:rsid w:val="00A73F8A"/>
    <w:rsid w:val="00A74F43"/>
    <w:rsid w:val="00A76032"/>
    <w:rsid w:val="00A761A1"/>
    <w:rsid w:val="00A76BE2"/>
    <w:rsid w:val="00A77063"/>
    <w:rsid w:val="00A8099D"/>
    <w:rsid w:val="00A81D62"/>
    <w:rsid w:val="00A82CF8"/>
    <w:rsid w:val="00A83416"/>
    <w:rsid w:val="00A836E4"/>
    <w:rsid w:val="00A84922"/>
    <w:rsid w:val="00A84A8A"/>
    <w:rsid w:val="00A85D34"/>
    <w:rsid w:val="00A86A62"/>
    <w:rsid w:val="00A90AE8"/>
    <w:rsid w:val="00A92A1D"/>
    <w:rsid w:val="00A96060"/>
    <w:rsid w:val="00A96296"/>
    <w:rsid w:val="00A971BB"/>
    <w:rsid w:val="00AA12BF"/>
    <w:rsid w:val="00AA1545"/>
    <w:rsid w:val="00AA2415"/>
    <w:rsid w:val="00AA2DCF"/>
    <w:rsid w:val="00AA579F"/>
    <w:rsid w:val="00AA7550"/>
    <w:rsid w:val="00AB03CC"/>
    <w:rsid w:val="00AB396F"/>
    <w:rsid w:val="00AB5AB3"/>
    <w:rsid w:val="00AB7088"/>
    <w:rsid w:val="00AC1799"/>
    <w:rsid w:val="00AC2AA2"/>
    <w:rsid w:val="00AC3CD0"/>
    <w:rsid w:val="00AC5DD6"/>
    <w:rsid w:val="00AC64B3"/>
    <w:rsid w:val="00AC7A1F"/>
    <w:rsid w:val="00AD0218"/>
    <w:rsid w:val="00AD24D5"/>
    <w:rsid w:val="00AD442D"/>
    <w:rsid w:val="00AD4813"/>
    <w:rsid w:val="00AD54E0"/>
    <w:rsid w:val="00AD5A35"/>
    <w:rsid w:val="00AD6106"/>
    <w:rsid w:val="00AE00D6"/>
    <w:rsid w:val="00AE1F2E"/>
    <w:rsid w:val="00AE2D14"/>
    <w:rsid w:val="00AE38CF"/>
    <w:rsid w:val="00AE4483"/>
    <w:rsid w:val="00AE7240"/>
    <w:rsid w:val="00AF07D4"/>
    <w:rsid w:val="00AF1E27"/>
    <w:rsid w:val="00AF2550"/>
    <w:rsid w:val="00AF39EE"/>
    <w:rsid w:val="00AF4672"/>
    <w:rsid w:val="00AF54A8"/>
    <w:rsid w:val="00AF694B"/>
    <w:rsid w:val="00B00632"/>
    <w:rsid w:val="00B00AAD"/>
    <w:rsid w:val="00B00E6E"/>
    <w:rsid w:val="00B0446C"/>
    <w:rsid w:val="00B04CBD"/>
    <w:rsid w:val="00B07030"/>
    <w:rsid w:val="00B073A2"/>
    <w:rsid w:val="00B075DF"/>
    <w:rsid w:val="00B0771D"/>
    <w:rsid w:val="00B07DD1"/>
    <w:rsid w:val="00B10E5E"/>
    <w:rsid w:val="00B11BB0"/>
    <w:rsid w:val="00B13DE0"/>
    <w:rsid w:val="00B14C29"/>
    <w:rsid w:val="00B15BD0"/>
    <w:rsid w:val="00B15D71"/>
    <w:rsid w:val="00B16270"/>
    <w:rsid w:val="00B16746"/>
    <w:rsid w:val="00B16BBA"/>
    <w:rsid w:val="00B16D5E"/>
    <w:rsid w:val="00B170E8"/>
    <w:rsid w:val="00B17DFA"/>
    <w:rsid w:val="00B21B5D"/>
    <w:rsid w:val="00B2205E"/>
    <w:rsid w:val="00B2305B"/>
    <w:rsid w:val="00B2433F"/>
    <w:rsid w:val="00B254F7"/>
    <w:rsid w:val="00B26730"/>
    <w:rsid w:val="00B31378"/>
    <w:rsid w:val="00B34323"/>
    <w:rsid w:val="00B3652C"/>
    <w:rsid w:val="00B3769E"/>
    <w:rsid w:val="00B3790C"/>
    <w:rsid w:val="00B43877"/>
    <w:rsid w:val="00B440E8"/>
    <w:rsid w:val="00B447F2"/>
    <w:rsid w:val="00B451F3"/>
    <w:rsid w:val="00B51007"/>
    <w:rsid w:val="00B54301"/>
    <w:rsid w:val="00B56ADE"/>
    <w:rsid w:val="00B571A6"/>
    <w:rsid w:val="00B577E2"/>
    <w:rsid w:val="00B63531"/>
    <w:rsid w:val="00B64903"/>
    <w:rsid w:val="00B64C16"/>
    <w:rsid w:val="00B6553F"/>
    <w:rsid w:val="00B659A7"/>
    <w:rsid w:val="00B66575"/>
    <w:rsid w:val="00B66CE7"/>
    <w:rsid w:val="00B7008A"/>
    <w:rsid w:val="00B717B3"/>
    <w:rsid w:val="00B732FB"/>
    <w:rsid w:val="00B738E2"/>
    <w:rsid w:val="00B744F6"/>
    <w:rsid w:val="00B746E3"/>
    <w:rsid w:val="00B75899"/>
    <w:rsid w:val="00B75996"/>
    <w:rsid w:val="00B76EBD"/>
    <w:rsid w:val="00B77DD2"/>
    <w:rsid w:val="00B815CF"/>
    <w:rsid w:val="00B83D49"/>
    <w:rsid w:val="00B859B6"/>
    <w:rsid w:val="00B86730"/>
    <w:rsid w:val="00B90FFD"/>
    <w:rsid w:val="00B91463"/>
    <w:rsid w:val="00B91AAA"/>
    <w:rsid w:val="00B921A9"/>
    <w:rsid w:val="00B92DC5"/>
    <w:rsid w:val="00B95A35"/>
    <w:rsid w:val="00B9682E"/>
    <w:rsid w:val="00BA082C"/>
    <w:rsid w:val="00BA2149"/>
    <w:rsid w:val="00BA4771"/>
    <w:rsid w:val="00BB1CCD"/>
    <w:rsid w:val="00BB26D3"/>
    <w:rsid w:val="00BB2E11"/>
    <w:rsid w:val="00BB2F09"/>
    <w:rsid w:val="00BB33AF"/>
    <w:rsid w:val="00BB3C0D"/>
    <w:rsid w:val="00BB3DEC"/>
    <w:rsid w:val="00BB762C"/>
    <w:rsid w:val="00BC0220"/>
    <w:rsid w:val="00BC32E7"/>
    <w:rsid w:val="00BC5B01"/>
    <w:rsid w:val="00BC5EC8"/>
    <w:rsid w:val="00BC62E3"/>
    <w:rsid w:val="00BD031E"/>
    <w:rsid w:val="00BD1239"/>
    <w:rsid w:val="00BD27C4"/>
    <w:rsid w:val="00BD3C5D"/>
    <w:rsid w:val="00BD43A8"/>
    <w:rsid w:val="00BD7366"/>
    <w:rsid w:val="00BE11D6"/>
    <w:rsid w:val="00BE1BFE"/>
    <w:rsid w:val="00BE3315"/>
    <w:rsid w:val="00BE3F4C"/>
    <w:rsid w:val="00BE43EC"/>
    <w:rsid w:val="00BE6FD8"/>
    <w:rsid w:val="00BE7E19"/>
    <w:rsid w:val="00BF091C"/>
    <w:rsid w:val="00BF12A6"/>
    <w:rsid w:val="00BF168F"/>
    <w:rsid w:val="00BF792D"/>
    <w:rsid w:val="00C002DE"/>
    <w:rsid w:val="00C005F3"/>
    <w:rsid w:val="00C009D0"/>
    <w:rsid w:val="00C009E0"/>
    <w:rsid w:val="00C01B5D"/>
    <w:rsid w:val="00C02CAF"/>
    <w:rsid w:val="00C03BD4"/>
    <w:rsid w:val="00C041D6"/>
    <w:rsid w:val="00C04C7C"/>
    <w:rsid w:val="00C0617C"/>
    <w:rsid w:val="00C06A47"/>
    <w:rsid w:val="00C070E6"/>
    <w:rsid w:val="00C0795D"/>
    <w:rsid w:val="00C107A9"/>
    <w:rsid w:val="00C112C1"/>
    <w:rsid w:val="00C12124"/>
    <w:rsid w:val="00C1273C"/>
    <w:rsid w:val="00C14BA3"/>
    <w:rsid w:val="00C16CD1"/>
    <w:rsid w:val="00C17385"/>
    <w:rsid w:val="00C202F9"/>
    <w:rsid w:val="00C22273"/>
    <w:rsid w:val="00C231F5"/>
    <w:rsid w:val="00C24418"/>
    <w:rsid w:val="00C258E4"/>
    <w:rsid w:val="00C30B9D"/>
    <w:rsid w:val="00C343FA"/>
    <w:rsid w:val="00C357A6"/>
    <w:rsid w:val="00C35D9C"/>
    <w:rsid w:val="00C35FFD"/>
    <w:rsid w:val="00C3762E"/>
    <w:rsid w:val="00C37EEB"/>
    <w:rsid w:val="00C40C22"/>
    <w:rsid w:val="00C478AE"/>
    <w:rsid w:val="00C50844"/>
    <w:rsid w:val="00C52435"/>
    <w:rsid w:val="00C53419"/>
    <w:rsid w:val="00C5515A"/>
    <w:rsid w:val="00C563D2"/>
    <w:rsid w:val="00C573CB"/>
    <w:rsid w:val="00C57981"/>
    <w:rsid w:val="00C64A4C"/>
    <w:rsid w:val="00C66E7B"/>
    <w:rsid w:val="00C678B1"/>
    <w:rsid w:val="00C67C46"/>
    <w:rsid w:val="00C706B3"/>
    <w:rsid w:val="00C7101B"/>
    <w:rsid w:val="00C7152E"/>
    <w:rsid w:val="00C71697"/>
    <w:rsid w:val="00C72F0B"/>
    <w:rsid w:val="00C7397D"/>
    <w:rsid w:val="00C73BFD"/>
    <w:rsid w:val="00C77027"/>
    <w:rsid w:val="00C77AD4"/>
    <w:rsid w:val="00C77C27"/>
    <w:rsid w:val="00C80AED"/>
    <w:rsid w:val="00C81941"/>
    <w:rsid w:val="00C82158"/>
    <w:rsid w:val="00C82DAF"/>
    <w:rsid w:val="00C840AE"/>
    <w:rsid w:val="00C8415B"/>
    <w:rsid w:val="00C84F8F"/>
    <w:rsid w:val="00C858BB"/>
    <w:rsid w:val="00C85F29"/>
    <w:rsid w:val="00C87938"/>
    <w:rsid w:val="00C9060E"/>
    <w:rsid w:val="00C91B84"/>
    <w:rsid w:val="00C920A5"/>
    <w:rsid w:val="00C94CD5"/>
    <w:rsid w:val="00C96371"/>
    <w:rsid w:val="00C97590"/>
    <w:rsid w:val="00C97E32"/>
    <w:rsid w:val="00CA0BAE"/>
    <w:rsid w:val="00CA0E06"/>
    <w:rsid w:val="00CA123E"/>
    <w:rsid w:val="00CA2FDC"/>
    <w:rsid w:val="00CA3BBA"/>
    <w:rsid w:val="00CA416D"/>
    <w:rsid w:val="00CA49C1"/>
    <w:rsid w:val="00CA73C5"/>
    <w:rsid w:val="00CA7E66"/>
    <w:rsid w:val="00CB0387"/>
    <w:rsid w:val="00CB07F0"/>
    <w:rsid w:val="00CB0D98"/>
    <w:rsid w:val="00CB11E3"/>
    <w:rsid w:val="00CB2215"/>
    <w:rsid w:val="00CB318C"/>
    <w:rsid w:val="00CB5A01"/>
    <w:rsid w:val="00CB5D6D"/>
    <w:rsid w:val="00CB64D2"/>
    <w:rsid w:val="00CB6995"/>
    <w:rsid w:val="00CB6A19"/>
    <w:rsid w:val="00CC0602"/>
    <w:rsid w:val="00CC097E"/>
    <w:rsid w:val="00CC0D3C"/>
    <w:rsid w:val="00CC0E22"/>
    <w:rsid w:val="00CC2874"/>
    <w:rsid w:val="00CC2EF5"/>
    <w:rsid w:val="00CC39A6"/>
    <w:rsid w:val="00CC4045"/>
    <w:rsid w:val="00CC71C5"/>
    <w:rsid w:val="00CD2694"/>
    <w:rsid w:val="00CD6850"/>
    <w:rsid w:val="00CD73D9"/>
    <w:rsid w:val="00CE03AA"/>
    <w:rsid w:val="00CE06BF"/>
    <w:rsid w:val="00CE5B48"/>
    <w:rsid w:val="00CE67ED"/>
    <w:rsid w:val="00CE7FC3"/>
    <w:rsid w:val="00CF0056"/>
    <w:rsid w:val="00CF3A3F"/>
    <w:rsid w:val="00CF3B2E"/>
    <w:rsid w:val="00CF4010"/>
    <w:rsid w:val="00CF6193"/>
    <w:rsid w:val="00D004BF"/>
    <w:rsid w:val="00D00E5B"/>
    <w:rsid w:val="00D0180E"/>
    <w:rsid w:val="00D02F64"/>
    <w:rsid w:val="00D04785"/>
    <w:rsid w:val="00D04E78"/>
    <w:rsid w:val="00D10251"/>
    <w:rsid w:val="00D10375"/>
    <w:rsid w:val="00D10BB2"/>
    <w:rsid w:val="00D12680"/>
    <w:rsid w:val="00D136A7"/>
    <w:rsid w:val="00D15029"/>
    <w:rsid w:val="00D1529F"/>
    <w:rsid w:val="00D2006F"/>
    <w:rsid w:val="00D21463"/>
    <w:rsid w:val="00D21BCC"/>
    <w:rsid w:val="00D23289"/>
    <w:rsid w:val="00D23F4D"/>
    <w:rsid w:val="00D25D37"/>
    <w:rsid w:val="00D32C7D"/>
    <w:rsid w:val="00D32FB1"/>
    <w:rsid w:val="00D33AAA"/>
    <w:rsid w:val="00D34588"/>
    <w:rsid w:val="00D3478E"/>
    <w:rsid w:val="00D34D1C"/>
    <w:rsid w:val="00D35C9B"/>
    <w:rsid w:val="00D36C73"/>
    <w:rsid w:val="00D423EF"/>
    <w:rsid w:val="00D42546"/>
    <w:rsid w:val="00D42FD2"/>
    <w:rsid w:val="00D43000"/>
    <w:rsid w:val="00D43C70"/>
    <w:rsid w:val="00D44C9F"/>
    <w:rsid w:val="00D45938"/>
    <w:rsid w:val="00D52FDB"/>
    <w:rsid w:val="00D53EAD"/>
    <w:rsid w:val="00D54147"/>
    <w:rsid w:val="00D5477E"/>
    <w:rsid w:val="00D54C2F"/>
    <w:rsid w:val="00D57BF1"/>
    <w:rsid w:val="00D57E85"/>
    <w:rsid w:val="00D60AAD"/>
    <w:rsid w:val="00D60CCD"/>
    <w:rsid w:val="00D616C6"/>
    <w:rsid w:val="00D61FB6"/>
    <w:rsid w:val="00D62C54"/>
    <w:rsid w:val="00D64953"/>
    <w:rsid w:val="00D65884"/>
    <w:rsid w:val="00D6696D"/>
    <w:rsid w:val="00D704AB"/>
    <w:rsid w:val="00D70AF8"/>
    <w:rsid w:val="00D71F0A"/>
    <w:rsid w:val="00D72499"/>
    <w:rsid w:val="00D75C36"/>
    <w:rsid w:val="00D75CCF"/>
    <w:rsid w:val="00D76039"/>
    <w:rsid w:val="00D83DA2"/>
    <w:rsid w:val="00D8444F"/>
    <w:rsid w:val="00D87572"/>
    <w:rsid w:val="00D91DA7"/>
    <w:rsid w:val="00D93F72"/>
    <w:rsid w:val="00D94217"/>
    <w:rsid w:val="00D94686"/>
    <w:rsid w:val="00D953CD"/>
    <w:rsid w:val="00DA0A97"/>
    <w:rsid w:val="00DA6D87"/>
    <w:rsid w:val="00DA793B"/>
    <w:rsid w:val="00DB3001"/>
    <w:rsid w:val="00DB3BFF"/>
    <w:rsid w:val="00DB4A71"/>
    <w:rsid w:val="00DB4FFE"/>
    <w:rsid w:val="00DB656F"/>
    <w:rsid w:val="00DB7B42"/>
    <w:rsid w:val="00DC0030"/>
    <w:rsid w:val="00DC0279"/>
    <w:rsid w:val="00DC125A"/>
    <w:rsid w:val="00DC1848"/>
    <w:rsid w:val="00DC39EC"/>
    <w:rsid w:val="00DC4962"/>
    <w:rsid w:val="00DC7C21"/>
    <w:rsid w:val="00DD0998"/>
    <w:rsid w:val="00DD1D7E"/>
    <w:rsid w:val="00DD2E39"/>
    <w:rsid w:val="00DD4735"/>
    <w:rsid w:val="00DD67BF"/>
    <w:rsid w:val="00DE0209"/>
    <w:rsid w:val="00DE0378"/>
    <w:rsid w:val="00DE1175"/>
    <w:rsid w:val="00DE17D3"/>
    <w:rsid w:val="00DE2395"/>
    <w:rsid w:val="00DE33B0"/>
    <w:rsid w:val="00DE4C7A"/>
    <w:rsid w:val="00DE669C"/>
    <w:rsid w:val="00DE6E89"/>
    <w:rsid w:val="00DF13A8"/>
    <w:rsid w:val="00DF13DB"/>
    <w:rsid w:val="00DF252D"/>
    <w:rsid w:val="00DF3A4A"/>
    <w:rsid w:val="00DF492D"/>
    <w:rsid w:val="00DF4E89"/>
    <w:rsid w:val="00DF6036"/>
    <w:rsid w:val="00DF6BC3"/>
    <w:rsid w:val="00E00254"/>
    <w:rsid w:val="00E00716"/>
    <w:rsid w:val="00E00DF7"/>
    <w:rsid w:val="00E01296"/>
    <w:rsid w:val="00E02CBA"/>
    <w:rsid w:val="00E02D69"/>
    <w:rsid w:val="00E05798"/>
    <w:rsid w:val="00E10C49"/>
    <w:rsid w:val="00E12AA0"/>
    <w:rsid w:val="00E14221"/>
    <w:rsid w:val="00E14ACF"/>
    <w:rsid w:val="00E15A44"/>
    <w:rsid w:val="00E15C90"/>
    <w:rsid w:val="00E1649E"/>
    <w:rsid w:val="00E2022F"/>
    <w:rsid w:val="00E216D5"/>
    <w:rsid w:val="00E21F6A"/>
    <w:rsid w:val="00E22D99"/>
    <w:rsid w:val="00E27B16"/>
    <w:rsid w:val="00E30B22"/>
    <w:rsid w:val="00E32F2B"/>
    <w:rsid w:val="00E34334"/>
    <w:rsid w:val="00E34707"/>
    <w:rsid w:val="00E34ED3"/>
    <w:rsid w:val="00E37772"/>
    <w:rsid w:val="00E3798A"/>
    <w:rsid w:val="00E42835"/>
    <w:rsid w:val="00E4388F"/>
    <w:rsid w:val="00E46007"/>
    <w:rsid w:val="00E460F3"/>
    <w:rsid w:val="00E476AB"/>
    <w:rsid w:val="00E50177"/>
    <w:rsid w:val="00E5027B"/>
    <w:rsid w:val="00E51D58"/>
    <w:rsid w:val="00E53E54"/>
    <w:rsid w:val="00E5626A"/>
    <w:rsid w:val="00E62837"/>
    <w:rsid w:val="00E64ACD"/>
    <w:rsid w:val="00E70609"/>
    <w:rsid w:val="00E7310E"/>
    <w:rsid w:val="00E74ABB"/>
    <w:rsid w:val="00E772E5"/>
    <w:rsid w:val="00E77BCF"/>
    <w:rsid w:val="00E80313"/>
    <w:rsid w:val="00E82585"/>
    <w:rsid w:val="00E840B4"/>
    <w:rsid w:val="00E8621C"/>
    <w:rsid w:val="00E90E7F"/>
    <w:rsid w:val="00E928F0"/>
    <w:rsid w:val="00EA097B"/>
    <w:rsid w:val="00EA0ABD"/>
    <w:rsid w:val="00EA1141"/>
    <w:rsid w:val="00EA4096"/>
    <w:rsid w:val="00EA46E7"/>
    <w:rsid w:val="00EA4D26"/>
    <w:rsid w:val="00EA6075"/>
    <w:rsid w:val="00EA68B9"/>
    <w:rsid w:val="00EA756D"/>
    <w:rsid w:val="00EA7FA8"/>
    <w:rsid w:val="00EB1636"/>
    <w:rsid w:val="00EB3C2A"/>
    <w:rsid w:val="00EB3C6F"/>
    <w:rsid w:val="00EB4183"/>
    <w:rsid w:val="00EB5133"/>
    <w:rsid w:val="00EB59C5"/>
    <w:rsid w:val="00EC199A"/>
    <w:rsid w:val="00EC3030"/>
    <w:rsid w:val="00EC3083"/>
    <w:rsid w:val="00EC5321"/>
    <w:rsid w:val="00EC66C0"/>
    <w:rsid w:val="00EC6993"/>
    <w:rsid w:val="00ED0DE1"/>
    <w:rsid w:val="00ED2FD9"/>
    <w:rsid w:val="00ED3928"/>
    <w:rsid w:val="00ED5E3E"/>
    <w:rsid w:val="00ED7146"/>
    <w:rsid w:val="00EE063B"/>
    <w:rsid w:val="00EE0AA9"/>
    <w:rsid w:val="00EE2354"/>
    <w:rsid w:val="00EE23CB"/>
    <w:rsid w:val="00EE259B"/>
    <w:rsid w:val="00EE47EE"/>
    <w:rsid w:val="00EE5F14"/>
    <w:rsid w:val="00EE6353"/>
    <w:rsid w:val="00EE6467"/>
    <w:rsid w:val="00EE759D"/>
    <w:rsid w:val="00EE76E2"/>
    <w:rsid w:val="00EF1344"/>
    <w:rsid w:val="00EF1962"/>
    <w:rsid w:val="00EF226B"/>
    <w:rsid w:val="00EF4697"/>
    <w:rsid w:val="00EF56A7"/>
    <w:rsid w:val="00EF5DE2"/>
    <w:rsid w:val="00F007E0"/>
    <w:rsid w:val="00F00937"/>
    <w:rsid w:val="00F0429A"/>
    <w:rsid w:val="00F049B3"/>
    <w:rsid w:val="00F05B49"/>
    <w:rsid w:val="00F10C21"/>
    <w:rsid w:val="00F10C84"/>
    <w:rsid w:val="00F12356"/>
    <w:rsid w:val="00F13CF7"/>
    <w:rsid w:val="00F141BF"/>
    <w:rsid w:val="00F14D34"/>
    <w:rsid w:val="00F15E91"/>
    <w:rsid w:val="00F20AFA"/>
    <w:rsid w:val="00F21CED"/>
    <w:rsid w:val="00F22399"/>
    <w:rsid w:val="00F22F1A"/>
    <w:rsid w:val="00F245FC"/>
    <w:rsid w:val="00F25A83"/>
    <w:rsid w:val="00F268C3"/>
    <w:rsid w:val="00F26F89"/>
    <w:rsid w:val="00F27B90"/>
    <w:rsid w:val="00F315C9"/>
    <w:rsid w:val="00F31F2D"/>
    <w:rsid w:val="00F34DC3"/>
    <w:rsid w:val="00F355D9"/>
    <w:rsid w:val="00F35990"/>
    <w:rsid w:val="00F35CDA"/>
    <w:rsid w:val="00F36752"/>
    <w:rsid w:val="00F429F7"/>
    <w:rsid w:val="00F42D42"/>
    <w:rsid w:val="00F42E31"/>
    <w:rsid w:val="00F4329F"/>
    <w:rsid w:val="00F45566"/>
    <w:rsid w:val="00F45B72"/>
    <w:rsid w:val="00F506F9"/>
    <w:rsid w:val="00F512E2"/>
    <w:rsid w:val="00F51E5E"/>
    <w:rsid w:val="00F53340"/>
    <w:rsid w:val="00F54A1F"/>
    <w:rsid w:val="00F60E6D"/>
    <w:rsid w:val="00F6254C"/>
    <w:rsid w:val="00F62BD2"/>
    <w:rsid w:val="00F637E4"/>
    <w:rsid w:val="00F6456E"/>
    <w:rsid w:val="00F64B32"/>
    <w:rsid w:val="00F65543"/>
    <w:rsid w:val="00F65BB0"/>
    <w:rsid w:val="00F70477"/>
    <w:rsid w:val="00F70C4B"/>
    <w:rsid w:val="00F7290E"/>
    <w:rsid w:val="00F73CFC"/>
    <w:rsid w:val="00F76AB0"/>
    <w:rsid w:val="00F76B05"/>
    <w:rsid w:val="00F77786"/>
    <w:rsid w:val="00F80024"/>
    <w:rsid w:val="00F808C0"/>
    <w:rsid w:val="00F81BAD"/>
    <w:rsid w:val="00F82159"/>
    <w:rsid w:val="00F83712"/>
    <w:rsid w:val="00F83EFF"/>
    <w:rsid w:val="00F83FEC"/>
    <w:rsid w:val="00F8438B"/>
    <w:rsid w:val="00F846EE"/>
    <w:rsid w:val="00F84717"/>
    <w:rsid w:val="00F84AC0"/>
    <w:rsid w:val="00F859B1"/>
    <w:rsid w:val="00F85CA3"/>
    <w:rsid w:val="00F867DE"/>
    <w:rsid w:val="00F87EDD"/>
    <w:rsid w:val="00F91142"/>
    <w:rsid w:val="00F91AE7"/>
    <w:rsid w:val="00F931DE"/>
    <w:rsid w:val="00F95C77"/>
    <w:rsid w:val="00F96B80"/>
    <w:rsid w:val="00FA06B7"/>
    <w:rsid w:val="00FA12DC"/>
    <w:rsid w:val="00FA2927"/>
    <w:rsid w:val="00FA31D8"/>
    <w:rsid w:val="00FA3B63"/>
    <w:rsid w:val="00FA3C38"/>
    <w:rsid w:val="00FA43EC"/>
    <w:rsid w:val="00FA5617"/>
    <w:rsid w:val="00FA672D"/>
    <w:rsid w:val="00FA6D5C"/>
    <w:rsid w:val="00FA76CD"/>
    <w:rsid w:val="00FB248C"/>
    <w:rsid w:val="00FB2AB3"/>
    <w:rsid w:val="00FB38C9"/>
    <w:rsid w:val="00FB5D40"/>
    <w:rsid w:val="00FB5DAD"/>
    <w:rsid w:val="00FC03A2"/>
    <w:rsid w:val="00FC05CC"/>
    <w:rsid w:val="00FC3AB4"/>
    <w:rsid w:val="00FC3E3F"/>
    <w:rsid w:val="00FC521D"/>
    <w:rsid w:val="00FC5DD1"/>
    <w:rsid w:val="00FC64C5"/>
    <w:rsid w:val="00FC7D5B"/>
    <w:rsid w:val="00FD03E0"/>
    <w:rsid w:val="00FD0D2C"/>
    <w:rsid w:val="00FD0D8B"/>
    <w:rsid w:val="00FD1C4E"/>
    <w:rsid w:val="00FD2D7A"/>
    <w:rsid w:val="00FD37F2"/>
    <w:rsid w:val="00FD44E8"/>
    <w:rsid w:val="00FD7200"/>
    <w:rsid w:val="00FE2B24"/>
    <w:rsid w:val="00FE2C70"/>
    <w:rsid w:val="00FE5F30"/>
    <w:rsid w:val="00FE6ABD"/>
    <w:rsid w:val="00FE760F"/>
    <w:rsid w:val="00FF2680"/>
    <w:rsid w:val="00FF3199"/>
    <w:rsid w:val="00FF3DBB"/>
    <w:rsid w:val="00FF4135"/>
    <w:rsid w:val="00FF4805"/>
    <w:rsid w:val="00FF79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30E5C9"/>
  <w15:chartTrackingRefBased/>
  <w15:docId w15:val="{5C9298F1-1B4A-4A57-BC3B-20DB33A5F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AC64B3"/>
    <w:pPr>
      <w:keepNext/>
      <w:keepLines/>
      <w:spacing w:before="160" w:after="80" w:line="276" w:lineRule="atLeast"/>
      <w:outlineLvl w:val="2"/>
    </w:pPr>
    <w:rPr>
      <w:rFonts w:ascii="ApAos" w:hAnsi="ApAos" w:cs="ApAos"/>
      <w:color w:val="008080"/>
      <w:sz w:val="28"/>
      <w:szCs w:val="20"/>
      <w:lang w:val="es-MX" w:eastAsia="es-MX"/>
    </w:rPr>
  </w:style>
  <w:style w:type="paragraph" w:styleId="Heading4">
    <w:name w:val="heading 4"/>
    <w:basedOn w:val="Normal"/>
    <w:next w:val="Normal"/>
    <w:link w:val="Heading4Char"/>
    <w:qFormat/>
    <w:rsid w:val="00AC64B3"/>
    <w:pPr>
      <w:keepNext/>
      <w:keepLines/>
      <w:spacing w:before="80" w:after="40" w:line="276" w:lineRule="atLeast"/>
      <w:outlineLvl w:val="3"/>
    </w:pPr>
    <w:rPr>
      <w:rFonts w:ascii="ApAos" w:hAnsi="ApAos" w:cs="ApAos"/>
      <w:i/>
      <w:color w:val="008080"/>
      <w:sz w:val="21"/>
      <w:szCs w:val="20"/>
      <w:lang w:val="es-MX" w:eastAsia="es-MX"/>
    </w:rPr>
  </w:style>
  <w:style w:type="paragraph" w:styleId="Heading5">
    <w:name w:val="heading 5"/>
    <w:basedOn w:val="Normal"/>
    <w:next w:val="Normal"/>
    <w:link w:val="Heading5Char"/>
    <w:qFormat/>
    <w:rsid w:val="00AC64B3"/>
    <w:pPr>
      <w:keepNext/>
      <w:keepLines/>
      <w:spacing w:before="80" w:after="40" w:line="276" w:lineRule="atLeast"/>
      <w:outlineLvl w:val="4"/>
    </w:pPr>
    <w:rPr>
      <w:rFonts w:ascii="ApAos" w:hAnsi="ApAos" w:cs="ApAos"/>
      <w:color w:val="008080"/>
      <w:sz w:val="21"/>
      <w:szCs w:val="20"/>
      <w:lang w:val="es-MX" w:eastAsia="es-MX"/>
    </w:rPr>
  </w:style>
  <w:style w:type="paragraph" w:styleId="Heading6">
    <w:name w:val="heading 6"/>
    <w:basedOn w:val="Normal"/>
    <w:next w:val="Normal"/>
    <w:link w:val="Heading6Char"/>
    <w:qFormat/>
    <w:rsid w:val="00AC64B3"/>
    <w:pPr>
      <w:keepNext/>
      <w:keepLines/>
      <w:spacing w:before="40" w:line="276" w:lineRule="atLeast"/>
      <w:outlineLvl w:val="5"/>
    </w:pPr>
    <w:rPr>
      <w:rFonts w:ascii="ApAos" w:hAnsi="ApAos" w:cs="ApAos"/>
      <w:i/>
      <w:color w:val="808080"/>
      <w:sz w:val="21"/>
      <w:szCs w:val="20"/>
      <w:lang w:val="es-MX" w:eastAsia="es-MX"/>
    </w:rPr>
  </w:style>
  <w:style w:type="paragraph" w:styleId="Heading7">
    <w:name w:val="heading 7"/>
    <w:basedOn w:val="Normal"/>
    <w:next w:val="Normal"/>
    <w:link w:val="Heading7Char"/>
    <w:qFormat/>
    <w:rsid w:val="00AC64B3"/>
    <w:pPr>
      <w:keepNext/>
      <w:keepLines/>
      <w:spacing w:before="40" w:line="276" w:lineRule="atLeast"/>
      <w:outlineLvl w:val="6"/>
    </w:pPr>
    <w:rPr>
      <w:rFonts w:ascii="ApAos" w:hAnsi="ApAos" w:cs="ApAos"/>
      <w:color w:val="808080"/>
      <w:sz w:val="21"/>
      <w:szCs w:val="20"/>
      <w:lang w:val="es-MX" w:eastAsia="es-MX"/>
    </w:rPr>
  </w:style>
  <w:style w:type="paragraph" w:styleId="Heading8">
    <w:name w:val="heading 8"/>
    <w:basedOn w:val="Normal"/>
    <w:next w:val="Normal"/>
    <w:link w:val="Heading8Char"/>
    <w:qFormat/>
    <w:rsid w:val="00AC64B3"/>
    <w:pPr>
      <w:keepNext/>
      <w:keepLines/>
      <w:spacing w:line="276" w:lineRule="atLeast"/>
      <w:outlineLvl w:val="7"/>
    </w:pPr>
    <w:rPr>
      <w:rFonts w:ascii="ApAos" w:hAnsi="ApAos" w:cs="ApAos"/>
      <w:i/>
      <w:color w:val="000000"/>
      <w:sz w:val="21"/>
      <w:szCs w:val="20"/>
      <w:lang w:val="es-MX" w:eastAsia="es-MX"/>
    </w:rPr>
  </w:style>
  <w:style w:type="paragraph" w:styleId="Heading9">
    <w:name w:val="heading 9"/>
    <w:basedOn w:val="Normal"/>
    <w:next w:val="Normal"/>
    <w:link w:val="Heading9Char"/>
    <w:qFormat/>
    <w:rsid w:val="00AC64B3"/>
    <w:pPr>
      <w:keepNext/>
      <w:keepLines/>
      <w:spacing w:line="276" w:lineRule="atLeast"/>
      <w:outlineLvl w:val="8"/>
    </w:pPr>
    <w:rPr>
      <w:rFonts w:ascii="ApAos" w:hAnsi="ApAos" w:cs="ApAos"/>
      <w:color w:val="000000"/>
      <w:sz w:val="21"/>
      <w:szCs w:val="20"/>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styleId="CommentText">
    <w:name w:val="annotation text"/>
    <w:basedOn w:val="Normal"/>
    <w:link w:val="CommentTextChar"/>
    <w:rsid w:val="00D44C9F"/>
    <w:pPr>
      <w:jc w:val="both"/>
    </w:pPr>
    <w:rPr>
      <w:rFonts w:ascii="ArAal Black" w:hAnsi="ArAal Black" w:cs="ArAal Black"/>
      <w:szCs w:val="20"/>
      <w:lang w:eastAsia="es-MX"/>
    </w:rPr>
  </w:style>
  <w:style w:type="character" w:customStyle="1" w:styleId="CommentTextChar">
    <w:name w:val="Comment Text Char"/>
    <w:link w:val="CommentText"/>
    <w:rsid w:val="00D44C9F"/>
    <w:rPr>
      <w:rFonts w:ascii="ArAal Black" w:hAnsi="ArAal Black" w:cs="ArAal Black"/>
      <w:sz w:val="24"/>
      <w:lang w:val="es-ES"/>
    </w:rPr>
  </w:style>
  <w:style w:type="paragraph" w:customStyle="1" w:styleId="EstilotextoPrimeral">
    <w:name w:val="Estilo texto + Primera l"/>
    <w:basedOn w:val="Normal"/>
    <w:rsid w:val="00D44C9F"/>
    <w:pPr>
      <w:spacing w:after="101" w:line="216" w:lineRule="exact"/>
      <w:jc w:val="both"/>
    </w:pPr>
    <w:rPr>
      <w:rFonts w:ascii="ArAal" w:hAnsi="ArAal" w:cs="ArAal"/>
      <w:sz w:val="18"/>
      <w:szCs w:val="20"/>
      <w:lang w:val="es-MX" w:eastAsia="es-MX"/>
    </w:rPr>
  </w:style>
  <w:style w:type="paragraph" w:customStyle="1" w:styleId="texto0">
    <w:name w:val="texto"/>
    <w:basedOn w:val="Normal"/>
    <w:rsid w:val="00D44C9F"/>
    <w:pPr>
      <w:spacing w:after="101" w:line="216" w:lineRule="exact"/>
      <w:ind w:firstLine="288"/>
      <w:jc w:val="both"/>
    </w:pPr>
    <w:rPr>
      <w:rFonts w:ascii="ArAal" w:hAnsi="ArAal" w:cs="ArAal"/>
      <w:sz w:val="18"/>
      <w:szCs w:val="20"/>
      <w:lang w:val="es-MX" w:eastAsia="es-MX"/>
    </w:rPr>
  </w:style>
  <w:style w:type="paragraph" w:customStyle="1" w:styleId="Default">
    <w:name w:val="Default"/>
    <w:rsid w:val="00D44C9F"/>
    <w:rPr>
      <w:rFonts w:ascii="ArAal" w:hAnsi="ArAal" w:cs="ArAal"/>
      <w:color w:val="000000"/>
      <w:sz w:val="24"/>
      <w:lang w:val="es-MX" w:eastAsia="es-MX"/>
    </w:rPr>
  </w:style>
  <w:style w:type="paragraph" w:customStyle="1" w:styleId="BalloonText2">
    <w:name w:val="Balloon Text2"/>
    <w:basedOn w:val="Normal"/>
    <w:rsid w:val="00D44C9F"/>
    <w:rPr>
      <w:rFonts w:ascii="SeAoe UI" w:hAnsi="SeAoe UI" w:cs="SeAoe UI"/>
      <w:sz w:val="18"/>
      <w:szCs w:val="20"/>
      <w:lang w:eastAsia="es-MX"/>
    </w:rPr>
  </w:style>
  <w:style w:type="paragraph" w:customStyle="1" w:styleId="Sumario">
    <w:name w:val="Sumario"/>
    <w:basedOn w:val="Normal"/>
    <w:rsid w:val="00D44C9F"/>
    <w:pPr>
      <w:tabs>
        <w:tab w:val="right" w:leader="dot" w:pos="8107"/>
        <w:tab w:val="right" w:pos="8640"/>
      </w:tabs>
      <w:spacing w:line="260" w:lineRule="exact"/>
      <w:ind w:left="274" w:right="749"/>
      <w:jc w:val="both"/>
    </w:pPr>
    <w:rPr>
      <w:rFonts w:ascii="ArAal" w:hAnsi="ArAal" w:cs="ArAal"/>
      <w:sz w:val="18"/>
      <w:szCs w:val="20"/>
      <w:lang w:eastAsia="es-MX"/>
    </w:rPr>
  </w:style>
  <w:style w:type="paragraph" w:customStyle="1" w:styleId="Secreta">
    <w:name w:val="Secreta"/>
    <w:basedOn w:val="Normal"/>
    <w:rsid w:val="00D44C9F"/>
    <w:pPr>
      <w:tabs>
        <w:tab w:val="right" w:leader="dot" w:pos="8100"/>
        <w:tab w:val="right" w:pos="8640"/>
      </w:tabs>
      <w:spacing w:line="334" w:lineRule="exact"/>
      <w:ind w:left="274" w:right="749"/>
      <w:jc w:val="both"/>
    </w:pPr>
    <w:rPr>
      <w:rFonts w:ascii="TiAes New Roman" w:hAnsi="TiAes New Roman" w:cs="TiAes New Roman"/>
      <w:b/>
      <w:sz w:val="20"/>
      <w:szCs w:val="20"/>
      <w:u w:val="single"/>
      <w:lang w:val="es-ES_tradnl" w:eastAsia="es-MX"/>
    </w:rPr>
  </w:style>
  <w:style w:type="paragraph" w:customStyle="1" w:styleId="CommentSubject1">
    <w:name w:val="Comment Subject1"/>
    <w:basedOn w:val="CommentText"/>
    <w:next w:val="CommentText"/>
    <w:rsid w:val="00D44C9F"/>
    <w:rPr>
      <w:b/>
    </w:rPr>
  </w:style>
  <w:style w:type="paragraph" w:customStyle="1" w:styleId="Revisin">
    <w:name w:val="Revisión"/>
    <w:rsid w:val="00D44C9F"/>
    <w:rPr>
      <w:rFonts w:ascii="TiAes New Roman" w:hAnsi="TiAes New Roman" w:cs="TiAes New Roman"/>
      <w:sz w:val="24"/>
      <w:lang w:val="es-ES" w:eastAsia="es-MX"/>
    </w:rPr>
  </w:style>
  <w:style w:type="paragraph" w:customStyle="1" w:styleId="Prrafodelista">
    <w:name w:val="Párrafo de lista"/>
    <w:basedOn w:val="Normal"/>
    <w:qFormat/>
    <w:rsid w:val="00D44C9F"/>
    <w:pPr>
      <w:ind w:left="708"/>
    </w:pPr>
    <w:rPr>
      <w:rFonts w:ascii="TiAes New Roman" w:hAnsi="TiAes New Roman" w:cs="TiAes New Roman"/>
      <w:szCs w:val="20"/>
      <w:lang w:eastAsia="es-MX"/>
    </w:rPr>
  </w:style>
  <w:style w:type="paragraph" w:customStyle="1" w:styleId="Sinespaciado">
    <w:name w:val="Sin espaciado"/>
    <w:qFormat/>
    <w:rsid w:val="00D44C9F"/>
    <w:rPr>
      <w:rFonts w:ascii="CaAibri" w:hAnsi="CaAibri" w:cs="CaAibri"/>
      <w:sz w:val="24"/>
      <w:lang w:val="es-MX" w:eastAsia="es-MX"/>
    </w:rPr>
  </w:style>
  <w:style w:type="character" w:customStyle="1" w:styleId="Heading3Char">
    <w:name w:val="Heading 3 Char"/>
    <w:link w:val="Heading3"/>
    <w:rsid w:val="00AC64B3"/>
    <w:rPr>
      <w:rFonts w:ascii="ApAos" w:hAnsi="ApAos" w:cs="ApAos"/>
      <w:color w:val="008080"/>
      <w:sz w:val="28"/>
    </w:rPr>
  </w:style>
  <w:style w:type="character" w:customStyle="1" w:styleId="Heading4Char">
    <w:name w:val="Heading 4 Char"/>
    <w:link w:val="Heading4"/>
    <w:rsid w:val="00AC64B3"/>
    <w:rPr>
      <w:rFonts w:ascii="ApAos" w:hAnsi="ApAos" w:cs="ApAos"/>
      <w:i/>
      <w:color w:val="008080"/>
      <w:sz w:val="21"/>
    </w:rPr>
  </w:style>
  <w:style w:type="character" w:customStyle="1" w:styleId="Heading5Char">
    <w:name w:val="Heading 5 Char"/>
    <w:link w:val="Heading5"/>
    <w:rsid w:val="00AC64B3"/>
    <w:rPr>
      <w:rFonts w:ascii="ApAos" w:hAnsi="ApAos" w:cs="ApAos"/>
      <w:color w:val="008080"/>
      <w:sz w:val="21"/>
    </w:rPr>
  </w:style>
  <w:style w:type="character" w:customStyle="1" w:styleId="Heading6Char">
    <w:name w:val="Heading 6 Char"/>
    <w:link w:val="Heading6"/>
    <w:rsid w:val="00AC64B3"/>
    <w:rPr>
      <w:rFonts w:ascii="ApAos" w:hAnsi="ApAos" w:cs="ApAos"/>
      <w:i/>
      <w:color w:val="808080"/>
      <w:sz w:val="21"/>
    </w:rPr>
  </w:style>
  <w:style w:type="character" w:customStyle="1" w:styleId="Heading7Char">
    <w:name w:val="Heading 7 Char"/>
    <w:link w:val="Heading7"/>
    <w:rsid w:val="00AC64B3"/>
    <w:rPr>
      <w:rFonts w:ascii="ApAos" w:hAnsi="ApAos" w:cs="ApAos"/>
      <w:color w:val="808080"/>
      <w:sz w:val="21"/>
    </w:rPr>
  </w:style>
  <w:style w:type="character" w:customStyle="1" w:styleId="Heading8Char">
    <w:name w:val="Heading 8 Char"/>
    <w:link w:val="Heading8"/>
    <w:rsid w:val="00AC64B3"/>
    <w:rPr>
      <w:rFonts w:ascii="ApAos" w:hAnsi="ApAos" w:cs="ApAos"/>
      <w:i/>
      <w:color w:val="000000"/>
      <w:sz w:val="21"/>
    </w:rPr>
  </w:style>
  <w:style w:type="character" w:customStyle="1" w:styleId="Heading9Char">
    <w:name w:val="Heading 9 Char"/>
    <w:link w:val="Heading9"/>
    <w:rsid w:val="00AC64B3"/>
    <w:rPr>
      <w:rFonts w:ascii="ApAos" w:hAnsi="ApAos" w:cs="ApAos"/>
      <w:color w:val="000000"/>
      <w:sz w:val="21"/>
    </w:rPr>
  </w:style>
  <w:style w:type="paragraph" w:styleId="TOC1">
    <w:name w:val="toc 1"/>
    <w:basedOn w:val="Normal"/>
    <w:next w:val="Normal"/>
    <w:rsid w:val="00AC64B3"/>
    <w:pPr>
      <w:tabs>
        <w:tab w:val="right" w:leader="dot" w:pos="8830"/>
      </w:tabs>
      <w:spacing w:before="120" w:after="100" w:line="276" w:lineRule="atLeast"/>
      <w:ind w:left="567" w:hanging="567"/>
      <w:jc w:val="both"/>
    </w:pPr>
    <w:rPr>
      <w:rFonts w:ascii="ArAal" w:hAnsi="ArAal" w:cs="ArAal"/>
      <w:sz w:val="28"/>
      <w:szCs w:val="20"/>
      <w:lang w:val="es-MX" w:eastAsia="es-MX"/>
    </w:rPr>
  </w:style>
  <w:style w:type="paragraph" w:styleId="FootnoteText">
    <w:name w:val="footnote text"/>
    <w:basedOn w:val="Normal"/>
    <w:link w:val="FootnoteTextChar"/>
    <w:rsid w:val="00AC64B3"/>
    <w:pPr>
      <w:spacing w:after="160" w:line="276" w:lineRule="atLeast"/>
    </w:pPr>
    <w:rPr>
      <w:rFonts w:ascii="CaAibri" w:hAnsi="CaAibri" w:cs="CaAibri"/>
      <w:sz w:val="20"/>
      <w:szCs w:val="20"/>
      <w:lang w:val="en-US" w:eastAsia="es-MX"/>
    </w:rPr>
  </w:style>
  <w:style w:type="character" w:customStyle="1" w:styleId="FootnoteTextChar">
    <w:name w:val="Footnote Text Char"/>
    <w:link w:val="FootnoteText"/>
    <w:rsid w:val="00AC64B3"/>
    <w:rPr>
      <w:rFonts w:ascii="CaAibri" w:hAnsi="CaAibri" w:cs="CaAibri"/>
      <w:lang w:val="en-US"/>
    </w:rPr>
  </w:style>
  <w:style w:type="paragraph" w:styleId="NormalIndent">
    <w:name w:val="Normal Indent"/>
    <w:basedOn w:val="Normal"/>
    <w:rsid w:val="00AC64B3"/>
    <w:pPr>
      <w:spacing w:after="72" w:line="187" w:lineRule="atLeast"/>
      <w:jc w:val="both"/>
    </w:pPr>
    <w:rPr>
      <w:rFonts w:ascii="ArAal" w:hAnsi="ArAal" w:cs="ArAal"/>
      <w:sz w:val="16"/>
      <w:szCs w:val="20"/>
      <w:lang w:val="es-ES_tradnl" w:eastAsia="es-MX"/>
    </w:rPr>
  </w:style>
  <w:style w:type="paragraph" w:customStyle="1" w:styleId="Ttulo2">
    <w:name w:val="Título2"/>
    <w:basedOn w:val="Normal"/>
    <w:next w:val="Normal"/>
    <w:rsid w:val="00AC64B3"/>
    <w:pPr>
      <w:spacing w:after="80"/>
    </w:pPr>
    <w:rPr>
      <w:rFonts w:ascii="ApAos Display" w:hAnsi="ApAos Display" w:cs="ApAos Display"/>
      <w:spacing w:val="-10"/>
      <w:sz w:val="56"/>
      <w:szCs w:val="20"/>
      <w:lang w:val="es-MX" w:eastAsia="es-MX"/>
    </w:rPr>
  </w:style>
  <w:style w:type="paragraph" w:styleId="Subtitle">
    <w:name w:val="Subtitle"/>
    <w:basedOn w:val="Normal"/>
    <w:next w:val="Normal"/>
    <w:link w:val="SubtitleChar"/>
    <w:qFormat/>
    <w:rsid w:val="00AC64B3"/>
    <w:pPr>
      <w:spacing w:after="160" w:line="276" w:lineRule="atLeast"/>
    </w:pPr>
    <w:rPr>
      <w:rFonts w:ascii="ApAos" w:hAnsi="ApAos" w:cs="ApAos"/>
      <w:color w:val="808080"/>
      <w:spacing w:val="15"/>
      <w:sz w:val="28"/>
      <w:szCs w:val="20"/>
      <w:lang w:val="es-MX" w:eastAsia="es-MX"/>
    </w:rPr>
  </w:style>
  <w:style w:type="character" w:customStyle="1" w:styleId="SubtitleChar">
    <w:name w:val="Subtitle Char"/>
    <w:link w:val="Subtitle"/>
    <w:rsid w:val="00AC64B3"/>
    <w:rPr>
      <w:rFonts w:ascii="ApAos" w:hAnsi="ApAos" w:cs="ApAos"/>
      <w:color w:val="808080"/>
      <w:spacing w:val="15"/>
      <w:sz w:val="28"/>
    </w:rPr>
  </w:style>
  <w:style w:type="paragraph" w:customStyle="1" w:styleId="Cita">
    <w:name w:val="Cita"/>
    <w:basedOn w:val="Normal"/>
    <w:next w:val="Normal"/>
    <w:link w:val="CitaCar"/>
    <w:qFormat/>
    <w:rsid w:val="00AC64B3"/>
    <w:pPr>
      <w:spacing w:before="160" w:after="160" w:line="276" w:lineRule="atLeast"/>
      <w:jc w:val="center"/>
    </w:pPr>
    <w:rPr>
      <w:rFonts w:ascii="ApAos" w:hAnsi="ApAos" w:cs="ApAos"/>
      <w:i/>
      <w:color w:val="000000"/>
      <w:sz w:val="21"/>
      <w:szCs w:val="20"/>
      <w:lang w:val="es-MX" w:eastAsia="es-MX"/>
    </w:rPr>
  </w:style>
  <w:style w:type="character" w:customStyle="1" w:styleId="CitaCar">
    <w:name w:val="Cita Car"/>
    <w:link w:val="Cita"/>
    <w:rsid w:val="00AC64B3"/>
    <w:rPr>
      <w:rFonts w:ascii="ApAos" w:hAnsi="ApAos" w:cs="ApAos"/>
      <w:i/>
      <w:color w:val="000000"/>
      <w:sz w:val="21"/>
    </w:rPr>
  </w:style>
  <w:style w:type="paragraph" w:customStyle="1" w:styleId="Citadestacada">
    <w:name w:val="Cita destacada"/>
    <w:basedOn w:val="Normal"/>
    <w:next w:val="Normal"/>
    <w:link w:val="CitadestacadaCar"/>
    <w:qFormat/>
    <w:rsid w:val="00AC64B3"/>
    <w:pPr>
      <w:pBdr>
        <w:top w:val="single" w:sz="6" w:space="10" w:color="008080"/>
        <w:bottom w:val="single" w:sz="6" w:space="10" w:color="008080"/>
      </w:pBdr>
      <w:spacing w:before="360" w:after="360" w:line="276" w:lineRule="atLeast"/>
      <w:ind w:left="864" w:right="864"/>
      <w:jc w:val="center"/>
    </w:pPr>
    <w:rPr>
      <w:rFonts w:ascii="ApAos" w:hAnsi="ApAos" w:cs="ApAos"/>
      <w:i/>
      <w:color w:val="008080"/>
      <w:sz w:val="21"/>
      <w:szCs w:val="20"/>
      <w:lang w:val="es-MX" w:eastAsia="es-MX"/>
    </w:rPr>
  </w:style>
  <w:style w:type="character" w:customStyle="1" w:styleId="CitadestacadaCar">
    <w:name w:val="Cita destacada Car"/>
    <w:link w:val="Citadestacada"/>
    <w:rsid w:val="00AC64B3"/>
    <w:rPr>
      <w:rFonts w:ascii="ApAos" w:hAnsi="ApAos" w:cs="ApAos"/>
      <w:i/>
      <w:color w:val="008080"/>
      <w:sz w:val="21"/>
    </w:rPr>
  </w:style>
  <w:style w:type="paragraph" w:customStyle="1" w:styleId="PlainText2">
    <w:name w:val="Plain Text2"/>
    <w:basedOn w:val="Normal"/>
    <w:rsid w:val="00AC64B3"/>
    <w:pPr>
      <w:spacing w:after="160" w:line="276" w:lineRule="atLeast"/>
    </w:pPr>
    <w:rPr>
      <w:rFonts w:ascii="CoArier New" w:hAnsi="CoArier New" w:cs="CoArier New"/>
      <w:sz w:val="20"/>
      <w:szCs w:val="20"/>
      <w:lang w:eastAsia="es-MX"/>
    </w:rPr>
  </w:style>
  <w:style w:type="paragraph" w:customStyle="1" w:styleId="BodyText22">
    <w:name w:val="Body Text 22"/>
    <w:basedOn w:val="Normal"/>
    <w:rsid w:val="00AC64B3"/>
    <w:pPr>
      <w:spacing w:after="160" w:line="276" w:lineRule="atLeast"/>
      <w:jc w:val="both"/>
    </w:pPr>
    <w:rPr>
      <w:rFonts w:ascii="ArAal" w:hAnsi="ArAal" w:cs="ArAal"/>
      <w:sz w:val="22"/>
      <w:szCs w:val="20"/>
      <w:lang w:eastAsia="es-MX"/>
    </w:rPr>
  </w:style>
  <w:style w:type="paragraph" w:styleId="NormalWeb">
    <w:name w:val="Normal (Web)"/>
    <w:basedOn w:val="Normal"/>
    <w:rsid w:val="00AC64B3"/>
    <w:pPr>
      <w:spacing w:before="100" w:after="100" w:line="276" w:lineRule="atLeast"/>
    </w:pPr>
    <w:rPr>
      <w:rFonts w:ascii="ArAal" w:hAnsi="ArAal" w:cs="ArAal"/>
      <w:color w:val="008080"/>
      <w:sz w:val="19"/>
      <w:szCs w:val="20"/>
      <w:lang w:eastAsia="es-MX"/>
    </w:rPr>
  </w:style>
  <w:style w:type="paragraph" w:customStyle="1" w:styleId="Estilosinnombre">
    <w:name w:val="Estilo sin nombre"/>
    <w:basedOn w:val="Normal"/>
    <w:rsid w:val="00AC64B3"/>
    <w:pPr>
      <w:spacing w:after="160" w:line="240" w:lineRule="exact"/>
    </w:pPr>
    <w:rPr>
      <w:rFonts w:ascii="TaAoma" w:hAnsi="TaAoma" w:cs="TaAoma"/>
      <w:sz w:val="20"/>
      <w:szCs w:val="20"/>
      <w:lang w:eastAsia="es-MX"/>
    </w:rPr>
  </w:style>
  <w:style w:type="paragraph" w:customStyle="1" w:styleId="BalloonText1">
    <w:name w:val="Balloon Text1"/>
    <w:basedOn w:val="Normal"/>
    <w:rsid w:val="00AC64B3"/>
    <w:pPr>
      <w:spacing w:after="160" w:line="276" w:lineRule="atLeast"/>
    </w:pPr>
    <w:rPr>
      <w:rFonts w:ascii="TaAoma" w:hAnsi="TaAoma" w:cs="TaAoma"/>
      <w:sz w:val="16"/>
      <w:szCs w:val="20"/>
      <w:lang w:eastAsia="es-MX"/>
    </w:rPr>
  </w:style>
  <w:style w:type="paragraph" w:customStyle="1" w:styleId="centrar">
    <w:name w:val="centrar"/>
    <w:basedOn w:val="Normal"/>
    <w:rsid w:val="00AC64B3"/>
    <w:pPr>
      <w:spacing w:before="100" w:after="100" w:line="276" w:lineRule="atLeast"/>
    </w:pPr>
    <w:rPr>
      <w:rFonts w:ascii="TiAes New Roman" w:hAnsi="TiAes New Roman" w:cs="TiAes New Roman"/>
      <w:b/>
      <w:sz w:val="21"/>
      <w:szCs w:val="20"/>
      <w:lang w:eastAsia="es-MX"/>
    </w:rPr>
  </w:style>
  <w:style w:type="paragraph" w:customStyle="1" w:styleId="sangria">
    <w:name w:val="sangria"/>
    <w:basedOn w:val="Normal"/>
    <w:rsid w:val="00AC64B3"/>
    <w:pPr>
      <w:spacing w:before="100" w:after="100" w:line="276" w:lineRule="atLeast"/>
      <w:ind w:left="240"/>
      <w:jc w:val="both"/>
    </w:pPr>
    <w:rPr>
      <w:rFonts w:ascii="TiAes New Roman" w:hAnsi="TiAes New Roman" w:cs="TiAes New Roman"/>
      <w:sz w:val="21"/>
      <w:szCs w:val="20"/>
      <w:lang w:eastAsia="es-MX"/>
    </w:rPr>
  </w:style>
  <w:style w:type="paragraph" w:customStyle="1" w:styleId="sangrota">
    <w:name w:val="sangrota"/>
    <w:basedOn w:val="Normal"/>
    <w:rsid w:val="00AC64B3"/>
    <w:pPr>
      <w:spacing w:before="100" w:after="100" w:line="276" w:lineRule="atLeast"/>
      <w:ind w:left="360"/>
      <w:jc w:val="both"/>
    </w:pPr>
    <w:rPr>
      <w:rFonts w:ascii="TiAes New Roman" w:hAnsi="TiAes New Roman" w:cs="TiAes New Roman"/>
      <w:sz w:val="21"/>
      <w:szCs w:val="20"/>
      <w:lang w:eastAsia="es-MX"/>
    </w:rPr>
  </w:style>
  <w:style w:type="paragraph" w:customStyle="1" w:styleId="sangrona">
    <w:name w:val="sangrona"/>
    <w:basedOn w:val="Normal"/>
    <w:rsid w:val="00AC64B3"/>
    <w:pPr>
      <w:spacing w:before="100" w:after="100" w:line="276" w:lineRule="atLeast"/>
      <w:ind w:left="360"/>
      <w:jc w:val="both"/>
    </w:pPr>
    <w:rPr>
      <w:rFonts w:ascii="TiAes New Roman" w:hAnsi="TiAes New Roman" w:cs="TiAes New Roman"/>
      <w:sz w:val="21"/>
      <w:szCs w:val="20"/>
      <w:lang w:eastAsia="es-MX"/>
    </w:rPr>
  </w:style>
  <w:style w:type="paragraph" w:customStyle="1" w:styleId="Textonormal">
    <w:name w:val="Texto normal"/>
    <w:basedOn w:val="Normal"/>
    <w:rsid w:val="00AC64B3"/>
    <w:pPr>
      <w:spacing w:after="160" w:line="276" w:lineRule="atLeast"/>
      <w:jc w:val="both"/>
    </w:pPr>
    <w:rPr>
      <w:rFonts w:ascii="ArAal" w:hAnsi="ArAal" w:cs="ArAal"/>
      <w:sz w:val="22"/>
      <w:szCs w:val="20"/>
      <w:lang w:val="es-MX" w:eastAsia="es-MX"/>
    </w:rPr>
  </w:style>
  <w:style w:type="paragraph" w:customStyle="1" w:styleId="BodyText21">
    <w:name w:val="Body Text 21"/>
    <w:basedOn w:val="Normal"/>
    <w:rsid w:val="00AC64B3"/>
    <w:pPr>
      <w:spacing w:after="160" w:line="276" w:lineRule="atLeast"/>
      <w:jc w:val="both"/>
    </w:pPr>
    <w:rPr>
      <w:rFonts w:ascii="ArAal" w:hAnsi="ArAal" w:cs="ArAal"/>
      <w:b/>
      <w:sz w:val="22"/>
      <w:szCs w:val="20"/>
      <w:lang w:val="es-MX" w:eastAsia="es-MX"/>
    </w:rPr>
  </w:style>
  <w:style w:type="paragraph" w:customStyle="1" w:styleId="BodyText31">
    <w:name w:val="Body Text 31"/>
    <w:basedOn w:val="Normal"/>
    <w:rsid w:val="00AC64B3"/>
    <w:pPr>
      <w:spacing w:after="160" w:line="276" w:lineRule="atLeast"/>
      <w:jc w:val="center"/>
    </w:pPr>
    <w:rPr>
      <w:rFonts w:ascii="ArAal" w:hAnsi="ArAal" w:cs="ArAal"/>
      <w:b/>
      <w:i/>
      <w:sz w:val="22"/>
      <w:szCs w:val="20"/>
      <w:lang w:val="es-MX" w:eastAsia="es-MX"/>
    </w:rPr>
  </w:style>
  <w:style w:type="paragraph" w:customStyle="1" w:styleId="Estilo2">
    <w:name w:val="Estilo2"/>
    <w:basedOn w:val="Normal"/>
    <w:rsid w:val="00AC64B3"/>
    <w:pPr>
      <w:tabs>
        <w:tab w:val="left" w:pos="360"/>
      </w:tabs>
      <w:spacing w:after="160" w:line="276" w:lineRule="atLeast"/>
      <w:ind w:left="360" w:hanging="360"/>
      <w:jc w:val="both"/>
    </w:pPr>
    <w:rPr>
      <w:rFonts w:ascii="TiAes New Roman" w:hAnsi="TiAes New Roman" w:cs="TiAes New Roman"/>
      <w:sz w:val="32"/>
      <w:szCs w:val="20"/>
      <w:lang w:eastAsia="es-MX"/>
    </w:rPr>
  </w:style>
  <w:style w:type="paragraph" w:customStyle="1" w:styleId="Ttulo31">
    <w:name w:val="Título 31"/>
    <w:basedOn w:val="Normal"/>
    <w:next w:val="Normal"/>
    <w:rsid w:val="00AC64B3"/>
    <w:pPr>
      <w:keepNext/>
      <w:keepLines/>
      <w:spacing w:before="200" w:after="160" w:line="276" w:lineRule="atLeast"/>
    </w:pPr>
    <w:rPr>
      <w:rFonts w:ascii="CaAbria" w:hAnsi="CaAbria" w:cs="CaAbria"/>
      <w:b/>
      <w:color w:val="C0C0C0"/>
      <w:sz w:val="22"/>
      <w:szCs w:val="20"/>
      <w:lang w:val="es-ES_tradnl" w:eastAsia="es-MX"/>
    </w:rPr>
  </w:style>
  <w:style w:type="paragraph" w:customStyle="1" w:styleId="Ttulo71">
    <w:name w:val="Título 71"/>
    <w:basedOn w:val="Normal"/>
    <w:next w:val="Normal"/>
    <w:rsid w:val="00AC64B3"/>
    <w:pPr>
      <w:keepNext/>
      <w:keepLines/>
      <w:spacing w:before="200" w:after="160" w:line="276" w:lineRule="atLeast"/>
    </w:pPr>
    <w:rPr>
      <w:rFonts w:ascii="CaAbria" w:hAnsi="CaAbria" w:cs="CaAbria"/>
      <w:i/>
      <w:color w:val="000000"/>
      <w:sz w:val="22"/>
      <w:szCs w:val="20"/>
      <w:lang w:val="es-ES_tradnl" w:eastAsia="es-MX"/>
    </w:rPr>
  </w:style>
  <w:style w:type="paragraph" w:customStyle="1" w:styleId="Ttulo91">
    <w:name w:val="Título 91"/>
    <w:basedOn w:val="Normal"/>
    <w:next w:val="Normal"/>
    <w:rsid w:val="00AC64B3"/>
    <w:pPr>
      <w:keepNext/>
      <w:keepLines/>
      <w:spacing w:before="200" w:after="160" w:line="276" w:lineRule="atLeast"/>
    </w:pPr>
    <w:rPr>
      <w:rFonts w:ascii="CaAbria" w:hAnsi="CaAbria" w:cs="CaAbria"/>
      <w:i/>
      <w:color w:val="000000"/>
      <w:sz w:val="20"/>
      <w:szCs w:val="20"/>
      <w:lang w:val="es-ES_tradnl" w:eastAsia="es-MX"/>
    </w:rPr>
  </w:style>
  <w:style w:type="paragraph" w:customStyle="1" w:styleId="BodyTextIndent31">
    <w:name w:val="Body Text Indent 31"/>
    <w:basedOn w:val="Normal"/>
    <w:rsid w:val="00AC64B3"/>
    <w:pPr>
      <w:spacing w:after="160" w:line="276" w:lineRule="atLeast"/>
      <w:ind w:hanging="1418"/>
      <w:jc w:val="both"/>
    </w:pPr>
    <w:rPr>
      <w:rFonts w:ascii="ArAal" w:hAnsi="ArAal" w:cs="ArAal"/>
      <w:sz w:val="21"/>
      <w:szCs w:val="20"/>
      <w:lang w:val="es-MX" w:eastAsia="es-MX"/>
    </w:rPr>
  </w:style>
  <w:style w:type="paragraph" w:customStyle="1" w:styleId="Asuntodelcomentario1">
    <w:name w:val="Asunto del comentario1"/>
    <w:basedOn w:val="CommentText"/>
    <w:next w:val="CommentText"/>
    <w:rsid w:val="00AC64B3"/>
    <w:pPr>
      <w:spacing w:after="200" w:line="276" w:lineRule="atLeast"/>
      <w:jc w:val="left"/>
    </w:pPr>
    <w:rPr>
      <w:rFonts w:ascii="CaAibri" w:hAnsi="CaAibri" w:cs="CaAibri"/>
      <w:b/>
      <w:sz w:val="20"/>
    </w:rPr>
  </w:style>
  <w:style w:type="paragraph" w:customStyle="1" w:styleId="CharChar">
    <w:name w:val="Char Char"/>
    <w:basedOn w:val="Normal"/>
    <w:rsid w:val="00AC64B3"/>
    <w:pPr>
      <w:spacing w:after="160" w:line="240" w:lineRule="exact"/>
    </w:pPr>
    <w:rPr>
      <w:rFonts w:ascii="TaAoma" w:hAnsi="TaAoma" w:cs="TaAoma"/>
      <w:sz w:val="20"/>
      <w:szCs w:val="20"/>
      <w:lang w:eastAsia="es-MX"/>
    </w:rPr>
  </w:style>
  <w:style w:type="paragraph" w:customStyle="1" w:styleId="Estilo">
    <w:name w:val="Estilo"/>
    <w:basedOn w:val="Sinespaciado"/>
    <w:rsid w:val="00AC64B3"/>
    <w:pPr>
      <w:jc w:val="both"/>
    </w:pPr>
    <w:rPr>
      <w:rFonts w:ascii="ArAal" w:hAnsi="ArAal" w:cs="ArAal"/>
      <w:lang w:val="en-US"/>
    </w:rPr>
  </w:style>
  <w:style w:type="paragraph" w:customStyle="1" w:styleId="romanos0">
    <w:name w:val="romanos"/>
    <w:basedOn w:val="Normal"/>
    <w:rsid w:val="00AC64B3"/>
    <w:pPr>
      <w:spacing w:before="100" w:after="100" w:line="276" w:lineRule="atLeast"/>
    </w:pPr>
    <w:rPr>
      <w:rFonts w:ascii="TiAes New Roman" w:hAnsi="TiAes New Roman" w:cs="TiAes New Roman"/>
      <w:sz w:val="21"/>
      <w:szCs w:val="20"/>
      <w:lang w:eastAsia="es-MX"/>
    </w:rPr>
  </w:style>
  <w:style w:type="paragraph" w:customStyle="1" w:styleId="PlainText1">
    <w:name w:val="Plain Text1"/>
    <w:basedOn w:val="Normal"/>
    <w:rsid w:val="00AC64B3"/>
    <w:pPr>
      <w:spacing w:after="160" w:line="276" w:lineRule="atLeast"/>
    </w:pPr>
    <w:rPr>
      <w:rFonts w:ascii="CoArier New" w:hAnsi="CoArier New" w:cs="CoArier New"/>
      <w:sz w:val="20"/>
      <w:szCs w:val="20"/>
      <w:lang w:eastAsia="es-MX"/>
    </w:rPr>
  </w:style>
  <w:style w:type="paragraph" w:customStyle="1" w:styleId="DocumentMap1">
    <w:name w:val="Document Map1"/>
    <w:basedOn w:val="Normal"/>
    <w:rsid w:val="00AC64B3"/>
    <w:pPr>
      <w:spacing w:after="160" w:line="276" w:lineRule="atLeast"/>
    </w:pPr>
    <w:rPr>
      <w:rFonts w:ascii="TiAes New Roman" w:hAnsi="TiAes New Roman" w:cs="TiAes New Roman"/>
      <w:sz w:val="21"/>
      <w:szCs w:val="20"/>
      <w:lang w:eastAsia="es-MX"/>
    </w:rPr>
  </w:style>
  <w:style w:type="paragraph" w:customStyle="1" w:styleId="Ttulo3Iniciativas">
    <w:name w:val="Título 3 [Iniciativas]"/>
    <w:basedOn w:val="Prrafodelista"/>
    <w:rsid w:val="00AC64B3"/>
    <w:pPr>
      <w:spacing w:after="160" w:line="360" w:lineRule="atLeast"/>
      <w:ind w:left="567" w:hanging="360"/>
      <w:jc w:val="both"/>
    </w:pPr>
    <w:rPr>
      <w:rFonts w:ascii="ArAal" w:hAnsi="ArAal" w:cs="ArAal"/>
      <w:b/>
      <w:sz w:val="21"/>
      <w:lang w:val="es-MX"/>
    </w:rPr>
  </w:style>
  <w:style w:type="paragraph" w:customStyle="1" w:styleId="Formatolibre">
    <w:name w:val="Formato libre"/>
    <w:rsid w:val="00AC64B3"/>
    <w:pPr>
      <w:spacing w:after="160" w:line="276" w:lineRule="atLeast"/>
    </w:pPr>
    <w:rPr>
      <w:rFonts w:ascii="HeAvetica" w:hAnsi="HeAvetica" w:cs="HeAvetica"/>
      <w:color w:val="000000"/>
      <w:sz w:val="24"/>
      <w:lang w:val="es-ES_tradnl" w:eastAsia="es-MX"/>
    </w:rPr>
  </w:style>
  <w:style w:type="paragraph" w:customStyle="1" w:styleId="Ttulo1">
    <w:name w:val="Título1"/>
    <w:basedOn w:val="Normal"/>
    <w:rsid w:val="00AC64B3"/>
    <w:pPr>
      <w:spacing w:after="160" w:line="300" w:lineRule="atLeast"/>
      <w:jc w:val="center"/>
    </w:pPr>
    <w:rPr>
      <w:rFonts w:ascii="CaAbria" w:hAnsi="CaAbria" w:cs="CaAbria"/>
      <w:b/>
      <w:sz w:val="32"/>
      <w:szCs w:val="20"/>
      <w:lang w:eastAsia="es-MX"/>
    </w:rPr>
  </w:style>
  <w:style w:type="paragraph" w:customStyle="1" w:styleId="corte4fondo">
    <w:name w:val="corte4 fondo"/>
    <w:basedOn w:val="Normal"/>
    <w:rsid w:val="00AC64B3"/>
    <w:pPr>
      <w:spacing w:after="160" w:line="360" w:lineRule="atLeast"/>
      <w:ind w:firstLine="709"/>
      <w:jc w:val="both"/>
    </w:pPr>
    <w:rPr>
      <w:rFonts w:ascii="ArAal" w:hAnsi="ArAal" w:cs="ArAal"/>
      <w:sz w:val="30"/>
      <w:szCs w:val="20"/>
      <w:lang w:val="es-ES_tradnl" w:eastAsia="es-MX"/>
    </w:rPr>
  </w:style>
  <w:style w:type="paragraph" w:customStyle="1" w:styleId="textodenotaalfinal">
    <w:name w:val="texto de nota al final"/>
    <w:basedOn w:val="Normal"/>
    <w:rsid w:val="00AC64B3"/>
    <w:pPr>
      <w:spacing w:after="160" w:line="276" w:lineRule="atLeast"/>
    </w:pPr>
    <w:rPr>
      <w:rFonts w:ascii="CaAbria" w:hAnsi="CaAbria" w:cs="CaAbria"/>
      <w:sz w:val="20"/>
      <w:szCs w:val="20"/>
      <w:lang w:val="es-MX" w:eastAsia="es-MX"/>
    </w:rPr>
  </w:style>
  <w:style w:type="paragraph" w:customStyle="1" w:styleId="DocumentMap2">
    <w:name w:val="Document Map2"/>
    <w:basedOn w:val="Normal"/>
    <w:rsid w:val="00AC64B3"/>
    <w:pPr>
      <w:shd w:val="clear" w:color="auto" w:fill="000080"/>
      <w:spacing w:after="160" w:line="276" w:lineRule="atLeast"/>
    </w:pPr>
    <w:rPr>
      <w:rFonts w:ascii="TaAoma" w:hAnsi="TaAoma" w:cs="TaAoma"/>
      <w:sz w:val="20"/>
      <w:szCs w:val="20"/>
      <w:lang w:eastAsia="es-MX"/>
    </w:rPr>
  </w:style>
  <w:style w:type="paragraph" w:customStyle="1" w:styleId="corte2ponente">
    <w:name w:val="corte2 ponente"/>
    <w:basedOn w:val="Normal"/>
    <w:rsid w:val="00AC64B3"/>
    <w:pPr>
      <w:spacing w:after="160" w:line="276" w:lineRule="atLeast"/>
    </w:pPr>
    <w:rPr>
      <w:rFonts w:ascii="ArAal" w:hAnsi="ArAal" w:cs="ArAal"/>
      <w:b/>
      <w:caps/>
      <w:sz w:val="30"/>
      <w:szCs w:val="20"/>
      <w:lang w:val="es-ES_tradnl" w:eastAsia="es-MX"/>
    </w:rPr>
  </w:style>
  <w:style w:type="paragraph" w:customStyle="1" w:styleId="Estilo1x">
    <w:name w:val="Estilo1x"/>
    <w:basedOn w:val="Texto"/>
    <w:rsid w:val="00AC64B3"/>
    <w:pPr>
      <w:spacing w:before="20" w:after="20" w:line="240" w:lineRule="auto"/>
      <w:jc w:val="right"/>
    </w:pPr>
    <w:rPr>
      <w:rFonts w:ascii="ArAal" w:hAnsi="ArAal" w:cs="ArAal"/>
      <w:b/>
      <w:sz w:val="16"/>
      <w:lang w:val="es-MX" w:eastAsia="es-MX"/>
    </w:rPr>
  </w:style>
  <w:style w:type="paragraph" w:customStyle="1" w:styleId="Estilo1xx">
    <w:name w:val="Estilo1xx"/>
    <w:basedOn w:val="Texto"/>
    <w:rsid w:val="00AC64B3"/>
    <w:pPr>
      <w:spacing w:before="20" w:after="20" w:line="240" w:lineRule="auto"/>
      <w:ind w:left="144" w:firstLine="0"/>
    </w:pPr>
    <w:rPr>
      <w:rFonts w:ascii="ArAal" w:hAnsi="ArAal" w:cs="ArAal"/>
      <w:sz w:val="16"/>
      <w:lang w:eastAsia="es-MX"/>
    </w:rPr>
  </w:style>
  <w:style w:type="paragraph" w:customStyle="1" w:styleId="cb">
    <w:name w:val="cb"/>
    <w:basedOn w:val="Texto"/>
    <w:rsid w:val="00AC64B3"/>
    <w:pPr>
      <w:ind w:left="1008" w:hanging="720"/>
    </w:pPr>
    <w:rPr>
      <w:rFonts w:ascii="ArAal" w:hAnsi="ArAal" w:cs="ArAal"/>
      <w:b/>
      <w:lang w:val="es-ES_tradnl" w:eastAsia="es-MX"/>
    </w:rPr>
  </w:style>
  <w:style w:type="paragraph" w:customStyle="1" w:styleId="Anotacion0">
    <w:name w:val="Anotacion"/>
    <w:basedOn w:val="Normal"/>
    <w:rsid w:val="00AC64B3"/>
    <w:pPr>
      <w:spacing w:before="101" w:after="101" w:line="276" w:lineRule="atLeast"/>
      <w:jc w:val="center"/>
    </w:pPr>
    <w:rPr>
      <w:rFonts w:ascii="TiAes New Roman" w:hAnsi="TiAes New Roman" w:cs="TiAes New Roman"/>
      <w:b/>
      <w:sz w:val="18"/>
      <w:szCs w:val="20"/>
      <w:lang w:val="es-ES_tradnl" w:eastAsia="es-MX"/>
    </w:rPr>
  </w:style>
  <w:style w:type="paragraph" w:customStyle="1" w:styleId="cabeza0">
    <w:name w:val="cabeza"/>
    <w:basedOn w:val="Normal"/>
    <w:rsid w:val="00AC64B3"/>
    <w:pPr>
      <w:spacing w:after="160" w:line="276" w:lineRule="atLeast"/>
      <w:jc w:val="center"/>
    </w:pPr>
    <w:rPr>
      <w:rFonts w:ascii="TiAes New Roman" w:hAnsi="TiAes New Roman" w:cs="TiAes New Roman"/>
      <w:b/>
      <w:sz w:val="28"/>
      <w:szCs w:val="20"/>
      <w:lang w:eastAsia="es-MX"/>
    </w:rPr>
  </w:style>
  <w:style w:type="paragraph" w:customStyle="1" w:styleId="CM1">
    <w:name w:val="CM1"/>
    <w:basedOn w:val="Default"/>
    <w:next w:val="Default"/>
    <w:rsid w:val="00AC64B3"/>
    <w:pPr>
      <w:spacing w:after="160" w:line="333" w:lineRule="atLeast"/>
    </w:pPr>
    <w:rPr>
      <w:color w:val="auto"/>
    </w:rPr>
  </w:style>
  <w:style w:type="paragraph" w:customStyle="1" w:styleId="CM6">
    <w:name w:val="CM6"/>
    <w:basedOn w:val="Default"/>
    <w:next w:val="Default"/>
    <w:rsid w:val="00AC64B3"/>
    <w:pPr>
      <w:spacing w:after="160" w:line="276" w:lineRule="atLeast"/>
    </w:pPr>
    <w:rPr>
      <w:color w:val="auto"/>
    </w:rPr>
  </w:style>
  <w:style w:type="paragraph" w:customStyle="1" w:styleId="CM7">
    <w:name w:val="CM7"/>
    <w:basedOn w:val="Default"/>
    <w:next w:val="Default"/>
    <w:rsid w:val="00AC64B3"/>
    <w:pPr>
      <w:spacing w:after="160" w:line="276" w:lineRule="atLeast"/>
    </w:pPr>
    <w:rPr>
      <w:color w:val="auto"/>
    </w:rPr>
  </w:style>
  <w:style w:type="paragraph" w:customStyle="1" w:styleId="CM2">
    <w:name w:val="CM2"/>
    <w:basedOn w:val="Default"/>
    <w:next w:val="Default"/>
    <w:rsid w:val="00AC64B3"/>
    <w:pPr>
      <w:spacing w:after="160" w:line="288" w:lineRule="atLeast"/>
    </w:pPr>
    <w:rPr>
      <w:color w:val="auto"/>
    </w:rPr>
  </w:style>
  <w:style w:type="paragraph" w:customStyle="1" w:styleId="CM3">
    <w:name w:val="CM3"/>
    <w:basedOn w:val="Default"/>
    <w:next w:val="Default"/>
    <w:rsid w:val="00AC64B3"/>
    <w:pPr>
      <w:spacing w:after="160" w:line="291" w:lineRule="atLeast"/>
    </w:pPr>
    <w:rPr>
      <w:color w:val="auto"/>
    </w:rPr>
  </w:style>
  <w:style w:type="paragraph" w:customStyle="1" w:styleId="CM4">
    <w:name w:val="CM4"/>
    <w:basedOn w:val="Default"/>
    <w:next w:val="Default"/>
    <w:rsid w:val="00AC64B3"/>
    <w:pPr>
      <w:spacing w:after="160" w:line="293" w:lineRule="atLeast"/>
    </w:pPr>
    <w:rPr>
      <w:color w:val="auto"/>
    </w:rPr>
  </w:style>
  <w:style w:type="paragraph" w:customStyle="1" w:styleId="CM8">
    <w:name w:val="CM8"/>
    <w:basedOn w:val="Default"/>
    <w:next w:val="Default"/>
    <w:rsid w:val="00AC64B3"/>
    <w:pPr>
      <w:spacing w:after="160" w:line="276" w:lineRule="atLeast"/>
    </w:pPr>
    <w:rPr>
      <w:color w:val="auto"/>
    </w:rPr>
  </w:style>
  <w:style w:type="paragraph" w:customStyle="1" w:styleId="CM71">
    <w:name w:val="CM71"/>
    <w:basedOn w:val="Normal"/>
    <w:next w:val="Normal"/>
    <w:rsid w:val="00AC64B3"/>
    <w:pPr>
      <w:spacing w:after="160" w:line="276" w:lineRule="atLeast"/>
    </w:pPr>
    <w:rPr>
      <w:rFonts w:ascii="TiAes" w:hAnsi="TiAes" w:cs="TiAes"/>
      <w:sz w:val="21"/>
      <w:szCs w:val="20"/>
      <w:lang w:val="es-MX" w:eastAsia="es-MX"/>
    </w:rPr>
  </w:style>
  <w:style w:type="paragraph" w:customStyle="1" w:styleId="CM75">
    <w:name w:val="CM75"/>
    <w:basedOn w:val="Normal"/>
    <w:next w:val="Normal"/>
    <w:rsid w:val="00AC64B3"/>
    <w:pPr>
      <w:spacing w:after="160" w:line="276" w:lineRule="atLeast"/>
    </w:pPr>
    <w:rPr>
      <w:rFonts w:ascii="TiAes" w:hAnsi="TiAes" w:cs="TiAes"/>
      <w:sz w:val="21"/>
      <w:szCs w:val="20"/>
      <w:lang w:val="es-MX" w:eastAsia="es-MX"/>
    </w:rPr>
  </w:style>
  <w:style w:type="paragraph" w:customStyle="1" w:styleId="CM76">
    <w:name w:val="CM76"/>
    <w:basedOn w:val="Normal"/>
    <w:next w:val="Normal"/>
    <w:rsid w:val="00AC64B3"/>
    <w:pPr>
      <w:spacing w:after="160" w:line="276" w:lineRule="atLeast"/>
    </w:pPr>
    <w:rPr>
      <w:rFonts w:ascii="TiAes" w:hAnsi="TiAes" w:cs="TiAes"/>
      <w:sz w:val="21"/>
      <w:szCs w:val="20"/>
      <w:lang w:val="es-MX" w:eastAsia="es-MX"/>
    </w:rPr>
  </w:style>
  <w:style w:type="paragraph" w:customStyle="1" w:styleId="CM80">
    <w:name w:val="CM80"/>
    <w:basedOn w:val="Normal"/>
    <w:next w:val="Normal"/>
    <w:rsid w:val="00AC64B3"/>
    <w:pPr>
      <w:spacing w:after="160" w:line="276" w:lineRule="atLeast"/>
    </w:pPr>
    <w:rPr>
      <w:rFonts w:ascii="TiAes" w:hAnsi="TiAes" w:cs="TiAes"/>
      <w:sz w:val="21"/>
      <w:szCs w:val="20"/>
      <w:lang w:val="es-MX" w:eastAsia="es-MX"/>
    </w:rPr>
  </w:style>
  <w:style w:type="paragraph" w:customStyle="1" w:styleId="CM209">
    <w:name w:val="CM209"/>
    <w:basedOn w:val="Normal"/>
    <w:next w:val="Normal"/>
    <w:rsid w:val="00AC64B3"/>
    <w:pPr>
      <w:spacing w:after="160" w:line="276" w:lineRule="atLeast"/>
    </w:pPr>
    <w:rPr>
      <w:rFonts w:ascii="TiAes" w:hAnsi="TiAes" w:cs="TiAes"/>
      <w:sz w:val="21"/>
      <w:szCs w:val="20"/>
      <w:lang w:val="es-MX" w:eastAsia="es-MX"/>
    </w:rPr>
  </w:style>
  <w:style w:type="paragraph" w:customStyle="1" w:styleId="CM13">
    <w:name w:val="CM13"/>
    <w:basedOn w:val="Normal"/>
    <w:next w:val="Normal"/>
    <w:rsid w:val="00AC64B3"/>
    <w:pPr>
      <w:spacing w:after="160" w:line="313" w:lineRule="atLeast"/>
    </w:pPr>
    <w:rPr>
      <w:rFonts w:ascii="TiAes" w:hAnsi="TiAes" w:cs="TiAes"/>
      <w:sz w:val="21"/>
      <w:szCs w:val="20"/>
      <w:lang w:val="es-MX" w:eastAsia="es-MX"/>
    </w:rPr>
  </w:style>
  <w:style w:type="paragraph" w:customStyle="1" w:styleId="CM216">
    <w:name w:val="CM216"/>
    <w:basedOn w:val="Normal"/>
    <w:next w:val="Normal"/>
    <w:rsid w:val="00AC64B3"/>
    <w:pPr>
      <w:spacing w:after="160" w:line="276" w:lineRule="atLeast"/>
    </w:pPr>
    <w:rPr>
      <w:rFonts w:ascii="TiAes" w:hAnsi="TiAes" w:cs="TiAes"/>
      <w:sz w:val="21"/>
      <w:szCs w:val="20"/>
      <w:lang w:val="es-MX" w:eastAsia="es-MX"/>
    </w:rPr>
  </w:style>
  <w:style w:type="paragraph" w:customStyle="1" w:styleId="CM211">
    <w:name w:val="CM211"/>
    <w:basedOn w:val="Normal"/>
    <w:next w:val="Normal"/>
    <w:rsid w:val="00AC64B3"/>
    <w:pPr>
      <w:spacing w:after="160" w:line="276" w:lineRule="atLeast"/>
    </w:pPr>
    <w:rPr>
      <w:rFonts w:ascii="TiAes" w:hAnsi="TiAes" w:cs="TiAes"/>
      <w:sz w:val="21"/>
      <w:szCs w:val="20"/>
      <w:lang w:val="es-MX" w:eastAsia="es-MX"/>
    </w:rPr>
  </w:style>
  <w:style w:type="paragraph" w:customStyle="1" w:styleId="CM224">
    <w:name w:val="CM224"/>
    <w:basedOn w:val="Normal"/>
    <w:next w:val="Normal"/>
    <w:rsid w:val="00AC64B3"/>
    <w:pPr>
      <w:spacing w:after="160" w:line="276" w:lineRule="atLeast"/>
    </w:pPr>
    <w:rPr>
      <w:rFonts w:ascii="TiAes" w:hAnsi="TiAes" w:cs="TiAes"/>
      <w:sz w:val="21"/>
      <w:szCs w:val="20"/>
      <w:lang w:val="es-MX" w:eastAsia="es-MX"/>
    </w:rPr>
  </w:style>
  <w:style w:type="paragraph" w:customStyle="1" w:styleId="CM65">
    <w:name w:val="CM65"/>
    <w:basedOn w:val="Normal"/>
    <w:next w:val="Normal"/>
    <w:rsid w:val="00AC64B3"/>
    <w:pPr>
      <w:spacing w:after="160" w:line="313" w:lineRule="atLeast"/>
    </w:pPr>
    <w:rPr>
      <w:rFonts w:ascii="TiAes" w:hAnsi="TiAes" w:cs="TiAes"/>
      <w:sz w:val="21"/>
      <w:szCs w:val="20"/>
      <w:lang w:val="es-MX" w:eastAsia="es-MX"/>
    </w:rPr>
  </w:style>
  <w:style w:type="paragraph" w:customStyle="1" w:styleId="CM54">
    <w:name w:val="CM54"/>
    <w:basedOn w:val="Normal"/>
    <w:next w:val="Normal"/>
    <w:rsid w:val="00AC64B3"/>
    <w:pPr>
      <w:spacing w:after="160" w:line="316" w:lineRule="atLeast"/>
    </w:pPr>
    <w:rPr>
      <w:rFonts w:ascii="TiAes" w:hAnsi="TiAes" w:cs="TiAes"/>
      <w:sz w:val="21"/>
      <w:szCs w:val="20"/>
      <w:lang w:val="es-MX" w:eastAsia="es-MX"/>
    </w:rPr>
  </w:style>
  <w:style w:type="paragraph" w:customStyle="1" w:styleId="CM238">
    <w:name w:val="CM238"/>
    <w:basedOn w:val="Normal"/>
    <w:next w:val="Normal"/>
    <w:rsid w:val="00AC64B3"/>
    <w:pPr>
      <w:spacing w:after="160" w:line="276" w:lineRule="atLeast"/>
    </w:pPr>
    <w:rPr>
      <w:rFonts w:ascii="TiAes" w:hAnsi="TiAes" w:cs="TiAes"/>
      <w:sz w:val="21"/>
      <w:szCs w:val="20"/>
      <w:lang w:val="es-MX" w:eastAsia="es-MX"/>
    </w:rPr>
  </w:style>
  <w:style w:type="paragraph" w:customStyle="1" w:styleId="CM206">
    <w:name w:val="CM206"/>
    <w:basedOn w:val="Default"/>
    <w:next w:val="Default"/>
    <w:rsid w:val="00AC64B3"/>
    <w:pPr>
      <w:spacing w:after="160" w:line="276" w:lineRule="atLeast"/>
    </w:pPr>
    <w:rPr>
      <w:rFonts w:ascii="TiAes" w:hAnsi="TiAes" w:cs="TiAes"/>
      <w:color w:val="auto"/>
    </w:rPr>
  </w:style>
  <w:style w:type="paragraph" w:customStyle="1" w:styleId="CM100">
    <w:name w:val="CM100"/>
    <w:basedOn w:val="Default"/>
    <w:next w:val="Default"/>
    <w:rsid w:val="00AC64B3"/>
    <w:pPr>
      <w:spacing w:after="160" w:line="711" w:lineRule="atLeast"/>
    </w:pPr>
    <w:rPr>
      <w:rFonts w:ascii="TiAes" w:hAnsi="TiAes" w:cs="TiAes"/>
      <w:color w:val="auto"/>
    </w:rPr>
  </w:style>
  <w:style w:type="paragraph" w:customStyle="1" w:styleId="CM217">
    <w:name w:val="CM217"/>
    <w:basedOn w:val="Default"/>
    <w:next w:val="Default"/>
    <w:rsid w:val="00AC64B3"/>
    <w:pPr>
      <w:spacing w:after="160" w:line="276" w:lineRule="atLeast"/>
    </w:pPr>
    <w:rPr>
      <w:rFonts w:ascii="TiAes" w:hAnsi="TiAes" w:cs="TiAes"/>
      <w:color w:val="auto"/>
    </w:rPr>
  </w:style>
  <w:style w:type="paragraph" w:customStyle="1" w:styleId="CM219">
    <w:name w:val="CM219"/>
    <w:basedOn w:val="Default"/>
    <w:next w:val="Default"/>
    <w:rsid w:val="00AC64B3"/>
    <w:pPr>
      <w:spacing w:after="160" w:line="276" w:lineRule="atLeast"/>
    </w:pPr>
    <w:rPr>
      <w:rFonts w:ascii="TiAes" w:hAnsi="TiAes" w:cs="TiAes"/>
      <w:color w:val="auto"/>
    </w:rPr>
  </w:style>
  <w:style w:type="paragraph" w:customStyle="1" w:styleId="CM215">
    <w:name w:val="CM215"/>
    <w:basedOn w:val="Default"/>
    <w:next w:val="Default"/>
    <w:rsid w:val="00AC64B3"/>
    <w:pPr>
      <w:spacing w:after="160" w:line="276" w:lineRule="atLeast"/>
    </w:pPr>
    <w:rPr>
      <w:rFonts w:ascii="TiAes" w:hAnsi="TiAes" w:cs="TiAes"/>
      <w:color w:val="auto"/>
    </w:rPr>
  </w:style>
  <w:style w:type="paragraph" w:customStyle="1" w:styleId="CM101">
    <w:name w:val="CM101"/>
    <w:basedOn w:val="Default"/>
    <w:next w:val="Default"/>
    <w:rsid w:val="00AC64B3"/>
    <w:pPr>
      <w:spacing w:after="160" w:line="696" w:lineRule="atLeast"/>
    </w:pPr>
    <w:rPr>
      <w:rFonts w:ascii="TiAes" w:hAnsi="TiAes" w:cs="TiAes"/>
      <w:color w:val="auto"/>
    </w:rPr>
  </w:style>
  <w:style w:type="paragraph" w:customStyle="1" w:styleId="CM104">
    <w:name w:val="CM104"/>
    <w:basedOn w:val="Default"/>
    <w:next w:val="Default"/>
    <w:rsid w:val="00AC64B3"/>
    <w:pPr>
      <w:spacing w:after="160" w:line="276" w:lineRule="atLeast"/>
    </w:pPr>
    <w:rPr>
      <w:rFonts w:ascii="TiAes" w:hAnsi="TiAes" w:cs="TiAes"/>
      <w:color w:val="auto"/>
    </w:rPr>
  </w:style>
  <w:style w:type="paragraph" w:customStyle="1" w:styleId="CM105">
    <w:name w:val="CM105"/>
    <w:basedOn w:val="Default"/>
    <w:next w:val="Default"/>
    <w:rsid w:val="00AC64B3"/>
    <w:pPr>
      <w:spacing w:after="160" w:line="276" w:lineRule="atLeast"/>
    </w:pPr>
    <w:rPr>
      <w:rFonts w:ascii="TiAes" w:hAnsi="TiAes" w:cs="TiAes"/>
      <w:color w:val="auto"/>
    </w:rPr>
  </w:style>
  <w:style w:type="paragraph" w:customStyle="1" w:styleId="CM107">
    <w:name w:val="CM107"/>
    <w:basedOn w:val="Default"/>
    <w:next w:val="Default"/>
    <w:rsid w:val="00AC64B3"/>
    <w:pPr>
      <w:spacing w:after="160" w:line="276" w:lineRule="atLeast"/>
    </w:pPr>
    <w:rPr>
      <w:rFonts w:ascii="TiAes" w:hAnsi="TiAes" w:cs="TiAes"/>
      <w:color w:val="auto"/>
    </w:rPr>
  </w:style>
  <w:style w:type="paragraph" w:customStyle="1" w:styleId="CM166">
    <w:name w:val="CM166"/>
    <w:basedOn w:val="Default"/>
    <w:next w:val="Default"/>
    <w:rsid w:val="00AC64B3"/>
    <w:pPr>
      <w:spacing w:after="160" w:line="276" w:lineRule="atLeast"/>
    </w:pPr>
    <w:rPr>
      <w:rFonts w:ascii="TiAes" w:hAnsi="TiAes" w:cs="TiAes"/>
      <w:color w:val="auto"/>
    </w:rPr>
  </w:style>
  <w:style w:type="paragraph" w:customStyle="1" w:styleId="CM177">
    <w:name w:val="CM177"/>
    <w:basedOn w:val="Default"/>
    <w:next w:val="Default"/>
    <w:rsid w:val="00AC64B3"/>
    <w:pPr>
      <w:spacing w:after="160" w:line="276" w:lineRule="atLeast"/>
    </w:pPr>
    <w:rPr>
      <w:rFonts w:ascii="TiAes" w:hAnsi="TiAes" w:cs="TiAes"/>
      <w:color w:val="auto"/>
    </w:rPr>
  </w:style>
  <w:style w:type="paragraph" w:customStyle="1" w:styleId="CM167">
    <w:name w:val="CM167"/>
    <w:basedOn w:val="Default"/>
    <w:next w:val="Default"/>
    <w:rsid w:val="00AC64B3"/>
    <w:pPr>
      <w:spacing w:after="160" w:line="276" w:lineRule="atLeast"/>
    </w:pPr>
    <w:rPr>
      <w:rFonts w:ascii="TiAes" w:hAnsi="TiAes" w:cs="TiAes"/>
      <w:color w:val="auto"/>
    </w:rPr>
  </w:style>
  <w:style w:type="paragraph" w:customStyle="1" w:styleId="CM168">
    <w:name w:val="CM168"/>
    <w:basedOn w:val="Default"/>
    <w:next w:val="Default"/>
    <w:rsid w:val="00AC64B3"/>
    <w:pPr>
      <w:spacing w:after="160" w:line="276" w:lineRule="atLeast"/>
    </w:pPr>
    <w:rPr>
      <w:rFonts w:ascii="TiAes" w:hAnsi="TiAes" w:cs="TiAes"/>
      <w:color w:val="auto"/>
    </w:rPr>
  </w:style>
  <w:style w:type="paragraph" w:customStyle="1" w:styleId="CM171">
    <w:name w:val="CM171"/>
    <w:basedOn w:val="Default"/>
    <w:next w:val="Default"/>
    <w:rsid w:val="00AC64B3"/>
    <w:pPr>
      <w:spacing w:after="160" w:line="276" w:lineRule="atLeast"/>
    </w:pPr>
    <w:rPr>
      <w:rFonts w:ascii="TiAes" w:hAnsi="TiAes" w:cs="TiAes"/>
      <w:color w:val="auto"/>
    </w:rPr>
  </w:style>
  <w:style w:type="paragraph" w:customStyle="1" w:styleId="CM182">
    <w:name w:val="CM182"/>
    <w:basedOn w:val="Default"/>
    <w:next w:val="Default"/>
    <w:rsid w:val="00AC64B3"/>
    <w:pPr>
      <w:spacing w:after="160" w:line="276" w:lineRule="atLeast"/>
    </w:pPr>
    <w:rPr>
      <w:rFonts w:ascii="TiAes" w:hAnsi="TiAes" w:cs="TiAes"/>
      <w:color w:val="auto"/>
    </w:rPr>
  </w:style>
  <w:style w:type="paragraph" w:customStyle="1" w:styleId="CM198">
    <w:name w:val="CM198"/>
    <w:basedOn w:val="Default"/>
    <w:next w:val="Default"/>
    <w:rsid w:val="00AC64B3"/>
    <w:pPr>
      <w:spacing w:after="160" w:line="276" w:lineRule="atLeast"/>
    </w:pPr>
    <w:rPr>
      <w:rFonts w:ascii="TiAes" w:hAnsi="TiAes" w:cs="TiAes"/>
      <w:color w:val="auto"/>
    </w:rPr>
  </w:style>
  <w:style w:type="paragraph" w:customStyle="1" w:styleId="CM183">
    <w:name w:val="CM183"/>
    <w:basedOn w:val="Default"/>
    <w:next w:val="Default"/>
    <w:rsid w:val="00AC64B3"/>
    <w:pPr>
      <w:spacing w:after="160" w:line="276" w:lineRule="atLeast"/>
    </w:pPr>
    <w:rPr>
      <w:rFonts w:ascii="TiAes" w:hAnsi="TiAes" w:cs="TiAes"/>
      <w:color w:val="auto"/>
    </w:rPr>
  </w:style>
  <w:style w:type="paragraph" w:customStyle="1" w:styleId="CM207">
    <w:name w:val="CM207"/>
    <w:basedOn w:val="Default"/>
    <w:next w:val="Default"/>
    <w:rsid w:val="00AC64B3"/>
    <w:pPr>
      <w:spacing w:after="160" w:line="276" w:lineRule="atLeast"/>
    </w:pPr>
    <w:rPr>
      <w:rFonts w:ascii="TiAes" w:hAnsi="TiAes" w:cs="TiAes"/>
      <w:color w:val="auto"/>
    </w:rPr>
  </w:style>
  <w:style w:type="paragraph" w:customStyle="1" w:styleId="CM175">
    <w:name w:val="CM175"/>
    <w:basedOn w:val="Default"/>
    <w:next w:val="Default"/>
    <w:rsid w:val="00AC64B3"/>
    <w:pPr>
      <w:spacing w:after="160" w:line="276" w:lineRule="atLeast"/>
    </w:pPr>
    <w:rPr>
      <w:rFonts w:ascii="TiAes" w:hAnsi="TiAes" w:cs="TiAes"/>
      <w:color w:val="auto"/>
    </w:rPr>
  </w:style>
  <w:style w:type="paragraph" w:customStyle="1" w:styleId="CM9">
    <w:name w:val="CM9"/>
    <w:basedOn w:val="Default"/>
    <w:next w:val="Default"/>
    <w:rsid w:val="00AC64B3"/>
    <w:pPr>
      <w:spacing w:after="160" w:line="276" w:lineRule="atLeast"/>
    </w:pPr>
    <w:rPr>
      <w:rFonts w:ascii="TiAes" w:hAnsi="TiAes" w:cs="TiAes"/>
      <w:color w:val="auto"/>
    </w:rPr>
  </w:style>
  <w:style w:type="paragraph" w:customStyle="1" w:styleId="CM174">
    <w:name w:val="CM174"/>
    <w:basedOn w:val="Default"/>
    <w:next w:val="Default"/>
    <w:rsid w:val="00AC64B3"/>
    <w:pPr>
      <w:spacing w:after="160" w:line="276" w:lineRule="atLeast"/>
    </w:pPr>
    <w:rPr>
      <w:rFonts w:ascii="TiAes" w:hAnsi="TiAes" w:cs="TiAes"/>
      <w:color w:val="auto"/>
    </w:rPr>
  </w:style>
  <w:style w:type="paragraph" w:customStyle="1" w:styleId="CM185">
    <w:name w:val="CM185"/>
    <w:basedOn w:val="Default"/>
    <w:next w:val="Default"/>
    <w:rsid w:val="00AC64B3"/>
    <w:pPr>
      <w:spacing w:after="160" w:line="276" w:lineRule="atLeast"/>
    </w:pPr>
    <w:rPr>
      <w:rFonts w:ascii="TiAes" w:hAnsi="TiAes" w:cs="TiAes"/>
      <w:color w:val="auto"/>
    </w:rPr>
  </w:style>
  <w:style w:type="paragraph" w:customStyle="1" w:styleId="TableParagraph">
    <w:name w:val="Table Paragraph"/>
    <w:basedOn w:val="Normal"/>
    <w:rsid w:val="00AC64B3"/>
    <w:pPr>
      <w:spacing w:after="160" w:line="276" w:lineRule="atLeast"/>
    </w:pPr>
    <w:rPr>
      <w:rFonts w:ascii="ArAal" w:hAnsi="ArAal" w:cs="ArAal"/>
      <w:sz w:val="22"/>
      <w:szCs w:val="20"/>
      <w:lang w:val="es-MX" w:eastAsia="es-MX"/>
    </w:rPr>
  </w:style>
  <w:style w:type="paragraph" w:customStyle="1" w:styleId="s7">
    <w:name w:val="s7"/>
    <w:basedOn w:val="Normal"/>
    <w:rsid w:val="00AC64B3"/>
    <w:pPr>
      <w:spacing w:before="100" w:after="100" w:line="276" w:lineRule="atLeast"/>
    </w:pPr>
    <w:rPr>
      <w:rFonts w:ascii="TiAes New Roman" w:hAnsi="TiAes New Roman" w:cs="TiAes New Roman"/>
      <w:sz w:val="21"/>
      <w:szCs w:val="20"/>
      <w:lang w:val="es-MX" w:eastAsia="es-MX"/>
    </w:rPr>
  </w:style>
  <w:style w:type="paragraph" w:customStyle="1" w:styleId="TITULO10">
    <w:name w:val="TITULO1"/>
    <w:basedOn w:val="Normal"/>
    <w:rsid w:val="00AC64B3"/>
    <w:pPr>
      <w:pBdr>
        <w:bottom w:val="single" w:sz="12" w:space="1" w:color="auto"/>
      </w:pBdr>
      <w:spacing w:after="160" w:line="216" w:lineRule="exact"/>
      <w:jc w:val="both"/>
    </w:pPr>
    <w:rPr>
      <w:rFonts w:ascii="TiAes New Roman" w:hAnsi="TiAes New Roman" w:cs="TiAes New Roman"/>
      <w:b/>
      <w:sz w:val="18"/>
      <w:szCs w:val="20"/>
      <w:lang w:val="es-MX" w:eastAsia="es-MX"/>
    </w:rPr>
  </w:style>
  <w:style w:type="paragraph" w:customStyle="1" w:styleId="TEXTO1">
    <w:name w:val="TEXTO"/>
    <w:basedOn w:val="Normal"/>
    <w:rsid w:val="00AC64B3"/>
    <w:pPr>
      <w:spacing w:after="101" w:line="216" w:lineRule="exact"/>
      <w:ind w:firstLine="289"/>
      <w:jc w:val="both"/>
    </w:pPr>
    <w:rPr>
      <w:rFonts w:ascii="ArAal" w:hAnsi="ArAal" w:cs="ArAal"/>
      <w:sz w:val="18"/>
      <w:szCs w:val="20"/>
      <w:lang w:val="es-MX" w:eastAsia="es-MX"/>
    </w:rPr>
  </w:style>
  <w:style w:type="paragraph" w:customStyle="1" w:styleId="Footnote">
    <w:name w:val="Footnote"/>
    <w:basedOn w:val="normal2"/>
    <w:next w:val="normal2"/>
    <w:rsid w:val="00AC64B3"/>
    <w:pPr>
      <w:spacing w:before="0" w:after="0" w:line="240" w:lineRule="auto"/>
    </w:pPr>
    <w:rPr>
      <w:sz w:val="23"/>
    </w:rPr>
  </w:style>
  <w:style w:type="paragraph" w:customStyle="1" w:styleId="normal2">
    <w:name w:val="normal 2"/>
    <w:basedOn w:val="Normal"/>
    <w:next w:val="Footer"/>
    <w:rsid w:val="00AC64B3"/>
    <w:pPr>
      <w:spacing w:before="120" w:after="240" w:line="360" w:lineRule="atLeast"/>
      <w:jc w:val="both"/>
    </w:pPr>
    <w:rPr>
      <w:rFonts w:ascii="ArAal" w:hAnsi="ArAal" w:cs="ArAal"/>
      <w:sz w:val="28"/>
      <w:szCs w:val="20"/>
      <w:lang w:val="es-MX" w:eastAsia="es-MX"/>
    </w:rPr>
  </w:style>
  <w:style w:type="paragraph" w:customStyle="1" w:styleId="corte1datos">
    <w:name w:val="corte1 datos"/>
    <w:basedOn w:val="Normal"/>
    <w:rsid w:val="00AC64B3"/>
    <w:pPr>
      <w:spacing w:before="120" w:after="240" w:line="276" w:lineRule="atLeast"/>
      <w:ind w:left="2552"/>
    </w:pPr>
    <w:rPr>
      <w:rFonts w:ascii="ArAal" w:hAnsi="ArAal" w:cs="ArAal"/>
      <w:b/>
      <w:caps/>
      <w:sz w:val="30"/>
      <w:szCs w:val="20"/>
      <w:lang w:val="es-ES_tradnl" w:eastAsia="es-MX"/>
    </w:rPr>
  </w:style>
  <w:style w:type="paragraph" w:customStyle="1" w:styleId="corte4fondoCarCarCar">
    <w:name w:val="corte4 fondo Car Car Car"/>
    <w:basedOn w:val="Normal"/>
    <w:rsid w:val="00AC64B3"/>
    <w:pPr>
      <w:spacing w:before="120" w:after="240" w:line="360" w:lineRule="atLeast"/>
      <w:ind w:firstLine="709"/>
      <w:jc w:val="both"/>
    </w:pPr>
    <w:rPr>
      <w:rFonts w:ascii="ArAal" w:hAnsi="ArAal" w:cs="ArAal"/>
      <w:sz w:val="30"/>
      <w:szCs w:val="20"/>
      <w:lang w:val="es-ES_tradnl" w:eastAsia="es-MX"/>
    </w:rPr>
  </w:style>
  <w:style w:type="paragraph" w:customStyle="1" w:styleId="sentencia">
    <w:name w:val="sentencia"/>
    <w:basedOn w:val="corte4fondoCarCarCar"/>
    <w:rsid w:val="00AC64B3"/>
    <w:pPr>
      <w:spacing w:before="160" w:after="160"/>
    </w:pPr>
    <w:rPr>
      <w:sz w:val="28"/>
    </w:rPr>
  </w:style>
  <w:style w:type="paragraph" w:customStyle="1" w:styleId="RUBRO">
    <w:name w:val="RUBRO"/>
    <w:basedOn w:val="normal2"/>
    <w:rsid w:val="00AC64B3"/>
    <w:pPr>
      <w:spacing w:line="240" w:lineRule="auto"/>
    </w:pPr>
    <w:rPr>
      <w:b/>
    </w:rPr>
  </w:style>
  <w:style w:type="paragraph" w:customStyle="1" w:styleId="Prrato">
    <w:name w:val="Párrato"/>
    <w:basedOn w:val="Normal"/>
    <w:rsid w:val="00AC64B3"/>
    <w:pPr>
      <w:spacing w:before="120" w:after="240" w:line="360" w:lineRule="atLeast"/>
      <w:jc w:val="both"/>
    </w:pPr>
    <w:rPr>
      <w:rFonts w:ascii="ArAal" w:hAnsi="ArAal" w:cs="ArAal"/>
      <w:sz w:val="28"/>
      <w:szCs w:val="20"/>
      <w:lang w:val="es-ES_tradnl" w:eastAsia="es-MX"/>
    </w:rPr>
  </w:style>
  <w:style w:type="paragraph" w:customStyle="1" w:styleId="Estilo1">
    <w:name w:val="Estilo1"/>
    <w:basedOn w:val="corte4fondo"/>
    <w:rsid w:val="00AC64B3"/>
    <w:pPr>
      <w:tabs>
        <w:tab w:val="left" w:pos="360"/>
      </w:tabs>
      <w:spacing w:before="160"/>
      <w:ind w:hanging="567"/>
    </w:pPr>
    <w:rPr>
      <w:sz w:val="28"/>
      <w:lang w:val="es-MX"/>
    </w:rPr>
  </w:style>
  <w:style w:type="paragraph" w:customStyle="1" w:styleId="corte5transcripcion">
    <w:name w:val="corte5 transcripcion"/>
    <w:basedOn w:val="Normal"/>
    <w:rsid w:val="00AC64B3"/>
    <w:pPr>
      <w:spacing w:after="160" w:line="360" w:lineRule="atLeast"/>
      <w:ind w:left="709" w:right="709"/>
      <w:jc w:val="both"/>
    </w:pPr>
    <w:rPr>
      <w:rFonts w:ascii="ArAal" w:hAnsi="ArAal" w:cs="ArAal"/>
      <w:b/>
      <w:i/>
      <w:sz w:val="30"/>
      <w:szCs w:val="20"/>
      <w:lang w:val="es-MX" w:eastAsia="es-MX"/>
    </w:rPr>
  </w:style>
  <w:style w:type="paragraph" w:customStyle="1" w:styleId="corte5transcripcionCar">
    <w:name w:val="corte5 transcripcion Car"/>
    <w:basedOn w:val="Normal"/>
    <w:rsid w:val="00AC64B3"/>
    <w:pPr>
      <w:spacing w:after="160" w:line="360" w:lineRule="atLeast"/>
      <w:ind w:left="709" w:right="709"/>
      <w:jc w:val="both"/>
    </w:pPr>
    <w:rPr>
      <w:rFonts w:ascii="ArAal" w:hAnsi="ArAal" w:cs="ArAal"/>
      <w:b/>
      <w:i/>
      <w:sz w:val="30"/>
      <w:szCs w:val="20"/>
      <w:lang w:val="es-MX" w:eastAsia="es-MX"/>
    </w:rPr>
  </w:style>
  <w:style w:type="paragraph" w:customStyle="1" w:styleId="NOTASALPIE1">
    <w:name w:val="NOTAS AL PIE1"/>
    <w:basedOn w:val="Normal"/>
    <w:rsid w:val="00AC64B3"/>
    <w:pPr>
      <w:spacing w:after="160" w:line="276" w:lineRule="atLeast"/>
      <w:jc w:val="both"/>
    </w:pPr>
    <w:rPr>
      <w:rFonts w:ascii="ArAal" w:hAnsi="ArAal" w:cs="ArAal"/>
      <w:sz w:val="20"/>
      <w:szCs w:val="20"/>
      <w:lang w:val="es-MX" w:eastAsia="es-MX"/>
    </w:rPr>
  </w:style>
  <w:style w:type="paragraph" w:customStyle="1" w:styleId="Refdenotaalpie2">
    <w:name w:val="Ref. de nota al pie 2"/>
    <w:basedOn w:val="Normal"/>
    <w:rsid w:val="00AC64B3"/>
    <w:pPr>
      <w:spacing w:after="160" w:line="276" w:lineRule="atLeast"/>
      <w:jc w:val="both"/>
    </w:pPr>
    <w:rPr>
      <w:rFonts w:ascii="CaAibri" w:hAnsi="CaAibri" w:cs="CaAibri"/>
      <w:position w:val="11"/>
      <w:sz w:val="16"/>
      <w:szCs w:val="20"/>
      <w:lang w:val="es-MX" w:eastAsia="es-MX"/>
    </w:rPr>
  </w:style>
  <w:style w:type="paragraph" w:customStyle="1" w:styleId="corte4fondoCarCar">
    <w:name w:val="corte4 fondo Car Car"/>
    <w:basedOn w:val="Normal"/>
    <w:rsid w:val="00AC64B3"/>
    <w:pPr>
      <w:spacing w:after="160" w:line="360" w:lineRule="atLeast"/>
      <w:ind w:firstLine="709"/>
      <w:jc w:val="both"/>
    </w:pPr>
    <w:rPr>
      <w:rFonts w:ascii="ArAal" w:hAnsi="ArAal" w:cs="ArAal"/>
      <w:sz w:val="30"/>
      <w:szCs w:val="20"/>
      <w:lang w:val="es-ES_tradnl" w:eastAsia="es-MX"/>
    </w:rPr>
  </w:style>
  <w:style w:type="paragraph" w:customStyle="1" w:styleId="Listadevietas3">
    <w:name w:val="Lista de viñetas 3"/>
    <w:basedOn w:val="Normal"/>
    <w:rsid w:val="00AC64B3"/>
    <w:pPr>
      <w:tabs>
        <w:tab w:val="left" w:pos="360"/>
      </w:tabs>
      <w:spacing w:after="160" w:line="276" w:lineRule="atLeast"/>
      <w:ind w:left="360" w:hanging="360"/>
    </w:pPr>
    <w:rPr>
      <w:rFonts w:ascii="TiAes New Roman" w:hAnsi="TiAes New Roman" w:cs="TiAes New Roman"/>
      <w:sz w:val="20"/>
      <w:szCs w:val="20"/>
      <w:lang w:val="es-ES_tradnl" w:eastAsia="es-MX"/>
    </w:rPr>
  </w:style>
  <w:style w:type="paragraph" w:customStyle="1" w:styleId="TEXTONORMAL0">
    <w:name w:val="TEXTO NORMAL"/>
    <w:basedOn w:val="Normal"/>
    <w:rsid w:val="00AC64B3"/>
    <w:pPr>
      <w:spacing w:after="160" w:line="360" w:lineRule="atLeast"/>
      <w:ind w:firstLine="709"/>
      <w:jc w:val="both"/>
    </w:pPr>
    <w:rPr>
      <w:rFonts w:ascii="ArAal" w:hAnsi="ArAal" w:cs="ArAal"/>
      <w:sz w:val="28"/>
      <w:szCs w:val="20"/>
      <w:lang w:val="es-MX" w:eastAsia="es-MX"/>
    </w:rPr>
  </w:style>
  <w:style w:type="paragraph" w:customStyle="1" w:styleId="Asuntoypromovente">
    <w:name w:val="Asunto y promovente"/>
    <w:basedOn w:val="Normal"/>
    <w:rsid w:val="00AC64B3"/>
    <w:pPr>
      <w:spacing w:after="280" w:line="276" w:lineRule="atLeast"/>
      <w:ind w:left="2268"/>
      <w:jc w:val="both"/>
    </w:pPr>
    <w:rPr>
      <w:rFonts w:ascii="ArAal Negrita" w:hAnsi="ArAal Negrita" w:cs="ArAal Negrita"/>
      <w:b/>
      <w:caps/>
      <w:sz w:val="28"/>
      <w:szCs w:val="20"/>
      <w:lang w:eastAsia="es-MX"/>
    </w:rPr>
  </w:style>
  <w:style w:type="paragraph" w:customStyle="1" w:styleId="Normalnumerado">
    <w:name w:val="Normal numerado"/>
    <w:basedOn w:val="Normal"/>
    <w:rsid w:val="00AC64B3"/>
    <w:pPr>
      <w:spacing w:after="280" w:line="360" w:lineRule="atLeast"/>
      <w:ind w:hanging="851"/>
      <w:jc w:val="both"/>
    </w:pPr>
    <w:rPr>
      <w:rFonts w:ascii="ArAal" w:hAnsi="ArAal" w:cs="ArAal"/>
      <w:sz w:val="26"/>
      <w:szCs w:val="20"/>
      <w:lang w:val="es-MX" w:eastAsia="es-MX"/>
    </w:rPr>
  </w:style>
  <w:style w:type="paragraph" w:customStyle="1" w:styleId="Apartado">
    <w:name w:val="Apartado"/>
    <w:basedOn w:val="Normalnumerado"/>
    <w:rsid w:val="00AC64B3"/>
    <w:pPr>
      <w:spacing w:before="80" w:after="360"/>
      <w:ind w:firstLine="0"/>
      <w:jc w:val="center"/>
    </w:pPr>
    <w:rPr>
      <w:rFonts w:ascii="ArAal Negrita" w:hAnsi="ArAal Negrita" w:cs="ArAal Negrita"/>
      <w:b/>
      <w:caps/>
      <w:spacing w:val="10"/>
    </w:rPr>
  </w:style>
  <w:style w:type="paragraph" w:customStyle="1" w:styleId="TTULONDICE">
    <w:name w:val="TÍTULO ÍNDICE"/>
    <w:basedOn w:val="Apartado"/>
    <w:rsid w:val="00AC64B3"/>
    <w:rPr>
      <w:rFonts w:ascii="ArAal" w:hAnsi="ArAal" w:cs="ArAal"/>
    </w:rPr>
  </w:style>
  <w:style w:type="paragraph" w:styleId="List4">
    <w:name w:val="List 4"/>
    <w:basedOn w:val="Normal"/>
    <w:rsid w:val="00AC64B3"/>
    <w:pPr>
      <w:spacing w:before="120" w:after="240" w:line="360" w:lineRule="atLeast"/>
      <w:ind w:left="566" w:hanging="283"/>
      <w:jc w:val="both"/>
    </w:pPr>
    <w:rPr>
      <w:rFonts w:ascii="ArAal" w:hAnsi="ArAal" w:cs="ArAal"/>
      <w:sz w:val="28"/>
      <w:szCs w:val="20"/>
      <w:lang w:val="es-MX" w:eastAsia="es-MX"/>
    </w:rPr>
  </w:style>
  <w:style w:type="paragraph" w:styleId="List5">
    <w:name w:val="List 5"/>
    <w:basedOn w:val="Normal"/>
    <w:rsid w:val="00AC64B3"/>
    <w:pPr>
      <w:spacing w:before="120" w:after="240" w:line="360" w:lineRule="atLeast"/>
      <w:ind w:left="849" w:hanging="283"/>
      <w:jc w:val="both"/>
    </w:pPr>
    <w:rPr>
      <w:rFonts w:ascii="ArAal" w:hAnsi="ArAal" w:cs="ArAal"/>
      <w:sz w:val="28"/>
      <w:szCs w:val="20"/>
      <w:lang w:val="es-MX" w:eastAsia="es-MX"/>
    </w:rPr>
  </w:style>
  <w:style w:type="paragraph" w:customStyle="1" w:styleId="Listadevietas2">
    <w:name w:val="Lista de viñetas 2"/>
    <w:basedOn w:val="Normal"/>
    <w:rsid w:val="00AC64B3"/>
    <w:pPr>
      <w:spacing w:before="120" w:after="240" w:line="360" w:lineRule="atLeast"/>
      <w:ind w:left="1132" w:hanging="283"/>
      <w:jc w:val="both"/>
    </w:pPr>
    <w:rPr>
      <w:rFonts w:ascii="ArAal" w:hAnsi="ArAal" w:cs="ArAal"/>
      <w:sz w:val="28"/>
      <w:szCs w:val="20"/>
      <w:lang w:val="es-MX" w:eastAsia="es-MX"/>
    </w:rPr>
  </w:style>
  <w:style w:type="paragraph" w:customStyle="1" w:styleId="Listadevietas4">
    <w:name w:val="Lista de viñetas 4"/>
    <w:basedOn w:val="Normal"/>
    <w:rsid w:val="00AC64B3"/>
    <w:pPr>
      <w:tabs>
        <w:tab w:val="left" w:pos="643"/>
      </w:tabs>
      <w:spacing w:before="120" w:after="240" w:line="360" w:lineRule="atLeast"/>
      <w:ind w:left="643" w:hanging="360"/>
      <w:jc w:val="both"/>
    </w:pPr>
    <w:rPr>
      <w:rFonts w:ascii="ArAal" w:hAnsi="ArAal" w:cs="ArAal"/>
      <w:sz w:val="28"/>
      <w:szCs w:val="20"/>
      <w:lang w:val="es-MX" w:eastAsia="es-MX"/>
    </w:rPr>
  </w:style>
  <w:style w:type="paragraph" w:customStyle="1" w:styleId="Listacontinua3">
    <w:name w:val="Lista continua 3"/>
    <w:basedOn w:val="Normal"/>
    <w:rsid w:val="00AC64B3"/>
    <w:pPr>
      <w:spacing w:before="120" w:after="120" w:line="360" w:lineRule="atLeast"/>
      <w:ind w:left="283"/>
      <w:jc w:val="both"/>
    </w:pPr>
    <w:rPr>
      <w:rFonts w:ascii="ArAal" w:hAnsi="ArAal" w:cs="ArAal"/>
      <w:sz w:val="28"/>
      <w:szCs w:val="20"/>
      <w:lang w:val="es-MX" w:eastAsia="es-MX"/>
    </w:rPr>
  </w:style>
  <w:style w:type="paragraph" w:customStyle="1" w:styleId="Listacontinua4">
    <w:name w:val="Lista continua 4"/>
    <w:basedOn w:val="Normal"/>
    <w:rsid w:val="00AC64B3"/>
    <w:pPr>
      <w:spacing w:before="120" w:after="120" w:line="360" w:lineRule="atLeast"/>
      <w:ind w:left="566"/>
      <w:jc w:val="both"/>
    </w:pPr>
    <w:rPr>
      <w:rFonts w:ascii="ArAal" w:hAnsi="ArAal" w:cs="ArAal"/>
      <w:sz w:val="28"/>
      <w:szCs w:val="20"/>
      <w:lang w:val="es-MX" w:eastAsia="es-MX"/>
    </w:rPr>
  </w:style>
  <w:style w:type="paragraph" w:customStyle="1" w:styleId="BodyTextFirstIndent21">
    <w:name w:val="Body Text First Indent 21"/>
    <w:basedOn w:val="BodyText21"/>
    <w:rsid w:val="00AC64B3"/>
    <w:pPr>
      <w:spacing w:before="120" w:after="240" w:line="360" w:lineRule="atLeast"/>
      <w:ind w:left="360" w:firstLine="360"/>
    </w:pPr>
    <w:rPr>
      <w:b w:val="0"/>
      <w:sz w:val="28"/>
    </w:rPr>
  </w:style>
  <w:style w:type="paragraph" w:customStyle="1" w:styleId="TtulodeTDC1">
    <w:name w:val="Título de TDC1"/>
    <w:basedOn w:val="Heading1"/>
    <w:next w:val="Normal"/>
    <w:rsid w:val="00AC64B3"/>
    <w:pPr>
      <w:keepNext/>
      <w:keepLines/>
      <w:pBdr>
        <w:bottom w:val="single" w:sz="6" w:space="2" w:color="FFFF00"/>
        <w:between w:val="none" w:sz="0" w:space="0" w:color="auto"/>
      </w:pBdr>
      <w:spacing w:before="240" w:line="259" w:lineRule="atLeast"/>
      <w:jc w:val="left"/>
    </w:pPr>
    <w:rPr>
      <w:rFonts w:ascii="CaAibri Light" w:hAnsi="CaAibri Light" w:cs="CaAibri Light"/>
      <w:b w:val="0"/>
      <w:color w:val="00FFFF"/>
      <w:sz w:val="32"/>
      <w:szCs w:val="20"/>
      <w:lang w:val="es-MX" w:eastAsia="es-MX"/>
    </w:rPr>
  </w:style>
  <w:style w:type="paragraph" w:customStyle="1" w:styleId="paragraph">
    <w:name w:val="paragraph"/>
    <w:basedOn w:val="Normal"/>
    <w:rsid w:val="00AC64B3"/>
    <w:pPr>
      <w:spacing w:before="100" w:after="100" w:line="276" w:lineRule="atLeast"/>
    </w:pPr>
    <w:rPr>
      <w:rFonts w:ascii="TiAes New Roman" w:hAnsi="TiAes New Roman" w:cs="TiAes New Roman"/>
      <w:sz w:val="21"/>
      <w:szCs w:val="20"/>
      <w:lang w:val="es-MX" w:eastAsia="es-MX"/>
    </w:rPr>
  </w:style>
  <w:style w:type="paragraph" w:customStyle="1" w:styleId="BodyTextIndent22">
    <w:name w:val="Body Text Indent 22"/>
    <w:basedOn w:val="Normal"/>
    <w:rsid w:val="00AC64B3"/>
    <w:pPr>
      <w:spacing w:after="120" w:line="480" w:lineRule="atLeast"/>
      <w:ind w:left="283"/>
    </w:pPr>
    <w:rPr>
      <w:rFonts w:ascii="ApAos" w:hAnsi="ApAos" w:cs="ApAos"/>
      <w:sz w:val="21"/>
      <w:szCs w:val="20"/>
      <w:lang w:val="es-MX" w:eastAsia="es-MX"/>
    </w:rPr>
  </w:style>
  <w:style w:type="paragraph" w:customStyle="1" w:styleId="CERRAR">
    <w:name w:val="CERRAR"/>
    <w:basedOn w:val="Normal"/>
    <w:rsid w:val="00AC64B3"/>
    <w:pPr>
      <w:spacing w:after="29" w:line="187" w:lineRule="atLeast"/>
      <w:ind w:firstLine="288"/>
      <w:jc w:val="both"/>
    </w:pPr>
    <w:rPr>
      <w:rFonts w:ascii="ArAal" w:hAnsi="ArAal" w:cs="ArAal"/>
      <w:sz w:val="18"/>
      <w:szCs w:val="20"/>
      <w:lang w:val="es-ES_tradnl" w:eastAsia="es-MX"/>
    </w:rPr>
  </w:style>
  <w:style w:type="paragraph" w:customStyle="1" w:styleId="ABRIR">
    <w:name w:val="ABRIR"/>
    <w:basedOn w:val="Normal"/>
    <w:rsid w:val="00AC64B3"/>
    <w:pPr>
      <w:spacing w:after="120" w:line="240" w:lineRule="atLeast"/>
      <w:ind w:firstLine="288"/>
      <w:jc w:val="both"/>
    </w:pPr>
    <w:rPr>
      <w:rFonts w:ascii="ArAal" w:hAnsi="ArAal" w:cs="ArAal"/>
      <w:sz w:val="18"/>
      <w:szCs w:val="20"/>
      <w:lang w:val="es-ES_tradnl" w:eastAsia="es-MX"/>
    </w:rPr>
  </w:style>
  <w:style w:type="paragraph" w:customStyle="1" w:styleId="4x3">
    <w:name w:val="4x3"/>
    <w:basedOn w:val="texto0"/>
    <w:rsid w:val="00AC64B3"/>
    <w:pPr>
      <w:tabs>
        <w:tab w:val="left" w:pos="810"/>
        <w:tab w:val="left" w:pos="2430"/>
        <w:tab w:val="right" w:pos="4860"/>
        <w:tab w:val="left" w:pos="6390"/>
      </w:tabs>
      <w:spacing w:line="216" w:lineRule="atLeast"/>
    </w:pPr>
    <w:rPr>
      <w:lang w:val="es-ES_tradnl"/>
    </w:rPr>
  </w:style>
  <w:style w:type="paragraph" w:customStyle="1" w:styleId="registro">
    <w:name w:val="registro"/>
    <w:basedOn w:val="texto0"/>
    <w:rsid w:val="00AC64B3"/>
    <w:pPr>
      <w:spacing w:line="216" w:lineRule="atLeast"/>
      <w:jc w:val="right"/>
    </w:pPr>
    <w:rPr>
      <w:b/>
      <w:lang w:val="es-ES_tradnl"/>
    </w:rPr>
  </w:style>
  <w:style w:type="paragraph" w:customStyle="1" w:styleId="tab">
    <w:name w:val="tab"/>
    <w:basedOn w:val="Normal"/>
    <w:rsid w:val="00AC64B3"/>
    <w:pPr>
      <w:keepNext/>
      <w:keepLines/>
      <w:tabs>
        <w:tab w:val="right" w:leader="dot" w:pos="7470"/>
      </w:tabs>
      <w:spacing w:after="101" w:line="216" w:lineRule="atLeast"/>
      <w:ind w:right="-162" w:firstLine="720"/>
      <w:jc w:val="both"/>
    </w:pPr>
    <w:rPr>
      <w:rFonts w:ascii="ArAal" w:hAnsi="ArAal" w:cs="ArAal"/>
      <w:b/>
      <w:sz w:val="22"/>
      <w:szCs w:val="20"/>
      <w:lang w:val="es-ES_tradnl" w:eastAsia="es-MX"/>
    </w:rPr>
  </w:style>
  <w:style w:type="paragraph" w:customStyle="1" w:styleId="cetneg">
    <w:name w:val="cetneg"/>
    <w:basedOn w:val="texto0"/>
    <w:rsid w:val="00AC64B3"/>
    <w:pPr>
      <w:spacing w:line="216" w:lineRule="atLeast"/>
      <w:jc w:val="center"/>
    </w:pPr>
    <w:rPr>
      <w:b/>
      <w:lang w:val="es-ES_tradnl"/>
    </w:rPr>
  </w:style>
  <w:style w:type="paragraph" w:customStyle="1" w:styleId="FIRMA">
    <w:name w:val="FIRMA"/>
    <w:basedOn w:val="texto0"/>
    <w:rsid w:val="00AC64B3"/>
    <w:pPr>
      <w:tabs>
        <w:tab w:val="right" w:leader="dot" w:pos="8640"/>
      </w:tabs>
      <w:spacing w:line="216" w:lineRule="atLeast"/>
      <w:ind w:left="4320" w:firstLine="0"/>
    </w:pPr>
    <w:rPr>
      <w:lang w:val="es-ES_tradnl"/>
    </w:rPr>
  </w:style>
  <w:style w:type="paragraph" w:customStyle="1" w:styleId="FIRMA2">
    <w:name w:val="FIRMA2"/>
    <w:basedOn w:val="texto0"/>
    <w:rsid w:val="00AC64B3"/>
    <w:pPr>
      <w:tabs>
        <w:tab w:val="center" w:pos="6480"/>
      </w:tabs>
      <w:spacing w:line="216" w:lineRule="atLeast"/>
    </w:pPr>
    <w:rPr>
      <w:lang w:val="es-ES_tradnl"/>
    </w:rPr>
  </w:style>
  <w:style w:type="paragraph" w:customStyle="1" w:styleId="NOMBRE">
    <w:name w:val="NOMBRE"/>
    <w:basedOn w:val="texto0"/>
    <w:rsid w:val="00AC64B3"/>
    <w:pPr>
      <w:tabs>
        <w:tab w:val="right" w:leader="underscore" w:pos="8640"/>
      </w:tabs>
      <w:spacing w:line="216" w:lineRule="atLeast"/>
    </w:pPr>
    <w:rPr>
      <w:lang w:val="es-ES_tradnl"/>
    </w:rPr>
  </w:style>
  <w:style w:type="paragraph" w:customStyle="1" w:styleId="GRANPTOS">
    <w:name w:val="GRANPTOS"/>
    <w:basedOn w:val="NOMBRE"/>
    <w:rsid w:val="00AC64B3"/>
    <w:pPr>
      <w:tabs>
        <w:tab w:val="right" w:leader="dot" w:pos="8640"/>
      </w:tabs>
    </w:pPr>
  </w:style>
  <w:style w:type="paragraph" w:customStyle="1" w:styleId="tabla1">
    <w:name w:val="tabla 1"/>
    <w:basedOn w:val="texto0"/>
    <w:rsid w:val="00AC64B3"/>
    <w:pPr>
      <w:spacing w:line="216" w:lineRule="atLeast"/>
    </w:pPr>
    <w:rPr>
      <w:rFonts w:ascii="Helv" w:hAnsi="Helv" w:cs="Helv"/>
      <w:lang w:val="es-ES_tradnl"/>
    </w:rPr>
  </w:style>
  <w:style w:type="paragraph" w:customStyle="1" w:styleId="SRA">
    <w:name w:val="SRA"/>
    <w:basedOn w:val="ROMANOS"/>
    <w:rsid w:val="00AC64B3"/>
    <w:pPr>
      <w:tabs>
        <w:tab w:val="clear" w:pos="720"/>
      </w:tabs>
      <w:spacing w:line="216" w:lineRule="atLeast"/>
      <w:ind w:left="1440" w:hanging="1170"/>
    </w:pPr>
    <w:rPr>
      <w:rFonts w:ascii="Helv" w:hAnsi="Helv" w:cs="Helv"/>
      <w:szCs w:val="20"/>
      <w:lang w:val="es-ES_tradnl" w:eastAsia="es-MX"/>
    </w:rPr>
  </w:style>
  <w:style w:type="paragraph" w:customStyle="1" w:styleId="Profesin">
    <w:name w:val="Profesión"/>
    <w:basedOn w:val="Normal"/>
    <w:rsid w:val="00AC64B3"/>
    <w:pPr>
      <w:spacing w:after="160" w:line="276" w:lineRule="atLeast"/>
      <w:jc w:val="center"/>
    </w:pPr>
    <w:rPr>
      <w:rFonts w:ascii="ArAal" w:hAnsi="ArAal" w:cs="ArAal"/>
      <w:sz w:val="28"/>
      <w:szCs w:val="20"/>
      <w:lang w:val="es-MX" w:eastAsia="es-MX"/>
    </w:rPr>
  </w:style>
  <w:style w:type="paragraph" w:customStyle="1" w:styleId="BodyTextIndent21">
    <w:name w:val="Body Text Indent 21"/>
    <w:basedOn w:val="Normal"/>
    <w:rsid w:val="00AC64B3"/>
    <w:pPr>
      <w:spacing w:before="120" w:after="120" w:line="276" w:lineRule="atLeast"/>
      <w:ind w:left="709" w:hanging="349"/>
      <w:jc w:val="both"/>
    </w:pPr>
    <w:rPr>
      <w:rFonts w:ascii="ArAal" w:hAnsi="ArAal" w:cs="ArAal"/>
      <w:sz w:val="21"/>
      <w:szCs w:val="20"/>
      <w:lang w:eastAsia="es-MX"/>
    </w:rPr>
  </w:style>
  <w:style w:type="paragraph" w:customStyle="1" w:styleId="BodyText32">
    <w:name w:val="Body Text 32"/>
    <w:basedOn w:val="Normal"/>
    <w:rsid w:val="00AC64B3"/>
    <w:pPr>
      <w:spacing w:after="120" w:line="276" w:lineRule="atLeast"/>
    </w:pPr>
    <w:rPr>
      <w:rFonts w:ascii="ApAos" w:hAnsi="ApAos" w:cs="ApAos"/>
      <w:sz w:val="16"/>
      <w:szCs w:val="20"/>
      <w:lang w:val="es-MX" w:eastAsia="es-MX"/>
    </w:rPr>
  </w:style>
  <w:style w:type="paragraph" w:customStyle="1" w:styleId="CM18">
    <w:name w:val="CM18"/>
    <w:basedOn w:val="Default"/>
    <w:next w:val="Default"/>
    <w:rsid w:val="00AC64B3"/>
    <w:pPr>
      <w:spacing w:after="160" w:line="276" w:lineRule="atLeast"/>
    </w:pPr>
    <w:rPr>
      <w:color w:val="auto"/>
    </w:rPr>
  </w:style>
  <w:style w:type="paragraph" w:customStyle="1" w:styleId="CM14">
    <w:name w:val="CM14"/>
    <w:basedOn w:val="Default"/>
    <w:next w:val="Default"/>
    <w:rsid w:val="00AC64B3"/>
    <w:pPr>
      <w:spacing w:after="160" w:line="276" w:lineRule="atLeast"/>
    </w:pPr>
    <w:rPr>
      <w:color w:val="auto"/>
    </w:rPr>
  </w:style>
  <w:style w:type="paragraph" w:customStyle="1" w:styleId="CM17">
    <w:name w:val="CM17"/>
    <w:basedOn w:val="Default"/>
    <w:next w:val="Default"/>
    <w:rsid w:val="00AC64B3"/>
    <w:pPr>
      <w:spacing w:after="160" w:line="276" w:lineRule="atLeast"/>
    </w:pPr>
    <w:rPr>
      <w:color w:val="auto"/>
    </w:rPr>
  </w:style>
  <w:style w:type="paragraph" w:customStyle="1" w:styleId="CM19">
    <w:name w:val="CM19"/>
    <w:basedOn w:val="Default"/>
    <w:next w:val="Default"/>
    <w:rsid w:val="00AC64B3"/>
    <w:pPr>
      <w:spacing w:after="160" w:line="276" w:lineRule="atLeast"/>
    </w:pPr>
    <w:rPr>
      <w:color w:val="auto"/>
    </w:rPr>
  </w:style>
  <w:style w:type="paragraph" w:customStyle="1" w:styleId="CM11">
    <w:name w:val="CM11"/>
    <w:basedOn w:val="Default"/>
    <w:next w:val="Default"/>
    <w:rsid w:val="00AC64B3"/>
    <w:pPr>
      <w:spacing w:after="160" w:line="263" w:lineRule="atLeast"/>
    </w:pPr>
    <w:rPr>
      <w:color w:val="auto"/>
    </w:rPr>
  </w:style>
  <w:style w:type="paragraph" w:customStyle="1" w:styleId="western">
    <w:name w:val="western"/>
    <w:basedOn w:val="Normal"/>
    <w:rsid w:val="00AC64B3"/>
    <w:pPr>
      <w:spacing w:before="100" w:after="100" w:line="276" w:lineRule="atLeast"/>
    </w:pPr>
    <w:rPr>
      <w:rFonts w:ascii="ArAal Unicode MS" w:hAnsi="ArAal Unicode MS" w:cs="ArAal Unicode MS"/>
      <w:sz w:val="21"/>
      <w:szCs w:val="20"/>
      <w:lang w:eastAsia="es-MX"/>
    </w:rPr>
  </w:style>
  <w:style w:type="paragraph" w:customStyle="1" w:styleId="3">
    <w:name w:val="3"/>
    <w:basedOn w:val="texto0"/>
    <w:rsid w:val="00AC64B3"/>
    <w:pPr>
      <w:spacing w:line="216" w:lineRule="atLeast"/>
      <w:ind w:left="1530" w:hanging="360"/>
    </w:pPr>
    <w:rPr>
      <w:rFonts w:ascii="UnAvers" w:hAnsi="UnAvers" w:cs="UnAvers"/>
      <w:lang w:val="es-ES_tradnl"/>
    </w:rPr>
  </w:style>
  <w:style w:type="paragraph" w:customStyle="1" w:styleId="TitConv">
    <w:name w:val="TitConv"/>
    <w:basedOn w:val="Normal"/>
    <w:rsid w:val="00AC64B3"/>
    <w:pPr>
      <w:spacing w:after="160" w:line="240" w:lineRule="exact"/>
      <w:jc w:val="center"/>
    </w:pPr>
    <w:rPr>
      <w:rFonts w:ascii="ArAal" w:hAnsi="ArAal" w:cs="ArAal"/>
      <w:b/>
      <w:caps/>
      <w:spacing w:val="-5"/>
      <w:sz w:val="28"/>
      <w:szCs w:val="20"/>
      <w:lang w:eastAsia="es-MX"/>
    </w:rPr>
  </w:style>
  <w:style w:type="paragraph" w:customStyle="1" w:styleId="a1">
    <w:name w:val="a1"/>
    <w:basedOn w:val="Normal"/>
    <w:rsid w:val="00AC64B3"/>
    <w:pPr>
      <w:pBdr>
        <w:bottom w:val="single" w:sz="24" w:space="1" w:color="auto"/>
      </w:pBdr>
      <w:spacing w:after="160" w:line="240" w:lineRule="exact"/>
      <w:jc w:val="both"/>
    </w:pPr>
    <w:rPr>
      <w:rFonts w:ascii="ArAal" w:hAnsi="ArAal" w:cs="ArAal"/>
      <w:b/>
      <w:sz w:val="22"/>
      <w:szCs w:val="20"/>
      <w:lang w:val="es-MX" w:eastAsia="es-MX"/>
    </w:rPr>
  </w:style>
  <w:style w:type="paragraph" w:customStyle="1" w:styleId="a2">
    <w:name w:val="a2"/>
    <w:basedOn w:val="Normal"/>
    <w:rsid w:val="00AC64B3"/>
    <w:pPr>
      <w:spacing w:after="160" w:line="240" w:lineRule="exact"/>
      <w:jc w:val="center"/>
    </w:pPr>
    <w:rPr>
      <w:rFonts w:ascii="ArAal" w:hAnsi="ArAal" w:cs="ArAal"/>
      <w:b/>
      <w:sz w:val="28"/>
      <w:szCs w:val="20"/>
      <w:lang w:eastAsia="es-MX"/>
    </w:rPr>
  </w:style>
  <w:style w:type="paragraph" w:customStyle="1" w:styleId="titulodof">
    <w:name w:val="titulo_dof"/>
    <w:basedOn w:val="Normal"/>
    <w:next w:val="PlainText2"/>
    <w:rsid w:val="00AC64B3"/>
    <w:pPr>
      <w:spacing w:after="160" w:line="276" w:lineRule="atLeast"/>
      <w:jc w:val="center"/>
    </w:pPr>
    <w:rPr>
      <w:rFonts w:ascii="ArAal" w:hAnsi="ArAal" w:cs="ArAal"/>
      <w:b/>
      <w:sz w:val="28"/>
      <w:szCs w:val="20"/>
      <w:lang w:eastAsia="es-MX"/>
    </w:rPr>
  </w:style>
  <w:style w:type="paragraph" w:customStyle="1" w:styleId="tituloinciso">
    <w:name w:val="titulo_inciso"/>
    <w:basedOn w:val="titulodof"/>
    <w:rsid w:val="00AC64B3"/>
    <w:pPr>
      <w:pBdr>
        <w:bottom w:val="single" w:sz="24" w:space="1" w:color="auto"/>
      </w:pBdr>
      <w:jc w:val="both"/>
    </w:pPr>
    <w:rPr>
      <w:sz w:val="22"/>
    </w:rPr>
  </w:style>
  <w:style w:type="paragraph" w:customStyle="1" w:styleId="INCISOCar">
    <w:name w:val="INCISO Car"/>
    <w:basedOn w:val="Normal"/>
    <w:rsid w:val="00AC64B3"/>
    <w:pPr>
      <w:tabs>
        <w:tab w:val="left" w:pos="1080"/>
      </w:tabs>
      <w:spacing w:after="101" w:line="216" w:lineRule="exact"/>
      <w:ind w:left="1080" w:hanging="360"/>
      <w:jc w:val="both"/>
    </w:pPr>
    <w:rPr>
      <w:rFonts w:ascii="ArAal" w:hAnsi="ArAal" w:cs="ArAal"/>
      <w:sz w:val="18"/>
      <w:szCs w:val="20"/>
      <w:lang w:eastAsia="es-MX"/>
    </w:rPr>
  </w:style>
  <w:style w:type="paragraph" w:customStyle="1" w:styleId="INCISO2">
    <w:name w:val="INCISO2"/>
    <w:basedOn w:val="INCISOCar"/>
    <w:rsid w:val="00AC64B3"/>
    <w:pPr>
      <w:tabs>
        <w:tab w:val="clear" w:pos="1080"/>
        <w:tab w:val="left" w:pos="1260"/>
      </w:tabs>
      <w:spacing w:line="216" w:lineRule="atLeast"/>
      <w:ind w:left="1260" w:hanging="630"/>
    </w:pPr>
    <w:rPr>
      <w:lang w:val="es-ES_tradnl"/>
    </w:rPr>
  </w:style>
  <w:style w:type="paragraph" w:customStyle="1" w:styleId="ceneg">
    <w:name w:val="ceneg"/>
    <w:basedOn w:val="texto0"/>
    <w:rsid w:val="00AC64B3"/>
    <w:pPr>
      <w:spacing w:line="216" w:lineRule="atLeast"/>
      <w:ind w:firstLine="0"/>
      <w:jc w:val="center"/>
    </w:pPr>
    <w:rPr>
      <w:b/>
      <w:lang w:val="es-ES_tradnl"/>
    </w:rPr>
  </w:style>
  <w:style w:type="paragraph" w:customStyle="1" w:styleId="indi">
    <w:name w:val="indi"/>
    <w:basedOn w:val="Normal"/>
    <w:rsid w:val="00AC64B3"/>
    <w:pPr>
      <w:tabs>
        <w:tab w:val="right" w:pos="4230"/>
      </w:tabs>
      <w:spacing w:after="100" w:line="240" w:lineRule="exact"/>
      <w:ind w:firstLine="270"/>
      <w:jc w:val="both"/>
    </w:pPr>
    <w:rPr>
      <w:rFonts w:ascii="ArAal" w:hAnsi="ArAal" w:cs="ArAal"/>
      <w:sz w:val="18"/>
      <w:szCs w:val="20"/>
      <w:lang w:val="es-ES_tradnl" w:eastAsia="es-MX"/>
    </w:rPr>
  </w:style>
  <w:style w:type="paragraph" w:customStyle="1" w:styleId="ROMVI">
    <w:name w:val="ROMVIÑ"/>
    <w:basedOn w:val="ROMANOS"/>
    <w:rsid w:val="00AC64B3"/>
    <w:pPr>
      <w:tabs>
        <w:tab w:val="left" w:pos="1008"/>
      </w:tabs>
      <w:ind w:left="1008" w:hanging="360"/>
    </w:pPr>
    <w:rPr>
      <w:rFonts w:ascii="ArAal" w:hAnsi="ArAal" w:cs="ArAal"/>
      <w:szCs w:val="20"/>
      <w:lang w:eastAsia="es-MX"/>
    </w:rPr>
  </w:style>
  <w:style w:type="paragraph" w:customStyle="1" w:styleId="Reg">
    <w:name w:val="Reg"/>
    <w:basedOn w:val="registro"/>
    <w:rsid w:val="00AC64B3"/>
    <w:pPr>
      <w:spacing w:line="216" w:lineRule="exact"/>
    </w:pPr>
    <w:rPr>
      <w:lang w:val="es-ES"/>
    </w:rPr>
  </w:style>
  <w:style w:type="paragraph" w:customStyle="1" w:styleId="CEN">
    <w:name w:val="CEN"/>
    <w:rsid w:val="00AC64B3"/>
    <w:pPr>
      <w:spacing w:after="101" w:line="216" w:lineRule="atLeast"/>
      <w:jc w:val="center"/>
    </w:pPr>
    <w:rPr>
      <w:rFonts w:ascii="ArAal" w:hAnsi="ArAal" w:cs="ArAal"/>
      <w:sz w:val="18"/>
      <w:lang w:val="es-ES" w:eastAsia="es-MX"/>
    </w:rPr>
  </w:style>
  <w:style w:type="paragraph" w:customStyle="1" w:styleId="IN-1">
    <w:name w:val="IN-1"/>
    <w:basedOn w:val="ROMANOS"/>
    <w:next w:val="Normal"/>
    <w:rsid w:val="00AC64B3"/>
    <w:pPr>
      <w:tabs>
        <w:tab w:val="clear" w:pos="720"/>
        <w:tab w:val="left" w:pos="1800"/>
      </w:tabs>
      <w:ind w:left="1526"/>
    </w:pPr>
    <w:rPr>
      <w:rFonts w:ascii="ArAal" w:hAnsi="ArAal" w:cs="ArAal"/>
      <w:szCs w:val="20"/>
      <w:lang w:val="es-MX" w:eastAsia="es-MX"/>
    </w:rPr>
  </w:style>
  <w:style w:type="paragraph" w:customStyle="1" w:styleId="Capitulo">
    <w:name w:val="Capitulo"/>
    <w:basedOn w:val="Normal"/>
    <w:rsid w:val="00AC64B3"/>
    <w:pPr>
      <w:jc w:val="center"/>
    </w:pPr>
    <w:rPr>
      <w:rFonts w:ascii="NoAo Sans" w:hAnsi="NoAo Sans" w:cs="NoAo Sans"/>
      <w:b/>
      <w:szCs w:val="20"/>
      <w:lang w:val="es-ES_tradnl" w:eastAsia="es-MX"/>
    </w:rPr>
  </w:style>
  <w:style w:type="paragraph" w:customStyle="1" w:styleId="p1">
    <w:name w:val="p1"/>
    <w:basedOn w:val="Normal"/>
    <w:rsid w:val="00AC64B3"/>
    <w:rPr>
      <w:rFonts w:ascii="ArAal" w:hAnsi="ArAal" w:cs="ArAal"/>
      <w:color w:val="000000"/>
      <w:sz w:val="18"/>
      <w:szCs w:val="20"/>
      <w:lang w:val="es-MX" w:eastAsia="es-MX"/>
    </w:rPr>
  </w:style>
  <w:style w:type="paragraph" w:styleId="BalloonText">
    <w:name w:val="Balloon Text"/>
    <w:basedOn w:val="Normal"/>
    <w:link w:val="BalloonTextChar"/>
    <w:uiPriority w:val="99"/>
    <w:semiHidden/>
    <w:unhideWhenUsed/>
    <w:rsid w:val="000150F5"/>
    <w:rPr>
      <w:rFonts w:ascii="Segoe UI" w:hAnsi="Segoe UI" w:cs="Segoe UI"/>
      <w:sz w:val="18"/>
      <w:szCs w:val="18"/>
    </w:rPr>
  </w:style>
  <w:style w:type="character" w:customStyle="1" w:styleId="BalloonTextChar">
    <w:name w:val="Balloon Text Char"/>
    <w:link w:val="BalloonText"/>
    <w:uiPriority w:val="99"/>
    <w:semiHidden/>
    <w:rsid w:val="000150F5"/>
    <w:rPr>
      <w:rFonts w:ascii="Segoe UI" w:hAnsi="Segoe UI" w:cs="Segoe UI"/>
      <w:sz w:val="18"/>
      <w:szCs w:val="18"/>
      <w:lang w:val="es-ES" w:eastAsia="es-ES"/>
    </w:rPr>
  </w:style>
  <w:style w:type="table" w:styleId="TableGrid">
    <w:name w:val="Table Grid"/>
    <w:basedOn w:val="TableNormal"/>
    <w:uiPriority w:val="59"/>
    <w:rsid w:val="00D018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F42D42"/>
    <w:rPr>
      <w:vertAlign w:val="superscript"/>
    </w:rPr>
  </w:style>
  <w:style w:type="character" w:styleId="Hyperlink">
    <w:name w:val="Hyperlink"/>
    <w:basedOn w:val="DefaultParagraphFont"/>
    <w:uiPriority w:val="99"/>
    <w:unhideWhenUsed/>
    <w:rsid w:val="00A86A62"/>
    <w:rPr>
      <w:color w:val="467886" w:themeColor="hyperlink"/>
      <w:u w:val="single"/>
    </w:rPr>
  </w:style>
  <w:style w:type="character" w:styleId="UnresolvedMention">
    <w:name w:val="Unresolved Mention"/>
    <w:basedOn w:val="DefaultParagraphFont"/>
    <w:uiPriority w:val="99"/>
    <w:semiHidden/>
    <w:unhideWhenUsed/>
    <w:rsid w:val="00A86A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A83A7-3D01-47E8-BE4F-24F8FC24F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17</TotalTime>
  <Pages>120</Pages>
  <Words>84142</Words>
  <Characters>473720</Characters>
  <Application>Microsoft Office Word</Application>
  <DocSecurity>0</DocSecurity>
  <Lines>10527</Lines>
  <Paragraphs>5523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552339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DOF</dc:creator>
  <cp:keywords/>
  <dc:description/>
  <cp:lastModifiedBy>GLENN MCBRIDE</cp:lastModifiedBy>
  <cp:revision>4</cp:revision>
  <cp:lastPrinted>2025-10-30T18:57:00Z</cp:lastPrinted>
  <dcterms:created xsi:type="dcterms:W3CDTF">2025-10-30T18:56:00Z</dcterms:created>
  <dcterms:modified xsi:type="dcterms:W3CDTF">2025-11-03T22:35:00Z</dcterms:modified>
</cp:coreProperties>
</file>